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spacing w:lineRule="auto" w:line="276"/>
        <w:ind w:left="5954" w:hanging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b/>
          <w:szCs w:val="24"/>
        </w:rPr>
      </w:pPr>
      <w:r>
        <w:rPr>
          <w:b/>
          <w:szCs w:val="24"/>
        </w:rPr>
        <w:t>ТЕХНИЧЕСКИЕ ТРЕБОВАНИЯ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900" w:leader="none"/>
        </w:tabs>
        <w:spacing w:lineRule="auto" w:line="276"/>
        <w:ind w:left="0" w:hanging="0"/>
        <w:jc w:val="center"/>
        <w:outlineLvl w:val="0"/>
        <w:rPr/>
      </w:pPr>
      <w:r>
        <w:rPr>
          <w:rFonts w:cs="Times New Roman"/>
          <w:color w:val="000000"/>
          <w:sz w:val="26"/>
          <w:szCs w:val="26"/>
          <w:shd w:fill="auto" w:val="clear"/>
        </w:rPr>
        <w:t xml:space="preserve">ОКПД2:  </w:t>
      </w:r>
      <w:r>
        <w:rPr>
          <w:rStyle w:val="Strong"/>
          <w:rFonts w:cs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6"/>
          <w:shd w:fill="auto" w:val="clear"/>
        </w:rPr>
        <w:t>26.51.52.130</w:t>
      </w:r>
      <w:r>
        <w:rPr>
          <w:rFonts w:cs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6"/>
          <w:shd w:fill="auto" w:val="clear"/>
        </w:rPr>
        <w:t>.</w:t>
      </w:r>
      <w:r>
        <w:rPr>
          <w:rFonts w:cs="Times New Roman"/>
          <w:color w:val="000000"/>
          <w:sz w:val="26"/>
          <w:szCs w:val="26"/>
          <w:shd w:fill="auto" w:val="clear"/>
        </w:rPr>
        <w:t xml:space="preserve">Поставка преобразователей давления для проведения работ на </w:t>
      </w:r>
      <w:r>
        <w:rPr>
          <w:rFonts w:cs="Times New Roman"/>
          <w:color w:val="000000"/>
          <w:sz w:val="26"/>
          <w:szCs w:val="26"/>
          <w:shd w:fill="auto" w:val="clear"/>
        </w:rPr>
        <w:t>Н</w:t>
      </w:r>
      <w:r>
        <w:rPr>
          <w:rFonts w:cs="Times New Roman"/>
          <w:color w:val="000000"/>
          <w:sz w:val="26"/>
          <w:szCs w:val="26"/>
          <w:shd w:fill="auto" w:val="clear"/>
        </w:rPr>
        <w:t>овосибирской ГЭС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900" w:leader="none"/>
        </w:tabs>
        <w:spacing w:lineRule="auto" w:line="276"/>
        <w:ind w:left="0" w:hanging="0"/>
        <w:jc w:val="center"/>
        <w:outlineLvl w:val="0"/>
        <w:rPr>
          <w:highlight w:val="none"/>
          <w:shd w:fill="auto" w:val="clear"/>
        </w:rPr>
      </w:pPr>
      <w:r>
        <w:rPr>
          <w:rFonts w:cs="Times New Roman"/>
          <w:color w:val="000000"/>
          <w:sz w:val="26"/>
          <w:szCs w:val="26"/>
          <w:shd w:fill="auto" w:val="clear"/>
        </w:rPr>
        <w:t xml:space="preserve">(Лот № </w:t>
      </w:r>
      <w:r>
        <w:rPr>
          <w:rFonts w:eastAsia="Geneva" w:cs="Times New Roman"/>
          <w:color w:val="000000"/>
          <w:sz w:val="26"/>
          <w:szCs w:val="26"/>
          <w:shd w:fill="auto" w:val="clear"/>
        </w:rPr>
        <w:t>)</w:t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900" w:leader="none"/>
        </w:tabs>
        <w:spacing w:lineRule="auto" w:line="276"/>
        <w:ind w:left="0" w:hanging="0"/>
        <w:jc w:val="center"/>
        <w:outlineLvl w:val="0"/>
        <w:rPr>
          <w:szCs w:val="24"/>
        </w:rPr>
      </w:pPr>
      <w:r>
        <w:rPr>
          <w:szCs w:val="24"/>
        </w:rPr>
      </w:r>
    </w:p>
    <w:p>
      <w:pPr>
        <w:pStyle w:val="Normal"/>
        <w:ind w:left="-340" w:hanging="0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keepLines/>
        <w:jc w:val="center"/>
        <w:rPr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Heading4"/>
        <w:tabs>
          <w:tab w:val="clear" w:pos="0"/>
          <w:tab w:val="left" w:pos="709" w:leader="none"/>
        </w:tabs>
        <w:ind w:left="432" w:hanging="0"/>
        <w:rPr/>
      </w:pPr>
      <w:r>
        <w:rPr>
          <w:lang w:val="ru-RU"/>
        </w:rPr>
        <w:t xml:space="preserve">    </w:t>
      </w:r>
      <w:r>
        <w:rPr/>
        <w:t>1.</w:t>
        <w:tab/>
        <w:t>Общие сведения</w:t>
      </w:r>
    </w:p>
    <w:p>
      <w:pPr>
        <w:pStyle w:val="Heading4"/>
        <w:numPr>
          <w:ilvl w:val="1"/>
          <w:numId w:val="1"/>
        </w:numPr>
        <w:ind w:left="0" w:firstLine="709"/>
        <w:rPr/>
      </w:pPr>
      <w:bookmarkStart w:id="0" w:name="_Toc46743506"/>
      <w:bookmarkStart w:id="1" w:name="_Toc75446568"/>
      <w:r>
        <w:rPr/>
        <w:t>Наименование закупаемой продукции</w:t>
      </w:r>
      <w:bookmarkEnd w:id="0"/>
      <w:bookmarkEnd w:id="1"/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900" w:leader="none"/>
        </w:tabs>
        <w:spacing w:lineRule="auto" w:line="276"/>
        <w:ind w:left="0" w:hanging="0"/>
        <w:outlineLvl w:val="0"/>
        <w:rPr>
          <w:szCs w:val="24"/>
        </w:rPr>
      </w:pPr>
      <w:r>
        <w:rPr>
          <w:szCs w:val="24"/>
        </w:rPr>
        <w:tab/>
      </w:r>
      <w:r>
        <w:rPr>
          <w:rFonts w:cs="Times New Roman"/>
          <w:color w:val="000000"/>
          <w:sz w:val="26"/>
          <w:szCs w:val="26"/>
          <w:shd w:fill="auto" w:val="clear"/>
        </w:rPr>
        <w:t xml:space="preserve">ОКПД2:  </w:t>
      </w:r>
      <w:r>
        <w:rPr>
          <w:rStyle w:val="Strong"/>
          <w:rFonts w:cs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6"/>
          <w:shd w:fill="auto" w:val="clear"/>
        </w:rPr>
        <w:t>26.51.52.130</w:t>
      </w:r>
      <w:r>
        <w:rPr>
          <w:rFonts w:cs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6"/>
          <w:shd w:fill="auto" w:val="clear"/>
        </w:rPr>
        <w:t>.</w:t>
      </w:r>
      <w:r>
        <w:rPr>
          <w:rFonts w:cs="Times New Roman"/>
          <w:color w:val="000000"/>
          <w:sz w:val="26"/>
          <w:szCs w:val="26"/>
          <w:shd w:fill="auto" w:val="clear"/>
        </w:rPr>
        <w:t xml:space="preserve">Поставка преобразователей давления для проведения работ на </w:t>
      </w:r>
      <w:r>
        <w:rPr>
          <w:rFonts w:cs="Times New Roman"/>
          <w:color w:val="000000"/>
          <w:sz w:val="26"/>
          <w:szCs w:val="26"/>
          <w:shd w:fill="auto" w:val="clear"/>
        </w:rPr>
        <w:t>Н</w:t>
      </w:r>
      <w:r>
        <w:rPr>
          <w:rFonts w:cs="Times New Roman"/>
          <w:color w:val="000000"/>
          <w:sz w:val="26"/>
          <w:szCs w:val="26"/>
          <w:shd w:fill="auto" w:val="clear"/>
        </w:rPr>
        <w:t>овосибирской ГЭС</w:t>
      </w:r>
      <w:bookmarkStart w:id="2" w:name="_Toc75446569"/>
      <w:r>
        <w:rPr>
          <w:rFonts w:cs="Times New Roman" w:ascii="Times New Roman;Times;serif" w:hAnsi="Times New Roman;Times;serif"/>
          <w:color w:val="000000"/>
          <w:sz w:val="26"/>
          <w:szCs w:val="26"/>
        </w:rPr>
        <w:t xml:space="preserve"> </w:t>
      </w:r>
      <w:r>
        <w:rPr>
          <w:rFonts w:cs="Times New Roman"/>
          <w:color w:val="000000"/>
          <w:szCs w:val="24"/>
        </w:rPr>
        <w:t>(далее – продукция).</w:t>
      </w:r>
    </w:p>
    <w:p>
      <w:pPr>
        <w:pStyle w:val="Normal"/>
        <w:rPr/>
      </w:pPr>
      <w:r>
        <w:rPr/>
      </w:r>
    </w:p>
    <w:p>
      <w:pPr>
        <w:pStyle w:val="Heading4"/>
        <w:numPr>
          <w:ilvl w:val="1"/>
          <w:numId w:val="1"/>
        </w:numPr>
        <w:ind w:left="0" w:firstLine="709"/>
        <w:rPr/>
      </w:pPr>
      <w:bookmarkStart w:id="3" w:name="_Toc46743507"/>
      <w:r>
        <w:rPr/>
        <w:t xml:space="preserve">Цель </w:t>
      </w:r>
      <w:bookmarkEnd w:id="3"/>
      <w:r>
        <w:rPr/>
        <w:t>использования закупаемой продукции</w:t>
      </w:r>
      <w:bookmarkEnd w:id="2"/>
    </w:p>
    <w:p>
      <w:pPr>
        <w:pStyle w:val="Heading4"/>
        <w:jc w:val="both"/>
        <w:rPr>
          <w:color w:val="000000"/>
          <w:lang w:val="ru-RU"/>
        </w:rPr>
      </w:pPr>
      <w:r>
        <w:rPr>
          <w:rStyle w:val="Style"/>
          <w:b/>
          <w:i w:val="false"/>
          <w:color w:val="000000"/>
          <w:shd w:fill="FFFFFF" w:val="clear"/>
        </w:rPr>
        <w:t xml:space="preserve">Исполнение </w:t>
      </w:r>
      <w:r>
        <w:rPr>
          <w:rStyle w:val="Style"/>
          <w:b/>
          <w:i w:val="false"/>
          <w:color w:val="000000"/>
          <w:shd w:fill="FFFFFF" w:val="clear"/>
          <w:lang w:val="ru-RU"/>
        </w:rPr>
        <w:t xml:space="preserve">обязательств по </w:t>
      </w:r>
      <w:r>
        <w:rPr>
          <w:rStyle w:val="Style"/>
          <w:b/>
          <w:i w:val="false"/>
          <w:color w:val="000000"/>
          <w:shd w:fill="FFFFFF" w:val="clear"/>
        </w:rPr>
        <w:t>договор</w:t>
      </w:r>
      <w:r>
        <w:rPr>
          <w:rStyle w:val="Style"/>
          <w:b/>
          <w:i w:val="false"/>
          <w:color w:val="000000"/>
          <w:shd w:fill="FFFFFF" w:val="clear"/>
          <w:lang w:val="ru-RU"/>
        </w:rPr>
        <w:t>у №4-РЕМ-2023 от 11.10.2023 «Капитальный и текущий ремонт основного и вспомогательного оборудования, зданий и сооружений Филиала ПАО «РусГидро»-«Новосибирская ГЭС».</w:t>
      </w:r>
    </w:p>
    <w:p>
      <w:pPr>
        <w:pStyle w:val="Normal"/>
        <w:ind w:firstLine="432"/>
        <w:jc w:val="both"/>
        <w:rPr>
          <w:szCs w:val="24"/>
        </w:rPr>
      </w:pPr>
      <w:r>
        <w:rPr>
          <w:szCs w:val="24"/>
        </w:rPr>
      </w:r>
    </w:p>
    <w:p>
      <w:pPr>
        <w:pStyle w:val="Heading1"/>
        <w:numPr>
          <w:ilvl w:val="0"/>
          <w:numId w:val="1"/>
        </w:numPr>
        <w:ind w:left="0" w:firstLine="709"/>
        <w:rPr>
          <w:caps/>
          <w:lang w:val="ru-RU"/>
        </w:rPr>
      </w:pPr>
      <w:bookmarkStart w:id="4" w:name="_Toc75446573"/>
      <w:bookmarkStart w:id="5" w:name="_Toc51339693"/>
      <w:r>
        <w:rPr/>
        <w:t>Требования к продукции</w:t>
      </w:r>
      <w:bookmarkEnd w:id="4"/>
      <w:bookmarkEnd w:id="5"/>
    </w:p>
    <w:p>
      <w:pPr>
        <w:pStyle w:val="Heading4"/>
        <w:numPr>
          <w:ilvl w:val="1"/>
          <w:numId w:val="1"/>
        </w:numPr>
        <w:ind w:left="0" w:firstLine="709"/>
        <w:rPr/>
      </w:pPr>
      <w:bookmarkStart w:id="6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6"/>
    </w:p>
    <w:p>
      <w:pPr>
        <w:pStyle w:val="Heading3"/>
        <w:numPr>
          <w:ilvl w:val="2"/>
          <w:numId w:val="1"/>
        </w:numPr>
        <w:ind w:left="0" w:firstLine="709"/>
        <w:rPr/>
      </w:pPr>
      <w:bookmarkStart w:id="7" w:name="_Toc75446575"/>
      <w:r>
        <w:rPr/>
        <w:t>Перечень и объем закупаемой продукции</w:t>
      </w:r>
      <w:bookmarkEnd w:id="7"/>
    </w:p>
    <w:p>
      <w:pPr>
        <w:pStyle w:val="Normal"/>
        <w:ind w:firstLine="709"/>
        <w:rPr/>
      </w:pPr>
      <w:r>
        <w:rPr/>
      </w:r>
    </w:p>
    <w:p>
      <w:pPr>
        <w:pStyle w:val="Normal"/>
        <w:jc w:val="both"/>
        <w:rPr>
          <w:szCs w:val="24"/>
        </w:rPr>
      </w:pPr>
      <w:bookmarkStart w:id="8" w:name="_Toc75446576"/>
      <w:bookmarkStart w:id="9" w:name="_Toc51339695"/>
      <w:r>
        <w:rPr>
          <w:szCs w:val="24"/>
        </w:rPr>
        <w:t xml:space="preserve">Таблица 2.1 Перечень </w:t>
      </w:r>
      <w:bookmarkEnd w:id="9"/>
      <w:r>
        <w:rPr>
          <w:szCs w:val="24"/>
        </w:rPr>
        <w:t>и объем закупаемой продукци</w:t>
      </w:r>
      <w:bookmarkEnd w:id="8"/>
      <w:r>
        <w:rPr>
          <w:szCs w:val="24"/>
        </w:rPr>
        <w:t>и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tbl>
      <w:tblPr>
        <w:tblW w:w="946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75"/>
        <w:gridCol w:w="5974"/>
        <w:gridCol w:w="1304"/>
        <w:gridCol w:w="1409"/>
      </w:tblGrid>
      <w:tr>
        <w:trPr>
          <w:trHeight w:val="567" w:hRule="atLeast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п/п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продукции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Единица измерения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Количество</w:t>
            </w:r>
          </w:p>
        </w:tc>
      </w:tr>
      <w:tr>
        <w:trPr/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4</w:t>
            </w:r>
          </w:p>
        </w:tc>
      </w:tr>
      <w:tr>
        <w:trPr>
          <w:trHeight w:val="285" w:hRule="atLeast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3" w:hanging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Преобразователь давления АИР-10-/Н/ДИ/1150/-/НГ-06/-/G2/11N/t0550/C05/0…250 кПа/IP65/GSP/-/-/ИТЦ420/М4-1</w:t>
            </w:r>
          </w:p>
        </w:tc>
        <w:tc>
          <w:tcPr>
            <w:tcW w:w="13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3" w:hanging="0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5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Преобразователь давления АИР-10-/Н/ДИВ/1350/-/НГ-06/-/G2/11N/t0550/C05/-100…150 кПа/IP65/GSP/-/-/ИТЦ420/М4-1/-/-/-/-/-/-/-/-/ГП</w:t>
            </w:r>
          </w:p>
        </w:tc>
        <w:tc>
          <w:tcPr>
            <w:tcW w:w="130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4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</w:tbl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Heading3"/>
        <w:numPr>
          <w:ilvl w:val="2"/>
          <w:numId w:val="1"/>
        </w:numPr>
        <w:ind w:left="0" w:firstLine="709"/>
        <w:rPr/>
      </w:pPr>
      <w:r>
        <w:rPr/>
        <w:t xml:space="preserve">Требования к срокам поставки продукции </w:t>
      </w:r>
    </w:p>
    <w:p>
      <w:pPr>
        <w:pStyle w:val="Normal"/>
        <w:rPr/>
      </w:pPr>
      <w:bookmarkStart w:id="10" w:name="_Toc75446579"/>
      <w:bookmarkStart w:id="11" w:name="_Toc50125127"/>
      <w:bookmarkStart w:id="12" w:name="_Toc51339697"/>
      <w:r>
        <w:rPr>
          <w:szCs w:val="24"/>
          <w:lang w:eastAsia="x-none"/>
        </w:rPr>
        <w:t xml:space="preserve">Таблица 2.2 </w:t>
      </w:r>
      <w:bookmarkStart w:id="13" w:name="_Hlk50465284"/>
      <w:r>
        <w:rPr>
          <w:szCs w:val="24"/>
          <w:lang w:eastAsia="x-none"/>
        </w:rPr>
        <w:t xml:space="preserve">Требования по срокам </w:t>
      </w:r>
      <w:bookmarkEnd w:id="11"/>
      <w:bookmarkEnd w:id="12"/>
      <w:bookmarkEnd w:id="13"/>
      <w:r>
        <w:rPr>
          <w:szCs w:val="24"/>
          <w:lang w:eastAsia="x-none"/>
        </w:rPr>
        <w:t>поставки продукции</w:t>
      </w:r>
      <w:bookmarkEnd w:id="10"/>
    </w:p>
    <w:p>
      <w:pPr>
        <w:pStyle w:val="Normal"/>
        <w:rPr/>
      </w:pPr>
      <w:r>
        <w:rPr>
          <w:szCs w:val="24"/>
          <w:lang w:eastAsia="x-none"/>
        </w:rPr>
        <w:t xml:space="preserve"> </w:t>
      </w:r>
    </w:p>
    <w:tbl>
      <w:tblPr>
        <w:tblW w:w="9525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76"/>
        <w:gridCol w:w="4136"/>
        <w:gridCol w:w="2386"/>
        <w:gridCol w:w="2326"/>
      </w:tblGrid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Cs w:val="24"/>
              </w:rPr>
              <w:t xml:space="preserve">№ </w:t>
            </w:r>
            <w:r>
              <w:rPr>
                <w:szCs w:val="24"/>
              </w:rPr>
              <w:t>п/п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Cs w:val="24"/>
              </w:rPr>
              <w:t>Наименование продукции / партии продукции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</w:rPr>
              <w:t>1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</w:rPr>
              <w:t>2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</w:rPr>
              <w:t>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</w:rPr>
              <w:t>4</w:t>
            </w:r>
          </w:p>
        </w:tc>
      </w:tr>
      <w:tr>
        <w:trPr>
          <w:trHeight w:val="1426" w:hRule="atLeast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3" w:hanging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900" w:leader="none"/>
              </w:tabs>
              <w:spacing w:lineRule="auto" w:line="276"/>
              <w:ind w:left="0" w:hanging="0"/>
              <w:jc w:val="center"/>
              <w:outlineLvl w:val="0"/>
              <w:rPr/>
            </w:pPr>
            <w:r>
              <w:rPr>
                <w:rFonts w:cs="Times New Roman"/>
                <w:color w:val="000000"/>
                <w:sz w:val="26"/>
                <w:szCs w:val="26"/>
                <w:shd w:fill="auto" w:val="clear"/>
              </w:rPr>
              <w:t xml:space="preserve">ОКПД2:  </w:t>
            </w:r>
            <w:r>
              <w:rPr>
                <w:rStyle w:val="Strong"/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6"/>
                <w:shd w:fill="auto" w:val="clear"/>
              </w:rPr>
              <w:t>26.51.52.130</w:t>
            </w: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6"/>
                <w:shd w:fill="auto" w:val="clear"/>
              </w:rPr>
              <w:t>.</w:t>
            </w:r>
            <w:r>
              <w:rPr>
                <w:rFonts w:cs="Times New Roman"/>
                <w:color w:val="000000"/>
                <w:sz w:val="26"/>
                <w:szCs w:val="26"/>
                <w:shd w:fill="auto" w:val="clear"/>
              </w:rPr>
              <w:t xml:space="preserve">Поставка преобразователей давления для проведения работ на </w:t>
            </w:r>
            <w:r>
              <w:rPr>
                <w:rFonts w:cs="Times New Roman"/>
                <w:color w:val="000000"/>
                <w:sz w:val="26"/>
                <w:szCs w:val="26"/>
                <w:shd w:fill="auto" w:val="clear"/>
              </w:rPr>
              <w:t>Н</w:t>
            </w:r>
            <w:r>
              <w:rPr>
                <w:rFonts w:cs="Times New Roman"/>
                <w:color w:val="000000"/>
                <w:sz w:val="26"/>
                <w:szCs w:val="26"/>
                <w:shd w:fill="auto" w:val="clear"/>
              </w:rPr>
              <w:t>овосибирской ГЭС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С даты подписания договора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color w:val="000000"/>
                <w:szCs w:val="24"/>
              </w:rPr>
              <w:t>В течение 3</w:t>
            </w:r>
            <w:r>
              <w:rPr>
                <w:rFonts w:cs="Times New Roman"/>
                <w:color w:val="000000"/>
                <w:szCs w:val="24"/>
                <w:shd w:fill="FFFF00" w:val="clear"/>
              </w:rPr>
              <w:t>0</w:t>
            </w:r>
            <w:r>
              <w:rPr>
                <w:rFonts w:cs="Times New Roman"/>
                <w:color w:val="000000"/>
                <w:szCs w:val="24"/>
              </w:rPr>
              <w:t xml:space="preserve"> рабочих дней с даты подписания договора</w:t>
            </w:r>
          </w:p>
        </w:tc>
      </w:tr>
    </w:tbl>
    <w:p>
      <w:pPr>
        <w:sectPr>
          <w:footerReference w:type="default" r:id="rId2"/>
          <w:type w:val="nextPage"/>
          <w:pgSz w:w="11906" w:h="16838"/>
          <w:pgMar w:left="1701" w:right="851" w:gutter="0" w:header="0" w:top="1134" w:footer="709" w:bottom="1134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Normal"/>
        <w:rPr>
          <w:szCs w:val="24"/>
          <w:lang w:eastAsia="x-none"/>
        </w:rPr>
      </w:pPr>
      <w:bookmarkStart w:id="14" w:name="_Toc75446582"/>
      <w:bookmarkStart w:id="15" w:name="_Toc54785622"/>
      <w:bookmarkEnd w:id="15"/>
      <w:r>
        <w:rPr>
          <w:szCs w:val="24"/>
          <w:lang w:eastAsia="x-none"/>
        </w:rPr>
        <w:t xml:space="preserve">          </w:t>
      </w:r>
      <w:r>
        <w:rPr>
          <w:szCs w:val="24"/>
          <w:lang w:eastAsia="x-none"/>
        </w:rPr>
        <w:t>Таблица 2.3. Требования к продукции</w:t>
      </w:r>
      <w:bookmarkEnd w:id="14"/>
    </w:p>
    <w:tbl>
      <w:tblPr>
        <w:tblW w:w="151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21"/>
        <w:gridCol w:w="5454"/>
        <w:gridCol w:w="3174"/>
        <w:gridCol w:w="2950"/>
        <w:gridCol w:w="2889"/>
      </w:tblGrid>
      <w:tr>
        <w:trPr>
          <w:trHeight w:val="20" w:hRule="atLeast"/>
        </w:trPr>
        <w:tc>
          <w:tcPr>
            <w:tcW w:w="151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900" w:leader="none"/>
              </w:tabs>
              <w:spacing w:lineRule="auto" w:line="276"/>
              <w:ind w:left="0" w:hanging="0"/>
              <w:jc w:val="center"/>
              <w:outlineLvl w:val="0"/>
              <w:rPr>
                <w:szCs w:val="24"/>
              </w:rPr>
            </w:pPr>
            <w:r>
              <w:rPr>
                <w:b/>
                <w:bCs/>
                <w:szCs w:val="24"/>
              </w:rPr>
              <w:t>Наименование продукции (позиции № 1.1.-1.2. Таблицы 2.1):</w:t>
            </w:r>
            <w:r>
              <w:rPr>
                <w:rFonts w:cs="Times New Roman"/>
                <w:b/>
                <w:bCs/>
                <w:color w:val="000000"/>
                <w:sz w:val="26"/>
                <w:szCs w:val="26"/>
                <w:shd w:fill="auto" w:val="clear"/>
              </w:rPr>
              <w:t xml:space="preserve">ОКПД2:  </w:t>
            </w:r>
            <w:r>
              <w:rPr>
                <w:rStyle w:val="Strong"/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6"/>
                <w:shd w:fill="auto" w:val="clear"/>
              </w:rPr>
              <w:t>26.51.52.130</w:t>
            </w:r>
            <w:r>
              <w:rPr>
                <w:rFonts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6"/>
                <w:shd w:fill="auto" w:val="clear"/>
              </w:rPr>
              <w:t>.</w:t>
            </w:r>
            <w:r>
              <w:rPr>
                <w:rFonts w:cs="Times New Roman"/>
                <w:b/>
                <w:bCs/>
                <w:color w:val="000000"/>
                <w:sz w:val="26"/>
                <w:szCs w:val="26"/>
                <w:shd w:fill="auto" w:val="clear"/>
              </w:rPr>
              <w:t xml:space="preserve">Поставка преобразователей давления для проведения работ на </w:t>
            </w:r>
            <w:r>
              <w:rPr>
                <w:rFonts w:cs="Times New Roman"/>
                <w:b/>
                <w:bCs/>
                <w:color w:val="000000"/>
                <w:sz w:val="26"/>
                <w:szCs w:val="26"/>
                <w:shd w:fill="auto" w:val="clear"/>
              </w:rPr>
              <w:t>Н</w:t>
            </w:r>
            <w:r>
              <w:rPr>
                <w:rFonts w:cs="Times New Roman"/>
                <w:b/>
                <w:bCs/>
                <w:color w:val="000000"/>
                <w:sz w:val="26"/>
                <w:szCs w:val="26"/>
                <w:shd w:fill="auto" w:val="clear"/>
              </w:rPr>
              <w:t>овосибирской ГЭС</w:t>
            </w:r>
          </w:p>
        </w:tc>
      </w:tr>
      <w:tr>
        <w:trPr>
          <w:trHeight w:val="10" w:hRule="atLeast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№ </w:t>
            </w:r>
            <w:r>
              <w:rPr>
                <w:b/>
                <w:szCs w:val="24"/>
              </w:rPr>
              <w:t>п/п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Наименование продукции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bCs/>
                <w:szCs w:val="24"/>
              </w:rPr>
              <w:t>Наименование параметра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bCs/>
                <w:szCs w:val="24"/>
              </w:rPr>
              <w:t>Требование заказчика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Соответствие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стандартам</w:t>
            </w:r>
          </w:p>
        </w:tc>
      </w:tr>
      <w:tr>
        <w:trPr>
          <w:trHeight w:val="20" w:hRule="atLeast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DotumChe"/>
                <w:b/>
                <w:szCs w:val="24"/>
              </w:rPr>
            </w:pPr>
            <w:r>
              <w:rPr>
                <w:rFonts w:eastAsia="DotumChe"/>
                <w:b/>
                <w:szCs w:val="24"/>
              </w:rPr>
              <w:t>4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DotumChe"/>
                <w:b/>
                <w:szCs w:val="24"/>
              </w:rPr>
            </w:pPr>
            <w:r>
              <w:rPr>
                <w:rFonts w:eastAsia="DotumChe"/>
                <w:b/>
                <w:szCs w:val="24"/>
              </w:rPr>
              <w:t>5</w:t>
            </w:r>
          </w:p>
        </w:tc>
      </w:tr>
      <w:tr>
        <w:trPr>
          <w:trHeight w:val="20" w:hRule="atLeast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C9211E"/>
              </w:rPr>
            </w:pPr>
            <w:r>
              <w:rPr>
                <w:b/>
                <w:szCs w:val="24"/>
              </w:rPr>
              <w:t>1.</w:t>
            </w:r>
          </w:p>
        </w:tc>
        <w:tc>
          <w:tcPr>
            <w:tcW w:w="144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DotumChe"/>
                <w:b/>
                <w:szCs w:val="24"/>
              </w:rPr>
            </w:pPr>
            <w:r>
              <w:rPr>
                <w:b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173" w:hRule="atLeast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5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color w:val="000000"/>
              </w:rPr>
              <w:t>Преобразователь давления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Модель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АИР-10</w:t>
            </w:r>
          </w:p>
        </w:tc>
        <w:tc>
          <w:tcPr>
            <w:tcW w:w="2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173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Модификация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Н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73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lang w:val="en-US"/>
              </w:rPr>
              <w:t>Тип измеряемого давления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ДИ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73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lang w:val="en-US"/>
              </w:rPr>
              <w:t>Верхний предел измерений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color w:val="000000"/>
              </w:rPr>
              <w:t>1150</w:t>
            </w:r>
            <w:r>
              <w:rPr>
                <w:color w:val="000000"/>
                <w:lang w:val="en-US"/>
              </w:rPr>
              <w:t xml:space="preserve"> кПа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73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lang w:val="en-US"/>
              </w:rPr>
              <w:t>Тип корпуса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НГ-06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73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lang w:val="en-US"/>
              </w:rPr>
              <w:t>Параметры подключения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G2/11N/t0550/C05/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73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Диапазон измерений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0…250 кПа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73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Степень защиты от пыли и влаги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IP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65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73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Материал и тип клеммной головки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GSP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43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lang w:val="en-US"/>
              </w:rPr>
              <w:t>У</w:t>
            </w:r>
            <w:r>
              <w:rPr/>
              <w:t>становк</w:t>
            </w:r>
            <w:r>
              <w:rPr>
                <w:lang w:val="en-US"/>
              </w:rPr>
              <w:t>а</w:t>
            </w:r>
            <w:r>
              <w:rPr/>
              <w:t xml:space="preserve"> светодиодного индикатора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ИТЦ420/М4-1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50" w:hRule="atLeast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545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color w:val="000000"/>
              </w:rPr>
              <w:t>Преобразователь давления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Модель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АИР-10</w:t>
            </w:r>
          </w:p>
        </w:tc>
        <w:tc>
          <w:tcPr>
            <w:tcW w:w="2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7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Модификация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Н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7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lang w:val="en-US"/>
              </w:rPr>
              <w:t>Тип измеряемого давления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ДИВ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7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lang w:val="en-US"/>
              </w:rPr>
              <w:t>Верхний предел измерений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color w:val="000000"/>
              </w:rPr>
              <w:t>1350</w:t>
            </w:r>
            <w:r>
              <w:rPr>
                <w:color w:val="000000"/>
                <w:lang w:val="en-US"/>
              </w:rPr>
              <w:t xml:space="preserve"> кПа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7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lang w:val="en-US"/>
              </w:rPr>
              <w:t>Тип корпуса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НГ-06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7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lang w:val="en-US"/>
              </w:rPr>
              <w:t>Параметры подключения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G2/11N/t0550/C05/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7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Диапазон измерений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100…150 кПа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7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Степень защиты от пыли и влаги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IP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65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7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Тип клеммной головки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GSP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7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lang w:val="en-US"/>
              </w:rPr>
              <w:t>У</w:t>
            </w:r>
            <w:r>
              <w:rPr/>
              <w:t>становк</w:t>
            </w:r>
            <w:r>
              <w:rPr>
                <w:lang w:val="en-US"/>
              </w:rPr>
              <w:t>а</w:t>
            </w:r>
            <w:r>
              <w:rPr/>
              <w:t xml:space="preserve"> светодиодного индикатора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ИТЦ420/М4-1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7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Исполнение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ГП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78" w:hRule="atLeast"/>
        </w:trPr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bCs/>
                <w:szCs w:val="24"/>
              </w:rPr>
              <w:t>2.</w:t>
            </w:r>
          </w:p>
        </w:tc>
        <w:tc>
          <w:tcPr>
            <w:tcW w:w="1446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278" w:hRule="atLeast"/>
        </w:trPr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2.1</w:t>
            </w:r>
          </w:p>
        </w:tc>
        <w:tc>
          <w:tcPr>
            <w:tcW w:w="5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Times New Roman" w:cs="Times New Roman"/>
                <w:i/>
                <w:i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color w:val="000000"/>
                <w:szCs w:val="24"/>
                <w:lang w:eastAsia="x-none"/>
              </w:rPr>
              <w:t>Место поставки</w:t>
            </w:r>
          </w:p>
        </w:tc>
        <w:tc>
          <w:tcPr>
            <w:tcW w:w="9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  <w:t>Производственный участок АО «Гидроремонт-ВКК» в г. Новосибирск, 630056, Новосибирская обл., г. Новосибирск, ул. Новоморская, д. 4/1.</w:t>
            </w:r>
          </w:p>
        </w:tc>
      </w:tr>
      <w:tr>
        <w:trPr>
          <w:trHeight w:val="278" w:hRule="atLeast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2.2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Times New Roman" w:cs="Times New Roman"/>
                <w:i/>
                <w:i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color w:val="000000"/>
                <w:szCs w:val="24"/>
                <w:lang w:eastAsia="x-none"/>
              </w:rPr>
              <w:t>Приемка продукции</w:t>
            </w:r>
          </w:p>
        </w:tc>
        <w:tc>
          <w:tcPr>
            <w:tcW w:w="9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  <w:t>Приемка продукции осуществляется только в рабочие дни с 09:00 до 11:00 и с 13:00 до 16:00.</w:t>
            </w:r>
          </w:p>
        </w:tc>
      </w:tr>
      <w:tr>
        <w:trPr>
          <w:trHeight w:val="278" w:hRule="atLeast"/>
        </w:trPr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2.3</w:t>
            </w:r>
          </w:p>
        </w:tc>
        <w:tc>
          <w:tcPr>
            <w:tcW w:w="1446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/>
                <w:i/>
                <w:szCs w:val="24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</w:tr>
      <w:tr>
        <w:trPr>
          <w:trHeight w:val="278" w:hRule="atLeast"/>
        </w:trPr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bCs/>
                <w:szCs w:val="24"/>
              </w:rPr>
              <w:t>3.</w:t>
            </w:r>
          </w:p>
        </w:tc>
        <w:tc>
          <w:tcPr>
            <w:tcW w:w="1446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szCs w:val="24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>
        <w:trPr>
          <w:trHeight w:val="278" w:hRule="atLeast"/>
        </w:trPr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3.1</w:t>
            </w:r>
          </w:p>
        </w:tc>
        <w:tc>
          <w:tcPr>
            <w:tcW w:w="5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Times New Roman" w:cs="Times New Roman"/>
                <w:i/>
                <w:i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color w:val="000000"/>
                <w:szCs w:val="24"/>
                <w:lang w:eastAsia="x-none"/>
              </w:rPr>
              <w:t>Сроки гарантии</w:t>
            </w:r>
          </w:p>
        </w:tc>
        <w:tc>
          <w:tcPr>
            <w:tcW w:w="901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eastAsia="Times New Roman" w:cs="Times New Roman"/>
                <w:i/>
                <w:i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color w:val="000000"/>
                <w:szCs w:val="24"/>
                <w:lang w:eastAsia="x-none"/>
              </w:rPr>
              <w:t>Гарантийный срок эксплуатации устанавливается в размере 24 месяцев с даты ввода оборудования в эксплуатацию либо в размере 36 месяцев с даты отгрузки со склада поставщика — в зависимости от того, какое из указанных событий наступает позднее.</w:t>
            </w:r>
          </w:p>
        </w:tc>
      </w:tr>
      <w:tr>
        <w:trPr>
          <w:trHeight w:val="278" w:hRule="atLeast"/>
        </w:trPr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bCs/>
                <w:szCs w:val="24"/>
              </w:rPr>
              <w:t>4.</w:t>
            </w:r>
          </w:p>
        </w:tc>
        <w:tc>
          <w:tcPr>
            <w:tcW w:w="1446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Cs w:val="24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>
          <w:trHeight w:val="278" w:hRule="atLeast"/>
        </w:trPr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4.1</w:t>
            </w:r>
          </w:p>
        </w:tc>
        <w:tc>
          <w:tcPr>
            <w:tcW w:w="5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Times New Roman" w:cs="Times New Roman"/>
                <w:i/>
                <w:i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color w:val="000000"/>
                <w:szCs w:val="24"/>
                <w:lang w:eastAsia="x-none"/>
              </w:rPr>
              <w:t>Документы, передаваемые вместе с продукцией</w:t>
            </w:r>
          </w:p>
        </w:tc>
        <w:tc>
          <w:tcPr>
            <w:tcW w:w="901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eastAsia="Times New Roman" w:cs="Times New Roman"/>
                <w:i/>
                <w:i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color w:val="000000"/>
                <w:szCs w:val="24"/>
                <w:lang w:eastAsia="x-none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качества; технические паспорта; счет-фактуру; товарную накладную унифицированной формы ТОРГ-12 (УПД) в 2 экз., транспортную накладную.</w:t>
            </w:r>
          </w:p>
        </w:tc>
      </w:tr>
      <w:tr>
        <w:trPr>
          <w:trHeight w:val="278" w:hRule="atLeast"/>
        </w:trPr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bCs/>
                <w:szCs w:val="24"/>
              </w:rPr>
              <w:t>5.</w:t>
            </w:r>
          </w:p>
        </w:tc>
        <w:tc>
          <w:tcPr>
            <w:tcW w:w="1446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Cs w:val="24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Прочие (дополнительные) требования к продукции</w:t>
            </w:r>
          </w:p>
        </w:tc>
      </w:tr>
      <w:tr>
        <w:trPr>
          <w:trHeight w:val="278" w:hRule="atLeast"/>
        </w:trPr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5.1</w:t>
            </w:r>
          </w:p>
        </w:tc>
        <w:tc>
          <w:tcPr>
            <w:tcW w:w="1446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  <w:t>Продукция должна быть новой, ранее не использовавшейся.</w:t>
            </w:r>
          </w:p>
          <w:p>
            <w:pPr>
              <w:pStyle w:val="Normal"/>
              <w:widowControl w:val="false"/>
              <w:jc w:val="both"/>
              <w:rPr>
                <w:bCs/>
                <w:i/>
                <w:i/>
                <w:szCs w:val="24"/>
                <w:lang w:eastAsia="x-none"/>
              </w:rPr>
            </w:pPr>
            <w:r>
              <w:rPr>
                <w:bCs/>
                <w:i/>
                <w:szCs w:val="24"/>
                <w:lang w:eastAsia="x-none"/>
              </w:rPr>
              <w:t>Продукция должна соответствовать обязательным требованиям, установленными нормативными документами, действующими в РФ.</w:t>
            </w:r>
          </w:p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bCs/>
                <w:i/>
                <w:szCs w:val="24"/>
                <w:lang w:eastAsia="x-none"/>
              </w:rPr>
              <w:t>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      </w:r>
          </w:p>
          <w:p>
            <w:pPr>
              <w:pStyle w:val="Normal"/>
              <w:widowControl w:val="false"/>
              <w:jc w:val="both"/>
              <w:rPr>
                <w:rFonts w:eastAsia="Times New Roman" w:cs="Times New Roman"/>
                <w:i/>
                <w:i/>
                <w:szCs w:val="24"/>
                <w:lang w:eastAsia="x-none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 xml:space="preserve">Продукция поставщика должна быть пригодна для ремонта гидроагрегатов Филиала ПАО «РусГидро» - «Новосибирская ГЭС» и соответствовать техническим параметрам, стандартам </w:t>
            </w:r>
            <w:bookmarkStart w:id="16" w:name="_GoBack"/>
            <w:bookmarkEnd w:id="16"/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и требованиям для данной продукции, в том числе общеизвестным техническим параметрам, а также соответствовать стандартам и требованиям для данной продукции, установленных нормативными регламентами и законодательством Российской Федерации. В случае наличия особенностей производства продукции, особенности технических параметров продукции или отступления от стандартов, поставщик обязан согласовывать это с Покупателем</w:t>
            </w:r>
          </w:p>
        </w:tc>
      </w:tr>
    </w:tbl>
    <w:p>
      <w:pPr>
        <w:pStyle w:val="Normal"/>
        <w:rPr>
          <w:szCs w:val="24"/>
          <w:lang w:eastAsia="x-none"/>
        </w:rPr>
      </w:pPr>
      <w:r>
        <w:rPr>
          <w:szCs w:val="24"/>
          <w:lang w:eastAsia="x-none"/>
        </w:rPr>
      </w:r>
    </w:p>
    <w:p>
      <w:pPr>
        <w:pStyle w:val="Heading1"/>
        <w:numPr>
          <w:ilvl w:val="0"/>
          <w:numId w:val="1"/>
        </w:numPr>
        <w:tabs>
          <w:tab w:val="clear" w:pos="709"/>
          <w:tab w:val="left" w:pos="0" w:leader="none"/>
        </w:tabs>
        <w:spacing w:before="120" w:after="60"/>
        <w:ind w:left="357" w:hanging="357"/>
        <w:jc w:val="center"/>
        <w:rPr/>
      </w:pPr>
      <w:bookmarkStart w:id="17" w:name="_Toc46743519"/>
      <w:bookmarkEnd w:id="17"/>
      <w:r>
        <w:rPr>
          <w:lang w:val="ru-RU"/>
        </w:rPr>
        <w:t>Т</w:t>
      </w:r>
      <w:bookmarkStart w:id="18" w:name="_Toc51339699"/>
      <w:bookmarkStart w:id="19" w:name="_Toc46743519_Копия_1"/>
      <w:bookmarkStart w:id="20" w:name="_Toc75446583"/>
      <w:bookmarkStart w:id="21" w:name="_Toc53393312"/>
      <w:r>
        <w:rPr>
          <w:lang w:val="ru-RU"/>
        </w:rPr>
        <w:t>ребования к документации по ценообразованию</w:t>
      </w:r>
      <w:bookmarkEnd w:id="21"/>
      <w:r>
        <w:rPr>
          <w:lang w:val="ru-RU"/>
        </w:rPr>
        <w:t xml:space="preserve"> на этапе закупки</w:t>
      </w:r>
      <w:bookmarkEnd w:id="20"/>
    </w:p>
    <w:p>
      <w:pPr>
        <w:pStyle w:val="Normal"/>
        <w:numPr>
          <w:ilvl w:val="1"/>
          <w:numId w:val="9"/>
        </w:numPr>
        <w:ind w:left="0" w:hanging="0"/>
        <w:jc w:val="both"/>
        <w:rPr/>
      </w:pPr>
      <w:r>
        <w:rPr>
          <w:rFonts w:eastAsia="Times New Roman" w:cs="Times New Roman"/>
          <w:szCs w:val="24"/>
          <w:lang w:eastAsia="ru-RU"/>
        </w:rPr>
        <w:t xml:space="preserve">В обоснование стоимости своей заявки Участник предоставляет Коммерческое предложение по форме </w:t>
      </w:r>
      <w:bookmarkStart w:id="22" w:name="_Hlk88325985"/>
      <w:r>
        <w:rPr>
          <w:rFonts w:eastAsia="Times New Roman" w:cs="Times New Roman"/>
          <w:szCs w:val="24"/>
          <w:lang w:eastAsia="ru-RU"/>
        </w:rPr>
        <w:t>(с учетом прилагаемой к ней инструкции по заполнению)</w:t>
      </w:r>
      <w:bookmarkEnd w:id="22"/>
      <w:r>
        <w:rPr>
          <w:rFonts w:eastAsia="Times New Roman" w:cs="Times New Roman"/>
          <w:szCs w:val="24"/>
          <w:lang w:eastAsia="ru-RU"/>
        </w:rPr>
        <w:t>, приведенной в Документации о закупке.</w:t>
      </w:r>
    </w:p>
    <w:p>
      <w:pPr>
        <w:pStyle w:val="Normal"/>
        <w:numPr>
          <w:ilvl w:val="1"/>
          <w:numId w:val="10"/>
        </w:numPr>
        <w:ind w:left="0" w:hanging="0"/>
        <w:jc w:val="both"/>
        <w:rPr/>
      </w:pPr>
      <w:bookmarkStart w:id="23" w:name="_Hlk88327292"/>
      <w:r>
        <w:rPr>
          <w:rFonts w:eastAsia="Times New Roman" w:cs="Times New Roman"/>
          <w:szCs w:val="24"/>
          <w:lang w:eastAsia="ru-RU"/>
        </w:rPr>
        <w:t>Дополнительные документы по ценообразованию</w:t>
      </w:r>
      <w:bookmarkEnd w:id="23"/>
      <w:r>
        <w:rPr>
          <w:rFonts w:eastAsia="Times New Roman" w:cs="Times New Roman"/>
          <w:szCs w:val="24"/>
          <w:lang w:eastAsia="ru-RU"/>
        </w:rPr>
        <w:t xml:space="preserve"> в состав заявки не включаются.</w:t>
      </w:r>
      <w:bookmarkEnd w:id="18"/>
      <w:bookmarkEnd w:id="19"/>
    </w:p>
    <w:sectPr>
      <w:footerReference w:type="default" r:id="rId3"/>
      <w:footerReference w:type="first" r:id="rId4"/>
      <w:type w:val="nextPage"/>
      <w:pgSz w:orient="landscape" w:w="16838" w:h="11906"/>
      <w:pgMar w:left="1134" w:right="1134" w:gutter="0" w:header="0" w:top="426" w:footer="708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Times New Roman">
    <w:altName w:val="Times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4"/>
        <w:szCs w:val="24"/>
      </w:rPr>
    </w:pPr>
    <w:r>
      <w:rPr>
        <w:sz w:val="24"/>
        <w:szCs w:val="24"/>
      </w:rP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2</w:t>
    </w:r>
    <w:r>
      <w:rPr>
        <w:sz w:val="24"/>
        <w:b/>
        <w:szCs w:val="24"/>
        <w:bCs/>
      </w:rPr>
      <w:fldChar w:fldCharType="end"/>
    </w:r>
    <w:r>
      <w:rPr>
        <w:sz w:val="24"/>
        <w:szCs w:val="24"/>
      </w:rPr>
      <w:t xml:space="preserve"> из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4</w:t>
    </w:r>
    <w:r>
      <w:rPr>
        <w:sz w:val="24"/>
        <w:b/>
        <w:szCs w:val="24"/>
        <w:bCs/>
      </w:rP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4"/>
        <w:szCs w:val="24"/>
      </w:rPr>
    </w:pPr>
    <w:r>
      <w:rPr>
        <w:sz w:val="24"/>
        <w:szCs w:val="24"/>
      </w:rP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4</w:t>
    </w:r>
    <w:r>
      <w:rPr>
        <w:sz w:val="24"/>
        <w:b/>
        <w:szCs w:val="24"/>
        <w:bCs/>
      </w:rPr>
      <w:fldChar w:fldCharType="end"/>
    </w:r>
    <w:r>
      <w:rPr>
        <w:sz w:val="24"/>
        <w:szCs w:val="24"/>
      </w:rPr>
      <w:t xml:space="preserve"> из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4</w:t>
    </w:r>
    <w:r>
      <w:rPr>
        <w:sz w:val="24"/>
        <w:b/>
        <w:szCs w:val="24"/>
        <w:bCs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3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7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6"/>
    <w:lvlOverride w:ilvl="0">
      <w:startOverride w:val="3"/>
    </w:lvlOverride>
    <w:lvlOverride w:ilvl="1">
      <w:startOverride w:val="1"/>
    </w:lvlOverride>
  </w:num>
  <w:num w:numId="10">
    <w:abstractNumId w:val="6"/>
  </w:num>
</w:numbering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ahoma"/>
      <w:color w:val="auto"/>
      <w:kern w:val="0"/>
      <w:sz w:val="24"/>
      <w:szCs w:val="22"/>
      <w:lang w:val="ru-RU" w:eastAsia="en-US" w:bidi="ar-SA"/>
    </w:rPr>
  </w:style>
  <w:style w:type="paragraph" w:styleId="Heading1">
    <w:name w:val="Heading 1"/>
    <w:basedOn w:val="Heading3"/>
    <w:next w:val="Normal"/>
    <w:link w:val="1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tabs>
        <w:tab w:val="clear" w:pos="0"/>
        <w:tab w:val="clear" w:pos="709"/>
      </w:tabs>
      <w:ind w:left="432" w:hanging="432"/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pPr>
      <w:keepNext w:val="true"/>
      <w:tabs>
        <w:tab w:val="clear" w:pos="708"/>
        <w:tab w:val="left" w:pos="0" w:leader="none"/>
        <w:tab w:val="left" w:pos="709" w:leader="none"/>
      </w:tabs>
      <w:ind w:firstLine="709"/>
      <w:outlineLvl w:val="2"/>
    </w:pPr>
    <w:rPr>
      <w:rFonts w:cs="Times New Roman"/>
      <w:b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spacing w:before="200" w:after="0"/>
      <w:outlineLvl w:val="5"/>
    </w:pPr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spacing w:before="200" w:after="0"/>
      <w:outlineLvl w:val="6"/>
    </w:pPr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spacing w:before="200" w:after="0"/>
      <w:outlineLvl w:val="7"/>
    </w:pPr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spacing w:before="240" w:after="60"/>
      <w:outlineLvl w:val="8"/>
    </w:pPr>
    <w:rPr>
      <w:rFonts w:ascii="Arial" w:hAnsi="Arial" w:eastAsia="Times New Roman" w:cs="Times New Roman"/>
      <w:sz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Style" w:customStyle="1">
    <w:name w:val="комментарий"/>
    <w:qFormat/>
    <w:rPr>
      <w:b/>
      <w:i/>
      <w:shd w:fill="FFFF99" w:val="clear"/>
    </w:rPr>
  </w:style>
  <w:style w:type="character" w:styleId="2" w:customStyle="1">
    <w:name w:val="Заголовок 2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basedOn w:val="DefaultParagraphFont"/>
    <w:qFormat/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character" w:styleId="6" w:customStyle="1">
    <w:name w:val="Заголовок 6 Знак"/>
    <w:basedOn w:val="DefaultParagraphFont"/>
    <w:qFormat/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character" w:styleId="7" w:customStyle="1">
    <w:name w:val="Заголовок 7 Знак"/>
    <w:basedOn w:val="DefaultParagraphFont"/>
    <w:qFormat/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character" w:styleId="8" w:customStyle="1">
    <w:name w:val="Заголовок 8 Знак"/>
    <w:basedOn w:val="DefaultParagraphFont"/>
    <w:qFormat/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character" w:styleId="9" w:customStyle="1">
    <w:name w:val="Заголовок 9 Знак"/>
    <w:basedOn w:val="DefaultParagraphFont"/>
    <w:qFormat/>
    <w:rPr>
      <w:rFonts w:ascii="Arial" w:hAnsi="Arial" w:eastAsia="Times New Roman" w:cs="Times New Roman"/>
      <w:lang w:val="x-none" w:eastAsia="x-none"/>
    </w:rPr>
  </w:style>
  <w:style w:type="character" w:styleId="Style1" w:customStyle="1">
    <w:name w:val="Текст сноски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Style3" w:customStyle="1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4" w:customStyle="1">
    <w:name w:val="Основной текст с отступом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5" w:customStyle="1">
    <w:name w:val="Нижний колонтитул Знак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6" w:customStyle="1">
    <w:name w:val="Основной текст Знак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31" w:customStyle="1">
    <w:name w:val="Основной текст 3 Знак"/>
    <w:basedOn w:val="DefaultParagraphFont"/>
    <w:link w:val="BodyText3"/>
    <w:qFormat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22" w:customStyle="1">
    <w:name w:val="Основной текст 2 Знак"/>
    <w:basedOn w:val="DefaultParagraphFont"/>
    <w:link w:val="BodyText2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rPr>
      <w:color w:val="0000FF"/>
      <w:u w:val="single"/>
    </w:rPr>
  </w:style>
  <w:style w:type="character" w:styleId="Style7" w:customStyle="1">
    <w:name w:val="Текст выноски Знак"/>
    <w:basedOn w:val="DefaultParagraphFont"/>
    <w:link w:val="BalloonText"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yle8" w:customStyle="1">
    <w:name w:val="Текст примечания Знак"/>
    <w:basedOn w:val="DefaultParagraphFont"/>
    <w:link w:val="Annotationtex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9" w:customStyle="1">
    <w:name w:val="Тема примечания Знак"/>
    <w:basedOn w:val="Style8"/>
    <w:link w:val="Annotationsubject"/>
    <w:qFormat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rong1" w:customStyle="1">
    <w:name w:val="Strong1"/>
    <w:qFormat/>
    <w:rPr>
      <w:b/>
      <w:bCs/>
    </w:rPr>
  </w:style>
  <w:style w:type="character" w:styleId="Style10" w:customStyle="1">
    <w:name w:val="Название Знак"/>
    <w:link w:val="15"/>
    <w:qFormat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Style11" w:customStyle="1">
    <w:name w:val="Подзаголовок Знак"/>
    <w:basedOn w:val="DefaultParagraphFont"/>
    <w:qFormat/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3" w:customStyle="1">
    <w:name w:val="Цитата 2 Знак"/>
    <w:basedOn w:val="DefaultParagraphFont"/>
    <w:link w:val="Quote"/>
    <w:qFormat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character" w:styleId="Style12" w:customStyle="1">
    <w:name w:val="Выделенная цитата Знак"/>
    <w:basedOn w:val="DefaultParagraphFont"/>
    <w:link w:val="IntenseQuote"/>
    <w:qFormat/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13" w:customStyle="1">
    <w:name w:val="Электронная подпись Знак"/>
    <w:basedOn w:val="DefaultParagraphFont"/>
    <w:link w:val="E-mailSignature"/>
    <w:qFormat/>
    <w:rPr>
      <w:rFonts w:ascii="Times New Roman" w:hAnsi="Times New Roman" w:eastAsia="Calibri" w:cs="Times New Roman"/>
      <w:sz w:val="24"/>
      <w:szCs w:val="24"/>
      <w:lang w:val="x-none" w:eastAsia="x-none"/>
    </w:rPr>
  </w:style>
  <w:style w:type="character" w:styleId="11" w:customStyle="1">
    <w:name w:val="Подпункт Знак1"/>
    <w:link w:val="Style27"/>
    <w:qFormat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Blk" w:customStyle="1">
    <w:name w:val="blk"/>
    <w:qFormat/>
    <w:rPr/>
  </w:style>
  <w:style w:type="character" w:styleId="Style14" w:customStyle="1">
    <w:name w:val="Абзац списка Знак"/>
    <w:link w:val="ListParagraph"/>
    <w:qFormat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15" w:customStyle="1">
    <w:name w:val="Подподпункт Знак"/>
    <w:link w:val="Style34"/>
    <w:qFormat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33" w:customStyle="1">
    <w:name w:val="УРОВЕНЬ_Абзац_тип3 Знак"/>
    <w:link w:val="37"/>
    <w:qFormat/>
    <w:rPr>
      <w:rFonts w:ascii="Times New Roman" w:hAnsi="Times New Roman" w:eastAsia="Calibri" w:cs="Times New Roman"/>
      <w:sz w:val="26"/>
      <w:szCs w:val="28"/>
    </w:rPr>
  </w:style>
  <w:style w:type="character" w:styleId="Style16" w:customStyle="1">
    <w:name w:val="Текст концевой сноски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Pr>
      <w:vertAlign w:val="superscript"/>
    </w:rPr>
  </w:style>
  <w:style w:type="character" w:styleId="24" w:customStyle="1">
    <w:name w:val="Пункт2 Знак"/>
    <w:link w:val="26"/>
    <w:qFormat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12" w:customStyle="1">
    <w:name w:val="УРОВЕНЬ_1. Знак"/>
    <w:link w:val="19"/>
    <w:qFormat/>
    <w:rPr>
      <w:rFonts w:ascii="Times New Roman" w:hAnsi="Times New Roman" w:eastAsia="Calibri" w:cs="Times New Roman"/>
      <w:caps/>
      <w:sz w:val="28"/>
      <w:szCs w:val="28"/>
    </w:rPr>
  </w:style>
  <w:style w:type="character" w:styleId="13" w:customStyle="1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FontStyle16" w:customStyle="1">
    <w:name w:val="Font Style16"/>
    <w:qFormat/>
    <w:rPr>
      <w:rFonts w:ascii="Times New Roman" w:hAnsi="Times New Roman" w:cs="Times New Roman"/>
      <w:sz w:val="22"/>
      <w:szCs w:val="22"/>
    </w:rPr>
  </w:style>
  <w:style w:type="character" w:styleId="Text" w:customStyle="1">
    <w:name w:val="text"/>
    <w:qFormat/>
    <w:rPr/>
  </w:style>
  <w:style w:type="character" w:styleId="Value" w:customStyle="1">
    <w:name w:val="value"/>
    <w:qFormat/>
    <w:rPr/>
  </w:style>
  <w:style w:type="character" w:styleId="Style18" w:customStyle="1">
    <w:name w:val="Текст Знак"/>
    <w:basedOn w:val="DefaultParagraphFont"/>
    <w:link w:val="PlainText"/>
    <w:qFormat/>
    <w:rPr>
      <w:rFonts w:ascii="Calibri" w:hAnsi="Calibri" w:eastAsia="Calibri" w:cs="Times New Roman"/>
      <w:szCs w:val="21"/>
      <w:lang w:val="x-none"/>
    </w:rPr>
  </w:style>
  <w:style w:type="character" w:styleId="Name" w:customStyle="1">
    <w:name w:val="name"/>
    <w:qFormat/>
    <w:rPr/>
  </w:style>
  <w:style w:type="character" w:styleId="Extended-textshort" w:customStyle="1">
    <w:name w:val="extended-text__short"/>
    <w:qFormat/>
    <w:rPr/>
  </w:style>
  <w:style w:type="character" w:styleId="FollowedHyperlink">
    <w:name w:val="FollowedHyperlink"/>
    <w:rPr>
      <w:color w:val="800080"/>
      <w:u w:val="single"/>
    </w:rPr>
  </w:style>
  <w:style w:type="character" w:styleId="Productcode" w:customStyle="1">
    <w:name w:val="product_code"/>
    <w:qFormat/>
    <w:rPr/>
  </w:style>
  <w:style w:type="character" w:styleId="Add-data-value" w:customStyle="1">
    <w:name w:val="add-data-value"/>
    <w:basedOn w:val="DefaultParagraphFont"/>
    <w:qFormat/>
    <w:rPr/>
  </w:style>
  <w:style w:type="character" w:styleId="Extendedtext-short" w:customStyle="1">
    <w:name w:val="extendedtext-short"/>
    <w:qFormat/>
    <w:rPr/>
  </w:style>
  <w:style w:type="character" w:styleId="Strong2" w:customStyle="1">
    <w:name w:val="Strong2"/>
    <w:qFormat/>
    <w:rPr>
      <w:b/>
      <w:bCs/>
    </w:rPr>
  </w:style>
  <w:style w:type="character" w:styleId="Style19" w:customStyle="1">
    <w:name w:val="Маркеры"/>
    <w:qFormat/>
    <w:rPr>
      <w:rFonts w:ascii="OpenSymbol" w:hAnsi="OpenSymbol" w:eastAsia="OpenSymbol" w:cs="OpenSymbol"/>
    </w:rPr>
  </w:style>
  <w:style w:type="character" w:styleId="Strong3">
    <w:name w:val="Strong3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>
      <w:rFonts w:eastAsia="Times New Roman" w:cs="Times New Roman"/>
      <w:sz w:val="28"/>
      <w:szCs w:val="28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next w:val="Normal"/>
    <w:qFormat/>
    <w:pPr/>
    <w:rPr>
      <w:rFonts w:cs="Times New Roman"/>
      <w:b/>
      <w:bCs/>
      <w:color w:val="4F81BD"/>
      <w:sz w:val="18"/>
      <w:szCs w:val="18"/>
      <w:lang w:eastAsia="ru-RU"/>
    </w:rPr>
  </w:style>
  <w:style w:type="paragraph" w:styleId="Indexheading11" w:customStyle="1">
    <w:name w:val="index heading11"/>
    <w:basedOn w:val="Title"/>
    <w:qFormat/>
    <w:pPr/>
    <w:rPr/>
  </w:style>
  <w:style w:type="paragraph" w:styleId="Style22" w:customStyle="1">
    <w:name w:val="Раздел положения"/>
    <w:basedOn w:val="Normal"/>
    <w:autoRedefine/>
    <w:qFormat/>
    <w:pPr>
      <w:numPr>
        <w:ilvl w:val="0"/>
        <w:numId w:val="2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styleId="Style23" w:customStyle="1">
    <w:name w:val="Подраздел раздела положения"/>
    <w:basedOn w:val="Normal"/>
    <w:autoRedefine/>
    <w:qFormat/>
    <w:pPr>
      <w:numPr>
        <w:ilvl w:val="1"/>
        <w:numId w:val="2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styleId="Style24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rFonts w:eastAsia="Times New Roman" w:cs="Times New Roman"/>
      <w:sz w:val="22"/>
      <w:szCs w:val="26"/>
      <w:lang w:eastAsia="ru-RU"/>
    </w:rPr>
  </w:style>
  <w:style w:type="paragraph" w:styleId="Style25" w:customStyle="1">
    <w:name w:val="Название раздела инструкции"/>
    <w:basedOn w:val="Normal"/>
    <w:autoRedefine/>
    <w:qFormat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FootnoteText">
    <w:name w:val="Footnote Text"/>
    <w:basedOn w:val="Normal"/>
    <w:link w:val="Style1"/>
    <w:pPr/>
    <w:rPr>
      <w:rFonts w:eastAsia="Times New Roman" w:cs="Times New Roman"/>
      <w:sz w:val="20"/>
      <w:szCs w:val="20"/>
      <w:lang w:eastAsia="ru-RU"/>
    </w:rPr>
  </w:style>
  <w:style w:type="paragraph" w:styleId="14" w:customStyle="1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rFonts w:eastAsia="Times New Roman" w:cs="Times New Roman"/>
      <w:sz w:val="22"/>
      <w:lang w:eastAsia="ru-RU"/>
    </w:rPr>
  </w:style>
  <w:style w:type="paragraph" w:styleId="25" w:customStyle="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rFonts w:eastAsia="Times New Roman" w:cs="Times New Roman"/>
      <w:b/>
      <w:sz w:val="22"/>
      <w:lang w:eastAsia="ru-RU"/>
    </w:rPr>
  </w:style>
  <w:style w:type="paragraph" w:styleId="34" w:customStyle="1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styleId="15" w:customStyle="1">
    <w:name w:val="Название1"/>
    <w:basedOn w:val="Normal"/>
    <w:link w:val="Style10"/>
    <w:qFormat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styleId="Style26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3"/>
    <w:pPr>
      <w:tabs>
        <w:tab w:val="clear" w:pos="708"/>
        <w:tab w:val="center" w:pos="4677" w:leader="none"/>
        <w:tab w:val="right" w:pos="9355" w:leader="none"/>
      </w:tabs>
    </w:pPr>
    <w:rPr>
      <w:rFonts w:eastAsia="Times New Roman" w:cs="Times New Roman"/>
      <w:szCs w:val="24"/>
      <w:lang w:eastAsia="ru-RU"/>
    </w:rPr>
  </w:style>
  <w:style w:type="paragraph" w:styleId="BodyTextIndent">
    <w:name w:val="Body Text Indent"/>
    <w:basedOn w:val="Normal"/>
    <w:link w:val="Style4"/>
    <w:pPr>
      <w:ind w:left="360" w:hanging="0"/>
    </w:pPr>
    <w:rPr>
      <w:rFonts w:eastAsia="Times New Roman" w:cs="Times New Roman"/>
      <w:szCs w:val="24"/>
      <w:lang w:eastAsia="ru-RU"/>
    </w:rPr>
  </w:style>
  <w:style w:type="paragraph" w:styleId="Footer">
    <w:name w:val="Footer"/>
    <w:basedOn w:val="Normal"/>
    <w:link w:val="Style5"/>
    <w:pPr>
      <w:tabs>
        <w:tab w:val="clear" w:pos="708"/>
        <w:tab w:val="center" w:pos="4677" w:leader="none"/>
        <w:tab w:val="right" w:pos="9355" w:leader="none"/>
      </w:tabs>
    </w:pPr>
    <w:rPr>
      <w:rFonts w:eastAsia="Times New Roman" w:cs="Times New Roman"/>
      <w:sz w:val="28"/>
      <w:szCs w:val="28"/>
      <w:lang w:eastAsia="ru-RU"/>
    </w:rPr>
  </w:style>
  <w:style w:type="paragraph" w:styleId="BodyTextIndent2">
    <w:name w:val="Body Text Indent 2"/>
    <w:basedOn w:val="Normal"/>
    <w:link w:val="21"/>
    <w:qFormat/>
    <w:pPr>
      <w:spacing w:lineRule="auto" w:line="480" w:before="0" w:after="120"/>
      <w:ind w:left="283" w:hanging="0"/>
    </w:pPr>
    <w:rPr>
      <w:rFonts w:eastAsia="Times New Roman" w:cs="Times New Roman"/>
      <w:sz w:val="28"/>
      <w:szCs w:val="28"/>
      <w:lang w:eastAsia="ru-RU"/>
    </w:rPr>
  </w:style>
  <w:style w:type="paragraph" w:styleId="BodyText3">
    <w:name w:val="Body Text 3"/>
    <w:basedOn w:val="Normal"/>
    <w:link w:val="31"/>
    <w:qFormat/>
    <w:pPr>
      <w:spacing w:before="0" w:after="120"/>
    </w:pPr>
    <w:rPr>
      <w:rFonts w:eastAsia="Times New Roman" w:cs="Times New Roman"/>
      <w:sz w:val="16"/>
      <w:szCs w:val="16"/>
      <w:lang w:eastAsia="ru-RU"/>
    </w:rPr>
  </w:style>
  <w:style w:type="paragraph" w:styleId="BodyTextIndent3">
    <w:name w:val="Body Text Indent 3"/>
    <w:basedOn w:val="Normal"/>
    <w:link w:val="32"/>
    <w:qFormat/>
    <w:pPr>
      <w:spacing w:before="0" w:after="120"/>
      <w:ind w:left="283" w:hanging="0"/>
    </w:pPr>
    <w:rPr>
      <w:rFonts w:eastAsia="Times New Roman" w:cs="Times New Roman"/>
      <w:sz w:val="16"/>
      <w:szCs w:val="16"/>
      <w:lang w:eastAsia="ru-RU"/>
    </w:rPr>
  </w:style>
  <w:style w:type="paragraph" w:styleId="BodyText2">
    <w:name w:val="Body Text 2"/>
    <w:basedOn w:val="Normal"/>
    <w:link w:val="22"/>
    <w:qFormat/>
    <w:pPr>
      <w:spacing w:lineRule="auto" w:line="480" w:before="0" w:after="120"/>
    </w:pPr>
    <w:rPr>
      <w:rFonts w:eastAsia="Times New Roman" w:cs="Times New Roman"/>
      <w:sz w:val="28"/>
      <w:szCs w:val="28"/>
      <w:lang w:eastAsia="ru-RU"/>
    </w:rPr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rFonts w:eastAsia="Times New Roman" w:cs="Times New Roman"/>
      <w:b/>
      <w:bCs/>
      <w:szCs w:val="20"/>
      <w:lang w:eastAsia="ru-RU"/>
    </w:rPr>
  </w:style>
  <w:style w:type="paragraph" w:styleId="Style27" w:customStyle="1">
    <w:name w:val="Подпункт"/>
    <w:basedOn w:val="Normal"/>
    <w:link w:val="11"/>
    <w:qFormat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styleId="26" w:customStyle="1">
    <w:name w:val="Пункт2"/>
    <w:basedOn w:val="Normal"/>
    <w:link w:val="24"/>
    <w:qFormat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TOC1">
    <w:name w:val="TOC 1"/>
    <w:basedOn w:val="Normal"/>
    <w:next w:val="Normal"/>
    <w:autoRedefine/>
    <w:pPr>
      <w:spacing w:before="120" w:after="0"/>
    </w:pPr>
    <w:rPr>
      <w:rFonts w:eastAsia="Times New Roman" w:cs="Calibri Light (Заголовки)"/>
      <w:b/>
      <w:bCs/>
      <w:szCs w:val="24"/>
      <w:lang w:eastAsia="ru-RU"/>
    </w:rPr>
  </w:style>
  <w:style w:type="paragraph" w:styleId="TOC3">
    <w:name w:val="TOC 3"/>
    <w:basedOn w:val="Normal"/>
    <w:next w:val="Normal"/>
    <w:autoRedefine/>
    <w:pPr>
      <w:ind w:left="280" w:hanging="0"/>
    </w:pPr>
    <w:rPr>
      <w:rFonts w:eastAsia="Times New Roman" w:cs="Calibri"/>
      <w:sz w:val="20"/>
      <w:szCs w:val="20"/>
      <w:lang w:eastAsia="ru-RU"/>
    </w:rPr>
  </w:style>
  <w:style w:type="paragraph" w:styleId="Style28" w:customStyle="1">
    <w:name w:val="Раздел регламента"/>
    <w:basedOn w:val="Normal"/>
    <w:qFormat/>
    <w:pPr/>
    <w:rPr>
      <w:rFonts w:eastAsia="Times New Roman" w:cs="Times New Roman"/>
      <w:sz w:val="28"/>
      <w:szCs w:val="28"/>
      <w:lang w:eastAsia="ru-RU"/>
    </w:rPr>
  </w:style>
  <w:style w:type="paragraph" w:styleId="Style29" w:customStyle="1">
    <w:name w:val="Приложение к регламенту"/>
    <w:basedOn w:val="Normal"/>
    <w:qFormat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TOC2">
    <w:name w:val="TOC 2"/>
    <w:basedOn w:val="Normal"/>
    <w:next w:val="Normal"/>
    <w:autoRedefine/>
    <w:pPr>
      <w:spacing w:before="240" w:after="0"/>
    </w:pPr>
    <w:rPr>
      <w:rFonts w:eastAsia="Times New Roman" w:cs="Calibri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Style7"/>
    <w:qFormat/>
    <w:pPr/>
    <w:rPr>
      <w:rFonts w:ascii="Tahoma" w:hAnsi="Tahoma" w:eastAsia="Times New Roman"/>
      <w:sz w:val="16"/>
      <w:szCs w:val="16"/>
      <w:lang w:eastAsia="ru-RU"/>
    </w:rPr>
  </w:style>
  <w:style w:type="paragraph" w:styleId="Annotationtext">
    <w:name w:val="annotation text"/>
    <w:basedOn w:val="Normal"/>
    <w:link w:val="Style8"/>
    <w:qFormat/>
    <w:pPr/>
    <w:rPr>
      <w:rFonts w:eastAsia="Times New Roman" w:cs="Times New Roman"/>
      <w:sz w:val="20"/>
      <w:szCs w:val="20"/>
      <w:lang w:eastAsia="ru-RU"/>
    </w:rPr>
  </w:style>
  <w:style w:type="paragraph" w:styleId="Annotationsubject">
    <w:name w:val="annotation subject"/>
    <w:basedOn w:val="Annotationtext"/>
    <w:next w:val="Annotationtext"/>
    <w:link w:val="Style9"/>
    <w:qFormat/>
    <w:pPr/>
    <w:rPr>
      <w:b/>
      <w:bCs/>
    </w:rPr>
  </w:style>
  <w:style w:type="paragraph" w:styleId="16" w:customStyle="1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Cs w:val="24"/>
      <w:lang w:eastAsia="ru-RU"/>
    </w:rPr>
  </w:style>
  <w:style w:type="paragraph" w:styleId="TOC9">
    <w:name w:val="TOC 9"/>
    <w:basedOn w:val="Normal"/>
    <w:next w:val="Normal"/>
    <w:autoRedefine/>
    <w:pPr>
      <w:ind w:left="196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5">
    <w:name w:val="TOC 5"/>
    <w:basedOn w:val="Normal"/>
    <w:next w:val="Normal"/>
    <w:autoRedefine/>
    <w:pPr>
      <w:ind w:left="84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4">
    <w:name w:val="TOC 4"/>
    <w:basedOn w:val="Normal"/>
    <w:next w:val="Normal"/>
    <w:autoRedefine/>
    <w:pPr>
      <w:ind w:left="560" w:hanging="0"/>
    </w:pPr>
    <w:rPr>
      <w:rFonts w:eastAsia="Times New Roman" w:cs="Calibri"/>
      <w:sz w:val="20"/>
      <w:szCs w:val="20"/>
      <w:lang w:eastAsia="ru-RU"/>
    </w:rPr>
  </w:style>
  <w:style w:type="paragraph" w:styleId="27" w:customStyle="1">
    <w:name w:val="Раздел положения 2"/>
    <w:basedOn w:val="Normal"/>
    <w:qFormat/>
    <w:pPr>
      <w:pageBreakBefore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styleId="Style30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eastAsia="Times New Roman" w:cs="Times New Roman"/>
      <w:sz w:val="22"/>
      <w:szCs w:val="20"/>
      <w:lang w:val="en-US"/>
    </w:rPr>
  </w:style>
  <w:style w:type="paragraph" w:styleId="NoSpacing">
    <w:name w:val="No Spacing"/>
    <w:basedOn w:val="Normal"/>
    <w:qFormat/>
    <w:pPr>
      <w:spacing w:lineRule="auto" w:line="360"/>
    </w:pPr>
    <w:rPr>
      <w:rFonts w:cs="Times New Roman"/>
      <w:szCs w:val="24"/>
      <w:lang w:eastAsia="ru-RU"/>
    </w:rPr>
  </w:style>
  <w:style w:type="paragraph" w:styleId="Subtitle">
    <w:name w:val="Subtitle"/>
    <w:basedOn w:val="Normal"/>
    <w:next w:val="Normal"/>
    <w:link w:val="Style11"/>
    <w:qFormat/>
    <w:pPr>
      <w:ind w:left="1066" w:firstLine="709"/>
    </w:pPr>
    <w:rPr>
      <w:rFonts w:ascii="Cambria" w:hAnsi="Cambria" w:eastAsia="Times New Roman" w:cs="Times New Roman"/>
      <w:i/>
      <w:iCs/>
      <w:color w:val="4F81BD"/>
      <w:spacing w:val="15"/>
      <w:szCs w:val="24"/>
      <w:lang w:val="x-none" w:eastAsia="x-none"/>
    </w:rPr>
  </w:style>
  <w:style w:type="paragraph" w:styleId="ListParagraph">
    <w:name w:val="List Paragraph"/>
    <w:basedOn w:val="Normal"/>
    <w:link w:val="Style14"/>
    <w:qFormat/>
    <w:pPr>
      <w:spacing w:before="0" w:after="0"/>
      <w:ind w:left="720" w:hanging="0"/>
      <w:contextualSpacing/>
    </w:pPr>
    <w:rPr>
      <w:rFonts w:cs="Times New Roman"/>
      <w:szCs w:val="24"/>
      <w:lang w:eastAsia="ru-RU"/>
    </w:rPr>
  </w:style>
  <w:style w:type="paragraph" w:styleId="Quote">
    <w:name w:val="Quote"/>
    <w:basedOn w:val="Normal"/>
    <w:next w:val="Normal"/>
    <w:link w:val="23"/>
    <w:qFormat/>
    <w:pPr/>
    <w:rPr>
      <w:rFonts w:ascii="Calibri" w:hAnsi="Calibri" w:cs="Times New Roman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12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20"/>
    <w:pPr/>
    <w:rPr/>
  </w:style>
  <w:style w:type="paragraph" w:styleId="TOCHeading">
    <w:name w:val="TOC Heading"/>
    <w:basedOn w:val="Heading1"/>
    <w:next w:val="Normal"/>
    <w:qFormat/>
    <w:pPr>
      <w:keepLines/>
      <w:tabs>
        <w:tab w:val="clear" w:pos="0"/>
        <w:tab w:val="left" w:pos="709" w:leader="none"/>
      </w:tabs>
      <w:spacing w:before="480" w:after="0"/>
      <w:ind w:left="3196" w:hanging="3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13"/>
    <w:qFormat/>
    <w:pPr/>
    <w:rPr>
      <w:rFonts w:cs="Times New Roman"/>
      <w:szCs w:val="24"/>
      <w:lang w:val="x-none" w:eastAsia="x-none"/>
    </w:rPr>
  </w:style>
  <w:style w:type="paragraph" w:styleId="Style31" w:customStyle="1">
    <w:name w:val="Знак"/>
    <w:basedOn w:val="Normal"/>
    <w:qFormat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35" w:customStyle="1">
    <w:name w:val="Нумерованный список ур3"/>
    <w:basedOn w:val="Normal"/>
    <w:qFormat/>
    <w:pPr>
      <w:numPr>
        <w:ilvl w:val="2"/>
        <w:numId w:val="3"/>
      </w:numPr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311" w:customStyle="1">
    <w:name w:val="Список 31"/>
    <w:basedOn w:val="Normal"/>
    <w:qFormat/>
    <w:pPr>
      <w:numPr>
        <w:ilvl w:val="0"/>
        <w:numId w:val="3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28" w:customStyle="1">
    <w:name w:val="Нумерованный список ур2"/>
    <w:basedOn w:val="Normal"/>
    <w:qFormat/>
    <w:pPr>
      <w:numPr>
        <w:ilvl w:val="1"/>
        <w:numId w:val="3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eastAsia="Times New Roman" w:cs="Verdana"/>
      <w:sz w:val="22"/>
      <w:lang w:val="en-US"/>
    </w:rPr>
  </w:style>
  <w:style w:type="paragraph" w:styleId="Style32" w:customStyle="1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 w:eastAsia="Times New Roman" w:cs="Times New Roman"/>
      <w:b/>
      <w:i/>
      <w:sz w:val="28"/>
      <w:szCs w:val="20"/>
      <w:lang w:eastAsia="ru-RU"/>
    </w:rPr>
  </w:style>
  <w:style w:type="paragraph" w:styleId="17" w:customStyle="1">
    <w:name w:val="Абзац списка1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 w:eastAsia="Times New Roman" w:cs="Times New Roman"/>
      <w:sz w:val="22"/>
    </w:rPr>
  </w:style>
  <w:style w:type="paragraph" w:styleId="Style33" w:customStyle="1">
    <w:name w:val="Таблица"/>
    <w:basedOn w:val="Normal"/>
    <w:qFormat/>
    <w:pPr>
      <w:keepNext w:val="true"/>
      <w:spacing w:before="60" w:after="60"/>
      <w:jc w:val="center"/>
    </w:pPr>
    <w:rPr>
      <w:rFonts w:cs="Times New Roman"/>
      <w:b/>
      <w:szCs w:val="24"/>
      <w:lang w:val="x-none" w:eastAsia="x-none"/>
    </w:rPr>
  </w:style>
  <w:style w:type="paragraph" w:styleId="Style34" w:customStyle="1">
    <w:name w:val="Подподпункт"/>
    <w:basedOn w:val="Style27"/>
    <w:link w:val="Style15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5" w:customStyle="1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ind w:left="1728" w:hanging="648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ind w:left="2232" w:hanging="792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ind w:left="3240" w:hanging="1080"/>
      <w:contextualSpacing w:val="false"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3"/>
    <w:qFormat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6" w:customStyle="1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ind w:left="2736" w:hanging="936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pPr>
      <w:keepLines/>
      <w:tabs>
        <w:tab w:val="clear" w:pos="0"/>
        <w:tab w:val="left" w:pos="567" w:leader="none"/>
        <w:tab w:val="left" w:pos="709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6"/>
    <w:pPr/>
    <w:rPr>
      <w:rFonts w:eastAsia="Times New Roman" w:cs="Times New Roman"/>
      <w:sz w:val="20"/>
      <w:szCs w:val="20"/>
      <w:lang w:eastAsia="ru-RU"/>
    </w:rPr>
  </w:style>
  <w:style w:type="paragraph" w:styleId="210" w:customStyle="1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styleId="Style37" w:customStyle="1">
    <w:name w:val="Таблица текст"/>
    <w:basedOn w:val="Normal"/>
    <w:qFormat/>
    <w:pPr>
      <w:spacing w:before="40" w:after="40"/>
      <w:ind w:left="57" w:right="57" w:hanging="0"/>
    </w:pPr>
    <w:rPr>
      <w:rFonts w:eastAsia="Times New Roman" w:cs="Times New Roman"/>
      <w:szCs w:val="26"/>
      <w:lang w:eastAsia="ru-RU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 w:cs="Times New Roman"/>
      <w:szCs w:val="24"/>
      <w:lang w:eastAsia="ru-RU"/>
    </w:rPr>
  </w:style>
  <w:style w:type="paragraph" w:styleId="19" w:customStyle="1">
    <w:name w:val="УРОВЕНЬ_1."/>
    <w:basedOn w:val="ListParagraph"/>
    <w:link w:val="12"/>
    <w:qFormat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pPr>
      <w:ind w:left="112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7">
    <w:name w:val="TOC 7"/>
    <w:basedOn w:val="Normal"/>
    <w:next w:val="Normal"/>
    <w:autoRedefine/>
    <w:pPr>
      <w:ind w:left="140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8">
    <w:name w:val="TOC 8"/>
    <w:basedOn w:val="Normal"/>
    <w:next w:val="Normal"/>
    <w:autoRedefine/>
    <w:pPr>
      <w:ind w:left="168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Style38" w:customStyle="1">
    <w:name w:val="Знак Знак Знак Знак"/>
    <w:basedOn w:val="Normal"/>
    <w:qFormat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-1" w:customStyle="1">
    <w:name w:val="Контракт-раздел"/>
    <w:basedOn w:val="Normal"/>
    <w:qFormat/>
    <w:pPr>
      <w:keepNext w:val="true"/>
      <w:keepLines/>
      <w:tabs>
        <w:tab w:val="clear" w:pos="708"/>
        <w:tab w:val="left" w:pos="0" w:leader="none"/>
        <w:tab w:val="left" w:pos="567" w:leader="none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styleId="-2" w:customStyle="1">
    <w:name w:val="Контракт-пункт"/>
    <w:basedOn w:val="Normal"/>
    <w:qFormat/>
    <w:pPr>
      <w:tabs>
        <w:tab w:val="clear" w:pos="708"/>
        <w:tab w:val="left" w:pos="1391" w:leader="none"/>
      </w:tabs>
      <w:ind w:left="1391" w:hanging="851"/>
    </w:pPr>
    <w:rPr>
      <w:rFonts w:eastAsia="Times New Roman" w:cs="Times New Roman"/>
      <w:szCs w:val="28"/>
      <w:lang w:eastAsia="ru-RU"/>
    </w:rPr>
  </w:style>
  <w:style w:type="paragraph" w:styleId="110" w:customStyle="1">
    <w:name w:val="Обычный1"/>
    <w:qFormat/>
    <w:pPr>
      <w:widowControl w:val="false"/>
      <w:suppressAutoHyphens w:val="tru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tyle39" w:customStyle="1">
    <w:name w:val="Пункт договора"/>
    <w:basedOn w:val="Normal"/>
    <w:qFormat/>
    <w:pPr>
      <w:widowControl w:val="false"/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Style40" w:customStyle="1">
    <w:name w:val="Подпункт договора"/>
    <w:basedOn w:val="Normal"/>
    <w:qFormat/>
    <w:pPr>
      <w:tabs>
        <w:tab w:val="clear" w:pos="708"/>
        <w:tab w:val="left" w:pos="360" w:leader="none"/>
      </w:tabs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BodyText21" w:customStyle="1">
    <w:name w:val="Body Text 21"/>
    <w:basedOn w:val="Normal"/>
    <w:qFormat/>
    <w:pPr>
      <w:ind w:firstLine="709"/>
      <w:jc w:val="both"/>
    </w:pPr>
    <w:rPr>
      <w:rFonts w:eastAsia="Times New Roman" w:cs="Times New Roman"/>
      <w:szCs w:val="20"/>
      <w:lang w:eastAsia="ru-RU"/>
    </w:rPr>
  </w:style>
  <w:style w:type="paragraph" w:styleId="Style41" w:customStyle="1">
    <w:name w:val="Обычный+ без отступа"/>
    <w:basedOn w:val="Normal"/>
    <w:qFormat/>
    <w:pPr>
      <w:spacing w:lineRule="auto" w:line="360" w:before="120" w:after="0"/>
      <w:jc w:val="both"/>
    </w:pPr>
    <w:rPr>
      <w:rFonts w:eastAsia="MS Mincho" w:cs="Times New Roman"/>
      <w:sz w:val="28"/>
      <w:szCs w:val="28"/>
      <w:lang w:eastAsia="ru-RU"/>
    </w:rPr>
  </w:style>
  <w:style w:type="paragraph" w:styleId="211" w:customStyle="1">
    <w:name w:val="Обычный2"/>
    <w:qFormat/>
    <w:pPr>
      <w:widowControl w:val="false"/>
      <w:suppressAutoHyphens w:val="tru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PlainText">
    <w:name w:val="Plain Text"/>
    <w:basedOn w:val="Normal"/>
    <w:link w:val="Style18"/>
    <w:qFormat/>
    <w:pPr/>
    <w:rPr>
      <w:rFonts w:ascii="Calibri" w:hAnsi="Calibri" w:cs="Times New Roman"/>
      <w:sz w:val="22"/>
      <w:szCs w:val="21"/>
      <w:lang w:val="x-none"/>
    </w:rPr>
  </w:style>
  <w:style w:type="paragraph" w:styleId="Txt1" w:customStyle="1">
    <w:name w:val="txt1"/>
    <w:basedOn w:val="Normal"/>
    <w:qFormat/>
    <w:pPr/>
    <w:rPr>
      <w:rFonts w:ascii="Calibri" w:hAnsi="Calibri" w:eastAsia="Times New Roman" w:cs="Times New Roman"/>
      <w:szCs w:val="24"/>
      <w:lang w:eastAsia="ru-RU"/>
    </w:rPr>
  </w:style>
  <w:style w:type="paragraph" w:styleId="Formattext" w:customStyle="1">
    <w:name w:val="formattext"/>
    <w:basedOn w:val="Normal"/>
    <w:qFormat/>
    <w:pPr>
      <w:spacing w:before="280" w:after="280"/>
    </w:pPr>
    <w:rPr>
      <w:rFonts w:eastAsia="Times New Roman" w:cs="Times New Roman"/>
      <w:szCs w:val="24"/>
      <w:lang w:eastAsia="ru-RU"/>
    </w:rPr>
  </w:style>
  <w:style w:type="paragraph" w:styleId="38" w:customStyle="1">
    <w:name w:val="Обычный3"/>
    <w:qFormat/>
    <w:pPr>
      <w:widowControl w:val="false"/>
      <w:suppressAutoHyphens w:val="tru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tyle42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43" w:customStyle="1">
    <w:name w:val="Заголовок таблицы"/>
    <w:basedOn w:val="Style42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qFormat/>
  </w:style>
  <w:style w:type="numbering" w:styleId="212" w:customStyle="1">
    <w:name w:val="Стиль2"/>
    <w:qFormat/>
  </w:style>
  <w:style w:type="numbering" w:styleId="112" w:customStyle="1">
    <w:name w:val="Нет списка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6689</TotalTime>
  <Application>AlterOffice/3.4.0.9$Linux_X86_64 LibreOffice_project/b8daf9e823b1a5463a2f48435ddc2e8696e7d4fc</Application>
  <AppVersion>15.0000</AppVersion>
  <Pages>4</Pages>
  <Words>641</Words>
  <Characters>4644</Characters>
  <CharactersWithSpaces>5164</CharactersWithSpaces>
  <Paragraphs>137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2023-05-24T06:11:00Z</dcterms:created>
  <dc:creator>Кочетов Сергей Владимирович</dc:creator>
  <dc:description/>
  <dc:language>ru-RU</dc:language>
  <cp:lastModifiedBy>savilovoa@corp.gidroogk.com</cp:lastModifiedBy>
  <dcterms:modified xsi:type="dcterms:W3CDTF">2026-10-06T16:58:51Z</dcterms:modified>
  <cp:revision>283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