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269"/>
        <w:gridCol w:w="5269"/>
      </w:tblGrid>
      <w:tr>
        <w:tc>
          <w:tcPr>
            <w:tcW w:type="dxa" w:w="5269"/>
          </w:tcPr>
          <w:p>
            <w:r>
              <w:drawing>
                <wp:inline xmlns:a="http://schemas.openxmlformats.org/drawingml/2006/main" xmlns:pic="http://schemas.openxmlformats.org/drawingml/2006/picture">
                  <wp:extent cx="2057400" cy="91797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9179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69"/>
          </w:tcPr>
          <w:p/>
        </w:tc>
      </w:tr>
      <w:tr>
        <w:tc>
          <w:tcPr>
            <w:tcW w:type="dxa" w:w="10538"/>
            <w:gridSpan w:val="2"/>
          </w:tcPr>
          <w:p>
            <w:pPr>
              <w:pStyle w:val="NewTitle"/>
            </w:pPr>
            <w:r>
              <w:t>ПМИ бесконтактного электронного ключа SL3</w:t>
            </w:r>
          </w:p>
        </w:tc>
      </w:tr>
      <w:tr>
        <w:tc>
          <w:tcPr>
            <w:tcW w:type="dxa" w:w="10538"/>
            <w:gridSpan w:val="2"/>
          </w:tcPr>
          <w:p>
            <w:pPr>
              <w:pStyle w:val="NewSubTitle"/>
            </w:pPr>
            <w:r>
              <w:t>Редакция: 1.0/2026</w:t>
            </w:r>
          </w:p>
        </w:tc>
      </w:tr>
      <w:tr>
        <w:tc>
          <w:tcPr>
            <w:tcW w:type="dxa" w:w="5269"/>
          </w:tcPr>
          <w:p/>
        </w:tc>
        <w:tc>
          <w:tcPr>
            <w:tcW w:type="dxa" w:w="5269"/>
          </w:tcPr>
          <w:p/>
        </w:tc>
      </w:tr>
    </w:tbl>
    <w:p>
      <w:pPr>
        <w:sectPr>
          <w:headerReference w:type="default" r:id="rId10"/>
          <w:pgSz w:w="12240" w:h="15840"/>
          <w:pgMar w:top="567" w:right="567" w:bottom="567" w:left="1134" w:header="0" w:footer="720" w:gutter="0"/>
          <w:cols w:space="720"/>
          <w:titlePg/>
          <w:docGrid w:linePitch="360"/>
        </w:sectPr>
      </w:pPr>
    </w:p>
    <w:p>
      <w:pPr>
        <w:pStyle w:val="NewHeading1"/>
      </w:pPr>
      <w:r>
        <w:t>Список изменений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370"/>
        <w:gridCol w:w="1701"/>
        <w:gridCol w:w="2268"/>
      </w:tblGrid>
      <w:tr>
        <w:tc>
          <w:tcPr>
            <w:tcW w:type="dxa" w:w="7370"/>
          </w:tcPr>
          <w:p>
            <w:r>
              <w:t>Описание</w:t>
            </w:r>
          </w:p>
        </w:tc>
        <w:tc>
          <w:tcPr>
            <w:tcW w:type="dxa" w:w="1701"/>
          </w:tcPr>
          <w:p>
            <w:r>
              <w:t>Редакция</w:t>
            </w:r>
          </w:p>
        </w:tc>
        <w:tc>
          <w:tcPr>
            <w:tcW w:type="dxa" w:w="2268"/>
          </w:tcPr>
          <w:p>
            <w:r>
              <w:t>Автор</w:t>
            </w:r>
          </w:p>
        </w:tc>
      </w:tr>
    </w:tbl>
    <w:p>
      <w:r>
        <w:br w:type="page"/>
      </w:r>
    </w:p>
    <w:p>
      <w:pPr>
        <w:pStyle w:val="NewHeading1"/>
      </w:pPr>
      <w:r>
        <w:t>Введение</w:t>
      </w:r>
    </w:p>
    <w:p>
      <w:pPr>
        <w:pStyle w:val="NewHeading1"/>
      </w:pPr>
      <w:r>
        <w:t>1. Проверка документации к изделию</w:t>
      </w:r>
    </w:p>
    <w:p>
      <w:pPr>
        <w:pStyle w:val="NewHeading2"/>
      </w:pPr>
      <w:r>
        <w:t>1.1. Проверка документации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8504"/>
      </w:tblGrid>
      <w:tr>
        <w:tc>
          <w:tcPr>
            <w:tcW w:type="dxa" w:w="2268"/>
          </w:tcPr>
          <w:p>
            <w:r>
              <w:t>Цель:</w:t>
            </w:r>
          </w:p>
        </w:tc>
        <w:tc>
          <w:tcPr>
            <w:tcW w:type="dxa" w:w="8504"/>
          </w:tcPr>
          <w:p>
            <w:r>
              <w:t>Проверка соответствия следующим пунктам технических требований:</w:t>
            </w:r>
          </w:p>
          <w:p>
            <w:r>
              <w:t>1.5. БЭК должны удовлетворять требованиям ГОСТ:</w:t>
              <w:br/>
              <w:br/>
              <w:t>* РИСО/МЭК 7810-2015.</w:t>
              <w:br/>
              <w:br/>
              <w:t>* РИСО/МЭК 14443-1-2013.</w:t>
              <w:br/>
              <w:br/>
              <w:t>* РИСО/МЭК 14443-2-2014.</w:t>
            </w:r>
          </w:p>
          <w:p>
            <w:r>
              <w:t>2.1. Микросхема, используемая в БЭК, должна быть с повышенным уровнем защищенности с основными характеристиками:</w:t>
              <w:br/>
              <w:br/>
              <w:t># Полное соответствие стандарту Mifare Plus SE 1K MF1SEP1001.</w:t>
              <w:br/>
              <w:br/>
              <w:t># Использование бесконтактного интерфейса с диапазоном частот 13,56 МГц, расстояние считывания не менее 4 см.</w:t>
              <w:br/>
              <w:br/>
              <w:t># Объем программируемой памяти EEPROM - не менее 1 КБ.</w:t>
              <w:br/>
              <w:br/>
              <w:t># Количество циклов чтения-записи - не менее 10 000.</w:t>
              <w:br/>
              <w:br/>
              <w:t># Срок хранения данных в памяти - не менее 5 лет.</w:t>
              <w:br/>
              <w:br/>
              <w:t># Уникальный 7-ми байтный идентификационный номер БЭК, чипа (UID).</w:t>
              <w:br/>
              <w:br/>
              <w:t># Скорость передачи данных должна обеспечиваться во всем диапазоне 106/212/424/848 Кбит/с, использование ускоренных транзакций за счет гибкой файловой структуры, поддержка «Multi» команд.</w:t>
              <w:br/>
              <w:br/>
              <w:t xml:space="preserve"># Структура памяти - 16 секторов по 4 блока с возможностью хранения ключей в формате: </w:t>
              <w:br/>
              <w:br/>
              <w:t>** 2 ключа Crypto1 (48 бит) на сектор (в режиме SL1).</w:t>
              <w:br/>
              <w:br/>
              <w:t>** 2 ключа AES (128 бит) на сектор (в режиме SL3).</w:t>
              <w:br/>
              <w:br/>
              <w:t># Совместимость с микросхемами, использующими алгоритм шифрования Crypto1.</w:t>
              <w:br/>
              <w:br/>
              <w:t># Использование алгоритма шифрования AES для аутентификации и обеспечения целостности и конфиденциальности данных.</w:t>
              <w:br/>
              <w:br/>
              <w:t># Возможность записи AES128 ключей перехода на более высокий уровень безопасности (Security Level 3).</w:t>
              <w:br/>
              <w:br/>
              <w:t># Функция защиты от обрывов связи при записи AES 128– ключей.</w:t>
              <w:br/>
              <w:br/>
              <w:t># Соответствие требованиям сертификации Common Criteria уровня EAL 4+.</w:t>
              <w:br/>
              <w:br/>
              <w:t># Микросхема должна находиться на уровне безопасности SL3.</w:t>
              <w:br/>
              <w:br/>
              <w:t># Техническое задание на кодировку в SL3 является конфиденциальной информацией и передается производителю БЭК после подписания договора.</w:t>
            </w:r>
          </w:p>
          <w:p>
            <w:r>
              <w:t>2.5. Резонансная частота БЭК должна быть не менее 14,2 МГц и не более 16 МГц. Значение резонансной частоты каждого образца БЭК не должно отличаться более, чем на 0,2 МГц.</w:t>
            </w:r>
          </w:p>
          <w:p>
            <w:r>
              <w:t>2.7. Условия эксплуатации БЭК:</w:t>
              <w:br/>
              <w:br/>
              <w:t>* рабочий диапазон температур: от -40°С до +45°С.</w:t>
              <w:br/>
              <w:br/>
              <w:t>* относительная влажность: не более 80% при 25 °С, не более 75% при 30 °С (без конденсации влаги).</w:t>
            </w:r>
          </w:p>
        </w:tc>
      </w:tr>
      <w:tr>
        <w:tc>
          <w:tcPr>
            <w:tcW w:type="dxa" w:w="2268"/>
          </w:tcPr>
          <w:p>
            <w:r>
              <w:t>Процедура:</w:t>
            </w:r>
          </w:p>
        </w:tc>
        <w:tc>
          <w:tcPr>
            <w:tcW w:type="dxa" w:w="8504"/>
          </w:tcPr>
          <w:p>
            <w:r>
              <w:t>Проверить наличие и содержимое технической документации к изделию.</w:t>
            </w:r>
          </w:p>
        </w:tc>
      </w:tr>
      <w:tr>
        <w:tc>
          <w:tcPr>
            <w:tcW w:type="dxa" w:w="2268"/>
          </w:tcPr>
          <w:p>
            <w:r>
              <w:t>Ожидаемый результат:</w:t>
            </w:r>
          </w:p>
        </w:tc>
        <w:tc>
          <w:tcPr>
            <w:tcW w:type="dxa" w:w="8504"/>
          </w:tcPr>
          <w:p>
            <w:r>
              <w:t>1. Наличие документации к изделию.</w:t>
              <w:br/>
              <w:t>2. Документация содержит следующие сведения:</w:t>
              <w:br/>
              <w:t xml:space="preserve">    •  Подтверждение соответствия стандарту Mifare Plus SE 1K MF1SEP1001.</w:t>
              <w:br/>
              <w:t xml:space="preserve">    •  Подтверждение соответствия ГОСТ РИСО/МЭК 7810-2015, РИСО/МЭК 14443-1-2013, РИСО/МЭК 14443-2-2014.</w:t>
              <w:br/>
              <w:t xml:space="preserve">    •  Подтверждение соответствия требованиям сертификации Common Criteria уровня EAL 4+.</w:t>
              <w:br/>
              <w:t xml:space="preserve">    •  Значение резонансной частоты (14,2 МГц - 16 МГц).</w:t>
              <w:br/>
              <w:t xml:space="preserve">    •  Объем программируемой памяти EEPROM (не менее 1 КБ).</w:t>
              <w:br/>
              <w:t xml:space="preserve">    •  Количество циклов чтения-записи БЭК (не менее 10 000).</w:t>
              <w:br/>
              <w:t xml:space="preserve">    •  Условия эксплуатации (рабочий диапазон температур, относительная влажность).</w:t>
            </w:r>
          </w:p>
        </w:tc>
      </w:tr>
    </w:tbl>
    <w:p>
      <w:pPr>
        <w:pStyle w:val="NewHeading1"/>
      </w:pPr>
      <w:r>
        <w:t>2. Проверка дизайна и форм-фактора</w:t>
      </w:r>
    </w:p>
    <w:p>
      <w:pPr>
        <w:pStyle w:val="NewHeading2"/>
      </w:pPr>
      <w:r>
        <w:t>2.1. Размеры ключа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8504"/>
      </w:tblGrid>
      <w:tr>
        <w:tc>
          <w:tcPr>
            <w:tcW w:type="dxa" w:w="2268"/>
          </w:tcPr>
          <w:p>
            <w:r>
              <w:t>Цель:</w:t>
            </w:r>
          </w:p>
        </w:tc>
        <w:tc>
          <w:tcPr>
            <w:tcW w:type="dxa" w:w="8504"/>
          </w:tcPr>
          <w:p>
            <w:r>
              <w:t>Проверка соответствия следующим пунктам технических требований:</w:t>
            </w:r>
          </w:p>
          <w:p>
            <w:r>
              <w:t>2.8. Геометрические размеры БЭК:</w:t>
              <w:br/>
              <w:br/>
              <w:t>* длина: 49-54 мм.</w:t>
              <w:br/>
              <w:br/>
              <w:t>* ширина: 24-30 мм.</w:t>
              <w:br/>
              <w:br/>
              <w:t>* толщина: 3-4,5 мм.</w:t>
            </w:r>
          </w:p>
        </w:tc>
      </w:tr>
      <w:tr>
        <w:tc>
          <w:tcPr>
            <w:tcW w:type="dxa" w:w="2268"/>
          </w:tcPr>
          <w:p>
            <w:r>
              <w:t>Процедура:</w:t>
            </w:r>
          </w:p>
        </w:tc>
        <w:tc>
          <w:tcPr>
            <w:tcW w:type="dxa" w:w="8504"/>
          </w:tcPr>
          <w:p>
            <w:r>
              <w:t>Измерить длину, ширину и толщину изделия.</w:t>
            </w:r>
          </w:p>
        </w:tc>
      </w:tr>
      <w:tr>
        <w:tc>
          <w:tcPr>
            <w:tcW w:type="dxa" w:w="2268"/>
          </w:tcPr>
          <w:p>
            <w:r>
              <w:t>Ожидаемый результат:</w:t>
            </w:r>
          </w:p>
        </w:tc>
        <w:tc>
          <w:tcPr>
            <w:tcW w:type="dxa" w:w="8504"/>
          </w:tcPr>
          <w:p>
            <w:r>
              <w:t>Длина, ширина и толщина изделия в установленных ТТ диапазонах.</w:t>
            </w:r>
          </w:p>
        </w:tc>
      </w:tr>
    </w:tbl>
    <w:p>
      <w:pPr/>
      <w:r>
        <w:t>Размеры изделия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69"/>
        <w:gridCol w:w="5269"/>
      </w:tblGrid>
      <w:tr>
        <w:tc>
          <w:tcPr>
            <w:tcW w:type="dxa" w:w="5269"/>
          </w:tcPr>
          <w:p>
            <w:r>
              <w:t>Длина, мм</w:t>
            </w:r>
          </w:p>
        </w:tc>
        <w:tc>
          <w:tcPr>
            <w:tcW w:type="dxa" w:w="5269"/>
          </w:tcPr>
          <w:p>
            <w:r/>
          </w:p>
        </w:tc>
      </w:tr>
      <w:tr>
        <w:tc>
          <w:tcPr>
            <w:tcW w:type="dxa" w:w="5269"/>
          </w:tcPr>
          <w:p>
            <w:r>
              <w:t>Ширина, мм</w:t>
            </w:r>
          </w:p>
        </w:tc>
        <w:tc>
          <w:tcPr>
            <w:tcW w:type="dxa" w:w="5269"/>
          </w:tcPr>
          <w:p>
            <w:r/>
          </w:p>
        </w:tc>
      </w:tr>
      <w:tr>
        <w:tc>
          <w:tcPr>
            <w:tcW w:type="dxa" w:w="5269"/>
          </w:tcPr>
          <w:p>
            <w:r>
              <w:t>Толщина, мм</w:t>
            </w:r>
          </w:p>
        </w:tc>
        <w:tc>
          <w:tcPr>
            <w:tcW w:type="dxa" w:w="5269"/>
          </w:tcPr>
          <w:p>
            <w:r/>
          </w:p>
        </w:tc>
      </w:tr>
    </w:tbl>
    <w:p>
      <w:pPr>
        <w:pStyle w:val="NewHeading2"/>
      </w:pPr>
      <w:r>
        <w:t>2.2. Внешний вид и конструктивное исполнение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8504"/>
      </w:tblGrid>
      <w:tr>
        <w:tc>
          <w:tcPr>
            <w:tcW w:type="dxa" w:w="2268"/>
          </w:tcPr>
          <w:p>
            <w:r>
              <w:t>Цель:</w:t>
            </w:r>
          </w:p>
        </w:tc>
        <w:tc>
          <w:tcPr>
            <w:tcW w:type="dxa" w:w="8504"/>
          </w:tcPr>
          <w:p>
            <w:r>
              <w:t>Проверка соответствия следующим пунктам технических требований:</w:t>
            </w:r>
          </w:p>
          <w:p>
            <w:r>
              <w:t>1.3. UID должен быть нанесен на корпусе БЭК в виде штрих-кода и отдельно в виде буквенно-цифровой последовательности, позволяющим считать его автоматически сканером штрих-кодов и визуально.</w:t>
            </w:r>
          </w:p>
          <w:p>
            <w:r>
              <w:t>1.4. UID должен указываться в шестнадцатеричной системе счисления (порядок следования байтов в номере «Big-endian»).</w:t>
            </w:r>
          </w:p>
          <w:p>
            <w:r>
              <w:t>2.9. Конструктивные особенности БЭК:</w:t>
              <w:br/>
              <w:br/>
              <w:t>* наличие отверстия под кольцо, расположенное в верхнем углу изделия с его армированием для противодействия разрыву.</w:t>
              <w:br/>
              <w:br/>
              <w:t>* диаметр отверстия под кольцо: не менее 2.9 мм и не более 7 мм.</w:t>
            </w:r>
          </w:p>
          <w:p>
            <w:r>
              <w:t>4.4. Поверхность БЭК не должна иметь зазубрин, заусенец, трещин, пятен, вмятин, царапин, без инородных включений. Элементы конструкции не должны иметь острых углов, представляющих опасность для пользователя.</w:t>
            </w:r>
          </w:p>
          <w:p>
            <w:r>
              <w:t>4.9. UID должен однозначно четко читаться при естественном освещении и без дополнительных оптических приборов. Цифры, буквы, элементы штрих-кода и другие символы должны иметь четкие, не расплывчатые контуры, соответствующие оригинал-макету.</w:t>
            </w:r>
          </w:p>
        </w:tc>
      </w:tr>
      <w:tr>
        <w:tc>
          <w:tcPr>
            <w:tcW w:type="dxa" w:w="2268"/>
          </w:tcPr>
          <w:p>
            <w:r>
              <w:t>Процедура:</w:t>
            </w:r>
          </w:p>
        </w:tc>
        <w:tc>
          <w:tcPr>
            <w:tcW w:type="dxa" w:w="8504"/>
          </w:tcPr>
          <w:p>
            <w:r>
              <w:t>1. Осмотреть изделие, оценить его соответствие техническим требованиям.</w:t>
              <w:br/>
              <w:t>2. Измерить диаметр отверстия под кольцо.</w:t>
            </w:r>
          </w:p>
        </w:tc>
      </w:tr>
      <w:tr>
        <w:tc>
          <w:tcPr>
            <w:tcW w:type="dxa" w:w="2268"/>
          </w:tcPr>
          <w:p>
            <w:r>
              <w:t>Ожидаемый результат:</w:t>
            </w:r>
          </w:p>
        </w:tc>
        <w:tc>
          <w:tcPr>
            <w:tcW w:type="dxa" w:w="8504"/>
          </w:tcPr>
          <w:p>
            <w:r>
              <w:t>* Наличие уникального идентификатора в виде неразрывной последовательности цифробуквенных символов (без пробелов, точек, дефисов и т.п.) в шестнадцатеричной системе счисления.</w:t>
              <w:br/>
              <w:t>•  Уникальный идентификатор продублирован штрих-кодом.</w:t>
              <w:br/>
              <w:t>•  Поверхность изделия не имеет острых углов, зазубрин, заусенец, трещин, пятен, вмятин, царапин.</w:t>
              <w:br/>
              <w:t>•  Поверхность изделия отмывается от загрязнений, имеет стойкость к действию бензина и масла.</w:t>
              <w:br/>
              <w:t>•  Графическое оформление изделия брендировано в соответствии с макетом заказчика (наличие логотипов "Ростелеком", "Ростелеком Ключ", адреса сайта, телефонного номера службы технической поддержки).</w:t>
              <w:br/>
              <w:t>•  Наличие отверстия под кольцо, расположенное в верхнем углу изделия с его армированием для противодействия разрыву.</w:t>
              <w:br/>
              <w:t>•  Диаметр отверстия под кольцо не менее 2.9 мм и не более 7 мм.</w:t>
            </w:r>
          </w:p>
        </w:tc>
      </w:tr>
    </w:tbl>
    <w:p>
      <w:pPr/>
      <w:r>
        <w:t>Внешний вид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69"/>
        <w:gridCol w:w="5269"/>
      </w:tblGrid>
      <w:tr>
        <w:tc>
          <w:tcPr>
            <w:tcW w:type="dxa" w:w="5269"/>
          </w:tcPr>
          <w:p>
            <w:r>
              <w:t>Наличие уникального идентификатора в виде неразрывной последовательности цифробуквенных символов (без пробелов, точек, дефисов и т.п.) в шестнадцатеричной системе счисления.</w:t>
            </w:r>
          </w:p>
        </w:tc>
        <w:tc>
          <w:tcPr>
            <w:tcW w:type="dxa" w:w="5269"/>
          </w:tcPr>
          <w:p>
            <w:r/>
          </w:p>
        </w:tc>
      </w:tr>
      <w:tr>
        <w:tc>
          <w:tcPr>
            <w:tcW w:type="dxa" w:w="5269"/>
          </w:tcPr>
          <w:p>
            <w:r>
              <w:t>Уникальный идентификатор продублирован штрих-кодом.</w:t>
            </w:r>
          </w:p>
        </w:tc>
        <w:tc>
          <w:tcPr>
            <w:tcW w:type="dxa" w:w="5269"/>
          </w:tcPr>
          <w:p>
            <w:r/>
          </w:p>
        </w:tc>
      </w:tr>
      <w:tr>
        <w:tc>
          <w:tcPr>
            <w:tcW w:type="dxa" w:w="5269"/>
          </w:tcPr>
          <w:p>
            <w:r>
              <w:t>Наличие отверстия под кольцо, расположенное в верхнем углу изделия с его армированием для противодействия разрыву.</w:t>
            </w:r>
          </w:p>
        </w:tc>
        <w:tc>
          <w:tcPr>
            <w:tcW w:type="dxa" w:w="5269"/>
          </w:tcPr>
          <w:p>
            <w:r/>
          </w:p>
        </w:tc>
      </w:tr>
      <w:tr>
        <w:tc>
          <w:tcPr>
            <w:tcW w:type="dxa" w:w="5269"/>
          </w:tcPr>
          <w:p>
            <w:r>
              <w:t>Поверхность изделия не имеет острых углов, зазубрин, заусенец, трещин, пятен, вмятин, царапин.</w:t>
            </w:r>
          </w:p>
        </w:tc>
        <w:tc>
          <w:tcPr>
            <w:tcW w:type="dxa" w:w="5269"/>
          </w:tcPr>
          <w:p>
            <w:r/>
          </w:p>
        </w:tc>
      </w:tr>
      <w:tr>
        <w:tc>
          <w:tcPr>
            <w:tcW w:type="dxa" w:w="5269"/>
          </w:tcPr>
          <w:p>
            <w:r>
              <w:t>Поверхность изделия отмывается от загрязнений, имеет стойкость к действию бензина и масла.</w:t>
            </w:r>
          </w:p>
        </w:tc>
        <w:tc>
          <w:tcPr>
            <w:tcW w:type="dxa" w:w="5269"/>
          </w:tcPr>
          <w:p>
            <w:r/>
          </w:p>
        </w:tc>
      </w:tr>
      <w:tr>
        <w:tc>
          <w:tcPr>
            <w:tcW w:type="dxa" w:w="5269"/>
          </w:tcPr>
          <w:p>
            <w:r>
              <w:t>Графическое оформление изделия брендировано в соответствии с макетом заказчика (наличие логотипов “Ростелеком”, “Ростелеком Ключ”, адреса сайта, телефонного номера службы технической поддержки).</w:t>
            </w:r>
          </w:p>
        </w:tc>
        <w:tc>
          <w:tcPr>
            <w:tcW w:type="dxa" w:w="5269"/>
          </w:tcPr>
          <w:p>
            <w:r/>
          </w:p>
        </w:tc>
      </w:tr>
      <w:tr>
        <w:tc>
          <w:tcPr>
            <w:tcW w:type="dxa" w:w="5269"/>
          </w:tcPr>
          <w:p>
            <w:r>
              <w:t>Диаметр отверстия под кольцо, мм</w:t>
            </w:r>
          </w:p>
        </w:tc>
        <w:tc>
          <w:tcPr>
            <w:tcW w:type="dxa" w:w="5269"/>
          </w:tcPr>
          <w:p>
            <w:r/>
          </w:p>
        </w:tc>
      </w:tr>
    </w:tbl>
    <w:p>
      <w:pPr>
        <w:pStyle w:val="NewHeading2"/>
      </w:pPr>
      <w:r>
        <w:t>2.3. Маркировка UV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8504"/>
      </w:tblGrid>
      <w:tr>
        <w:tc>
          <w:tcPr>
            <w:tcW w:type="dxa" w:w="2268"/>
          </w:tcPr>
          <w:p>
            <w:r>
              <w:t>Цель:</w:t>
            </w:r>
          </w:p>
        </w:tc>
        <w:tc>
          <w:tcPr>
            <w:tcW w:type="dxa" w:w="8504"/>
          </w:tcPr>
          <w:p>
            <w:r>
              <w:t>Проверка соответствия следующим пунктам технических требований:</w:t>
            </w:r>
          </w:p>
          <w:p>
            <w:r>
              <w:t>3.5. Каждый БЭК должен иметь маркировку завода-производителя, видимую в UV-диапазоне 360-390 нм, не нарушающую дизайн и позволяющую провести оперативное опознание партии и поставщика на месте любым сотрудником с помощью детектора банкнот. В маркировке, по выбору, могут быть зафиксированы: регион, дата, маркировка завода-производителя, номер партии и другие параметры (по согласованию).</w:t>
            </w:r>
          </w:p>
        </w:tc>
      </w:tr>
    </w:tbl>
    <w:p>
      <w:pPr>
        <w:pStyle w:val="NewHeading1"/>
      </w:pPr>
      <w:r>
        <w:t>3. Проверка считываемости</w:t>
      </w:r>
    </w:p>
    <w:p>
      <w:pPr>
        <w:pStyle w:val="NewHeading2"/>
      </w:pPr>
      <w:r>
        <w:t>3.1. Штрих-код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8504"/>
      </w:tblGrid>
      <w:tr>
        <w:tc>
          <w:tcPr>
            <w:tcW w:type="dxa" w:w="2268"/>
          </w:tcPr>
          <w:p>
            <w:r>
              <w:t>Цель:</w:t>
            </w:r>
          </w:p>
        </w:tc>
        <w:tc>
          <w:tcPr>
            <w:tcW w:type="dxa" w:w="8504"/>
          </w:tcPr>
          <w:p>
            <w:r>
              <w:t>Проверка соответствия следующим пунктам технических требований:</w:t>
            </w:r>
          </w:p>
          <w:p>
            <w:r>
              <w:t>1.3. UID должен быть нанесен на корпусе БЭК в виде штрих-кода и отдельно в виде буквенно-цифровой последовательности, позволяющим считать его автоматически сканером штрих-кодов и визуально.</w:t>
            </w:r>
          </w:p>
        </w:tc>
      </w:tr>
      <w:tr>
        <w:tc>
          <w:tcPr>
            <w:tcW w:type="dxa" w:w="2268"/>
          </w:tcPr>
          <w:p>
            <w:r>
              <w:t>Процедура:</w:t>
            </w:r>
          </w:p>
        </w:tc>
        <w:tc>
          <w:tcPr>
            <w:tcW w:type="dxa" w:w="8504"/>
          </w:tcPr>
          <w:p>
            <w:r>
              <w:t>1. Просканировать штрих-код на корпусе.</w:t>
              <w:br/>
              <w:t>2. Сравнить просканированное значение штрих-кода с буквенно-цифровым нанесением.</w:t>
            </w:r>
          </w:p>
        </w:tc>
      </w:tr>
      <w:tr>
        <w:tc>
          <w:tcPr>
            <w:tcW w:type="dxa" w:w="2268"/>
          </w:tcPr>
          <w:p>
            <w:r>
              <w:t>Ожидаемый результат:</w:t>
            </w:r>
          </w:p>
        </w:tc>
        <w:tc>
          <w:tcPr>
            <w:tcW w:type="dxa" w:w="8504"/>
          </w:tcPr>
          <w:p>
            <w:r>
              <w:t>1. Соответствие полученного сканированием штрих-кода UID нанесённому на корпус.</w:t>
              <w:br/>
              <w:t>2. Формат UID: буквенно-цифровая последовательность.</w:t>
            </w:r>
          </w:p>
        </w:tc>
      </w:tr>
    </w:tbl>
    <w:p>
      <w:pPr>
        <w:pStyle w:val="NewHeading2"/>
      </w:pPr>
      <w:r>
        <w:t>3.2. NFC TagInfo by NXP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8504"/>
      </w:tblGrid>
      <w:tr>
        <w:tc>
          <w:tcPr>
            <w:tcW w:type="dxa" w:w="2268"/>
          </w:tcPr>
          <w:p>
            <w:r>
              <w:t>Цель:</w:t>
            </w:r>
          </w:p>
        </w:tc>
        <w:tc>
          <w:tcPr>
            <w:tcW w:type="dxa" w:w="8504"/>
          </w:tcPr>
          <w:p>
            <w:r>
              <w:t>Проверка соответствия следующим пунктам технических требований:</w:t>
            </w:r>
          </w:p>
          <w:p>
            <w:r>
              <w:t>2.1. Микросхема, используемая в БЭК, должна быть с повышенным уровнем защищенности с основными характеристиками:</w:t>
              <w:br/>
              <w:br/>
              <w:t># Полное соответствие стандарту Mifare Plus SE 1K MF1SEP1001.</w:t>
              <w:br/>
              <w:br/>
              <w:t># Использование бесконтактного интерфейса с диапазоном частот 13,56 МГц, расстояние считывания не менее 4 см.</w:t>
              <w:br/>
              <w:br/>
              <w:t># Объем программируемой памяти EEPROM - не менее 1 КБ.</w:t>
              <w:br/>
              <w:br/>
              <w:t># Количество циклов чтения-записи - не менее 10 000.</w:t>
              <w:br/>
              <w:br/>
              <w:t># Срок хранения данных в памяти - не менее 5 лет.</w:t>
              <w:br/>
              <w:br/>
              <w:t># Уникальный 7-ми байтный идентификационный номер БЭК, чипа (UID).</w:t>
              <w:br/>
              <w:br/>
              <w:t># Скорость передачи данных должна обеспечиваться во всем диапазоне 106/212/424/848 Кбит/с, использование ускоренных транзакций за счет гибкой файловой структуры, поддержка «Multi» команд.</w:t>
              <w:br/>
              <w:br/>
              <w:t xml:space="preserve"># Структура памяти - 16 секторов по 4 блока с возможностью хранения ключей в формате: </w:t>
              <w:br/>
              <w:br/>
              <w:t>** 2 ключа Crypto1 (48 бит) на сектор (в режиме SL1).</w:t>
              <w:br/>
              <w:br/>
              <w:t>** 2 ключа AES (128 бит) на сектор (в режиме SL3).</w:t>
              <w:br/>
              <w:br/>
              <w:t># Совместимость с микросхемами, использующими алгоритм шифрования Crypto1.</w:t>
              <w:br/>
              <w:br/>
              <w:t># Использование алгоритма шифрования AES для аутентификации и обеспечения целостности и конфиденциальности данных.</w:t>
              <w:br/>
              <w:br/>
              <w:t># Возможность записи AES128 ключей перехода на более высокий уровень безопасности (Security Level 3).</w:t>
              <w:br/>
              <w:br/>
              <w:t># Функция защиты от обрывов связи при записи AES 128– ключей.</w:t>
              <w:br/>
              <w:br/>
              <w:t># Соответствие требованиям сертификации Common Criteria уровня EAL 4+.</w:t>
              <w:br/>
              <w:br/>
              <w:t># Микросхема должна находиться на уровне безопасности SL3.</w:t>
              <w:br/>
              <w:br/>
              <w:t># Техническое задание на кодировку в SL3 является конфиденциальной информацией и передается производителю БЭК после подписания договора.</w:t>
            </w:r>
          </w:p>
        </w:tc>
      </w:tr>
      <w:tr>
        <w:tc>
          <w:tcPr>
            <w:tcW w:type="dxa" w:w="2268"/>
          </w:tcPr>
          <w:p>
            <w:r>
              <w:t>Процедура:</w:t>
            </w:r>
          </w:p>
        </w:tc>
        <w:tc>
          <w:tcPr>
            <w:tcW w:type="dxa" w:w="8504"/>
          </w:tcPr>
          <w:p>
            <w:r>
              <w:t>Проверить считываемость ключа утилитой NFC TagInfo by NXP.</w:t>
            </w:r>
          </w:p>
        </w:tc>
      </w:tr>
      <w:tr>
        <w:tc>
          <w:tcPr>
            <w:tcW w:type="dxa" w:w="2268"/>
          </w:tcPr>
          <w:p>
            <w:r>
              <w:t>Ожидаемый результат:</w:t>
            </w:r>
          </w:p>
        </w:tc>
        <w:tc>
          <w:tcPr>
            <w:tcW w:type="dxa" w:w="8504"/>
          </w:tcPr>
          <w:p>
            <w:r>
              <w:t>1. На вкладке IC INFO зафиксировать значение IC Manufacturer.</w:t>
              <w:br/>
              <w:t>2. На вкладке IC INFO зафиксировать значение IC Type.</w:t>
              <w:br/>
              <w:t>3. На вкладке EXTRA зафиксировать значение Memory Information. Размер.</w:t>
              <w:br/>
              <w:t>4. На вкладке EXTRA зафиксировать значение Memory Information. Структура памяти.</w:t>
              <w:br/>
              <w:t>5. На вкладке EXTRA зафиксировать значение Security Level detected.</w:t>
              <w:br/>
              <w:t>6. На вкладке FULL SCAN зафиксировать значение Detailed Protocol Information. ID, ATQA, SAK, ATS, Supported Receive Rates, Supported Send Rates.</w:t>
              <w:br/>
              <w:t>7. На вкладке FULL SCAN зафиксировать значение блока Memory Content - Sector 0 и Sector 1.</w:t>
            </w:r>
          </w:p>
        </w:tc>
      </w:tr>
    </w:tbl>
    <w:p>
      <w:pPr/>
      <w:r>
        <w:t>TagInfo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69"/>
        <w:gridCol w:w="5269"/>
      </w:tblGrid>
      <w:tr>
        <w:tc>
          <w:tcPr>
            <w:tcW w:type="dxa" w:w="5269"/>
          </w:tcPr>
          <w:p>
            <w:r>
              <w:t>IC INFO -&gt; IC Manufacturer</w:t>
            </w:r>
          </w:p>
        </w:tc>
        <w:tc>
          <w:tcPr>
            <w:tcW w:type="dxa" w:w="5269"/>
          </w:tcPr>
          <w:p>
            <w:r/>
          </w:p>
        </w:tc>
      </w:tr>
      <w:tr>
        <w:tc>
          <w:tcPr>
            <w:tcW w:type="dxa" w:w="5269"/>
          </w:tcPr>
          <w:p>
            <w:r>
              <w:t>IC INFO -&gt; IC Type</w:t>
            </w:r>
          </w:p>
        </w:tc>
        <w:tc>
          <w:tcPr>
            <w:tcW w:type="dxa" w:w="5269"/>
          </w:tcPr>
          <w:p>
            <w:r/>
          </w:p>
        </w:tc>
      </w:tr>
      <w:tr>
        <w:tc>
          <w:tcPr>
            <w:tcW w:type="dxa" w:w="5269"/>
          </w:tcPr>
          <w:p>
            <w:r>
              <w:t>EXTRA -&gt; Memory Information -&gt; Размер</w:t>
            </w:r>
          </w:p>
        </w:tc>
        <w:tc>
          <w:tcPr>
            <w:tcW w:type="dxa" w:w="5269"/>
          </w:tcPr>
          <w:p>
            <w:r/>
          </w:p>
        </w:tc>
      </w:tr>
      <w:tr>
        <w:tc>
          <w:tcPr>
            <w:tcW w:type="dxa" w:w="5269"/>
          </w:tcPr>
          <w:p>
            <w:r>
              <w:t>EXTRA -&gt; Memory Information -&gt; Структура</w:t>
            </w:r>
          </w:p>
        </w:tc>
        <w:tc>
          <w:tcPr>
            <w:tcW w:type="dxa" w:w="5269"/>
          </w:tcPr>
          <w:p>
            <w:r/>
          </w:p>
        </w:tc>
      </w:tr>
      <w:tr>
        <w:tc>
          <w:tcPr>
            <w:tcW w:type="dxa" w:w="5269"/>
          </w:tcPr>
          <w:p>
            <w:r>
              <w:t>EXTRA -&gt; Security Level detected</w:t>
            </w:r>
          </w:p>
        </w:tc>
        <w:tc>
          <w:tcPr>
            <w:tcW w:type="dxa" w:w="5269"/>
          </w:tcPr>
          <w:p>
            <w:r/>
          </w:p>
        </w:tc>
      </w:tr>
      <w:tr>
        <w:tc>
          <w:tcPr>
            <w:tcW w:type="dxa" w:w="5269"/>
          </w:tcPr>
          <w:p>
            <w:r>
              <w:t>FULL SCAN -&gt; Detailed Protocol Information -&gt; ID</w:t>
            </w:r>
          </w:p>
        </w:tc>
        <w:tc>
          <w:tcPr>
            <w:tcW w:type="dxa" w:w="5269"/>
          </w:tcPr>
          <w:p>
            <w:r/>
          </w:p>
        </w:tc>
      </w:tr>
      <w:tr>
        <w:tc>
          <w:tcPr>
            <w:tcW w:type="dxa" w:w="5269"/>
          </w:tcPr>
          <w:p>
            <w:r>
              <w:t>FULL SCAN -&gt; Detailed Protocol Information -&gt; ATQA</w:t>
            </w:r>
          </w:p>
        </w:tc>
        <w:tc>
          <w:tcPr>
            <w:tcW w:type="dxa" w:w="5269"/>
          </w:tcPr>
          <w:p>
            <w:r/>
          </w:p>
        </w:tc>
      </w:tr>
      <w:tr>
        <w:tc>
          <w:tcPr>
            <w:tcW w:type="dxa" w:w="5269"/>
          </w:tcPr>
          <w:p>
            <w:r>
              <w:t>FULL SCAN -&gt; Detailed Protocol Information -&gt; SAK</w:t>
            </w:r>
          </w:p>
        </w:tc>
        <w:tc>
          <w:tcPr>
            <w:tcW w:type="dxa" w:w="5269"/>
          </w:tcPr>
          <w:p>
            <w:r/>
          </w:p>
        </w:tc>
      </w:tr>
      <w:tr>
        <w:tc>
          <w:tcPr>
            <w:tcW w:type="dxa" w:w="5269"/>
          </w:tcPr>
          <w:p>
            <w:r>
              <w:t>FULL SCAN -&gt; Detailed Protocol Information -&gt; ATS</w:t>
            </w:r>
          </w:p>
        </w:tc>
        <w:tc>
          <w:tcPr>
            <w:tcW w:type="dxa" w:w="5269"/>
          </w:tcPr>
          <w:p>
            <w:r/>
          </w:p>
        </w:tc>
      </w:tr>
      <w:tr>
        <w:tc>
          <w:tcPr>
            <w:tcW w:type="dxa" w:w="5269"/>
          </w:tcPr>
          <w:p>
            <w:r>
              <w:t>FULL SCAN -&gt; Detailed Protocol Information -&gt; Supported receive rates</w:t>
            </w:r>
          </w:p>
        </w:tc>
        <w:tc>
          <w:tcPr>
            <w:tcW w:type="dxa" w:w="5269"/>
          </w:tcPr>
          <w:p>
            <w:r/>
          </w:p>
        </w:tc>
      </w:tr>
      <w:tr>
        <w:tc>
          <w:tcPr>
            <w:tcW w:type="dxa" w:w="5269"/>
          </w:tcPr>
          <w:p>
            <w:r>
              <w:t>FULL SCAN -&gt; Detailed Protocol Information -&gt; Supported send rates</w:t>
            </w:r>
          </w:p>
        </w:tc>
        <w:tc>
          <w:tcPr>
            <w:tcW w:type="dxa" w:w="5269"/>
          </w:tcPr>
          <w:p>
            <w:r/>
          </w:p>
        </w:tc>
      </w:tr>
    </w:tbl>
    <w:p>
      <w:pPr>
        <w:pStyle w:val="NewHeading2"/>
      </w:pPr>
      <w:r>
        <w:t>3.3. SL3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8504"/>
      </w:tblGrid>
      <w:tr>
        <w:tc>
          <w:tcPr>
            <w:tcW w:type="dxa" w:w="10772"/>
            <w:gridSpan w:val="2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0" cy="806381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80638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ewHeading2"/>
      </w:pPr>
      <w:r>
        <w:t>3.4. Расстояние считывания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8504"/>
      </w:tblGrid>
      <w:tr>
        <w:tc>
          <w:tcPr>
            <w:tcW w:type="dxa" w:w="2268"/>
          </w:tcPr>
          <w:p>
            <w:r>
              <w:t>Цель:</w:t>
            </w:r>
          </w:p>
        </w:tc>
        <w:tc>
          <w:tcPr>
            <w:tcW w:type="dxa" w:w="8504"/>
          </w:tcPr>
          <w:p>
            <w:r>
              <w:t>Проверка соответствия следующим пунктам технических требований:</w:t>
            </w:r>
          </w:p>
          <w:p>
            <w:r>
              <w:t>2.1. Микросхема, используемая в БЭК, должна быть с повышенным уровнем защищенности с основными характеристиками:</w:t>
              <w:br/>
              <w:br/>
              <w:t># Полное соответствие стандарту Mifare Plus SE 1K MF1SEP1001.</w:t>
              <w:br/>
              <w:br/>
              <w:t># Использование бесконтактного интерфейса с диапазоном частот 13,56 МГц, расстояние считывания не менее 4 см.</w:t>
              <w:br/>
              <w:br/>
              <w:t># Объем программируемой памяти EEPROM - не менее 1 КБ.</w:t>
              <w:br/>
              <w:br/>
              <w:t># Количество циклов чтения-записи - не менее 10 000.</w:t>
              <w:br/>
              <w:br/>
              <w:t># Срок хранения данных в памяти - не менее 5 лет.</w:t>
              <w:br/>
              <w:br/>
              <w:t># Уникальный 7-ми байтный идентификационный номер БЭК, чипа (UID).</w:t>
              <w:br/>
              <w:br/>
              <w:t># Скорость передачи данных должна обеспечиваться во всем диапазоне 106/212/424/848 Кбит/с, использование ускоренных транзакций за счет гибкой файловой структуры, поддержка «Multi» команд.</w:t>
              <w:br/>
              <w:br/>
              <w:t xml:space="preserve"># Структура памяти - 16 секторов по 4 блока с возможностью хранения ключей в формате: </w:t>
              <w:br/>
              <w:br/>
              <w:t>** 2 ключа Crypto1 (48 бит) на сектор (в режиме SL1).</w:t>
              <w:br/>
              <w:br/>
              <w:t>** 2 ключа AES (128 бит) на сектор (в режиме SL3).</w:t>
              <w:br/>
              <w:br/>
              <w:t># Совместимость с микросхемами, использующими алгоритм шифрования Crypto1.</w:t>
              <w:br/>
              <w:br/>
              <w:t># Использование алгоритма шифрования AES для аутентификации и обеспечения целостности и конфиденциальности данных.</w:t>
              <w:br/>
              <w:br/>
              <w:t># Возможность записи AES128 ключей перехода на более высокий уровень безопасности (Security Level 3).</w:t>
              <w:br/>
              <w:br/>
              <w:t># Функция защиты от обрывов связи при записи AES 128– ключей.</w:t>
              <w:br/>
              <w:br/>
              <w:t># Соответствие требованиям сертификации Common Criteria уровня EAL 4+.</w:t>
              <w:br/>
              <w:br/>
              <w:t># Микросхема должна находиться на уровне безопасности SL3.</w:t>
              <w:br/>
              <w:br/>
              <w:t># Техническое задание на кодировку в SL3 является конфиденциальной информацией и передается производителю БЭК после подписания договора.</w:t>
            </w:r>
          </w:p>
        </w:tc>
      </w:tr>
      <w:tr>
        <w:tc>
          <w:tcPr>
            <w:tcW w:type="dxa" w:w="10772"/>
            <w:gridSpan w:val="2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0" cy="806381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80638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268"/>
          </w:tcPr>
          <w:p>
            <w:r>
              <w:t>Процедура:</w:t>
            </w:r>
          </w:p>
        </w:tc>
        <w:tc>
          <w:tcPr>
            <w:tcW w:type="dxa" w:w="8504"/>
          </w:tcPr>
          <w:p>
            <w:r>
              <w:t>Проверить расстояние считывания.</w:t>
            </w:r>
          </w:p>
        </w:tc>
      </w:tr>
      <w:tr>
        <w:tc>
          <w:tcPr>
            <w:tcW w:type="dxa" w:w="2268"/>
          </w:tcPr>
          <w:p>
            <w:r>
              <w:t>Ожидаемый результат:</w:t>
            </w:r>
          </w:p>
        </w:tc>
        <w:tc>
          <w:tcPr>
            <w:tcW w:type="dxa" w:w="8504"/>
          </w:tcPr>
          <w:p>
            <w:r>
              <w:t>Расстояние считывания не менее 1 см.</w:t>
            </w:r>
          </w:p>
        </w:tc>
      </w:tr>
    </w:tbl>
    <w:p>
      <w:pPr>
        <w:pStyle w:val="NewHeading1"/>
      </w:pPr>
      <w:r>
        <w:t>4. Проверка стойкости к износу и повреждению</w:t>
      </w:r>
    </w:p>
    <w:p>
      <w:pPr>
        <w:pStyle w:val="NewHeading2"/>
      </w:pPr>
      <w:r>
        <w:t>4.1. Перегиб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8504"/>
      </w:tblGrid>
      <w:tr>
        <w:tc>
          <w:tcPr>
            <w:tcW w:type="dxa" w:w="2268"/>
          </w:tcPr>
          <w:p>
            <w:r>
              <w:t>Цель:</w:t>
            </w:r>
          </w:p>
        </w:tc>
        <w:tc>
          <w:tcPr>
            <w:tcW w:type="dxa" w:w="8504"/>
          </w:tcPr>
          <w:p>
            <w:r>
              <w:t>Проверка соответствия следующим пунктам технических требований:</w:t>
            </w:r>
          </w:p>
          <w:p>
            <w:r>
              <w:t>2.10. «Ушко» (угол БЭК с отверстием под кольцо) должно выдерживать не менее 20 перегибов без нарушения целостности или должно выдерживать усилия изгиба без нарушения целостности. Разрывное усилие ушка не менее 140 Н.</w:t>
            </w:r>
          </w:p>
        </w:tc>
      </w:tr>
    </w:tbl>
    <w:p>
      <w:pPr>
        <w:pStyle w:val="NewHeading2"/>
      </w:pPr>
      <w:r>
        <w:t>4.2. Разрыв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8504"/>
      </w:tblGrid>
      <w:tr>
        <w:tc>
          <w:tcPr>
            <w:tcW w:type="dxa" w:w="2268"/>
          </w:tcPr>
          <w:p>
            <w:r>
              <w:t>Цель:</w:t>
            </w:r>
          </w:p>
        </w:tc>
        <w:tc>
          <w:tcPr>
            <w:tcW w:type="dxa" w:w="8504"/>
          </w:tcPr>
          <w:p>
            <w:r>
              <w:t>Проверка соответствия следующим пунктам технических требований:</w:t>
            </w:r>
          </w:p>
          <w:p>
            <w:r>
              <w:t>2.9. Конструктивные особенности БЭК:</w:t>
              <w:br/>
              <w:br/>
              <w:t>* наличие отверстия под кольцо, расположенное в верхнем углу изделия с его армированием для противодействия разрыву.</w:t>
              <w:br/>
              <w:br/>
              <w:t>* диаметр отверстия под кольцо: не менее 2.9 мм и не более 7 мм.</w:t>
            </w:r>
          </w:p>
          <w:p>
            <w:r>
              <w:t>2.10. «Ушко» (угол БЭК с отверстием под кольцо) должно выдерживать не менее 20 перегибов без нарушения целостности или должно выдерживать усилия изгиба без нарушения целостности. Разрывное усилие ушка не менее 140 Н.</w:t>
            </w:r>
          </w:p>
        </w:tc>
      </w:tr>
      <w:tr>
        <w:tc>
          <w:tcPr>
            <w:tcW w:type="dxa" w:w="2268"/>
          </w:tcPr>
          <w:p>
            <w:r>
              <w:t>Процедура:</w:t>
            </w:r>
          </w:p>
        </w:tc>
        <w:tc>
          <w:tcPr>
            <w:tcW w:type="dxa" w:w="8504"/>
          </w:tcPr>
          <w:p>
            <w:r>
              <w:t>Для проведения испытания используется динамометрический стенд с крюком диаметром 3,5 ± 0,1 мм.</w:t>
              <w:br/>
              <w:br/>
              <w:t>1. Закрепить ключ в стенде.</w:t>
              <w:br/>
              <w:t>2. Создать усилие 140 Н.</w:t>
              <w:br/>
              <w:t>3. Увеличивать усилие до повреждения ключа. Зафиксировать усилие при котором произошло повреждение.</w:t>
            </w:r>
          </w:p>
        </w:tc>
      </w:tr>
    </w:tbl>
    <w:p>
      <w:pPr>
        <w:pStyle w:val="NewHeading1"/>
      </w:pPr>
      <w:r>
        <w:t>5. Климатические испытания</w:t>
      </w:r>
    </w:p>
    <w:p>
      <w:pPr>
        <w:pStyle w:val="NewHeading2"/>
      </w:pPr>
      <w:r>
        <w:t>5.1. Рабочий диапазон температур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8504"/>
      </w:tblGrid>
      <w:tr>
        <w:tc>
          <w:tcPr>
            <w:tcW w:type="dxa" w:w="2268"/>
          </w:tcPr>
          <w:p>
            <w:r>
              <w:t>Цель:</w:t>
            </w:r>
          </w:p>
        </w:tc>
        <w:tc>
          <w:tcPr>
            <w:tcW w:type="dxa" w:w="8504"/>
          </w:tcPr>
          <w:p>
            <w:r>
              <w:t>Проверка соответствия следующим пунктам технических требований:</w:t>
            </w:r>
          </w:p>
          <w:p>
            <w:r>
              <w:t>2.7. Условия эксплуатации БЭК:</w:t>
              <w:br/>
              <w:br/>
              <w:t>* рабочий диапазон температур: от -40°С до +45°С.</w:t>
              <w:br/>
              <w:br/>
              <w:t>* относительная влажность: не более 80% при 25 °С, не более 75% при 30 °С (без конденсации влаги).</w:t>
            </w:r>
          </w:p>
        </w:tc>
      </w:tr>
      <w:tr>
        <w:tc>
          <w:tcPr>
            <w:tcW w:type="dxa" w:w="2268"/>
          </w:tcPr>
          <w:p>
            <w:r>
              <w:t>Процедура:</w:t>
            </w:r>
          </w:p>
        </w:tc>
        <w:tc>
          <w:tcPr>
            <w:tcW w:type="dxa" w:w="8504"/>
          </w:tcPr>
          <w:p>
            <w:r>
              <w:t>1. Поместить несколько БЭК в термокамеру и установить температуру -40°С.</w:t>
              <w:br/>
              <w:t>2. Выдержать 3 часа.</w:t>
              <w:br/>
              <w:t>3. Достать ключи и провести их считывание.</w:t>
              <w:br/>
              <w:t>4. Установить температуру +45°С при влажности 75%.</w:t>
              <w:br/>
              <w:t>5. Достать ключи и провести их считывание.</w:t>
            </w:r>
          </w:p>
        </w:tc>
      </w:tr>
      <w:tr>
        <w:tc>
          <w:tcPr>
            <w:tcW w:type="dxa" w:w="2268"/>
          </w:tcPr>
          <w:p>
            <w:r>
              <w:t>Ожидаемый результат:</w:t>
            </w:r>
          </w:p>
        </w:tc>
        <w:tc>
          <w:tcPr>
            <w:tcW w:type="dxa" w:w="8504"/>
          </w:tcPr>
          <w:p>
            <w:r>
              <w:t>Ключ считывается без ошибок.</w:t>
            </w:r>
          </w:p>
        </w:tc>
      </w:tr>
    </w:tbl>
    <w:sectPr w:rsidR="00FC693F" w:rsidRPr="0006063C" w:rsidSect="00034616">
      <w:pgSz w:w="12240" w:h="15840"/>
      <w:pgMar w:top="2268" w:right="567" w:bottom="567" w:left="1134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Style w:val="TableGrid"/>
      <w:tblW w:type="auto" w:w="0"/>
      <w:tblLook w:firstColumn="1" w:firstRow="1" w:lastColumn="0" w:lastRow="0" w:noHBand="0" w:noVBand="1" w:val="04A0"/>
    </w:tblPr>
    <w:tblGrid>
      <w:gridCol w:w="2835"/>
      <w:gridCol w:w="5953"/>
      <w:gridCol w:w="1984"/>
    </w:tblGrid>
    <w:tr>
      <w:tc>
        <w:tcPr>
          <w:tcW w:type="dxa" w:w="2835"/>
          <w:vAlign w:val="center"/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143000" cy="509984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50998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937"/>
          <w:gridSpan w:val="2"/>
          <w:vAlign w:val="center"/>
        </w:tcPr>
        <w:p>
          <w:pPr>
            <w:jc w:val="center"/>
          </w:pPr>
          <w:r>
            <w:t>ПМИ бесконтактного электронного ключа SL3</w:t>
          </w:r>
        </w:p>
      </w:tc>
    </w:tr>
    <w:tr>
      <w:tc>
        <w:tcPr>
          <w:tcW w:type="dxa" w:w="2835"/>
          <w:vAlign w:val="center"/>
        </w:tcPr>
        <w:p>
          <w:pPr>
            <w:jc w:val="center"/>
          </w:pPr>
          <w:r>
            <w:t>Редакция: 1.0/2026</w:t>
          </w:r>
        </w:p>
      </w:tc>
      <w:tc>
        <w:tcPr>
          <w:tcW w:type="dxa" w:w="5953"/>
          <w:vAlign w:val="center"/>
        </w:tcPr>
        <w:p>
          <w:pPr>
            <w:jc w:val="center"/>
          </w:pPr>
          <w:r>
            <w:t>ПАО «Ростелеком»</w:t>
          </w:r>
        </w:p>
      </w:tc>
      <w:tc>
        <w:tcPr>
          <w:tcW w:type="dxa" w:w="1984"/>
          <w:vAlign w:val="center"/>
        </w:tcPr>
        <w:p>
          <w:pPr>
            <w:jc w:val="center"/>
          </w:pPr>
          <w:r>
            <w:t xml:space="preserve">стр. </w:t>
            <w:fldChar w:fldCharType="begin"/>
            <w:instrText xml:space="preserve">PAGE</w:instrText>
            <w:fldChar w:fldCharType="end"/>
            <w:t xml:space="preserve"> из </w:t>
            <w:fldChar w:fldCharType="begin"/>
            <w:instrText xml:space="preserve">NUMPAGES</w:instrText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100" w:after="100"/>
      <w:jc w:val="left"/>
    </w:pPr>
    <w:rPr>
      <w:rFonts w:ascii="Times New Roman" w:hAnsi="Times New Roman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jc w:val="left"/>
      <w:outlineLvl w:val="0"/>
    </w:pPr>
    <w:rPr>
      <w:rFonts w:asciiTheme="majorHAnsi" w:eastAsiaTheme="majorEastAsia" w:hAnsiTheme="majorHAnsi" w:cstheme="majorBidi" w:ascii="Times New Roman" w:hAnsi="Times New Roman"/>
      <w:b/>
      <w:bCs/>
      <w:i/>
      <w:color w:val="000000"/>
      <w:sz w:val="26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00"/>
      <w:jc w:val="left"/>
      <w:outlineLvl w:val="1"/>
    </w:pPr>
    <w:rPr>
      <w:rFonts w:asciiTheme="majorHAnsi" w:eastAsiaTheme="majorEastAsia" w:hAnsiTheme="majorHAnsi" w:cstheme="majorBidi" w:ascii="Times New Roman" w:hAnsi="Times New Roman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100"/>
      <w:jc w:val="left"/>
      <w:outlineLvl w:val="2"/>
    </w:pPr>
    <w:rPr>
      <w:rFonts w:asciiTheme="majorHAnsi" w:eastAsiaTheme="majorEastAsia" w:hAnsiTheme="majorHAnsi" w:cstheme="majorBidi" w:ascii="Times New Roman" w:hAnsi="Times New Roman"/>
      <w:b/>
      <w:bCs/>
      <w:i w:val="0"/>
      <w:color w:val="000000"/>
      <w:sz w:val="26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0" w:line="240" w:lineRule="auto" w:before="14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i w:val="0"/>
      <w:color w:val="000000"/>
      <w:spacing w:val="5"/>
      <w:kern w:val="28"/>
      <w:sz w:val="5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00" w:after="100"/>
      <w:jc w:val="left"/>
    </w:pPr>
    <w:rPr>
      <w:rFonts w:ascii="Courier New" w:hAnsi="Courier New"/>
      <w:b w:val="0"/>
      <w:i w:val="0"/>
      <w:iCs/>
      <w:color w:val="000050"/>
      <w:sz w:val="16"/>
      <w:u w:val="none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before="100" w:after="100"/>
      <w:jc w:val="left"/>
    </w:pPr>
    <w:rPr>
      <w:rFonts w:ascii="Times New Roman" w:hAnsi="Times New Roman"/>
      <w:b/>
      <w:bCs/>
      <w:i/>
      <w:color w:val="000000"/>
      <w:sz w:val="24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ewTitle">
    <w:name w:val="New Title"/>
    <w:basedOn w:val="Normal"/>
    <w:pPr>
      <w:spacing w:before="140" w:after="0"/>
      <w:jc w:val="center"/>
    </w:pPr>
    <w:rPr>
      <w:rFonts w:ascii="Times New Roman" w:hAnsi="Times New Roman"/>
      <w:b/>
      <w:i w:val="0"/>
      <w:color w:val="000000"/>
      <w:sz w:val="52"/>
      <w:u w:val="none"/>
    </w:rPr>
  </w:style>
  <w:style w:type="paragraph" w:customStyle="1" w:styleId="NewSubTitle">
    <w:name w:val="New SubTitle"/>
    <w:basedOn w:val="Normal"/>
    <w:pPr>
      <w:spacing w:before="20" w:after="60"/>
      <w:jc w:val="center"/>
    </w:pPr>
    <w:rPr>
      <w:rFonts w:ascii="Times New Roman" w:hAnsi="Times New Roman"/>
      <w:b/>
      <w:i w:val="0"/>
      <w:color w:val="000000"/>
      <w:sz w:val="28"/>
      <w:u w:val="none"/>
    </w:rPr>
  </w:style>
  <w:style w:type="paragraph" w:customStyle="1" w:styleId="NewHeading1">
    <w:name w:val="New Heading 1"/>
    <w:basedOn w:val="Heading1"/>
    <w:pPr>
      <w:spacing w:before="40" w:after="160"/>
      <w:jc w:val="left"/>
    </w:pPr>
    <w:rPr>
      <w:rFonts w:ascii="Times New Roman" w:hAnsi="Times New Roman"/>
      <w:b/>
      <w:i/>
      <w:color w:val="000000"/>
      <w:sz w:val="26"/>
      <w:u w:val="single"/>
    </w:rPr>
  </w:style>
  <w:style w:type="paragraph" w:customStyle="1" w:styleId="NewHeading2">
    <w:name w:val="New Heading 2"/>
    <w:basedOn w:val="Heading2"/>
    <w:pPr>
      <w:spacing w:before="40" w:after="160"/>
      <w:jc w:val="left"/>
    </w:pPr>
    <w:rPr>
      <w:rFonts w:ascii="Times New Roman" w:hAnsi="Times New Roman"/>
      <w:b/>
      <w:i w:val="0"/>
      <w:color w:val="000000"/>
      <w:sz w:val="24"/>
      <w:u w:val="non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