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jc w:val="both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both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both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both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both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both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both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jc w:val="both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"/>
      <w:bookmarkStart w:id="1" w:name="_Toc139856287"/>
      <w:bookmarkStart w:id="2" w:name="_Toc137554584"/>
      <w:bookmarkStart w:id="3" w:name="_Toc141696704"/>
      <w:bookmarkStart w:id="4" w:name="_Toc139856287"/>
      <w:bookmarkStart w:id="5" w:name="_Toc137554584"/>
      <w:bookmarkEnd w:id="3"/>
      <w:bookmarkEnd w:id="4"/>
      <w:bookmarkEnd w:id="5"/>
    </w:p>
    <w:p>
      <w:pPr>
        <w:pStyle w:val="Normal"/>
        <w:widowControl w:val="false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widowControl w:val="false"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pacing w:lineRule="auto" w:line="276"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120" w:after="120"/>
        <w:jc w:val="center"/>
        <w:rPr/>
      </w:pPr>
      <w:r>
        <w:rPr>
          <w:rFonts w:eastAsia="Calibri"/>
          <w:sz w:val="26"/>
          <w:szCs w:val="26"/>
        </w:rPr>
        <w:t>«</w:t>
      </w:r>
      <w:r>
        <w:rPr/>
        <w:t>ОКПД 2: 74.90.13.000</w:t>
      </w:r>
      <w:r>
        <w:rPr>
          <w:rFonts w:ascii="system-ui" w:hAnsi="system-ui"/>
          <w:color w:val="333333"/>
          <w:shd w:fill="FFFFFF" w:val="clear"/>
        </w:rPr>
        <w:t xml:space="preserve"> </w:t>
      </w:r>
      <w:r>
        <w:rPr/>
        <w:t xml:space="preserve">Оказание услуг по  корректировке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120" w:after="120"/>
        <w:jc w:val="center"/>
        <w:rPr/>
      </w:pPr>
      <w:r>
        <w:rPr/>
        <w:t>Декларации о составе и свойствах сточных вод АО «ВНИИГ им. Б.Е. Веденеева»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120" w:after="120"/>
        <w:jc w:val="center"/>
        <w:rPr>
          <w:rFonts w:eastAsia="Calibri"/>
          <w:b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widowControl w:val="false"/>
        <w:jc w:val="both"/>
        <w:rPr>
          <w:b/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6"/>
            <w:tabs>
              <w:tab w:val="clear" w:pos="708"/>
              <w:tab w:val="right" w:pos="9637" w:leader="dot"/>
            </w:tabs>
            <w:rPr/>
          </w:pPr>
          <w:r>
            <w:fldChar w:fldCharType="begin"/>
          </w:r>
          <w:r>
            <w:rPr>
              <w:webHidden/>
              <w:vanish w:val="false"/>
            </w:rPr>
            <w:instrText> TOC \z \o "1-4" \u \h</w:instrText>
          </w:r>
          <w:r>
            <w:rPr>
              <w:webHidden/>
              <w:vanish w:val="false"/>
            </w:rPr>
            <w:fldChar w:fldCharType="separate"/>
          </w:r>
          <w:hyperlink w:anchor="__RefHeading___Toc1846_2775209442">
            <w:r>
              <w:rPr>
                <w:webHidden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637" w:leader="dot"/>
            </w:tabs>
            <w:rPr/>
          </w:pPr>
          <w:hyperlink w:anchor="__RefHeading___Toc1848_2775209442">
            <w:r>
              <w:rPr>
                <w:webHidden/>
                <w:vanish w:val="false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637" w:leader="dot"/>
            </w:tabs>
            <w:rPr/>
          </w:pPr>
          <w:hyperlink w:anchor="__RefHeading___Toc1850_2775209442">
            <w:r>
              <w:rPr>
                <w:webHidden/>
                <w:vanish w:val="false"/>
              </w:rPr>
              <w:t>1.2. Цель выполнения услуг</w:t>
              <w:tab/>
              <w:t>3</w:t>
            </w:r>
          </w:hyperlink>
        </w:p>
        <w:p>
          <w:pPr>
            <w:pStyle w:val="16"/>
            <w:tabs>
              <w:tab w:val="clear" w:pos="708"/>
              <w:tab w:val="right" w:pos="9637" w:leader="dot"/>
            </w:tabs>
            <w:rPr/>
          </w:pPr>
          <w:hyperlink w:anchor="__RefHeading___Toc8377_3764141053">
            <w:r>
              <w:rPr>
                <w:webHidden/>
                <w:vanish w:val="false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637" w:leader="dot"/>
            </w:tabs>
            <w:rPr/>
          </w:pPr>
          <w:hyperlink w:anchor="__RefHeading___Toc34819_3251196676">
            <w:r>
              <w:rPr>
                <w:webHidden/>
                <w:vanish w:val="false"/>
              </w:rPr>
              <w:t>1.3.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  <w:tab/>
              <w:t>3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637" w:leader="dot"/>
            </w:tabs>
            <w:rPr/>
          </w:pPr>
          <w:hyperlink w:anchor="__RefHeading___Toc8379_3764141053">
            <w:r>
              <w:rPr>
                <w:webHidden/>
                <w:vanish w:val="false"/>
              </w:rPr>
              <w:t>1.4. Иные требования и сведения общего характера</w:t>
              <w:tab/>
              <w:t>3</w:t>
            </w:r>
          </w:hyperlink>
        </w:p>
        <w:p>
          <w:pPr>
            <w:pStyle w:val="16"/>
            <w:tabs>
              <w:tab w:val="clear" w:pos="708"/>
              <w:tab w:val="right" w:pos="9637" w:leader="dot"/>
            </w:tabs>
            <w:rPr/>
          </w:pPr>
          <w:hyperlink w:anchor="__RefHeading___Toc1852_2775209442">
            <w:r>
              <w:rPr>
                <w:webHidden/>
                <w:vanish w:val="false"/>
              </w:rPr>
              <w:t>2. Требования к продукции</w:t>
              <w:tab/>
              <w:t>4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637" w:leader="dot"/>
            </w:tabs>
            <w:rPr/>
          </w:pPr>
          <w:hyperlink w:anchor="__RefHeading___Toc8383_3764141053">
            <w:r>
              <w:rPr>
                <w:webHidden/>
                <w:vanish w:val="false"/>
              </w:rPr>
              <w:t>2.1. Требования к объемам и срокам оказания услуг</w:t>
              <w:tab/>
              <w:t>4</w:t>
            </w:r>
          </w:hyperlink>
        </w:p>
        <w:p>
          <w:pPr>
            <w:pStyle w:val="34"/>
            <w:tabs>
              <w:tab w:val="clear" w:pos="708"/>
              <w:tab w:val="right" w:pos="9637" w:leader="dot"/>
            </w:tabs>
            <w:rPr/>
          </w:pPr>
          <w:hyperlink w:anchor="__RefHeading___Toc8385_3764141053">
            <w:r>
              <w:rPr>
                <w:webHidden/>
                <w:vanish w:val="false"/>
              </w:rPr>
              <w:t>2.1.1. Требования к перечню и объему услуг</w:t>
              <w:tab/>
              <w:t>4</w:t>
            </w:r>
          </w:hyperlink>
        </w:p>
        <w:p>
          <w:pPr>
            <w:pStyle w:val="16"/>
            <w:tabs>
              <w:tab w:val="clear" w:pos="708"/>
              <w:tab w:val="right" w:pos="9637" w:leader="dot"/>
            </w:tabs>
            <w:rPr/>
          </w:pPr>
          <w:hyperlink w:anchor="__RefHeading___Toc8387_3764141053">
            <w:r>
              <w:rPr>
                <w:webHidden/>
                <w:vanish w:val="false"/>
              </w:rPr>
              <w:t>Таблица 2. Перечень и объем оказываемых услуг</w:t>
              <w:tab/>
              <w:t>4</w:t>
            </w:r>
          </w:hyperlink>
        </w:p>
        <w:p>
          <w:pPr>
            <w:pStyle w:val="34"/>
            <w:tabs>
              <w:tab w:val="clear" w:pos="708"/>
              <w:tab w:val="right" w:pos="9637" w:leader="dot"/>
            </w:tabs>
            <w:rPr/>
          </w:pPr>
          <w:hyperlink w:anchor="__RefHeading___Toc8389_3764141053">
            <w:r>
              <w:rPr>
                <w:webHidden/>
                <w:vanish w:val="false"/>
              </w:rPr>
              <w:t>2.1.2. Требования к срокам оказания услуг</w:t>
              <w:tab/>
              <w:t>4</w:t>
            </w:r>
          </w:hyperlink>
        </w:p>
        <w:p>
          <w:pPr>
            <w:pStyle w:val="16"/>
            <w:tabs>
              <w:tab w:val="clear" w:pos="708"/>
              <w:tab w:val="right" w:pos="9637" w:leader="dot"/>
            </w:tabs>
            <w:rPr/>
          </w:pPr>
          <w:hyperlink w:anchor="__RefHeading___Toc8391_3764141053">
            <w:r>
              <w:rPr>
                <w:webHidden/>
                <w:vanish w:val="false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42"/>
            <w:tabs>
              <w:tab w:val="clear" w:pos="1120"/>
              <w:tab w:val="clear" w:pos="9911"/>
              <w:tab w:val="right" w:pos="9637" w:leader="dot"/>
            </w:tabs>
            <w:rPr/>
          </w:pPr>
          <w:hyperlink w:anchor="__RefHeading___Toc1854_2775209442">
            <w:r>
              <w:rPr>
                <w:webHidden/>
                <w:vanish w:val="false"/>
              </w:rPr>
              <w:t>2.2. Требования к качеству услуг</w:t>
              <w:tab/>
              <w:t>5</w:t>
            </w:r>
          </w:hyperlink>
        </w:p>
        <w:p>
          <w:pPr>
            <w:pStyle w:val="16"/>
            <w:tabs>
              <w:tab w:val="clear" w:pos="708"/>
              <w:tab w:val="right" w:pos="9637" w:leader="dot"/>
            </w:tabs>
            <w:rPr/>
          </w:pPr>
          <w:hyperlink w:anchor="__RefHeading___Toc8395_3764141053">
            <w:r>
              <w:rPr>
                <w:webHidden/>
                <w:vanish w:val="false"/>
              </w:rPr>
              <w:t>Таблица 4. Требования к качеству услуг</w:t>
              <w:tab/>
              <w:t>5</w:t>
            </w:r>
          </w:hyperlink>
          <w:r>
            <w:rPr>
              <w:vanish w:val="false"/>
            </w:rPr>
            <w:fldChar w:fldCharType="end"/>
          </w:r>
        </w:p>
      </w:sdtContent>
    </w:sdt>
    <w:p>
      <w:pPr>
        <w:pStyle w:val="16"/>
        <w:tabs>
          <w:tab w:val="clear" w:pos="708"/>
          <w:tab w:val="right" w:pos="9627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2"/>
        <w:tabs>
          <w:tab w:val="clear" w:pos="0"/>
        </w:tabs>
        <w:ind w:left="0" w:hanging="0"/>
        <w:rPr/>
      </w:pPr>
      <w:r>
        <w:rPr/>
      </w:r>
    </w:p>
    <w:p>
      <w:pPr>
        <w:pStyle w:val="Normal"/>
        <w:widowControl w:val="false"/>
        <w:jc w:val="both"/>
        <w:rPr>
          <w:rFonts w:cs="Calibri Light (Заголовки)"/>
          <w:bCs/>
          <w:i/>
          <w:i/>
          <w:sz w:val="24"/>
          <w:szCs w:val="24"/>
        </w:rPr>
      </w:pPr>
      <w:r>
        <w:rPr>
          <w:rFonts w:cs="Calibri Light (Заголовки)"/>
          <w:bCs/>
          <w:i/>
          <w:sz w:val="24"/>
          <w:szCs w:val="24"/>
        </w:rPr>
      </w:r>
      <w:bookmarkStart w:id="6" w:name="_GoBack"/>
      <w:bookmarkStart w:id="7" w:name="_GoBack"/>
      <w:bookmarkEnd w:id="7"/>
      <w:r>
        <w:br w:type="page"/>
      </w:r>
    </w:p>
    <w:p>
      <w:pPr>
        <w:pStyle w:val="1"/>
        <w:numPr>
          <w:ilvl w:val="0"/>
          <w:numId w:val="3"/>
        </w:numPr>
        <w:ind w:left="4253" w:hanging="505"/>
        <w:rPr>
          <w:caps/>
        </w:rPr>
      </w:pPr>
      <w:bookmarkStart w:id="8" w:name="__RefHeading___Toc1846_2775209442"/>
      <w:bookmarkStart w:id="9" w:name="_Toc190703423"/>
      <w:bookmarkEnd w:id="8"/>
      <w:r>
        <w:rPr/>
        <w:t>Общие сведения</w:t>
      </w:r>
      <w:bookmarkEnd w:id="9"/>
    </w:p>
    <w:p>
      <w:pPr>
        <w:pStyle w:val="Normal"/>
        <w:ind w:left="4253" w:hanging="505"/>
        <w:rPr>
          <w:caps/>
        </w:rPr>
      </w:pPr>
      <w:r>
        <w:rPr>
          <w:caps/>
        </w:rPr>
      </w:r>
    </w:p>
    <w:p>
      <w:pPr>
        <w:pStyle w:val="4"/>
        <w:numPr>
          <w:ilvl w:val="1"/>
          <w:numId w:val="3"/>
        </w:numPr>
        <w:ind w:left="574" w:hanging="505"/>
        <w:rPr>
          <w:lang w:val="en-US"/>
        </w:rPr>
      </w:pPr>
      <w:bookmarkStart w:id="10" w:name="__RefHeading___Toc1848_2775209442"/>
      <w:bookmarkStart w:id="11" w:name="_Toc46743506"/>
      <w:bookmarkStart w:id="12" w:name="_Toc148965729"/>
      <w:bookmarkStart w:id="13" w:name="_Toc190703424"/>
      <w:bookmarkStart w:id="14" w:name="_Toc148965728"/>
      <w:bookmarkStart w:id="15" w:name="_Toc148966124"/>
      <w:bookmarkStart w:id="16" w:name="_Toc148966233"/>
      <w:bookmarkStart w:id="17" w:name="_Toc148965721"/>
      <w:bookmarkStart w:id="18" w:name="_Toc148965724"/>
      <w:bookmarkStart w:id="19" w:name="_Toc148965719"/>
      <w:bookmarkStart w:id="20" w:name="_Toc148966116"/>
      <w:bookmarkStart w:id="21" w:name="_Toc148966232"/>
      <w:bookmarkStart w:id="22" w:name="_Toc148965720"/>
      <w:bookmarkStart w:id="23" w:name="_Toc148966118"/>
      <w:bookmarkStart w:id="24" w:name="_Toc148966234"/>
      <w:bookmarkStart w:id="25" w:name="_Toc148966125"/>
      <w:bookmarkStart w:id="26" w:name="_Toc148966241"/>
      <w:bookmarkStart w:id="27" w:name="_Toc148966121"/>
      <w:bookmarkStart w:id="28" w:name="_Toc148965727"/>
      <w:bookmarkStart w:id="29" w:name="_Toc148966240"/>
      <w:bookmarkStart w:id="30" w:name="_Toc148966117"/>
      <w:bookmarkStart w:id="31" w:name="_Toc148966237"/>
      <w:bookmarkEnd w:id="10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>
        <w:rPr/>
        <w:t>Наименование закупаемой продукции</w:t>
      </w:r>
      <w:bookmarkEnd w:id="11"/>
      <w:bookmarkEnd w:id="12"/>
      <w:bookmarkEnd w:id="13"/>
    </w:p>
    <w:p>
      <w:pPr>
        <w:pStyle w:val="Normal"/>
        <w:widowControl w:val="false"/>
        <w:ind w:firstLine="567"/>
        <w:jc w:val="both"/>
        <w:rPr>
          <w:sz w:val="24"/>
          <w:lang w:eastAsia="x-none"/>
        </w:rPr>
      </w:pPr>
      <w:r>
        <w:rPr>
          <w:sz w:val="24"/>
          <w:lang w:eastAsia="x-none"/>
        </w:rPr>
        <w:t>ОКПД 2: 74.90.13.000 Оказание услуг по  корректировке Декларации о составе и свойствах сточных вод АО «ВНИИГ им. Б.Е. Веденеева».</w:t>
      </w:r>
    </w:p>
    <w:p>
      <w:pPr>
        <w:pStyle w:val="Normal"/>
        <w:widowControl w:val="false"/>
        <w:ind w:firstLine="567"/>
        <w:jc w:val="both"/>
        <w:rPr>
          <w:sz w:val="24"/>
          <w:lang w:eastAsia="x-none"/>
        </w:rPr>
      </w:pPr>
      <w:r>
        <w:rPr>
          <w:sz w:val="24"/>
          <w:lang w:eastAsia="x-none"/>
        </w:rPr>
      </w:r>
    </w:p>
    <w:p>
      <w:pPr>
        <w:pStyle w:val="4"/>
        <w:numPr>
          <w:ilvl w:val="1"/>
          <w:numId w:val="3"/>
        </w:numPr>
        <w:ind w:left="0" w:right="0" w:firstLine="720"/>
        <w:rPr/>
      </w:pPr>
      <w:bookmarkStart w:id="32" w:name="__RefHeading___Toc1850_2775209442"/>
      <w:bookmarkStart w:id="33" w:name="_Toc170747472"/>
      <w:bookmarkEnd w:id="32"/>
      <w:r>
        <w:rPr/>
        <w:t>Цель выполнения услуг</w:t>
      </w:r>
      <w:bookmarkEnd w:id="33"/>
    </w:p>
    <w:p>
      <w:pPr>
        <w:pStyle w:val="Normal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sz w:val="24"/>
          <w:szCs w:val="24"/>
        </w:rPr>
        <w:t>Проведение исследований сточных вод и корректировки Декларации о составе и свойствах сточных вод.</w:t>
      </w:r>
    </w:p>
    <w:p>
      <w:pPr>
        <w:pStyle w:val="Normal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1"/>
        <w:numPr>
          <w:ilvl w:val="0"/>
          <w:numId w:val="0"/>
        </w:numPr>
        <w:ind w:left="0" w:right="0" w:hanging="0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bookmarkStart w:id="34" w:name="__RefHeading___Toc8377_3764141053"/>
      <w:bookmarkStart w:id="35" w:name="_Toc170747473"/>
      <w:bookmarkEnd w:id="34"/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Таблица 1. Перечень объектов заказчика</w:t>
      </w:r>
      <w:bookmarkEnd w:id="35"/>
    </w:p>
    <w:tbl>
      <w:tblPr>
        <w:tblW w:w="1015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132"/>
        <w:gridCol w:w="4140"/>
        <w:gridCol w:w="3068"/>
      </w:tblGrid>
      <w:tr>
        <w:trPr/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ind w:left="360" w:right="0" w:hanging="360"/>
              <w:rPr/>
            </w:pPr>
            <w:r>
              <w:rPr/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АО «ВНИИГ им. Б.Е. Веденеева»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Calibri"/>
                <w:sz w:val="24"/>
                <w:szCs w:val="24"/>
              </w:rPr>
              <w:t>195220, г. Санкт-Петербург, ул. Гжатская, д. 21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Общее количество контрольных колодцев — 7:</w:t>
            </w:r>
          </w:p>
          <w:p>
            <w:pPr>
              <w:pStyle w:val="Normal"/>
              <w:widowControl w:val="false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выпуск 1 (контрольный колодец № </w:t>
            </w:r>
            <w:r>
              <w:rPr>
                <w:iCs/>
                <w:sz w:val="24"/>
                <w:szCs w:val="24"/>
              </w:rPr>
              <w:t>107</w:t>
            </w:r>
            <w:r>
              <w:rPr>
                <w:iCs/>
                <w:sz w:val="24"/>
                <w:szCs w:val="24"/>
              </w:rPr>
              <w:t>-ул. Гжатская;</w:t>
            </w:r>
          </w:p>
          <w:p>
            <w:pPr>
              <w:pStyle w:val="Normal"/>
              <w:widowControl w:val="false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выпуск 3 (контрольный колодец №1</w:t>
            </w:r>
            <w:r>
              <w:rPr>
                <w:iCs/>
                <w:sz w:val="24"/>
                <w:szCs w:val="24"/>
              </w:rPr>
              <w:t>43</w:t>
            </w:r>
            <w:r>
              <w:rPr>
                <w:iCs/>
                <w:sz w:val="24"/>
                <w:szCs w:val="24"/>
              </w:rPr>
              <w:t>)-ул. Гжатская;</w:t>
            </w:r>
          </w:p>
          <w:p>
            <w:pPr>
              <w:pStyle w:val="Normal"/>
              <w:widowControl w:val="false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выпуск 4 (контрольный колодец №134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</w:rPr>
              <w:t>'</w:t>
            </w:r>
            <w:r>
              <w:rPr>
                <w:iCs/>
                <w:sz w:val="24"/>
                <w:szCs w:val="24"/>
              </w:rPr>
              <w:t>)-Гражданский пр., д. 20, литер А;</w:t>
            </w:r>
          </w:p>
          <w:p>
            <w:pPr>
              <w:pStyle w:val="Normal"/>
              <w:widowControl w:val="false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выпуск 5 (контрольный колодец №128</w:t>
            </w:r>
            <w:r>
              <w:rPr>
                <w:iCs/>
                <w:sz w:val="24"/>
                <w:szCs w:val="24"/>
              </w:rPr>
              <w:t>А</w:t>
            </w:r>
            <w:r>
              <w:rPr>
                <w:iCs/>
                <w:sz w:val="24"/>
                <w:szCs w:val="24"/>
              </w:rPr>
              <w:t>)-Гражданский пр., д. 20, литер А;</w:t>
            </w:r>
          </w:p>
          <w:p>
            <w:pPr>
              <w:pStyle w:val="Normal"/>
              <w:widowControl w:val="false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выпуск 6 (контрольный колодец №97(41)-ул. Фаворского;</w:t>
            </w:r>
          </w:p>
          <w:p>
            <w:pPr>
              <w:pStyle w:val="Normal"/>
              <w:widowControl w:val="false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выпуск 7 (контрольный колодец №108)- ул. Гжатская.</w:t>
            </w:r>
          </w:p>
        </w:tc>
      </w:tr>
    </w:tbl>
    <w:p>
      <w:pPr>
        <w:pStyle w:val="4"/>
        <w:numPr>
          <w:ilvl w:val="0"/>
          <w:numId w:val="0"/>
        </w:numPr>
        <w:ind w:left="858" w:right="0" w:hanging="0"/>
        <w:rPr>
          <w:rFonts w:ascii="Times New Roman" w:hAnsi="Times New Roman" w:eastAsia="Calibri" w:cs="Times New Roman"/>
          <w:b/>
          <w:b/>
          <w:bCs/>
          <w:color w:val="auto"/>
          <w:kern w:val="0"/>
          <w:sz w:val="24"/>
          <w:szCs w:val="24"/>
          <w:lang w:val="x-none" w:eastAsia="x-none" w:bidi="ar-SA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</w:r>
    </w:p>
    <w:p>
      <w:pPr>
        <w:pStyle w:val="4"/>
        <w:numPr>
          <w:ilvl w:val="1"/>
          <w:numId w:val="3"/>
        </w:numPr>
        <w:ind w:left="0" w:right="0" w:firstLine="720"/>
        <w:rPr>
          <w:rFonts w:ascii="Times New Roman" w:hAnsi="Times New Roman" w:eastAsia="Calibri" w:cs="Times New Roman"/>
          <w:b/>
          <w:b/>
          <w:bCs/>
          <w:color w:val="auto"/>
          <w:kern w:val="0"/>
          <w:sz w:val="24"/>
          <w:szCs w:val="24"/>
          <w:lang w:val="x-none" w:eastAsia="x-none" w:bidi="ar-SA"/>
        </w:rPr>
      </w:pPr>
      <w:bookmarkStart w:id="36" w:name="__RefHeading___Toc34819_3251196676"/>
      <w:bookmarkEnd w:id="36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</w:p>
    <w:p>
      <w:pPr>
        <w:pStyle w:val="Normal"/>
        <w:ind w:left="0" w:right="0" w:firstLine="720"/>
        <w:rPr>
          <w:rFonts w:ascii="Times New Roman" w:hAnsi="Times New Roman" w:eastAsia="Times New Roman" w:cs="Times New Roman"/>
          <w:color w:val="auto"/>
          <w:kern w:val="0"/>
          <w:sz w:val="24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Заказчик может предоставить Исполнителю копии следующих документов в электронном виде:</w:t>
      </w:r>
    </w:p>
    <w:p>
      <w:pPr>
        <w:pStyle w:val="Normal"/>
        <w:ind w:left="0" w:right="0" w:firstLine="720"/>
        <w:rPr>
          <w:rFonts w:ascii="Times New Roman" w:hAnsi="Times New Roman" w:eastAsia="Times New Roman" w:cs="Times New Roman"/>
          <w:color w:val="auto"/>
          <w:kern w:val="0"/>
          <w:sz w:val="24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- Декларация о составе и свойствах сточных вод АО «ВНИИГ им. Б.Е. Веденеева».</w:t>
      </w:r>
    </w:p>
    <w:p>
      <w:pPr>
        <w:pStyle w:val="Normal"/>
        <w:ind w:left="0" w:right="0" w:firstLine="720"/>
        <w:rPr>
          <w:rFonts w:ascii="Times New Roman" w:hAnsi="Times New Roman" w:eastAsia="Times New Roman" w:cs="Times New Roman"/>
          <w:color w:val="auto"/>
          <w:kern w:val="0"/>
          <w:sz w:val="24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 xml:space="preserve">-Протоколы отбора ГУП «Водоканал  Санкт-Петербурга» за 2023, 2024, 2025 г. </w:t>
      </w:r>
    </w:p>
    <w:p>
      <w:pPr>
        <w:pStyle w:val="Normal"/>
        <w:ind w:left="0" w:right="0" w:firstLine="720"/>
        <w:rPr>
          <w:rFonts w:ascii="Times New Roman" w:hAnsi="Times New Roman" w:eastAsia="Times New Roman" w:cs="Times New Roman"/>
          <w:color w:val="auto"/>
          <w:kern w:val="0"/>
          <w:sz w:val="24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-</w:t>
      </w: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  <w:t>Акт разграничения ответственности сторон по сетям канализации.</w:t>
      </w:r>
    </w:p>
    <w:p>
      <w:pPr>
        <w:pStyle w:val="Normal"/>
        <w:ind w:left="0" w:right="0" w:firstLine="720"/>
        <w:rPr>
          <w:rFonts w:ascii="Times New Roman" w:hAnsi="Times New Roman" w:eastAsia="Times New Roman" w:cs="Times New Roman"/>
          <w:color w:val="auto"/>
          <w:kern w:val="0"/>
          <w:sz w:val="24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8"/>
          <w:lang w:val="ru-RU" w:eastAsia="ru-RU" w:bidi="ar-SA"/>
        </w:rPr>
      </w:r>
    </w:p>
    <w:p>
      <w:pPr>
        <w:pStyle w:val="4"/>
        <w:numPr>
          <w:ilvl w:val="1"/>
          <w:numId w:val="3"/>
        </w:numPr>
        <w:ind w:left="0" w:right="0" w:firstLine="720"/>
        <w:rPr/>
      </w:pPr>
      <w:bookmarkStart w:id="37" w:name="__RefHeading___Toc8379_3764141053"/>
      <w:bookmarkStart w:id="38" w:name="_Toc170747474"/>
      <w:bookmarkEnd w:id="37"/>
      <w:r>
        <w:rPr/>
        <w:t>Иные требования и сведения общего характера</w:t>
      </w:r>
      <w:bookmarkEnd w:id="38"/>
      <w:r>
        <w:rPr/>
        <w:t xml:space="preserve"> </w:t>
      </w:r>
    </w:p>
    <w:p>
      <w:pPr>
        <w:pStyle w:val="Normal"/>
        <w:ind w:left="0" w:right="0" w:firstLine="709"/>
        <w:jc w:val="both"/>
        <w:rPr>
          <w:sz w:val="24"/>
        </w:rPr>
      </w:pPr>
      <w:r>
        <w:rPr>
          <w:sz w:val="24"/>
        </w:rPr>
        <w:t>Заказчик имеет лицензию на осуществление работ со сведениями, составляющими государственную тайну, в связи с чем, прием иностранных граждан на территории Заказчика строго регламентирован нормативными правовыми актами Российской Федерации по обеспечению режима секретности. На основании данного обстоятельства вход на территорию Заказчика работникам Участника, - иностранным гражданам может быть  запрещён. В случае недопуска Заказчиком работников Участника, - иностранных граждан, -  для оказания услуг по договору не влечет перенос сроков оказания услуг и не освобождает Участника от ответственности за нарушение сроков оказания услуг.</w:t>
      </w:r>
    </w:p>
    <w:p>
      <w:pPr>
        <w:pStyle w:val="Normal"/>
        <w:ind w:left="426" w:hanging="426"/>
        <w:rPr/>
      </w:pPr>
      <w:r>
        <w:rPr>
          <w:sz w:val="24"/>
          <w:szCs w:val="24"/>
          <w:shd w:fill="FFFFFF" w:val="clear"/>
        </w:rPr>
        <w:t xml:space="preserve">  </w:t>
      </w:r>
    </w:p>
    <w:p>
      <w:pPr>
        <w:pStyle w:val="1"/>
        <w:numPr>
          <w:ilvl w:val="0"/>
          <w:numId w:val="3"/>
        </w:numPr>
        <w:ind w:left="0" w:right="0" w:hanging="0"/>
        <w:jc w:val="center"/>
        <w:rPr>
          <w:sz w:val="24"/>
        </w:rPr>
      </w:pPr>
      <w:bookmarkStart w:id="39" w:name="__RefHeading___Toc1852_2775209442"/>
      <w:bookmarkStart w:id="40" w:name="_Toc170747475"/>
      <w:bookmarkEnd w:id="39"/>
      <w:r>
        <w:rPr/>
        <w:t>Требования к продукции</w:t>
      </w:r>
      <w:bookmarkEnd w:id="40"/>
    </w:p>
    <w:p>
      <w:pPr>
        <w:pStyle w:val="Normal"/>
        <w:ind w:left="0" w:right="0" w:hanging="0"/>
        <w:jc w:val="center"/>
        <w:rPr>
          <w:sz w:val="24"/>
        </w:rPr>
      </w:pPr>
      <w:r>
        <w:rPr>
          <w:sz w:val="24"/>
        </w:rPr>
      </w:r>
    </w:p>
    <w:p>
      <w:pPr>
        <w:pStyle w:val="4"/>
        <w:numPr>
          <w:ilvl w:val="1"/>
          <w:numId w:val="3"/>
        </w:numPr>
        <w:ind w:left="0" w:right="0" w:firstLine="720"/>
        <w:rPr>
          <w:sz w:val="24"/>
        </w:rPr>
      </w:pPr>
      <w:bookmarkStart w:id="41" w:name="__RefHeading___Toc8383_3764141053"/>
      <w:bookmarkStart w:id="42" w:name="_Toc170747476"/>
      <w:bookmarkEnd w:id="41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42"/>
    </w:p>
    <w:p>
      <w:pPr>
        <w:pStyle w:val="Normal"/>
        <w:ind w:left="0" w:right="0" w:firstLine="720"/>
        <w:rPr>
          <w:sz w:val="24"/>
        </w:rPr>
      </w:pPr>
      <w:r>
        <w:rPr>
          <w:sz w:val="24"/>
        </w:rPr>
      </w:r>
    </w:p>
    <w:p>
      <w:pPr>
        <w:pStyle w:val="3"/>
        <w:numPr>
          <w:ilvl w:val="2"/>
          <w:numId w:val="3"/>
        </w:numPr>
        <w:ind w:left="0" w:right="0" w:firstLine="720"/>
        <w:rPr>
          <w:sz w:val="24"/>
        </w:rPr>
      </w:pPr>
      <w:bookmarkStart w:id="43" w:name="__RefHeading___Toc8385_3764141053"/>
      <w:bookmarkStart w:id="44" w:name="_Toc170747477"/>
      <w:bookmarkEnd w:id="43"/>
      <w:r>
        <w:rPr/>
        <w:t>Требования к перечню и объему услуг</w:t>
      </w:r>
      <w:bookmarkEnd w:id="44"/>
    </w:p>
    <w:p>
      <w:pPr>
        <w:pStyle w:val="1"/>
        <w:numPr>
          <w:ilvl w:val="0"/>
          <w:numId w:val="0"/>
        </w:numPr>
        <w:ind w:left="0" w:right="0" w:hanging="0"/>
        <w:rPr>
          <w:sz w:val="24"/>
        </w:rPr>
      </w:pPr>
      <w:bookmarkStart w:id="45" w:name="__RefHeading___Toc8387_3764141053"/>
      <w:bookmarkStart w:id="46" w:name="_Toc170747478"/>
      <w:bookmarkStart w:id="47" w:name="_Toc51339695"/>
      <w:bookmarkEnd w:id="45"/>
      <w:r>
        <w:rPr>
          <w:sz w:val="24"/>
        </w:rPr>
        <w:t xml:space="preserve">Таблица 2. Перечень </w:t>
      </w:r>
      <w:bookmarkEnd w:id="47"/>
      <w:r>
        <w:rPr>
          <w:sz w:val="24"/>
        </w:rPr>
        <w:t>и объем оказываемых услуг</w:t>
      </w:r>
      <w:bookmarkEnd w:id="46"/>
    </w:p>
    <w:tbl>
      <w:tblPr>
        <w:tblW w:w="981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82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ind w:left="360" w:right="0" w:hanging="36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Оказание услуг по  корректировке Декларации о составе и свойствах сточных вод АО «ВНИИГ им. Б.Е. Веденеева»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Усл.ед.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>
      <w:pPr>
        <w:pStyle w:val="3"/>
        <w:numPr>
          <w:ilvl w:val="0"/>
          <w:numId w:val="0"/>
        </w:numPr>
        <w:ind w:left="1224" w:right="0" w:hanging="0"/>
        <w:rPr>
          <w:sz w:val="24"/>
        </w:rPr>
      </w:pPr>
      <w:r>
        <w:rPr>
          <w:sz w:val="24"/>
        </w:rPr>
      </w:r>
    </w:p>
    <w:p>
      <w:pPr>
        <w:pStyle w:val="3"/>
        <w:numPr>
          <w:ilvl w:val="2"/>
          <w:numId w:val="3"/>
        </w:numPr>
        <w:ind w:left="0" w:right="0" w:firstLine="720"/>
        <w:rPr>
          <w:sz w:val="24"/>
        </w:rPr>
      </w:pPr>
      <w:bookmarkStart w:id="48" w:name="__RefHeading___Toc8389_3764141053"/>
      <w:bookmarkStart w:id="49" w:name="_Toc170747479"/>
      <w:bookmarkStart w:id="50" w:name="_Toc51339696"/>
      <w:bookmarkEnd w:id="48"/>
      <w:r>
        <w:rPr/>
        <w:t xml:space="preserve">Требования </w:t>
      </w:r>
      <w:bookmarkEnd w:id="50"/>
      <w:r>
        <w:rPr/>
        <w:t>к срокам оказания услуг</w:t>
      </w:r>
      <w:bookmarkEnd w:id="49"/>
    </w:p>
    <w:p>
      <w:pPr>
        <w:pStyle w:val="Normal"/>
        <w:ind w:left="0" w:right="0"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1"/>
        <w:numPr>
          <w:ilvl w:val="0"/>
          <w:numId w:val="0"/>
        </w:numPr>
        <w:ind w:left="0" w:right="0" w:hanging="0"/>
        <w:rPr>
          <w:sz w:val="24"/>
          <w:lang w:val="ru-RU"/>
        </w:rPr>
      </w:pPr>
      <w:bookmarkStart w:id="51" w:name="__RefHeading___Toc8391_3764141053"/>
      <w:bookmarkStart w:id="52" w:name="_Toc170747480"/>
      <w:bookmarkStart w:id="53" w:name="_Toc51339697"/>
      <w:bookmarkStart w:id="54" w:name="_Toc50125127"/>
      <w:bookmarkEnd w:id="51"/>
      <w:r>
        <w:rPr>
          <w:sz w:val="24"/>
        </w:rPr>
        <w:t xml:space="preserve">Таблица </w:t>
      </w:r>
      <w:r>
        <w:rPr>
          <w:sz w:val="24"/>
          <w:lang w:val="ru-RU"/>
        </w:rPr>
        <w:t>3</w:t>
      </w:r>
      <w:r>
        <w:rPr>
          <w:sz w:val="24"/>
        </w:rPr>
        <w:t xml:space="preserve">. </w:t>
      </w:r>
      <w:bookmarkStart w:id="55" w:name="_Hlk50465284"/>
      <w:r>
        <w:rPr>
          <w:sz w:val="24"/>
        </w:rPr>
        <w:t xml:space="preserve">Требования </w:t>
      </w:r>
      <w:r>
        <w:rPr>
          <w:sz w:val="24"/>
          <w:lang w:val="ru-RU"/>
        </w:rPr>
        <w:t>к</w:t>
      </w:r>
      <w:r>
        <w:rPr>
          <w:sz w:val="24"/>
        </w:rPr>
        <w:t xml:space="preserve"> срокам </w:t>
      </w:r>
      <w:bookmarkEnd w:id="53"/>
      <w:bookmarkEnd w:id="54"/>
      <w:bookmarkEnd w:id="55"/>
      <w:r>
        <w:rPr>
          <w:sz w:val="24"/>
          <w:lang w:val="ru-RU"/>
        </w:rPr>
        <w:t>оказания услуг</w:t>
      </w:r>
      <w:bookmarkEnd w:id="52"/>
    </w:p>
    <w:p>
      <w:pPr>
        <w:pStyle w:val="Normal"/>
        <w:ind w:left="0" w:right="0" w:hanging="0"/>
        <w:rPr>
          <w:sz w:val="24"/>
          <w:lang w:val="ru-RU"/>
        </w:rPr>
      </w:pPr>
      <w:r>
        <w:rPr>
          <w:sz w:val="24"/>
          <w:lang w:val="ru-RU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40"/>
        <w:gridCol w:w="3573"/>
        <w:gridCol w:w="2388"/>
        <w:gridCol w:w="2574"/>
      </w:tblGrid>
      <w:tr>
        <w:trPr/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(квартал)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keepNext w:val="false"/>
              <w:widowControl w:val="false"/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keepNext w:val="false"/>
              <w:widowControl w:val="false"/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left="1380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Оказание услуг по  корректировке Декларации о составе и свойствах сточных вод АО «ВНИИГ им. Б.Е. Веденеева»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val="x-none" w:eastAsia="x-none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До 31 октября 202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</w:tbl>
    <w:p>
      <w:pPr>
        <w:sectPr>
          <w:type w:val="nextPage"/>
          <w:pgSz w:w="11906" w:h="16838"/>
          <w:pgMar w:left="1418" w:right="851" w:header="0" w:top="680" w:footer="0" w:bottom="992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4"/>
        <w:numPr>
          <w:ilvl w:val="0"/>
          <w:numId w:val="0"/>
        </w:numPr>
        <w:ind w:left="858" w:right="0" w:hanging="0"/>
        <w:rPr>
          <w:sz w:val="24"/>
          <w:lang w:val="ru-RU"/>
        </w:rPr>
      </w:pPr>
      <w:r>
        <w:rPr>
          <w:sz w:val="24"/>
          <w:lang w:val="ru-RU"/>
        </w:rPr>
      </w:r>
    </w:p>
    <w:p>
      <w:pPr>
        <w:pStyle w:val="4"/>
        <w:numPr>
          <w:ilvl w:val="1"/>
          <w:numId w:val="3"/>
        </w:numPr>
        <w:ind w:left="0" w:right="0" w:firstLine="720"/>
        <w:rPr>
          <w:sz w:val="24"/>
          <w:lang w:val="ru-RU"/>
        </w:rPr>
      </w:pPr>
      <w:bookmarkStart w:id="56" w:name="__RefHeading___Toc1854_2775209442"/>
      <w:bookmarkEnd w:id="56"/>
      <w:r>
        <w:rPr/>
        <w:t>Т</w:t>
      </w:r>
      <w:bookmarkStart w:id="57" w:name="_Toc50125131"/>
      <w:bookmarkStart w:id="58" w:name="_Toc513396981"/>
      <w:bookmarkStart w:id="59" w:name="_Toc170747481"/>
      <w:bookmarkStart w:id="60" w:name="_Toc467435111"/>
      <w:r>
        <w:rPr/>
        <w:t xml:space="preserve">ребования к </w:t>
      </w:r>
      <w:bookmarkEnd w:id="60"/>
      <w:r>
        <w:rPr>
          <w:lang w:val="ru-RU"/>
        </w:rPr>
        <w:t>качеству услуг</w:t>
      </w:r>
      <w:bookmarkEnd w:id="59"/>
    </w:p>
    <w:p>
      <w:pPr>
        <w:pStyle w:val="1"/>
        <w:numPr>
          <w:ilvl w:val="0"/>
          <w:numId w:val="0"/>
        </w:numPr>
        <w:ind w:left="0" w:right="0" w:hanging="0"/>
        <w:rPr>
          <w:sz w:val="24"/>
        </w:rPr>
      </w:pPr>
      <w:bookmarkStart w:id="61" w:name="__RefHeading___Toc8395_3764141053"/>
      <w:bookmarkStart w:id="62" w:name="_Toc170747482"/>
      <w:bookmarkEnd w:id="61"/>
      <w:r>
        <w:rPr>
          <w:sz w:val="24"/>
        </w:rPr>
        <w:t>Таблица </w:t>
      </w:r>
      <w:r>
        <w:rPr>
          <w:sz w:val="24"/>
          <w:lang w:val="ru-RU"/>
        </w:rPr>
        <w:t>4</w:t>
      </w:r>
      <w:r>
        <w:rPr>
          <w:sz w:val="24"/>
        </w:rPr>
        <w:t xml:space="preserve">. Требования к </w:t>
      </w:r>
      <w:bookmarkEnd w:id="57"/>
      <w:bookmarkEnd w:id="58"/>
      <w:r>
        <w:rPr>
          <w:sz w:val="24"/>
          <w:lang w:val="ru-RU"/>
        </w:rPr>
        <w:t>качеству услуг</w:t>
      </w:r>
      <w:bookmarkEnd w:id="62"/>
      <w:r>
        <w:rPr>
          <w:sz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№1 Таблицы 2): </w:t>
      </w:r>
      <w:r>
        <w:rPr>
          <w:b/>
          <w:bCs/>
          <w:i/>
          <w:sz w:val="24"/>
          <w:szCs w:val="24"/>
        </w:rPr>
        <w:t>Оказание услуг по  корректировке Декларации о составе и свойствах сточных вод АО «ВНИИГ им. Б.Е. Веденеева»</w:t>
      </w:r>
    </w:p>
    <w:tbl>
      <w:tblPr>
        <w:tblW w:w="15061" w:type="dxa"/>
        <w:jc w:val="left"/>
        <w:tblInd w:w="-17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2711"/>
        <w:gridCol w:w="4196"/>
        <w:gridCol w:w="2122"/>
        <w:gridCol w:w="2681"/>
        <w:gridCol w:w="2745"/>
      </w:tblGrid>
      <w:tr>
        <w:trPr/>
        <w:tc>
          <w:tcPr>
            <w:tcW w:w="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</w:p>
        </w:tc>
        <w:tc>
          <w:tcPr>
            <w:tcW w:w="2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</w:p>
        </w:tc>
        <w:tc>
          <w:tcPr>
            <w:tcW w:w="4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bookmarkStart w:id="63" w:name="_Toc53499667_Копия_3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63"/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0" w:right="0" w:hanging="0"/>
              <w:contextualSpacing/>
              <w:jc w:val="center"/>
              <w:rPr>
                <w:sz w:val="24"/>
                <w:lang w:val="ru-RU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right="0" w:hanging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1.1.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755" w:hRule="atLeast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1072" w:right="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1.1.1.  отбору и анализу проб сточных вод из контрольных колодцев Заказчика по химическим показателям (водородный показатель рН, жиры,  нефтепродукты, летучие органические соединения (ЛОС), сульфиды, фосфор общий, хлор активный (хлор и хлорамины), взвешенные вещества, БПК5, ХПК, соотношение БПК:ХПК, азот общий, СПАВ (неионогенные), СПАВ (анионные), фенолы, сульфаты, хлориды, алюминий, железо общее, марганец, медь, цинк, хром общ., хром 6+, никель, кадмий, свинец, мышьяк, ртуть, температура) - с выдачей протоколов исследований.</w:t>
            </w:r>
          </w:p>
          <w:p>
            <w:pPr>
              <w:pStyle w:val="ListParagraph"/>
              <w:widowControl w:val="false"/>
              <w:spacing w:before="60" w:after="60"/>
              <w:ind w:left="1072" w:right="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  <w:p>
            <w:pPr>
              <w:pStyle w:val="ListParagraph"/>
              <w:widowControl w:val="false"/>
              <w:spacing w:before="60" w:after="60"/>
              <w:ind w:left="1072" w:right="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  <w:p>
            <w:pPr>
              <w:pStyle w:val="ListParagraph"/>
              <w:widowControl w:val="false"/>
              <w:spacing w:before="60" w:after="60"/>
              <w:ind w:left="1072" w:right="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Verdana"/>
                <w:sz w:val="24"/>
              </w:rPr>
            </w:pPr>
            <w:r>
              <w:rPr>
                <w:rFonts w:eastAsia="Times New Roman" w:cs="Verdana"/>
                <w:kern w:val="0"/>
                <w:sz w:val="24"/>
                <w:lang w:val="ru-RU" w:eastAsia="ru-RU" w:bidi="ar-SA"/>
              </w:rPr>
              <w:t>-Отбор проб сточных вод из контрольных колодцев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Verdana"/>
                <w:sz w:val="24"/>
              </w:rPr>
            </w:pPr>
            <w:r>
              <w:rPr>
                <w:rFonts w:eastAsia="Times New Roman" w:cs="Verdana"/>
                <w:kern w:val="0"/>
                <w:sz w:val="24"/>
                <w:lang w:val="ru-RU" w:eastAsia="ru-RU" w:bidi="ar-SA"/>
              </w:rPr>
              <w:t>Химические исследования должны осуществляться испытательной лабораторией, прошедшей аккредитацию - отбору и анализу проб сточн</w:t>
            </w:r>
            <w:r>
              <w:rPr>
                <w:rFonts w:eastAsia="Times New Roman" w:cs="Verdana"/>
                <w:kern w:val="0"/>
                <w:sz w:val="24"/>
                <w:shd w:fill="auto" w:val="clear"/>
                <w:lang w:val="ru-RU" w:eastAsia="ru-RU" w:bidi="ar-SA"/>
              </w:rPr>
              <w:t>ых вод из контрольных колодцев Заказчика по химическим показателям (водородный показатель рН, жиры,  нефтепродукты, летучие органические соединения (ЛОС), сульфиды, фосфор общий, хлор активный (хлор и хлорамины), взвешенные вещества, БПК5, ХПК, соотношение БПК:ХПК, азот общий, СПАВ (неионогенные), СПАВ (анионные), фенолы, сульфаты, хлориды, алюминий, железо</w:t>
            </w:r>
            <w:r>
              <w:rPr>
                <w:rFonts w:eastAsia="Times New Roman" w:cs="Verdana"/>
                <w:kern w:val="0"/>
                <w:sz w:val="24"/>
                <w:shd w:fill="FFFF00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Verdana"/>
                <w:kern w:val="0"/>
                <w:sz w:val="24"/>
                <w:shd w:fill="auto" w:val="clear"/>
                <w:lang w:val="ru-RU" w:eastAsia="ru-RU" w:bidi="ar-SA"/>
              </w:rPr>
              <w:t>общее, марганец, медь, цинк, хром общ., хром 6+, никель,</w:t>
            </w:r>
            <w:r>
              <w:rPr>
                <w:rFonts w:eastAsia="Times New Roman" w:cs="Verdana"/>
                <w:kern w:val="0"/>
                <w:sz w:val="24"/>
                <w:shd w:fill="FFFF00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Verdana"/>
                <w:kern w:val="0"/>
                <w:sz w:val="24"/>
                <w:shd w:fill="auto" w:val="clear"/>
                <w:lang w:val="ru-RU" w:eastAsia="ru-RU" w:bidi="ar-SA"/>
              </w:rPr>
              <w:t xml:space="preserve">кадмий, свинец, мышьяк, ртуть, температура) - </w:t>
            </w:r>
            <w:r>
              <w:rPr>
                <w:rFonts w:eastAsia="Times New Roman" w:cs="Verdana"/>
                <w:kern w:val="0"/>
                <w:sz w:val="24"/>
                <w:lang w:val="ru-RU" w:eastAsia="ru-RU" w:bidi="ar-SA"/>
              </w:rPr>
              <w:t>с выдачей протоколов исследований.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Verdana"/>
                <w:sz w:val="24"/>
              </w:rPr>
            </w:pPr>
            <w:r>
              <w:rPr>
                <w:rFonts w:eastAsia="Times New Roman" w:cs="Verdana"/>
                <w:kern w:val="0"/>
                <w:sz w:val="24"/>
                <w:lang w:val="ru-RU" w:eastAsia="ru-RU" w:bidi="ar-SA"/>
              </w:rPr>
              <w:t>-Корректировка Декларации о составе и свойствах сточных вод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Verdana"/>
                <w:sz w:val="24"/>
              </w:rPr>
            </w:pPr>
            <w:r>
              <w:rPr>
                <w:rFonts w:eastAsia="Times New Roman" w:cs="Verdana"/>
                <w:kern w:val="0"/>
                <w:sz w:val="24"/>
                <w:lang w:val="ru-RU" w:eastAsia="ru-RU" w:bidi="ar-SA"/>
              </w:rPr>
              <w:t>-Сопровождение документации в ГУП «Водоканал Санкт-Петербурга» с получением согласованной деклараций о составе и свойствах сточных вод в установленном порядке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0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27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1.2.1.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оказывать Услуги силами только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27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</w:t>
            </w:r>
          </w:p>
        </w:tc>
        <w:tc>
          <w:tcPr>
            <w:tcW w:w="69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услуг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680" w:hRule="atLeast"/>
        </w:trPr>
        <w:tc>
          <w:tcPr>
            <w:tcW w:w="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right="0" w:hanging="0"/>
              <w:contextualSpacing/>
              <w:jc w:val="center"/>
              <w:rPr>
                <w:rFonts w:ascii="Times New Roman" w:hAnsi="Times New Roman" w:cs="Times New Roman"/>
                <w:kern w:val="0"/>
                <w:shd w:fill="auto" w:val="clear"/>
                <w:lang w:val="ru-RU" w:eastAsia="ru-RU" w:bidi="ar-SA"/>
              </w:rPr>
            </w:pPr>
            <w:r>
              <w:rPr>
                <w:rFonts w:cs="Times New Roman"/>
                <w:kern w:val="0"/>
                <w:shd w:fill="auto" w:val="clear"/>
                <w:lang w:val="ru-RU" w:eastAsia="ru-RU" w:bidi="ar-SA"/>
              </w:rPr>
              <w:t>2.1.</w:t>
            </w:r>
          </w:p>
        </w:tc>
        <w:tc>
          <w:tcPr>
            <w:tcW w:w="69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pacing w:before="60" w:after="60"/>
              <w:ind w:left="1072" w:right="0" w:hanging="1199"/>
              <w:contextualSpacing/>
              <w:jc w:val="center"/>
              <w:rPr>
                <w:rFonts w:ascii="Times New Roman" w:hAnsi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cs="Times New Roman"/>
                <w:color w:val="auto"/>
                <w:kern w:val="0"/>
                <w:lang w:val="ru-RU" w:eastAsia="ru-RU" w:bidi="ar-SA"/>
              </w:rPr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Приемка осуществляется посредством подписания акта сдачи-приемки услуг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pacing w:before="60" w:after="60"/>
              <w:ind w:left="1072" w:right="0" w:hanging="1199"/>
              <w:contextualSpacing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</w:p>
        </w:tc>
        <w:tc>
          <w:tcPr>
            <w:tcW w:w="69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Акты отбора проб, протоколы исследований, откорректированная Декларация о составе и свойствах сточных вод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60" w:after="60"/>
              <w:ind w:left="660" w:right="0" w:hanging="660"/>
              <w:contextualSpacing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489" w:hRule="atLeast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pacing w:before="60" w:after="60"/>
              <w:ind w:left="1072" w:right="0" w:hanging="1199"/>
              <w:contextualSpacing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осуществляет химические исследования лабораторией имеющей аккредитацию.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pacing w:before="60" w:after="60"/>
              <w:ind w:left="1072" w:right="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отсутствовать в реестре недобросовестных поставщиков, предусмотренном Законом 22-ФЗ, 44-ФЗ, которые размещены в ЕИС.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60" w:after="60"/>
              <w:ind w:left="660" w:right="0" w:hanging="6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6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стоимость оказания услуг должны быть включены все затраты и расходные материалы, необходимые для выполнения услуг согласно техническому требованию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5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jc w:val="center"/>
        <w:rPr>
          <w:sz w:val="24"/>
          <w:lang w:val="ru-RU"/>
        </w:rPr>
      </w:pPr>
      <w:r>
        <w:rPr/>
      </w:r>
    </w:p>
    <w:sectPr>
      <w:headerReference w:type="default" r:id="rId2"/>
      <w:type w:val="nextPage"/>
      <w:pgSz w:orient="landscape" w:w="16838" w:h="11906"/>
      <w:pgMar w:left="1134" w:right="1134" w:header="1134" w:top="1457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stem-ui">
    <w:charset w:val="01"/>
    <w:family w:val="roman"/>
    <w:pitch w:val="variable"/>
  </w:font>
  <w:font w:name="Times New Roman">
    <w:charset w:val="01"/>
    <w:family w:val="roman"/>
    <w:pitch w:val="default"/>
  </w:font>
  <w:font w:name="Times New Roman">
    <w:charset w:val="01"/>
    <w:family w:val="auto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link w:val="2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link w:val="3"/>
    <w:autoRedefine/>
    <w:qFormat/>
    <w:rsid w:val="009b0dce"/>
    <w:pPr>
      <w:widowControl w:val="false"/>
      <w:ind w:left="1225" w:hanging="505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link w:val="4"/>
    <w:qFormat/>
    <w:rsid w:val="006629c9"/>
    <w:pPr>
      <w:tabs>
        <w:tab w:val="clear" w:pos="708"/>
        <w:tab w:val="left" w:pos="0" w:leader="none"/>
      </w:tabs>
      <w:ind w:left="574" w:hanging="505"/>
      <w:outlineLvl w:val="3"/>
    </w:pPr>
    <w:rPr>
      <w:bCs/>
    </w:rPr>
  </w:style>
  <w:style w:type="paragraph" w:styleId="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Символ сноски"/>
    <w:qFormat/>
    <w:rsid w:val="00d561d9"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9b0dce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13" w:customStyle="1">
    <w:name w:val="Текст сноски Знак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b/>
      <w:i/>
      <w:shd w:fill="FFFF99" w:val="clear"/>
    </w:rPr>
  </w:style>
  <w:style w:type="character" w:styleId="Style17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 w:customStyle="1">
    <w:name w:val="Символ концевой сноски"/>
    <w:qFormat/>
    <w:rsid w:val="003879d4"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23" w:customStyle="1">
    <w:name w:val="Ссылка указателя"/>
    <w:qFormat/>
    <w:rPr/>
  </w:style>
  <w:style w:type="character" w:styleId="WW8Num13z0">
    <w:name w:val="WW8Num13z0"/>
    <w:qFormat/>
    <w:rPr>
      <w:b w:val="false"/>
      <w:sz w:val="24"/>
      <w:szCs w:val="24"/>
    </w:rPr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FontStyle14">
    <w:name w:val="Font Style14"/>
    <w:qFormat/>
    <w:rPr>
      <w:rFonts w:ascii="Times New Roman;Times New Roman" w:hAnsi="Times New Roman;Times New Roman" w:cs="Times New Roman;Times New Roman"/>
      <w:sz w:val="22"/>
      <w:szCs w:val="22"/>
    </w:rPr>
  </w:style>
  <w:style w:type="character" w:styleId="WW8Num9z0">
    <w:name w:val="WW8Num9z0"/>
    <w:qFormat/>
    <w:rPr>
      <w:rFonts w:ascii="Symbol" w:hAnsi="Symbol" w:cs="Symbol"/>
      <w:sz w:val="24"/>
      <w:szCs w:val="24"/>
    </w:rPr>
  </w:style>
  <w:style w:type="character" w:styleId="WW8Num9z1">
    <w:name w:val="WW8Num9z1"/>
    <w:qFormat/>
    <w:rPr>
      <w:rFonts w:ascii="Courier New;Courier New" w:hAnsi="Courier New;Courier New" w:cs="Courier New;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>
      <w:b w:val="false"/>
      <w:i w:val="false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paragraph" w:styleId="Style24" w:customStyle="1">
    <w:name w:val="Заголовок"/>
    <w:basedOn w:val="Normal"/>
    <w:next w:val="Style25"/>
    <w:qFormat/>
    <w:pPr>
      <w:keepNext w:val="true"/>
      <w:spacing w:before="240" w:after="120"/>
    </w:pPr>
    <w:rPr>
      <w:rFonts w:eastAsia="WenQuanYi Zen Hei Sharp" w:cs="Lohit Devanagari"/>
    </w:rPr>
  </w:style>
  <w:style w:type="paragraph" w:styleId="Style25">
    <w:name w:val="Body Text"/>
    <w:basedOn w:val="Normal"/>
    <w:link w:val="Style6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Style24"/>
    <w:qFormat/>
    <w:pPr/>
    <w:rPr/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both"/>
    </w:pPr>
    <w:rPr/>
  </w:style>
  <w:style w:type="paragraph" w:styleId="Style32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3" w:customStyle="1">
    <w:name w:val="Колонтитул"/>
    <w:basedOn w:val="Normal"/>
    <w:qFormat/>
    <w:pPr/>
    <w:rPr/>
  </w:style>
  <w:style w:type="paragraph" w:styleId="Style34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5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6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7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8" w:customStyle="1">
    <w:name w:val="Раздел регламента"/>
    <w:basedOn w:val="Normal"/>
    <w:qFormat/>
    <w:rsid w:val="00e228fa"/>
    <w:pPr/>
    <w:rPr/>
  </w:style>
  <w:style w:type="paragraph" w:styleId="Style3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0a7817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1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2">
    <w:name w:val="Index Heading"/>
    <w:basedOn w:val="Style24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7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9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1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5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mrcssattrmrcssattrmrcssattr" w:customStyle="1">
    <w:name w:val="msonormalmrcssattrmrcssattr_mr_css_attr"/>
    <w:basedOn w:val="Normal"/>
    <w:qFormat/>
    <w:rsid w:val="002c0ceb"/>
    <w:pPr>
      <w:spacing w:beforeAutospacing="1" w:afterAutospacing="1"/>
    </w:pPr>
    <w:rPr>
      <w:sz w:val="24"/>
      <w:szCs w:val="24"/>
    </w:rPr>
  </w:style>
  <w:style w:type="paragraph" w:styleId="Style53" w:customStyle="1">
    <w:name w:val="Содержимое врезки"/>
    <w:basedOn w:val="Normal"/>
    <w:qFormat/>
    <w:pPr/>
    <w:rPr/>
  </w:style>
  <w:style w:type="paragraph" w:styleId="Style54">
    <w:name w:val="Абзац списка"/>
    <w:basedOn w:val="Normal"/>
    <w:qFormat/>
    <w:pPr>
      <w:spacing w:before="0" w:after="0"/>
      <w:ind w:left="720" w:hanging="0"/>
      <w:contextualSpacing/>
    </w:pPr>
    <w:rPr>
      <w:lang w:val="ru-RU"/>
    </w:rPr>
  </w:style>
  <w:style w:type="paragraph" w:styleId="Style71">
    <w:name w:val="Style7"/>
    <w:basedOn w:val="Normal"/>
    <w:qFormat/>
    <w:pPr>
      <w:widowControl w:val="false"/>
      <w:spacing w:lineRule="exact" w:line="276"/>
      <w:ind w:hanging="509"/>
      <w:jc w:val="left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WW8Num13">
    <w:name w:val="WW8Num13"/>
    <w:qFormat/>
  </w:style>
  <w:style w:type="numbering" w:styleId="WW8Num9">
    <w:name w:val="WW8Num9"/>
    <w:qFormat/>
  </w:style>
  <w:style w:type="numbering" w:styleId="WW8Num2">
    <w:name w:val="WW8Num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8F2EF-7C4B-40EF-AA2C-5667FDBE1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1706</TotalTime>
  <Application>LibreOffice/7.1.8.1$Linux_X86_64 LibreOffice_project/10$Build-1</Application>
  <AppVersion>15.0000</AppVersion>
  <Pages>6</Pages>
  <Words>980</Words>
  <Characters>6224</Characters>
  <CharactersWithSpaces>7048</CharactersWithSpaces>
  <Paragraphs>166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2024-04-08T12:31:00Z</dcterms:created>
  <dc:creator>Быстров Олег Геннадьевич</dc:creator>
  <dc:description/>
  <dc:language>ru-RU</dc:language>
  <cp:lastModifiedBy/>
  <cp:lastPrinted>2025-04-10T16:26:56Z</cp:lastPrinted>
  <dcterms:modified xsi:type="dcterms:W3CDTF">2026-09-21T12:33:49Z</dcterms:modified>
  <cp:revision>14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