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highlight w:val="white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ОКПД2 28.13.32.120 </w:t>
      </w:r>
      <w:r>
        <w:rPr>
          <w:sz w:val="26"/>
          <w:szCs w:val="26"/>
        </w:rPr>
        <w:t>Поставка запасных частей для ремонта компрессорного оборудования Филиала ПАО "РусГидро"-"Жигулевская ГЭС"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</w:rPr>
        <w:t>(компрессоры 1ВВ-40/9В)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7159_4263782815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161_4263782815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163_4263782815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165_4263782815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167_4263782815">
            <w:r>
              <w:rPr>
                <w:webHidden/>
                <w:rStyle w:val="Style14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169_4263782815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171_4263782815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327"/>
              <w:tab w:val="right" w:pos="9921" w:leader="dot"/>
            </w:tabs>
            <w:rPr/>
          </w:pPr>
          <w:hyperlink w:anchor="__RefHeading___Toc7173_4263782815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175_4263782815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327"/>
              <w:tab w:val="right" w:pos="9921" w:leader="dot"/>
            </w:tabs>
            <w:rPr/>
          </w:pPr>
          <w:hyperlink w:anchor="__RefHeading___Toc7181_4263782815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6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183_4263782815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6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7185_4263782815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7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187_4263782815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7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189_4263782815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11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7191_4263782815">
            <w:r>
              <w:rPr>
                <w:webHidden/>
                <w:rStyle w:val="Style14"/>
                <w:vanish w:val="false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327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color w:val="auto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color w:val="auto"/>
          <w:sz w:val="22"/>
          <w:szCs w:val="22"/>
        </w:rPr>
      </w:r>
    </w:p>
    <w:p>
      <w:pPr>
        <w:pStyle w:val="Heading2"/>
        <w:rPr>
          <w:b w:val="false"/>
          <w:i/>
          <w:i/>
        </w:rPr>
      </w:pPr>
      <w:r>
        <w:rPr>
          <w:b w:val="false"/>
          <w:i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caps/>
          <w:lang w:val="ru-RU"/>
        </w:rPr>
      </w:pPr>
      <w:bookmarkStart w:id="0" w:name="__RefHeading___Toc7159_4263782815"/>
      <w:bookmarkStart w:id="1" w:name="_Toc133502991"/>
      <w:bookmarkStart w:id="2" w:name="_Toc51339692"/>
      <w:bookmarkEnd w:id="0"/>
      <w:bookmarkEnd w:id="2"/>
      <w:r>
        <w:rPr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1"/>
        </w:numPr>
        <w:rPr/>
      </w:pPr>
      <w:bookmarkStart w:id="3" w:name="__RefHeading___Toc7161_4263782815"/>
      <w:bookmarkStart w:id="4" w:name="_Toc133502992"/>
      <w:bookmarkStart w:id="5" w:name="_Toc46743505"/>
      <w:bookmarkEnd w:id="3"/>
      <w:bookmarkEnd w:id="5"/>
      <w:r>
        <w:rPr/>
        <w:t>Обозначения и сокращения</w:t>
      </w:r>
      <w:bookmarkEnd w:id="4"/>
    </w:p>
    <w:p>
      <w:pPr>
        <w:pStyle w:val="Normal"/>
        <w:rPr>
          <w:rStyle w:val="Style8"/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Cs w:val="24"/>
                <w:lang w:val="en-US"/>
              </w:rPr>
              <w:t>ФАС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Федеральная антимонопольная служба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rStyle w:val="Style8"/>
                <w:shd w:fill="FFFFFF" w:val="clear"/>
                <w:lang w:val="en-US"/>
              </w:rPr>
            </w:pPr>
            <w:r>
              <w:rPr>
                <w:shd w:fill="FFFFFF" w:val="clear"/>
                <w:lang w:val="en-US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i w:val="false"/>
                <w:iCs w:val="false"/>
                <w:shd w:fill="FFFFFF" w:val="clear"/>
                <w:lang w:val="en-US"/>
              </w:rPr>
              <w:t>КНД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Компрессор низкого давления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/>
      </w:pPr>
      <w:bookmarkStart w:id="6" w:name="__RefHeading___Toc7163_4263782815"/>
      <w:bookmarkStart w:id="7" w:name="_Toc133502993"/>
      <w:bookmarkStart w:id="8" w:name="_Toc46743506"/>
      <w:bookmarkEnd w:id="6"/>
      <w:bookmarkEnd w:id="8"/>
      <w:r>
        <w:rPr/>
        <w:t>Наименование закупаемой продукции</w:t>
      </w:r>
      <w:bookmarkEnd w:id="7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ind w:hanging="0" w:right="-144"/>
        <w:rPr>
          <w:sz w:val="24"/>
          <w:szCs w:val="24"/>
        </w:rPr>
      </w:pPr>
      <w:r>
        <w:rPr>
          <w:sz w:val="24"/>
          <w:szCs w:val="24"/>
        </w:rPr>
        <w:t>ОКПД2 28.13.32.120 Поставка запасных частей для ремонта компрессорного оборудования Филиала ПАО "РусГидро"-"Жигулевская ГЭС" (компрессоры 1ВВ-40/9В)</w:t>
      </w:r>
    </w:p>
    <w:p>
      <w:pPr>
        <w:pStyle w:val="Heading4"/>
        <w:numPr>
          <w:ilvl w:val="1"/>
          <w:numId w:val="1"/>
        </w:numPr>
        <w:spacing w:before="240" w:after="60"/>
        <w:ind w:hanging="431" w:left="431"/>
        <w:rPr/>
      </w:pPr>
      <w:bookmarkStart w:id="9" w:name="__RefHeading___Toc7165_4263782815"/>
      <w:bookmarkStart w:id="10" w:name="_Toc133502994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/>
      </w:pPr>
      <w:r>
        <w:rPr>
          <w:sz w:val="24"/>
          <w:szCs w:val="24"/>
        </w:rPr>
        <w:t>Для обеспечения работоспособности компрессоров 1ВВ-40/9В. Продукция предназначена для исполнения договора подряда 3-РЕМ-2023-ЖиГЭС от 03.11.2023г. «Капитальный и текущий ремонт оборудования, зданий, сооружений филиала ПАО «РусГидро» - «Жигулевская ГЭС» и будет использоваться в качестве давальческих материалов.</w:t>
      </w:r>
    </w:p>
    <w:p>
      <w:pPr>
        <w:pStyle w:val="Heading4"/>
        <w:numPr>
          <w:ilvl w:val="1"/>
          <w:numId w:val="1"/>
        </w:numPr>
        <w:rPr/>
      </w:pPr>
      <w:bookmarkStart w:id="12" w:name="__RefHeading___Toc7167_4263782815"/>
      <w:bookmarkStart w:id="13" w:name="_Toc133502995"/>
      <w:bookmarkStart w:id="14" w:name="_Toc46743508"/>
      <w:bookmarkEnd w:id="12"/>
      <w:r>
        <w:rPr/>
        <w:t>Существующее положение</w:t>
      </w:r>
      <w:bookmarkEnd w:id="13"/>
      <w:bookmarkEnd w:id="14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Жигулёвская ГЭС расположена по адресу: Российская Федерация, 445350, Самарская область, город Жигулевск, Московское шоссе, дом 2.  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На Филиале эксплуатируются</w:t>
      </w:r>
      <w:r>
        <w:rPr>
          <w:b/>
          <w:bCs/>
          <w:sz w:val="24"/>
          <w:szCs w:val="24"/>
          <w:lang w:eastAsia="en-US"/>
        </w:rPr>
        <w:t xml:space="preserve"> </w:t>
      </w:r>
      <w:r>
        <w:rPr>
          <w:b w:val="false"/>
          <w:bCs w:val="false"/>
          <w:sz w:val="24"/>
          <w:szCs w:val="24"/>
          <w:lang w:eastAsia="en-US"/>
        </w:rPr>
        <w:t>два к</w:t>
      </w:r>
      <w:r>
        <w:rPr>
          <w:sz w:val="24"/>
          <w:szCs w:val="24"/>
          <w:lang w:eastAsia="en-US"/>
        </w:rPr>
        <w:t>омпрессора низкого давления типа 1ВВ-40/9В расположенные на отм.37,7 монтажного блока (КНД-3 и КНД-4), производства ОАО «Пензкомпрессормаш». С момента ввода в эксплуатацию в 2005 году регулярное проведение текущих ремонтов позволяет поддерживать оборудование в исправном состоянии.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Для обеспечения работоспособности компрессоров 1ВВ-40/9В необходимо в период проведения текущего ремонта использовать запчасти и материалы, указанные в таблице 1.1.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327"/>
          <w:tab w:val="left" w:pos="426" w:leader="none"/>
        </w:tabs>
        <w:spacing w:before="120" w:after="240"/>
        <w:contextualSpacing/>
        <w:jc w:val="both"/>
        <w:rPr>
          <w:b/>
          <w:lang w:val="en-US"/>
        </w:rPr>
      </w:pPr>
      <w:r>
        <w:rPr>
          <w:b/>
          <w:lang w:val="en-US"/>
        </w:rPr>
        <w:t>Требования к участнику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участнику закупки: отсутствие в реестре недобросовестных поставщиков(подрядчиков) ФАС России.</w:t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iCs/>
          <w:caps/>
          <w:lang w:val="ru-RU"/>
        </w:rPr>
      </w:pPr>
      <w:bookmarkStart w:id="15" w:name="__RefHeading___Toc7169_4263782815"/>
      <w:bookmarkStart w:id="16" w:name="_Toc133502996"/>
      <w:bookmarkStart w:id="17" w:name="_Toc51339693"/>
      <w:bookmarkEnd w:id="15"/>
      <w:bookmarkEnd w:id="17"/>
      <w:r>
        <w:rPr>
          <w:iCs/>
        </w:rPr>
        <w:t>Требования к продукции</w:t>
      </w:r>
      <w:bookmarkEnd w:id="16"/>
    </w:p>
    <w:p>
      <w:pPr>
        <w:pStyle w:val="Heading4"/>
        <w:numPr>
          <w:ilvl w:val="1"/>
          <w:numId w:val="1"/>
        </w:numPr>
        <w:rPr/>
      </w:pPr>
      <w:bookmarkStart w:id="18" w:name="__RefHeading___Toc7171_4263782815"/>
      <w:bookmarkStart w:id="19" w:name="_Toc133502997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1"/>
        </w:numPr>
        <w:rPr/>
      </w:pPr>
      <w:bookmarkStart w:id="20" w:name="__RefHeading___Toc7173_4263782815"/>
      <w:bookmarkStart w:id="21" w:name="_Toc133502998"/>
      <w:bookmarkEnd w:id="20"/>
      <w:r>
        <w:rPr>
          <w:lang w:val="ru-RU"/>
        </w:rPr>
        <w:t>Перечень и объем закупаемой продукции</w:t>
      </w:r>
      <w:bookmarkEnd w:id="21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22" w:name="__RefHeading___Toc7175_4263782815"/>
      <w:bookmarkStart w:id="23" w:name="_Toc133502999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tbl>
      <w:tblPr>
        <w:tblW w:w="9713" w:type="dxa"/>
        <w:jc w:val="left"/>
        <w:tblInd w:w="30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3"/>
        <w:gridCol w:w="6374"/>
        <w:gridCol w:w="1354"/>
        <w:gridCol w:w="1421"/>
      </w:tblGrid>
      <w:tr>
        <w:trPr>
          <w:tblHeader w:val="true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blHeader w:val="true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374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Звездочка Пензкомпрессормаш 04.248.045 для компрессора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374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Элемент фильтрующий очистки воздуха ФП 207.1-06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374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Масло компрессорное «Энекон-46» ТУ 0253-009-47419918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4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374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Масло промывочное «Эконол» ТУ 0253-004-47419918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13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4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</w:tr>
    </w:tbl>
    <w:p>
      <w:pPr>
        <w:pStyle w:val="Normal"/>
        <w:ind w:hanging="0" w:left="57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hanging="0" w:left="57"/>
        <w:jc w:val="both"/>
        <w:rPr>
          <w:lang w:val="en-US"/>
        </w:rPr>
      </w:pPr>
      <w:r>
        <w:rPr>
          <w:lang w:val="en-US"/>
        </w:rPr>
      </w:r>
      <w:r>
        <w:br w:type="page"/>
      </w:r>
    </w:p>
    <w:p>
      <w:pPr>
        <w:pStyle w:val="Normal"/>
        <w:ind w:hanging="0" w:left="57"/>
        <w:jc w:val="both"/>
        <w:rPr>
          <w:lang w:val="en-US"/>
        </w:rPr>
      </w:pPr>
      <w:r>
        <w:rPr>
          <w:b/>
          <w:sz w:val="24"/>
          <w:szCs w:val="24"/>
          <w:lang w:eastAsia="en-US"/>
        </w:rPr>
        <w:t xml:space="preserve">Таблица 1.2 Технические характеристики </w:t>
      </w:r>
      <w:r>
        <w:rPr>
          <w:b/>
          <w:sz w:val="24"/>
          <w:szCs w:val="24"/>
          <w:lang w:val="en-US" w:eastAsia="en-US"/>
        </w:rPr>
        <w:t>оборудования</w:t>
      </w:r>
    </w:p>
    <w:p>
      <w:pPr>
        <w:pStyle w:val="Normal"/>
        <w:ind w:hanging="0" w:left="7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tbl>
      <w:tblPr>
        <w:tblW w:w="9750" w:type="dxa"/>
        <w:jc w:val="left"/>
        <w:tblInd w:w="3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6"/>
        <w:gridCol w:w="2623"/>
        <w:gridCol w:w="3006"/>
        <w:gridCol w:w="3574"/>
      </w:tblGrid>
      <w:tr>
        <w:trPr>
          <w:trHeight w:val="450" w:hRule="atLeast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jc w:val="center"/>
              <w:rPr>
                <w:b/>
                <w:bCs/>
                <w:sz w:val="24"/>
                <w:szCs w:val="28"/>
              </w:rPr>
            </w:pPr>
            <w:bookmarkStart w:id="25" w:name="__RefHeading___Toc7177_4263782815"/>
            <w:bookmarkEnd w:id="25"/>
            <w:r>
              <w:rPr>
                <w:b/>
                <w:bCs/>
                <w:sz w:val="24"/>
                <w:szCs w:val="28"/>
              </w:rPr>
              <w:t>Наименование параметра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jc w:val="center"/>
              <w:rPr>
                <w:b/>
                <w:bCs/>
                <w:sz w:val="24"/>
                <w:szCs w:val="28"/>
              </w:rPr>
            </w:pPr>
            <w:bookmarkStart w:id="26" w:name="__RefHeading___Toc7179_4263782815"/>
            <w:bookmarkEnd w:id="26"/>
            <w:r>
              <w:rPr>
                <w:b/>
                <w:bCs/>
                <w:sz w:val="24"/>
                <w:szCs w:val="28"/>
              </w:rPr>
              <w:t>Значение параметра</w:t>
            </w:r>
          </w:p>
        </w:tc>
      </w:tr>
      <w:tr>
        <w:trPr/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>
        <w:trPr/>
        <w:tc>
          <w:tcPr>
            <w:tcW w:w="54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62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Звездочка</w:t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1ВВ-40/9В Пензкомпрессормаш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>04.248.045</w:t>
            </w:r>
          </w:p>
        </w:tc>
      </w:tr>
      <w:tr>
        <w:trPr/>
        <w:tc>
          <w:tcPr>
            <w:tcW w:w="54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62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Элемент фильтрующий очистки воздуха</w:t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1ВВ-40/9В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ФП 207.1-06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Диаметр уплотнительного кольца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менее 220мм</w:t>
            </w:r>
          </w:p>
        </w:tc>
      </w:tr>
      <w:tr>
        <w:trPr/>
        <w:tc>
          <w:tcPr>
            <w:tcW w:w="54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62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компрессорное</w:t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1ВВ-40/9В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«Энекон-46»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Вязкость кинематическая, мм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2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/с при 100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о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С в пределах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6,0-9,0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Индекс вязкости, не менее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 xml:space="preserve">Температура вспышки в открытом тигле,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0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С не ниже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 xml:space="preserve">Температура застывания,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0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С не выше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Массовая доля механических примесей, % масс. не более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Плотность при 20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0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С, г/м3 не более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0,91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Стандарт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 0253-009-47419918</w:t>
            </w:r>
          </w:p>
        </w:tc>
      </w:tr>
      <w:tr>
        <w:trPr/>
        <w:tc>
          <w:tcPr>
            <w:tcW w:w="54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62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промывочное</w:t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1ВВ-40/9В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«Эконол»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Вязкость кинематическая при 100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о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С, мм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2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/с не менее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Массовая доля воды, % не более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 xml:space="preserve">Температура вспышки в открытом тигле,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0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С не ниже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 xml:space="preserve">Температура застывания,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vertAlign w:val="superscript"/>
                <w:lang w:val="en-US" w:eastAsia="en-US"/>
              </w:rPr>
              <w:t>0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С не выше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минус 10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en-US" w:eastAsia="en-US"/>
              </w:rPr>
              <w:t>Массовая доля механических примесей, % масс. не более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Стандарт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 0253-004-47419918</w:t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1"/>
        </w:numPr>
        <w:rPr>
          <w:lang w:val="ru-RU"/>
        </w:rPr>
      </w:pPr>
      <w:bookmarkStart w:id="27" w:name="__RefHeading___Toc7181_4263782815"/>
      <w:bookmarkStart w:id="28" w:name="_Toc133503002"/>
      <w:bookmarkStart w:id="29" w:name="_Toc51339696"/>
      <w:bookmarkEnd w:id="27"/>
      <w:r>
        <w:rPr>
          <w:lang w:val="ru-RU"/>
        </w:rPr>
        <w:t xml:space="preserve">Требования </w:t>
      </w:r>
      <w:bookmarkEnd w:id="29"/>
      <w:r>
        <w:rPr>
          <w:lang w:val="ru-RU"/>
        </w:rPr>
        <w:t>к срокам поставки продукции и оказания сопутствующих услуг</w:t>
      </w:r>
      <w:bookmarkEnd w:id="28"/>
    </w:p>
    <w:p>
      <w:pPr>
        <w:pStyle w:val="Heading3"/>
        <w:numPr>
          <w:ilvl w:val="0"/>
          <w:numId w:val="0"/>
        </w:numPr>
        <w:ind w:hanging="0" w:left="0"/>
        <w:rPr>
          <w:b w:val="false"/>
          <w:bCs w:val="false"/>
        </w:rPr>
      </w:pPr>
      <w:r>
        <w:rPr>
          <w:b w:val="false"/>
          <w:bCs w:val="false"/>
        </w:rPr>
        <w:t>Поставка продукции осуществляется одной партией в объеме и в сроки согласно таблицы 2.1.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30" w:name="__RefHeading___Toc7183_4263782815"/>
      <w:bookmarkStart w:id="31" w:name="_Toc133503003"/>
      <w:bookmarkStart w:id="32" w:name="_Toc50125127"/>
      <w:bookmarkStart w:id="33" w:name="_Toc51339697"/>
      <w:bookmarkStart w:id="34" w:name="_Toc501251261"/>
      <w:bookmarkEnd w:id="30"/>
      <w:bookmarkEnd w:id="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5" w:name="_Hlk50465284"/>
      <w:r>
        <w:rPr>
          <w:sz w:val="24"/>
          <w:szCs w:val="24"/>
        </w:rPr>
        <w:t xml:space="preserve">Требования по срокам </w:t>
      </w:r>
      <w:bookmarkEnd w:id="32"/>
      <w:bookmarkEnd w:id="33"/>
      <w:bookmarkEnd w:id="35"/>
      <w:r>
        <w:rPr>
          <w:sz w:val="24"/>
          <w:szCs w:val="24"/>
          <w:lang w:val="ru-RU"/>
        </w:rPr>
        <w:t>поставки продукции</w:t>
      </w:r>
      <w:bookmarkEnd w:id="31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51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4"/>
        <w:gridCol w:w="3805"/>
        <w:gridCol w:w="2556"/>
        <w:gridCol w:w="2630"/>
      </w:tblGrid>
      <w:tr>
        <w:trPr>
          <w:tblHeader w:val="true"/>
        </w:trPr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blHeader w:val="true"/>
        </w:trPr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Звездочка Пензкомпрессормаш 04.248.045 для компрессора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01.04.2028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Элемент фильтрующий очистки воздуха ФП 207.1-06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01.04.2028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Масло компрессорное «Энекон-46» ТУ 0253-009-47419918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01.04.2028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Масло промывочное «Эконол» ТУ 0253-004-47419918 </w:t>
            </w:r>
            <w:r>
              <w:rPr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01.04.2028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36" w:name="__RefHeading___Toc7185_4263782815"/>
      <w:bookmarkStart w:id="37" w:name="_Toc51339698"/>
      <w:bookmarkStart w:id="38" w:name="_Toc133503004"/>
      <w:bookmarkStart w:id="39" w:name="_Toc46743511"/>
      <w:bookmarkEnd w:id="36"/>
      <w:r>
        <w:rPr/>
        <w:t xml:space="preserve">Требования к </w:t>
      </w:r>
      <w:bookmarkEnd w:id="39"/>
      <w:r>
        <w:rPr>
          <w:lang w:val="ru-RU"/>
        </w:rPr>
        <w:t>качеству продукции</w:t>
      </w:r>
      <w:bookmarkEnd w:id="3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40" w:name="__RefHeading___Toc7187_4263782815"/>
      <w:bookmarkEnd w:id="40"/>
      <w:r>
        <w:rPr>
          <w:sz w:val="24"/>
          <w:szCs w:val="24"/>
        </w:rPr>
        <w:t xml:space="preserve"> </w:t>
      </w:r>
      <w:bookmarkStart w:id="41" w:name="_Toc133503005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7"/>
      <w:bookmarkEnd w:id="41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</w:rPr>
      </w:pPr>
      <w:r>
        <w:rPr/>
      </w:r>
    </w:p>
    <w:p>
      <w:pPr>
        <w:pStyle w:val="Normal"/>
        <w:jc w:val="both"/>
        <w:rPr>
          <w:sz w:val="26"/>
          <w:szCs w:val="26"/>
        </w:rPr>
      </w:pPr>
      <w:r>
        <w:rPr>
          <w:b/>
          <w:bCs/>
          <w:iCs/>
          <w:sz w:val="24"/>
          <w:szCs w:val="24"/>
        </w:rPr>
        <w:t>Наименование продукции</w:t>
      </w:r>
      <w:r>
        <w:rPr>
          <w:b/>
          <w:bCs/>
          <w:iCs/>
          <w:sz w:val="24"/>
          <w:szCs w:val="24"/>
          <w:shd w:fill="auto" w:val="clear"/>
        </w:rPr>
        <w:t xml:space="preserve"> (позиции №1-№4 Таблицы 1.1): ОКПД2 28.13.32.120 Поставка запасных частей для ремонта компрессорного оборудования Филиала ПАО "РусГидро"-"Жигулевская ГЭС" (компрессоры 1ВВ-40/9В)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ff5"/>
        <w:tblW w:w="15309" w:type="dxa"/>
        <w:jc w:val="left"/>
        <w:tblInd w:w="146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1995"/>
        <w:gridCol w:w="32"/>
        <w:gridCol w:w="12"/>
        <w:gridCol w:w="2961"/>
        <w:gridCol w:w="2927"/>
        <w:gridCol w:w="3201"/>
        <w:gridCol w:w="3334"/>
      </w:tblGrid>
      <w:tr>
        <w:trPr/>
        <w:tc>
          <w:tcPr>
            <w:tcW w:w="84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39" w:type="dxa"/>
            <w:gridSpan w:val="3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61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12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33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39" w:type="dxa"/>
            <w:gridSpan w:val="3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6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33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3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6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3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Требование к сроку годности на продукцию с ограниченным сроком годности</w:t>
            </w:r>
          </w:p>
        </w:tc>
        <w:tc>
          <w:tcPr>
            <w:tcW w:w="29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Остаточный срок годности поставляемой продукции в момент поставки должен составлять не менее 12 месяцев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эквивалентов</w:t>
            </w:r>
          </w:p>
        </w:tc>
        <w:tc>
          <w:tcPr>
            <w:tcW w:w="29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Возможно использование эквивалентов при условии соответствия функциональности, технических характеристик, установочных размеров запасных частей и работоспособности оборудования составной частью которого они являются без дополнительных трудозатрат. Соответствие требованиям указанных в таблице 1.2.</w:t>
            </w:r>
          </w:p>
        </w:tc>
        <w:tc>
          <w:tcPr>
            <w:tcW w:w="29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Согласие с требованием</w:t>
            </w:r>
          </w:p>
        </w:tc>
        <w:tc>
          <w:tcPr>
            <w:tcW w:w="320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2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1066" w:leader="none"/>
              </w:tabs>
              <w:suppressAutoHyphens w:val="true"/>
              <w:spacing w:lineRule="auto" w:line="276" w:before="0" w:after="200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1066" w:leader="none"/>
              </w:tabs>
              <w:suppressAutoHyphens w:val="true"/>
              <w:spacing w:lineRule="auto" w:line="276" w:before="0" w:after="200"/>
              <w:ind w:hanging="0" w:left="74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жизненного цикла Систем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9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Требования к изготовлению и материалам</w:t>
            </w:r>
          </w:p>
        </w:tc>
        <w:tc>
          <w:tcPr>
            <w:tcW w:w="300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Изготовление и материалы поставляемой продукции должна соответствовать заявленным согласно перечня в табл.1.2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Погрузка, доставка, разгрузка и перемещение Товара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быть доставлена поставщиком по адресу: Российская Федерация, 445350, Самарская область, город Жигулевск, Московское шоссе, дом 2. Приемка продукции в рабочие дни с 08.00 до 15.00 по местному времени. Информация о транспорте (марка, гос.номер), на котором осуществляется доставка, а также ФИО и паспортные данные водителя и сопровождающих лиц (при наличии) для оформления допуска на территорию предоставляется не позднее предыдущего рабочего дня до прибытия транспорта, до 15.00. Допуск транспорта на территорию заказчика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 пропуск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осуществляется без попутного груза.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firstLine="284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Срок гарантии на поставленную продукцию не менее 12 месяцев.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оборудованием</w:t>
            </w:r>
          </w:p>
        </w:tc>
        <w:tc>
          <w:tcPr>
            <w:tcW w:w="29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 (перечень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определяется заводом изготовителем),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технические паспорта,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протоколы заводских испытаний, а так же товарную накладную унифицированной формы ТОРГ 12/Универсальный передаточный документ в 2 экз. Вся передаваемая документация должна быть на русском языке.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шефмонтажу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шефналадке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прочим услугам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lang w:val="ru-RU"/>
        </w:rPr>
      </w:pPr>
      <w:bookmarkStart w:id="42" w:name="__RefHeading___Toc7189_4263782815"/>
      <w:bookmarkStart w:id="43" w:name="_Toc133503006"/>
      <w:bookmarkStart w:id="44" w:name="_Toc53393312"/>
      <w:bookmarkEnd w:id="42"/>
      <w:r>
        <w:rPr>
          <w:lang w:val="ru-RU"/>
        </w:rPr>
        <w:t>Требования к документации по ценообразованию</w:t>
      </w:r>
      <w:bookmarkEnd w:id="44"/>
      <w:r>
        <w:rPr>
          <w:lang w:val="ru-RU"/>
        </w:rPr>
        <w:t xml:space="preserve"> на этапе закупки</w:t>
      </w:r>
      <w:bookmarkEnd w:id="43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60" w:after="0"/>
        <w:jc w:val="both"/>
        <w:rPr>
          <w:rStyle w:val="Style8"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p>
      <w:pPr>
        <w:pStyle w:val="Normal"/>
        <w:numPr>
          <w:ilvl w:val="1"/>
          <w:numId w:val="5"/>
        </w:numPr>
        <w:spacing w:before="0" w:after="120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 xml:space="preserve">В обоснование стоимости своей заявки Поставщик предоставляет Коммерческое предложение по форме </w:t>
      </w:r>
      <w:bookmarkStart w:id="45" w:name="_Hlk88325985"/>
      <w:r>
        <w:rPr>
          <w:bCs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45"/>
      <w:r>
        <w:rPr>
          <w:bCs/>
          <w:iCs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Normal"/>
        <w:numPr>
          <w:ilvl w:val="1"/>
          <w:numId w:val="5"/>
        </w:numPr>
        <w:spacing w:before="0" w:after="120"/>
        <w:jc w:val="both"/>
        <w:rPr>
          <w:sz w:val="24"/>
          <w:szCs w:val="24"/>
        </w:rPr>
      </w:pPr>
      <w:r>
        <w:rPr>
          <w:rFonts w:eastAsia="Calibri"/>
          <w:iCs/>
          <w:sz w:val="24"/>
          <w:szCs w:val="24"/>
          <w:lang w:val="x-none" w:eastAsia="x-none"/>
        </w:rPr>
        <w:t>Вместе с Коммерческим предложением Поставщ</w:t>
      </w:r>
      <w:bookmarkStart w:id="46" w:name="_GoBack"/>
      <w:bookmarkEnd w:id="46"/>
      <w:r>
        <w:rPr>
          <w:rFonts w:eastAsia="Calibri"/>
          <w:iCs/>
          <w:sz w:val="24"/>
          <w:szCs w:val="24"/>
          <w:lang w:val="x-none" w:eastAsia="x-none"/>
        </w:rPr>
        <w:t>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</w:p>
    <w:p>
      <w:pPr>
        <w:pStyle w:val="Normal"/>
        <w:spacing w:before="0" w:after="120"/>
        <w:jc w:val="both"/>
        <w:rPr>
          <w:rFonts w:eastAsia="Calibri"/>
          <w:i/>
          <w:i/>
          <w:iCs/>
          <w:sz w:val="24"/>
          <w:szCs w:val="24"/>
          <w:lang w:val="x-none" w:eastAsia="x-none"/>
        </w:rPr>
      </w:pPr>
      <w:r>
        <w:rPr>
          <w:rFonts w:eastAsia="Calibri"/>
          <w:i/>
          <w:iCs/>
          <w:sz w:val="24"/>
          <w:szCs w:val="24"/>
          <w:lang w:val="x-none" w:eastAsia="x-none"/>
        </w:rPr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iCs/>
          <w:caps/>
        </w:rPr>
      </w:pPr>
      <w:bookmarkStart w:id="47" w:name="__RefHeading___Toc7191_4263782815"/>
      <w:bookmarkStart w:id="48" w:name="_Toc133503007"/>
      <w:bookmarkEnd w:id="47"/>
      <w:r>
        <w:rPr>
          <w:iCs/>
        </w:rPr>
        <w:t>Приложения</w:t>
      </w:r>
      <w:bookmarkEnd w:id="48"/>
    </w:p>
    <w:p>
      <w:pPr>
        <w:pStyle w:val="Heading1"/>
        <w:keepLines/>
        <w:tabs>
          <w:tab w:val="clear" w:pos="0"/>
        </w:tabs>
        <w:ind w:hanging="0" w:left="0"/>
        <w:rPr>
          <w:iCs/>
        </w:rPr>
      </w:pPr>
      <w:r>
        <w:rPr>
          <w:iCs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91" w:right="0"/>
        <w:jc w:val="left"/>
        <w:rPr>
          <w:rFonts w:ascii="Times New Roman" w:hAnsi="Times New Roman"/>
          <w:sz w:val="24"/>
          <w:szCs w:val="24"/>
        </w:rPr>
      </w:pPr>
      <w:bookmarkStart w:id="49" w:name="__RefHeading___Toc7193_4263782815"/>
      <w:bookmarkStart w:id="50" w:name="_Toc133503008"/>
      <w:bookmarkStart w:id="51" w:name="_Toc130454102"/>
      <w:bookmarkEnd w:id="49"/>
      <w:r>
        <w:rPr>
          <w:b w:val="false"/>
          <w:iCs/>
          <w:sz w:val="24"/>
          <w:szCs w:val="24"/>
        </w:rPr>
        <w:t>Приложение №1</w:t>
      </w:r>
      <w:r>
        <w:rPr>
          <w:b w:val="false"/>
          <w:iCs/>
          <w:sz w:val="24"/>
          <w:szCs w:val="24"/>
          <w:lang w:val="ru-RU"/>
        </w:rPr>
        <w:t xml:space="preserve">: </w:t>
      </w:r>
      <w:bookmarkStart w:id="52" w:name="_Toc130454103"/>
      <w:bookmarkEnd w:id="51"/>
      <w:r>
        <w:rPr>
          <w:b w:val="false"/>
          <w:iCs/>
          <w:sz w:val="24"/>
          <w:szCs w:val="24"/>
          <w:lang w:val="ru-RU"/>
        </w:rPr>
        <w:t>Спецификация поставляемой продукции</w:t>
      </w:r>
      <w:bookmarkEnd w:id="50"/>
      <w:bookmarkEnd w:id="52"/>
    </w:p>
    <w:p>
      <w:pPr>
        <w:pStyle w:val="Normal"/>
        <w:widowControl/>
        <w:suppressAutoHyphens w:val="true"/>
        <w:bidi w:val="0"/>
        <w:spacing w:before="0" w:after="0"/>
        <w:ind w:hanging="0" w:left="1191" w:right="0"/>
        <w:jc w:val="left"/>
        <w:rPr>
          <w:b w:val="false"/>
          <w:iCs/>
          <w:lang w:val="ru-RU"/>
        </w:rPr>
      </w:pPr>
      <w:r>
        <w:rPr>
          <w:b w:val="false"/>
          <w:iCs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1191" w:right="0"/>
        <w:jc w:val="left"/>
        <w:rPr>
          <w:rFonts w:ascii="Times New Roman" w:hAnsi="Times New Roman"/>
          <w:sz w:val="24"/>
          <w:szCs w:val="24"/>
        </w:rPr>
      </w:pPr>
      <w:bookmarkStart w:id="53" w:name="__RefHeading___Toc7195_4263782815"/>
      <w:bookmarkStart w:id="54" w:name="_Toc133503008_Копия_1"/>
      <w:bookmarkStart w:id="55" w:name="_Toc130454102_Копия_1"/>
      <w:bookmarkEnd w:id="53"/>
      <w:r>
        <w:rPr>
          <w:sz w:val="24"/>
          <w:szCs w:val="24"/>
        </w:rPr>
        <w:t xml:space="preserve">Приложение №2: </w:t>
      </w:r>
      <w:bookmarkStart w:id="56" w:name="_Toc130454103_Копия_1"/>
      <w:bookmarkEnd w:id="54"/>
      <w:bookmarkEnd w:id="55"/>
      <w:r>
        <w:rPr>
          <w:sz w:val="24"/>
          <w:szCs w:val="24"/>
        </w:rPr>
        <w:t>П</w:t>
      </w:r>
      <w:bookmarkEnd w:id="56"/>
      <w:r>
        <w:rPr>
          <w:sz w:val="24"/>
          <w:szCs w:val="24"/>
        </w:rPr>
        <w:t>еречень и объем закупаемой продукции</w:t>
      </w:r>
    </w:p>
    <w:p>
      <w:pPr>
        <w:pStyle w:val="Normal"/>
        <w:widowControl/>
        <w:suppressAutoHyphens w:val="true"/>
        <w:bidi w:val="0"/>
        <w:spacing w:before="0" w:after="0"/>
        <w:ind w:hanging="0" w:left="1191" w:right="0"/>
        <w:jc w:val="left"/>
        <w:rPr>
          <w:rFonts w:ascii="Times New Roman" w:hAnsi="Times New Roman"/>
          <w:sz w:val="24"/>
          <w:szCs w:val="24"/>
        </w:rPr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992" w:gutter="0" w:header="680" w:top="851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0"/>
  <w:defaultTabStop w:val="32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rsid w:val="00ea61a8"/>
    <w:pPr>
      <w:tabs>
        <w:tab w:val="clear" w:pos="0"/>
      </w:tabs>
      <w:ind w:hanging="0" w:left="0"/>
      <w:outlineLvl w:val="1"/>
    </w:pPr>
    <w:rPr/>
  </w:style>
  <w:style w:type="paragraph" w:styleId="Heading3">
    <w:name w:val="Heading 3"/>
    <w:basedOn w:val="Normal"/>
    <w:link w:val="31"/>
    <w:autoRedefine/>
    <w:qFormat/>
    <w:rsid w:val="00035e96"/>
    <w:pPr>
      <w:keepNext w:val="true"/>
      <w:tabs>
        <w:tab w:val="clear" w:pos="327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basedOn w:val="DefaultParagraphFont"/>
    <w:uiPriority w:val="99"/>
    <w:unhideWhenUsed/>
    <w:rsid w:val="00f730dc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Заголовок 1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Заголовок 3 Знак1"/>
    <w:qFormat/>
    <w:rsid w:val="00b56f46"/>
    <w:rPr>
      <w:rFonts w:eastAsia="Calibri"/>
      <w:b/>
      <w:color w:val="00000A"/>
      <w:sz w:val="24"/>
      <w:szCs w:val="24"/>
      <w:lang w:val="x-none" w:eastAsia="x-none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главление 3 Знак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ы концевой сноски"/>
    <w:qFormat/>
    <w:rPr/>
  </w:style>
  <w:style w:type="character" w:styleId="WW8Num25z0" w:customStyle="1">
    <w:name w:val="WW8Num25z0"/>
    <w:qFormat/>
    <w:rPr>
      <w:b/>
    </w:rPr>
  </w:style>
  <w:style w:type="character" w:styleId="Style16">
    <w:name w:val="Символ нумерации"/>
    <w:qFormat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yle18">
    <w:name w:val="Текст выноски Знак"/>
    <w:basedOn w:val="DefaultParagraphFon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-">
    <w:name w:val="УРОВЕНЬ_-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character" w:styleId="111">
    <w:name w:val="УРОВЕНЬ_1.1. Знак"/>
    <w:qFormat/>
    <w:rPr>
      <w:rFonts w:ascii="Times New Roman" w:hAnsi="Times New Roman" w:eastAsia="Calibri" w:cs="Times New Roman"/>
      <w:b/>
      <w:sz w:val="26"/>
      <w:szCs w:val="28"/>
    </w:rPr>
  </w:style>
  <w:style w:type="character" w:styleId="33">
    <w:name w:val="УРОВЕНЬ_Абзац_тип3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character" w:styleId="23">
    <w:name w:val="УРОВЕНЬ_Абзац_тип2 Знак"/>
    <w:basedOn w:val="DefaultParagraphFont"/>
    <w:qFormat/>
    <w:rPr>
      <w:rFonts w:ascii="Times New Roman" w:hAnsi="Times New Roman" w:eastAsia="Calibri" w:cs="Times New Roman"/>
      <w:sz w:val="26"/>
      <w:szCs w:val="28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pPr/>
    <w:rPr/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qFormat/>
    <w:rsid w:val="0076353a"/>
    <w:pPr>
      <w:tabs>
        <w:tab w:val="clear" w:pos="327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qFormat/>
    <w:rsid w:val="0076353a"/>
    <w:pPr>
      <w:keepNext w:val="true"/>
      <w:tabs>
        <w:tab w:val="clear" w:pos="327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link w:val="32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uiPriority w:val="39"/>
    <w:qFormat/>
    <w:rsid w:val="00d22f6d"/>
    <w:pPr>
      <w:keepLines/>
      <w:tabs>
        <w:tab w:val="clear" w:pos="0"/>
      </w:tabs>
      <w:spacing w:before="480" w:after="60"/>
      <w:ind w:hanging="0" w:left="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Основной текст с отступом 3 Знак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link w:val="22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327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3" w:customStyle="1">
    <w:name w:val="Подподпункт"/>
    <w:basedOn w:val="Style25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1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7" w:customStyle="1">
    <w:name w:val="Содержимое таблицы"/>
    <w:basedOn w:val="Normal"/>
    <w:qFormat/>
    <w:pPr/>
    <w:rPr/>
  </w:style>
  <w:style w:type="paragraph" w:styleId="Style38" w:customStyle="1">
    <w:name w:val="Заголовок таблицы"/>
    <w:basedOn w:val="Style37"/>
    <w:qFormat/>
    <w:pPr/>
    <w:rPr/>
  </w:style>
  <w:style w:type="paragraph" w:styleId="110">
    <w:name w:val="УРОВЕНЬ_Абзац_тип1"/>
    <w:basedOn w:val="ListParagraph"/>
    <w:qFormat/>
    <w:pPr>
      <w:numPr>
        <w:ilvl w:val="5"/>
        <w:numId w:val="3"/>
      </w:numPr>
      <w:spacing w:lineRule="exact" w:line="360" w:before="120" w:after="0"/>
      <w:contextualSpacing w:val="false"/>
    </w:pPr>
    <w:rPr>
      <w:rFonts w:eastAsia="Calibri"/>
      <w:sz w:val="26"/>
      <w:lang w:eastAsia="en-US"/>
    </w:rPr>
  </w:style>
  <w:style w:type="paragraph" w:styleId="1111">
    <w:name w:val="УРОВЕНЬ_1.1.1."/>
    <w:basedOn w:val="ListParagraph"/>
    <w:qFormat/>
    <w:pPr>
      <w:numPr>
        <w:ilvl w:val="2"/>
        <w:numId w:val="3"/>
      </w:numPr>
      <w:spacing w:lineRule="exact" w:line="360" w:before="120" w:after="0"/>
      <w:contextualSpacing w:val="false"/>
      <w:outlineLvl w:val="2"/>
    </w:pPr>
    <w:rPr>
      <w:rFonts w:eastAsia="Calibri"/>
      <w:sz w:val="26"/>
      <w:lang w:eastAsia="en-US"/>
    </w:rPr>
  </w:style>
  <w:style w:type="paragraph" w:styleId="112">
    <w:name w:val="УРОВЕНЬ_1.1."/>
    <w:basedOn w:val="ListParagraph"/>
    <w:qFormat/>
    <w:pPr>
      <w:keepNext w:val="true"/>
      <w:numPr>
        <w:ilvl w:val="1"/>
        <w:numId w:val="3"/>
      </w:numPr>
      <w:spacing w:lineRule="exact" w:line="360" w:before="240" w:after="0"/>
      <w:contextualSpacing w:val="false"/>
      <w:outlineLvl w:val="1"/>
    </w:pPr>
    <w:rPr>
      <w:rFonts w:eastAsia="Calibri"/>
      <w:b/>
      <w:sz w:val="26"/>
      <w:lang w:eastAsia="en-US"/>
    </w:rPr>
  </w:style>
  <w:style w:type="paragraph" w:styleId="Indexheading2">
    <w:name w:val="index heading2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25" w:customStyle="1">
    <w:name w:val="WW8Num25"/>
    <w:qFormat/>
  </w:style>
  <w:style w:type="numbering" w:styleId="821902621">
    <w:name w:val="821902621"/>
    <w:qFormat/>
  </w:style>
  <w:style w:type="numbering" w:styleId="32917521331">
    <w:name w:val="329175213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411EF-C638-4E22-9407-04BEDCD6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2600</TotalTime>
  <Application>AlterOffice/2026.2.0.0$Linux_X86_64 LibreOffice_project/bc4ef1adf80b36c7a6365f8ed6cbf29021361edd</Application>
  <AppVersion>15.0000</AppVersion>
  <Pages>12</Pages>
  <Words>1237</Words>
  <Characters>8440</Characters>
  <CharactersWithSpaces>9384</CharactersWithSpaces>
  <Paragraphs>287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2023-04-28T06:34:00Z</dcterms:created>
  <dc:creator>Быстров Олег Геннадьевич</dc:creator>
  <dc:description/>
  <dc:language>ru-RU</dc:language>
  <cp:lastModifiedBy>ilyichevdu@corp.gidroogk.com</cp:lastModifiedBy>
  <dcterms:modified xsi:type="dcterms:W3CDTF">2026-10-05T14:17:21Z</dcterms:modified>
  <cp:revision>74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