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media/image1.png" ContentType="image/png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9"/>
        <w:tblW w:w="1017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495"/>
        <w:gridCol w:w="4677"/>
      </w:tblGrid>
      <w:tr>
        <w:trPr/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  <w:bookmarkStart w:id="0" w:name="_Toc139856287"/>
      <w:bookmarkStart w:id="1" w:name="_Toc137554584"/>
      <w:bookmarkStart w:id="2" w:name="_Toc141696704"/>
      <w:bookmarkStart w:id="3" w:name="_Toc139856287"/>
      <w:bookmarkStart w:id="4" w:name="_Toc137554584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Style w:val="Style8"/>
          <w:rFonts w:ascii="Times New Roman" w:hAnsi="Times New Roman" w:eastAsia="Calibri" w:cs="Times New Roman"/>
          <w:bCs/>
          <w:i w:val="false"/>
          <w:i w:val="false"/>
          <w:iCs w:val="false"/>
          <w:color w:val="000000"/>
          <w:kern w:val="0"/>
          <w:sz w:val="26"/>
          <w:szCs w:val="26"/>
          <w:shd w:fill="auto" w:val="clear"/>
          <w:lang w:val="ru-RU" w:eastAsia="x-none" w:bidi="ar-SA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Style w:val="Style8"/>
          <w:rFonts w:ascii="Times New Roman" w:hAnsi="Times New Roman" w:eastAsia="Calibri" w:cs="Times New Roman"/>
          <w:bCs/>
          <w:i w:val="false"/>
          <w:i w:val="false"/>
          <w:iCs w:val="false"/>
          <w:color w:val="000000"/>
          <w:kern w:val="0"/>
          <w:sz w:val="26"/>
          <w:szCs w:val="26"/>
          <w:shd w:fill="auto" w:val="clear"/>
          <w:lang w:val="ru-RU" w:eastAsia="x-none" w:bidi="ar-SA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/>
      </w:pPr>
      <w:r>
        <w:rPr>
          <w:rStyle w:val="Style8"/>
          <w:rFonts w:eastAsia="Calibri" w:cs="Times New Roman"/>
          <w:bCs/>
          <w:i w:val="false"/>
          <w:iCs w:val="false"/>
          <w:color w:val="000000"/>
          <w:kern w:val="0"/>
          <w:sz w:val="26"/>
          <w:szCs w:val="26"/>
          <w:shd w:fill="auto" w:val="clear"/>
          <w:lang w:val="ru-RU" w:eastAsia="x-none" w:bidi="ar-SA"/>
        </w:rPr>
        <w:t xml:space="preserve">ОКПД2 28.12.15.110 Поставка клапана электрогидравлического регулирующего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Style w:val="Style8"/>
          <w:rFonts w:ascii="Times New Roman" w:hAnsi="Times New Roman" w:eastAsia="Calibri" w:cs="Times New Roman"/>
          <w:bCs/>
          <w:i w:val="false"/>
          <w:i w:val="false"/>
          <w:iCs w:val="false"/>
          <w:color w:val="000000"/>
          <w:kern w:val="0"/>
          <w:sz w:val="26"/>
          <w:szCs w:val="26"/>
          <w:shd w:fill="auto" w:val="clear"/>
          <w:lang w:val="ru-RU" w:eastAsia="x-none" w:bidi="ar-SA"/>
        </w:rPr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u w:val="none"/>
        </w:rPr>
      </w:pPr>
      <w:r>
        <w:rPr>
          <w:rFonts w:eastAsia="Calibri"/>
          <w:b/>
          <w:sz w:val="26"/>
          <w:szCs w:val="26"/>
          <w:u w:val="none"/>
        </w:rPr>
        <w:t xml:space="preserve">Лот № </w:t>
      </w:r>
      <w:r>
        <w:rPr>
          <w:rFonts w:eastAsia="Calibri"/>
          <w:b/>
          <w:sz w:val="26"/>
          <w:szCs w:val="26"/>
          <w:u w:val="none"/>
        </w:rPr>
        <w:t>2</w:t>
      </w:r>
      <w:r>
        <w:rPr>
          <w:rFonts w:eastAsia="Calibri"/>
          <w:b/>
          <w:sz w:val="26"/>
          <w:szCs w:val="26"/>
          <w:u w:val="none"/>
        </w:rPr>
        <w:t>1-АЗ-2027-СШГЭС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  <w:u w:val="none"/>
        </w:rPr>
      </w:pPr>
      <w:r>
        <w:rPr>
          <w:rFonts w:eastAsia="Calibri"/>
          <w:b/>
          <w:i/>
          <w:sz w:val="26"/>
          <w:szCs w:val="26"/>
          <w:u w:val="none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</w:rPr>
            <w:instrText xml:space="preserve"> TOC \z \o "1-4" \u \h</w:instrText>
          </w:r>
          <w:r>
            <w:rPr>
              <w:webHidden/>
              <w:rStyle w:val="Style14"/>
            </w:rPr>
            <w:fldChar w:fldCharType="separate"/>
          </w:r>
          <w:hyperlink w:anchor="__RefHeading___Toc2731_2550945733">
            <w:r>
              <w:rPr>
                <w:webHidden/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733_2550945733">
            <w:r>
              <w:rPr>
                <w:webHidden/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735_2550945733">
            <w:r>
              <w:rPr>
                <w:webHidden/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737_2550945733">
            <w:r>
              <w:rPr>
                <w:webHidden/>
                <w:rStyle w:val="Style14"/>
              </w:rPr>
              <w:t>1.3. Цель и задачи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741_2550945733">
            <w:r>
              <w:rPr>
                <w:webHidden/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743_2550945733">
            <w:r>
              <w:rPr>
                <w:webHidden/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745_2550945733">
            <w:r>
              <w:rPr>
                <w:webHidden/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747_2550945733">
            <w:r>
              <w:rPr>
                <w:webHidden/>
                <w:rStyle w:val="Style1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749_2550945733">
            <w:r>
              <w:rPr>
                <w:webHidden/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751_2550945733">
            <w:r>
              <w:rPr>
                <w:webHidden/>
                <w:rStyle w:val="Style1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2753_2550945733">
            <w:r>
              <w:rPr>
                <w:webHidden/>
                <w:rStyle w:val="Style14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755_2550945733">
            <w:r>
              <w:rPr>
                <w:webHidden/>
                <w:rStyle w:val="Style14"/>
              </w:rPr>
              <w:t xml:space="preserve"> </w:t>
            </w:r>
            <w:r>
              <w:rPr>
                <w:rStyle w:val="Style14"/>
              </w:rPr>
              <w:t>Таблица 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757_2550945733">
            <w:r>
              <w:rPr>
                <w:webHidden/>
                <w:rStyle w:val="Style14"/>
              </w:rPr>
              <w:t>3. Требования к документации по ценообразованию на этапе закупки</w:t>
              <w:tab/>
              <w:t>8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2759_2550945733">
            <w:r>
              <w:rPr>
                <w:webHidden/>
                <w:rStyle w:val="Style14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6" w:name="__RefHeading___Toc2731_2550945733"/>
      <w:bookmarkStart w:id="7" w:name="_Toc51339692"/>
      <w:bookmarkStart w:id="8" w:name="_Toc75446566"/>
      <w:bookmarkEnd w:id="6"/>
      <w:r>
        <w:rPr>
          <w:lang w:val="ru-RU"/>
        </w:rPr>
        <w:t>Общие сведения</w:t>
      </w:r>
      <w:bookmarkEnd w:id="7"/>
      <w:bookmarkEnd w:id="8"/>
    </w:p>
    <w:p>
      <w:pPr>
        <w:pStyle w:val="Heading4"/>
        <w:numPr>
          <w:ilvl w:val="1"/>
          <w:numId w:val="3"/>
        </w:numPr>
        <w:rPr/>
      </w:pPr>
      <w:bookmarkStart w:id="9" w:name="__RefHeading___Toc2733_2550945733"/>
      <w:bookmarkStart w:id="10" w:name="_Toc46743505"/>
      <w:bookmarkStart w:id="11" w:name="_Toc75446567"/>
      <w:bookmarkEnd w:id="9"/>
      <w:r>
        <w:rPr/>
        <w:t>Обозначения и сокращения</w:t>
      </w:r>
      <w:bookmarkEnd w:id="10"/>
      <w:bookmarkEnd w:id="11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Аварийный запас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НТД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СШГЭС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Саяно-Шушенская ГЭС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Филиал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 - «Саяно-Шушенская ГЭС имени П.С. Непорожнего»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12" w:name="__RefHeading___Toc2735_2550945733"/>
      <w:bookmarkStart w:id="13" w:name="_Toc46743506"/>
      <w:bookmarkStart w:id="14" w:name="_Toc75446568"/>
      <w:bookmarkEnd w:id="12"/>
      <w:r>
        <w:rPr/>
        <w:t>Наименование закупаемой продукции</w:t>
      </w:r>
      <w:bookmarkEnd w:id="13"/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/>
      </w:pP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ab/>
        <w:t xml:space="preserve">ОКПД2 </w:t>
      </w:r>
      <w:r>
        <w:rPr>
          <w:rStyle w:val="Strong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28.12.15.110</w:t>
      </w: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 xml:space="preserve"> Поставка клапана электрогидравлического регулирующего.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57" w:after="57"/>
        <w:ind w:left="431" w:hanging="431"/>
        <w:rPr/>
      </w:pPr>
      <w:bookmarkStart w:id="15" w:name="__RefHeading___Toc2737_2550945733"/>
      <w:bookmarkStart w:id="16" w:name="_Toc46743507"/>
      <w:bookmarkEnd w:id="15"/>
      <w:r>
        <w:rPr/>
        <w:t xml:space="preserve">Цель и задачи </w:t>
      </w:r>
      <w:bookmarkEnd w:id="16"/>
      <w:r>
        <w:rPr>
          <w:lang w:val="ru-RU"/>
        </w:rPr>
        <w:t>использования закупаемой продукции</w:t>
      </w:r>
    </w:p>
    <w:p>
      <w:pPr>
        <w:pStyle w:val="Normal"/>
        <w:ind w:left="0" w:right="0" w:firstLine="709"/>
        <w:jc w:val="both"/>
        <w:rPr/>
      </w:pPr>
      <w:bookmarkStart w:id="17" w:name="__RefHeading___Toc2739_2550945733"/>
      <w:bookmarkEnd w:id="17"/>
      <w:r>
        <w:rPr>
          <w:rStyle w:val="Style8"/>
          <w:b w:val="false"/>
          <w:bCs w:val="false"/>
          <w:i w:val="false"/>
          <w:iCs w:val="false"/>
          <w:sz w:val="24"/>
          <w:szCs w:val="24"/>
          <w:shd w:fill="auto" w:val="clear"/>
        </w:rPr>
        <w:t>Приобретение Товара в аварийный запас Филиала с целью поддержания работоспособности регулятора электрогидравлического Майнской ГЭС и оперативной замены неисправных элементов регулятора, в том числе для избежания продолжительного вынужденного простоя гидроагрегатов Майнской ГЭС.</w:t>
      </w:r>
    </w:p>
    <w:p>
      <w:pPr>
        <w:pStyle w:val="Normal"/>
        <w:rPr>
          <w:i/>
          <w:i/>
          <w:iCs/>
          <w:highlight w:val="none"/>
          <w:shd w:fill="auto" w:val="clear"/>
        </w:rPr>
      </w:pPr>
      <w:r>
        <w:rPr>
          <w:i/>
          <w:iCs/>
          <w:shd w:fill="auto" w:val="clear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_RefHeading___Toc2741_2550945733"/>
      <w:bookmarkStart w:id="19" w:name="_Toc51339693"/>
      <w:bookmarkStart w:id="20" w:name="_Toc75446573"/>
      <w:bookmarkStart w:id="21" w:name="_Toc75446569"/>
      <w:bookmarkStart w:id="22" w:name="_Toc46743510"/>
      <w:bookmarkStart w:id="23" w:name="_Toc50125126"/>
      <w:bookmarkEnd w:id="18"/>
      <w:bookmarkEnd w:id="21"/>
      <w:bookmarkEnd w:id="22"/>
      <w:bookmarkEnd w:id="23"/>
      <w:r>
        <w:rPr>
          <w:iCs/>
        </w:rPr>
        <w:t>Требования к продукции</w:t>
      </w:r>
      <w:bookmarkEnd w:id="19"/>
      <w:bookmarkEnd w:id="20"/>
    </w:p>
    <w:p>
      <w:pPr>
        <w:pStyle w:val="Heading4"/>
        <w:numPr>
          <w:ilvl w:val="1"/>
          <w:numId w:val="3"/>
        </w:numPr>
        <w:rPr/>
      </w:pPr>
      <w:bookmarkStart w:id="24" w:name="__RefHeading___Toc2743_2550945733"/>
      <w:bookmarkStart w:id="25" w:name="_Toc75446574"/>
      <w:bookmarkEnd w:id="2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5"/>
    </w:p>
    <w:p>
      <w:pPr>
        <w:pStyle w:val="Heading3"/>
        <w:numPr>
          <w:ilvl w:val="2"/>
          <w:numId w:val="3"/>
        </w:numPr>
        <w:rPr/>
      </w:pPr>
      <w:bookmarkStart w:id="26" w:name="__RefHeading___Toc2745_2550945733"/>
      <w:bookmarkStart w:id="27" w:name="_Toc75446575"/>
      <w:bookmarkEnd w:id="26"/>
      <w:r>
        <w:rPr>
          <w:lang w:val="ru-RU"/>
        </w:rPr>
        <w:t>Перечень и объем закупаемой продукции</w:t>
      </w:r>
      <w:bookmarkEnd w:id="2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8" w:name="__RefHeading___Toc2747_2550945733"/>
      <w:bookmarkStart w:id="29" w:name="_Toc75446576"/>
      <w:bookmarkStart w:id="30" w:name="_Toc51339695"/>
      <w:bookmarkEnd w:id="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0"/>
      <w:r>
        <w:rPr>
          <w:sz w:val="24"/>
          <w:szCs w:val="24"/>
          <w:lang w:val="ru-RU"/>
        </w:rPr>
        <w:t>и объем закупаемой продукции</w:t>
      </w:r>
      <w:bookmarkEnd w:id="29"/>
    </w:p>
    <w:tbl>
      <w:tblPr>
        <w:tblW w:w="9780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42"/>
        <w:gridCol w:w="6313"/>
        <w:gridCol w:w="1991"/>
        <w:gridCol w:w="934"/>
      </w:tblGrid>
      <w:tr>
        <w:trPr>
          <w:trHeight w:val="311" w:hRule="atLeast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Клапан электрогидравлический регулирующий 3WH 10 A4X/S2 арт. R901530996 Bosch Rexroth</w:t>
            </w:r>
          </w:p>
        </w:tc>
        <w:tc>
          <w:tcPr>
            <w:tcW w:w="1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keepNext w:val="true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1" w:name="__RefHeading___Toc2749_2550945733"/>
      <w:bookmarkStart w:id="32" w:name="_Toc75446578"/>
      <w:bookmarkStart w:id="33" w:name="_Toc51339696"/>
      <w:bookmarkEnd w:id="31"/>
      <w:r>
        <w:rPr>
          <w:lang w:val="ru-RU"/>
        </w:rPr>
        <w:t xml:space="preserve">Требования </w:t>
      </w:r>
      <w:bookmarkEnd w:id="33"/>
      <w:r>
        <w:rPr>
          <w:lang w:val="ru-RU"/>
        </w:rPr>
        <w:t>к срокам поставки продукции и оказания сопутствующих услуг</w:t>
      </w:r>
      <w:bookmarkEnd w:id="3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34" w:name="__RefHeading___Toc2751_2550945733"/>
      <w:bookmarkStart w:id="35" w:name="_Toc75446579"/>
      <w:bookmarkStart w:id="36" w:name="_Toc50125127"/>
      <w:bookmarkStart w:id="37" w:name="_Toc51339697"/>
      <w:bookmarkStart w:id="38" w:name="_Toc50125126_Копия_1"/>
      <w:bookmarkEnd w:id="34"/>
      <w:bookmarkEnd w:id="3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9" w:name="_Hlk50465284"/>
      <w:r>
        <w:rPr>
          <w:sz w:val="24"/>
          <w:szCs w:val="24"/>
        </w:rPr>
        <w:t xml:space="preserve">Требования по срокам </w:t>
      </w:r>
      <w:bookmarkEnd w:id="36"/>
      <w:bookmarkEnd w:id="37"/>
      <w:bookmarkEnd w:id="39"/>
      <w:r>
        <w:rPr>
          <w:sz w:val="24"/>
          <w:szCs w:val="24"/>
          <w:lang w:val="ru-RU"/>
        </w:rPr>
        <w:t>поставки продукции</w:t>
      </w:r>
      <w:bookmarkEnd w:id="35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9"/>
        <w:gridCol w:w="2851"/>
        <w:gridCol w:w="2979"/>
        <w:gridCol w:w="3116"/>
      </w:tblGrid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 xml:space="preserve">Клапан электрогидравлический регулирующий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3WH 10 A4X/S2 арт. R901530996 Bosch Rexroth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С даты, следующей за датой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позднее 6 (шести) месяцев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40" w:name="__RefHeading___Toc2753_2550945733"/>
      <w:bookmarkStart w:id="41" w:name="_Toc51339698"/>
      <w:bookmarkStart w:id="42" w:name="_Toc46743510_Копия_1_Копия_1"/>
      <w:bookmarkStart w:id="43" w:name="_Toc46743511"/>
      <w:bookmarkStart w:id="44" w:name="_Toc75446581"/>
      <w:bookmarkEnd w:id="40"/>
      <w:bookmarkEnd w:id="42"/>
      <w:r>
        <w:rPr/>
        <w:t xml:space="preserve">Требования к </w:t>
      </w:r>
      <w:bookmarkEnd w:id="43"/>
      <w:r>
        <w:rPr>
          <w:lang w:val="ru-RU"/>
        </w:rPr>
        <w:t>качеству продукции</w:t>
      </w:r>
      <w:bookmarkEnd w:id="4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45" w:name="__RefHeading___Toc2755_2550945733"/>
      <w:bookmarkEnd w:id="45"/>
      <w:r>
        <w:rPr>
          <w:sz w:val="24"/>
          <w:szCs w:val="24"/>
        </w:rPr>
        <w:t xml:space="preserve"> </w:t>
      </w:r>
      <w:bookmarkStart w:id="46" w:name="_Toc7544658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6"/>
      <w:r>
        <w:rPr>
          <w:sz w:val="24"/>
          <w:szCs w:val="24"/>
        </w:rPr>
        <w:t xml:space="preserve"> </w:t>
      </w:r>
      <w:bookmarkEnd w:id="41"/>
    </w:p>
    <w:p>
      <w:pPr>
        <w:pStyle w:val="Normal"/>
        <w:rPr>
          <w:rStyle w:val="Style8"/>
          <w:b w:val="false"/>
        </w:rPr>
      </w:pPr>
      <w:r>
        <w:rPr>
          <w:b w:val="false"/>
        </w:rPr>
      </w:r>
    </w:p>
    <w:tbl>
      <w:tblPr>
        <w:tblStyle w:val="affff9"/>
        <w:tblW w:w="1531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51"/>
        <w:gridCol w:w="2208"/>
        <w:gridCol w:w="60"/>
        <w:gridCol w:w="5776"/>
        <w:gridCol w:w="1875"/>
        <w:gridCol w:w="2145"/>
        <w:gridCol w:w="2399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7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02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3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1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9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7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7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1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3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4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08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Состояние поставляемого оборудования</w:t>
            </w:r>
          </w:p>
        </w:tc>
        <w:tc>
          <w:tcPr>
            <w:tcW w:w="583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Поставляемое оборудование должно быть новым (не бывшим в употреблении, не восстановленным, у которого не была осуществлена замена составных частей, не были восстановлены потребительские свойства, не являющимся выставочными образцами), не ранее 2025 года изготовления, свободным от прав третьих лиц.</w:t>
            </w:r>
          </w:p>
        </w:tc>
        <w:tc>
          <w:tcPr>
            <w:tcW w:w="187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208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Технические характеристики</w:t>
            </w:r>
          </w:p>
        </w:tc>
        <w:tc>
          <w:tcPr>
            <w:tcW w:w="583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Технические характеристики приведены в Приложении 2 к ТТ</w:t>
            </w:r>
          </w:p>
        </w:tc>
        <w:tc>
          <w:tcPr>
            <w:tcW w:w="187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14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9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4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5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40" w:leader="none"/>
              </w:tabs>
              <w:suppressAutoHyphens w:val="true"/>
              <w:spacing w:before="0" w:after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Поставка Продукции осуществляется Поставщиком до склада Покупателя, находящегося по адресу: Республика Хакасия, г. Саяногорск, рп. Черемушки, 106, База ГСО.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Условия транспортировки и перемещения</w:t>
            </w:r>
          </w:p>
        </w:tc>
        <w:tc>
          <w:tcPr>
            <w:tcW w:w="5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740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Транспортировка, погрузка и разгрузка Продукции на складе Покупателя осуществляется силами Поставщика.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3.3.</w:t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Условия приемки</w:t>
            </w:r>
          </w:p>
        </w:tc>
        <w:tc>
          <w:tcPr>
            <w:tcW w:w="577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1. Не позднее, чем за 10 рабочих дней до даты поставки Поставщик официально уведомляет Покупателя о сроках и способе поставки Продукции и направляет Покупателю данные для отслеживания поставки.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2. При приемке Продукции представителями Покупателя осуществляется внешний осмотр, проверка сохранности тары и упаковки, наличия сопроводительной документации, удостоверяющей качество, и правильность ее оформления. Приемка Продукции осуществляется представителя Поставщика.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3. Приемка Товара со вскрытием упаковки производится Покупателем в течение 3 (трех) рабочих дней с даты подписания товарно-транспортной накладной по форме №1-Т. В случае отсутствия замечаний Покупатель подписывает товарную накладную унифицированной формы ТОРГ-12, либо направляет Поставщику мотивированный отказ.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4. Обязательство по поставке считается исполненным после передачи Товара Покупателю на складе Покупателя и подписания товарной накладной ТОРГ-12 уполномоченными представителями Сторон.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3.4</w:t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упаковке</w:t>
            </w:r>
          </w:p>
        </w:tc>
        <w:tc>
          <w:tcPr>
            <w:tcW w:w="577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Поставляемый Товар должен быть упакован в заводскую упаковку.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Упаковка должна обеспечивать защиту поставляемого оборудования: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в части воздействий климатических факторов - по группе условий хранения  не ниже 3 (п.10.1 ГОСТ 15150-69);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 в части воздействия механических факторов – не ниже С (п.2.1 ГОСТ 23216-78).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Все неокрашенные металлические части оборудования (включая комплектующие), подверженные воздействию внешней среды в процессе транспортирования и хранения, должны быть законсервированы с помощью защитных смазок.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несет ответственность за достаточность и надежность упаковки, обеспечивающую устойчивость к воздействиям внешней среды, к особенностям погрузки и выгрузки.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Поставляемое оборудование должно быть для транспортирования упаковано в плотные ящики, материалы или в специальную тару.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Упаковка должна исключать возможность механических повреждений и климатических факторов внешней среды на оборудование.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Упаковка должна обеспечивать полную сохранность и защиту от повреждения Товара на весь срок его транспортировки любым средством транспорта с учетом перегрузок и длительного хранения в течение гарантийного срока хранения (не менее 36 месяцев с даты подписания товарной накладной по форме ТОРГ-12 на поставленный Товар). Товар поставляется в таре завода-изготовителя.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Тара и упаковка Поставщику не возвращаются.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rFonts w:eastAsia="Calibri"/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eastAsia="Calibri" w:cs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В каждое грузовое место должен быть вложен упаковочный лист, содержащий перечень упакованных частей.</w:t>
            </w:r>
          </w:p>
        </w:tc>
        <w:tc>
          <w:tcPr>
            <w:tcW w:w="18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3.5</w:t>
            </w:r>
          </w:p>
        </w:tc>
        <w:tc>
          <w:tcPr>
            <w:tcW w:w="226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маркировке</w:t>
            </w:r>
          </w:p>
        </w:tc>
        <w:tc>
          <w:tcPr>
            <w:tcW w:w="5776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Маркировка Товара должна быть достоверной, читаемой и доступной для осмотра и идентификации, обладать износостойкостью.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Маркировка наносится силами Поставщика должна   содержать следующую информацию: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наименование Товара;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наименование страны, производителя;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наименование Поставщика;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- условия хранения (теплый/холодный склад, уличное хранение);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дату изготовления и срок хранения.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В случае если срок хранения на Товар не установлен, указывается «срок хранения не ограничен».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98" w:leader="none"/>
              </w:tabs>
              <w:suppressAutoHyphens w:val="true"/>
              <w:spacing w:before="0" w:after="0"/>
              <w:ind w:left="31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Наносимая маркировка должна быть четкой и разборчивой, представлена на русском языке, выделяться или размещаться на фоне, контрастном по отношению к цвету упаковки..</w:t>
            </w:r>
          </w:p>
        </w:tc>
        <w:tc>
          <w:tcPr>
            <w:tcW w:w="187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4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57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Срок гарантии на продукцию должен составлять не менее 12 месяцев с даты подписания товарной накладной по форме ТОРГ-12 на поставленный Товар.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9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04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57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технический паспорт;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руководство по монтажу и эксплуатации (включая технологию/порядок проведения технического обслуживания и ремонта);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сертификаты соответствия;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прочая документация, определенная заводом-изготовителем;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товарно-транспортная накладная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товарная накладная унифицированной формы ТОРГ-12 в 2 экз.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Вся документация должна быть на русском языке.</w:t>
            </w:r>
          </w:p>
        </w:tc>
        <w:tc>
          <w:tcPr>
            <w:tcW w:w="187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14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5314" w:type="dxa"/>
            <w:gridSpan w:val="7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170" w:right="227" w:hanging="0"/>
              <w:contextualSpacing/>
              <w:jc w:val="both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*  - участник обязан описать все позиции Технических требований в соответствии с формой и инструкцией по заполнению, приведенной в разделе 7.4. Документации о закупке.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47" w:name="__RefHeading___Toc2757_2550945733"/>
      <w:bookmarkStart w:id="48" w:name="_Toc75446583"/>
      <w:bookmarkStart w:id="49" w:name="_Toc53393312"/>
      <w:bookmarkEnd w:id="47"/>
      <w:r>
        <w:rPr>
          <w:lang w:val="ru-RU"/>
        </w:rPr>
        <w:t>Требования к документации по ценообразованию</w:t>
      </w:r>
      <w:bookmarkEnd w:id="49"/>
      <w:r>
        <w:rPr>
          <w:lang w:val="ru-RU"/>
        </w:rPr>
        <w:t xml:space="preserve"> на этапе закупки</w:t>
      </w:r>
      <w:bookmarkEnd w:id="4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left="0" w:right="0" w:firstLine="709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left="0" w:right="0" w:firstLine="709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 xml:space="preserve">3.2. Вместе с Коммерческим предложением Участник должен предоставить в составе заявки спецификацию на поставляемую продукцию по форме, приведенной в Приложении №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2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 xml:space="preserve"> к настоящим Техническим требованиям.</w:t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iCs/>
          <w:caps/>
        </w:rPr>
      </w:pPr>
      <w:bookmarkStart w:id="50" w:name="__RefHeading___Toc2759_2550945733"/>
      <w:bookmarkStart w:id="51" w:name="_Toc75446585"/>
      <w:bookmarkStart w:id="52" w:name="_Toc46743519"/>
      <w:bookmarkStart w:id="53" w:name="_Toc51339699"/>
      <w:bookmarkEnd w:id="50"/>
      <w:r>
        <w:rPr>
          <w:iCs/>
        </w:rPr>
        <w:t>Приложения</w:t>
      </w:r>
      <w:bookmarkEnd w:id="51"/>
      <w:bookmarkEnd w:id="52"/>
      <w:bookmarkEnd w:id="5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Приложение №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1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 xml:space="preserve">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</w:rPr>
        <w:t>Технические характеристики Товара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Приложение №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2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: Форма «Спецификация поставляемой Продукции»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rFonts w:eastAsia="Calibri"/>
          <w:b w:val="false"/>
          <w:bCs w:val="false"/>
          <w:i w:val="false"/>
          <w:i w:val="false"/>
          <w:sz w:val="24"/>
          <w:szCs w:val="24"/>
          <w:shd w:fill="auto" w:val="clear"/>
        </w:rPr>
      </w:pPr>
      <w:r>
        <w:rPr/>
      </w:r>
    </w:p>
    <w:p>
      <w:pPr>
        <w:pStyle w:val="Normal"/>
        <w:jc w:val="right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</w:r>
      <w:r>
        <w:br w:type="page"/>
      </w:r>
    </w:p>
    <w:p>
      <w:pPr>
        <w:pStyle w:val="Normal"/>
        <w:jc w:val="right"/>
        <w:rPr>
          <w:b/>
          <w:bCs/>
          <w:sz w:val="24"/>
          <w:szCs w:val="26"/>
        </w:rPr>
      </w:pPr>
      <w:r>
        <w:rPr>
          <w:sz w:val="24"/>
        </w:rPr>
        <w:t>Приложение №1</w:t>
      </w:r>
    </w:p>
    <w:p>
      <w:pPr>
        <w:pStyle w:val="Normal"/>
        <w:jc w:val="right"/>
        <w:rPr>
          <w:b/>
          <w:bCs/>
          <w:sz w:val="24"/>
          <w:szCs w:val="26"/>
        </w:rPr>
      </w:pPr>
      <w:r>
        <w:rPr>
          <w:sz w:val="24"/>
        </w:rPr>
        <w:t xml:space="preserve"> </w:t>
      </w:r>
      <w:r>
        <w:rPr>
          <w:sz w:val="24"/>
        </w:rPr>
        <w:t>к Техническим требованиям</w:t>
      </w:r>
    </w:p>
    <w:p>
      <w:pPr>
        <w:pStyle w:val="Normal"/>
        <w:jc w:val="center"/>
        <w:rPr>
          <w:b/>
          <w:bCs/>
          <w:sz w:val="24"/>
          <w:szCs w:val="26"/>
        </w:rPr>
      </w:pPr>
      <w:r>
        <w:rPr/>
      </w:r>
    </w:p>
    <w:p>
      <w:pPr>
        <w:pStyle w:val="Normal"/>
        <w:jc w:val="center"/>
        <w:rPr>
          <w:b/>
          <w:bCs/>
          <w:sz w:val="24"/>
          <w:szCs w:val="26"/>
        </w:rPr>
      </w:pPr>
      <w:r>
        <w:rPr/>
      </w:r>
    </w:p>
    <w:p>
      <w:pPr>
        <w:pStyle w:val="Normal"/>
        <w:jc w:val="center"/>
        <w:rPr>
          <w:b/>
          <w:bCs/>
          <w:sz w:val="24"/>
          <w:szCs w:val="26"/>
        </w:rPr>
      </w:pPr>
      <w:r>
        <w:rPr>
          <w:rFonts w:eastAsia="Calibri"/>
          <w:b/>
        </w:rPr>
        <w:t>Технические характеристики Товара</w:t>
      </w:r>
    </w:p>
    <w:p>
      <w:pPr>
        <w:pStyle w:val="Normal"/>
        <w:jc w:val="center"/>
        <w:rPr>
          <w:b/>
          <w:bCs/>
          <w:sz w:val="24"/>
          <w:szCs w:val="26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2"/>
          <w:szCs w:val="22"/>
          <w:shd w:fill="auto" w:val="clear"/>
          <w:lang w:val="ru-RU" w:eastAsia="ru-RU" w:bidi="ar-SA"/>
        </w:rPr>
        <w:t xml:space="preserve">Клапан электрогидравлический регулирующий </w:t>
      </w:r>
      <w:r>
        <w:rPr>
          <w:rFonts w:eastAsia="Calibri" w:cs="Times New Roman"/>
          <w:b/>
          <w:bCs/>
          <w:color w:val="000000"/>
          <w:kern w:val="0"/>
          <w:sz w:val="24"/>
          <w:szCs w:val="26"/>
          <w:shd w:fill="auto" w:val="clear"/>
          <w:lang w:val="ru-RU" w:eastAsia="ru-RU" w:bidi="ar-SA"/>
        </w:rPr>
        <w:t>3WH 10 A4X/S2 арт. R901530996 Bosch Rexroth</w:t>
      </w:r>
    </w:p>
    <w:p>
      <w:pPr>
        <w:pStyle w:val="Normal"/>
        <w:jc w:val="center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</w:r>
    </w:p>
    <w:tbl>
      <w:tblPr>
        <w:tblW w:w="99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4899"/>
        <w:gridCol w:w="1963"/>
        <w:gridCol w:w="1997"/>
      </w:tblGrid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</w:t>
            </w:r>
          </w:p>
        </w:tc>
      </w:tr>
      <w:tr>
        <w:trPr/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center" w:pos="2514" w:leader="none"/>
                <w:tab w:val="left" w:pos="3885" w:leader="none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  <w:t>2</w:t>
              <w:tab/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>
          <w:cantSplit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szCs w:val="24"/>
              </w:rPr>
            </w:pPr>
            <w:r>
              <w:rPr>
                <w:szCs w:val="24"/>
              </w:rPr>
              <w:t>Управление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Гидравлическое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szCs w:val="24"/>
              </w:rPr>
            </w:pPr>
            <w:r>
              <w:rPr>
                <w:szCs w:val="24"/>
              </w:rPr>
              <w:t>Максимальное рабочее давление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 бар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szCs w:val="24"/>
              </w:rPr>
            </w:pPr>
            <w:r>
              <w:rPr>
                <w:szCs w:val="24"/>
              </w:rPr>
              <w:t>Исполнение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3-ходовое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szCs w:val="24"/>
              </w:rPr>
            </w:pPr>
            <w:r>
              <w:rPr>
                <w:szCs w:val="24"/>
              </w:rPr>
              <w:t>Типоразмер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rFonts w:eastAsia="Calibri"/>
                <w:b w:val="false"/>
                <w:kern w:val="2"/>
                <w:szCs w:val="24"/>
              </w:rPr>
            </w:pPr>
            <w:r>
              <w:rPr>
                <w:rFonts w:eastAsia="Calibri"/>
                <w:b w:val="false"/>
                <w:kern w:val="2"/>
                <w:szCs w:val="24"/>
              </w:rPr>
              <w:t>Возврат золотника в главном клапане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гидравлический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rFonts w:eastAsia="Calibri"/>
                <w:b w:val="false"/>
                <w:kern w:val="2"/>
                <w:szCs w:val="24"/>
              </w:rPr>
            </w:pPr>
            <w:r>
              <w:rPr>
                <w:rFonts w:eastAsia="Calibri"/>
                <w:b w:val="false"/>
                <w:kern w:val="2"/>
                <w:szCs w:val="24"/>
              </w:rPr>
              <w:t xml:space="preserve">Графическое изображение золотника 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85725</wp:posOffset>
                  </wp:positionV>
                  <wp:extent cx="1108710" cy="575310"/>
                  <wp:effectExtent l="0" t="0" r="0" b="0"/>
                  <wp:wrapSquare wrapText="largest"/>
                  <wp:docPr id="3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710" cy="57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rFonts w:eastAsia="Calibri"/>
                <w:b w:val="false"/>
                <w:kern w:val="2"/>
                <w:szCs w:val="24"/>
              </w:rPr>
            </w:pPr>
            <w:r>
              <w:rPr>
                <w:rFonts w:eastAsia="Calibri"/>
                <w:b w:val="false"/>
                <w:kern w:val="2"/>
                <w:szCs w:val="24"/>
              </w:rPr>
              <w:t xml:space="preserve">Серия агрегата 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rFonts w:eastAsia="Calibri"/>
                <w:b w:val="false"/>
                <w:kern w:val="2"/>
                <w:szCs w:val="24"/>
              </w:rPr>
            </w:pPr>
            <w:r>
              <w:rPr>
                <w:rFonts w:eastAsia="Calibri"/>
                <w:b w:val="false"/>
                <w:kern w:val="2"/>
                <w:szCs w:val="24"/>
              </w:rPr>
              <w:t>40-49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rFonts w:eastAsia="Calibri"/>
                <w:b w:val="false"/>
                <w:kern w:val="2"/>
                <w:szCs w:val="24"/>
              </w:rPr>
            </w:pPr>
            <w:r>
              <w:rPr>
                <w:rFonts w:eastAsia="Calibri"/>
                <w:b w:val="false"/>
                <w:kern w:val="2"/>
                <w:szCs w:val="24"/>
              </w:rPr>
              <w:t>Регулирование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 времени переключения на выходе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1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84" w:leader="none"/>
                <w:tab w:val="left" w:pos="426" w:leader="none"/>
              </w:tabs>
              <w:snapToGrid w:val="false"/>
              <w:ind w:left="0" w:right="34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8"/>
              <w:widowControl w:val="false"/>
              <w:tabs>
                <w:tab w:val="clear" w:pos="708"/>
                <w:tab w:val="left" w:pos="360" w:leader="none"/>
              </w:tabs>
              <w:ind w:left="33" w:hanging="0"/>
              <w:jc w:val="both"/>
              <w:rPr>
                <w:szCs w:val="24"/>
              </w:rPr>
            </w:pPr>
            <w:r>
              <w:rPr>
                <w:szCs w:val="24"/>
              </w:rPr>
              <w:t>Рабочая жидкость</w:t>
            </w:r>
          </w:p>
        </w:tc>
        <w:tc>
          <w:tcPr>
            <w:tcW w:w="1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Гидравлическое масло</w:t>
            </w:r>
          </w:p>
        </w:tc>
        <w:tc>
          <w:tcPr>
            <w:tcW w:w="1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Cs/>
          <w:sz w:val="24"/>
          <w:szCs w:val="26"/>
        </w:rPr>
      </w:pPr>
      <w:r>
        <w:rPr/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62185D7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2185D7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WW8Num9z0" w:customStyle="1">
    <w:name w:val="WW8Num9z0"/>
    <w:qFormat/>
    <w:rPr>
      <w:sz w:val="24"/>
      <w:szCs w:val="24"/>
    </w:rPr>
  </w:style>
  <w:style w:type="character" w:styleId="WW8Num9z1" w:customStyle="1">
    <w:name w:val="WW8Num9z1"/>
    <w:qFormat/>
    <w:rPr>
      <w:sz w:val="24"/>
    </w:rPr>
  </w:style>
  <w:style w:type="character" w:styleId="Style16" w:customStyle="1">
    <w:name w:val="Символ нумерации"/>
    <w:qFormat/>
    <w:rPr/>
  </w:style>
  <w:style w:type="character" w:styleId="WW8Num6z0" w:customStyle="1">
    <w:name w:val="WW8Num6z0"/>
    <w:qFormat/>
    <w:rPr>
      <w:sz w:val="24"/>
      <w:szCs w:val="24"/>
    </w:rPr>
  </w:style>
  <w:style w:type="character" w:styleId="WW8Num6z1" w:customStyle="1">
    <w:name w:val="WW8Num6z1"/>
    <w:qFormat/>
    <w:rPr>
      <w:sz w:val="24"/>
    </w:rPr>
  </w:style>
  <w:style w:type="character" w:styleId="Strong">
    <w:name w:val="Strong"/>
    <w:qFormat/>
    <w:rPr>
      <w:b/>
      <w:bCs/>
    </w:rPr>
  </w:style>
  <w:style w:type="character" w:styleId="WW8Num15z0">
    <w:name w:val="WW8Num15z0"/>
    <w:qFormat/>
    <w:rPr/>
  </w:style>
  <w:style w:type="character" w:styleId="WW8Num8z0">
    <w:name w:val="WW8Num8z0"/>
    <w:qFormat/>
    <w:rPr/>
  </w:style>
  <w:style w:type="character" w:styleId="WW8Num19z0">
    <w:name w:val="WW8Num19z0"/>
    <w:qFormat/>
    <w:rPr>
      <w:sz w:val="24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110" w:customStyle="1">
    <w:name w:val="Основной текст1"/>
    <w:basedOn w:val="Normal"/>
    <w:qFormat/>
    <w:pPr>
      <w:shd w:val="clear" w:color="auto" w:fill="FFFFFF"/>
      <w:spacing w:lineRule="atLeast" w:line="0"/>
    </w:pPr>
    <w:rPr>
      <w:sz w:val="23"/>
      <w:szCs w:val="23"/>
    </w:rPr>
  </w:style>
  <w:style w:type="paragraph" w:styleId="Style38">
    <w:name w:val="Абзац списка"/>
    <w:basedOn w:val="Normal"/>
    <w:qFormat/>
    <w:pPr>
      <w:spacing w:before="0" w:after="0"/>
      <w:ind w:left="720" w:hanging="0"/>
      <w:contextualSpacing/>
    </w:pPr>
    <w:rPr>
      <w:rFonts w:eastAsia="Calibri"/>
      <w:kern w:val="2"/>
      <w:sz w:val="24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9" w:customStyle="1">
    <w:name w:val="WW8Num9"/>
    <w:qFormat/>
  </w:style>
  <w:style w:type="numbering" w:styleId="32205798551" w:customStyle="1">
    <w:name w:val="32205798551"/>
    <w:qFormat/>
  </w:style>
  <w:style w:type="numbering" w:styleId="34258484031" w:customStyle="1">
    <w:name w:val="34258484031"/>
    <w:qFormat/>
  </w:style>
  <w:style w:type="numbering" w:styleId="WW8Num6" w:customStyle="1">
    <w:name w:val="WW8Num6"/>
    <w:qFormat/>
  </w:style>
  <w:style w:type="numbering" w:styleId="29805087391" w:customStyle="1">
    <w:name w:val="29805087391"/>
    <w:qFormat/>
  </w:style>
  <w:style w:type="numbering" w:styleId="WW8Num15">
    <w:name w:val="WW8Num15"/>
    <w:qFormat/>
  </w:style>
  <w:style w:type="numbering" w:styleId="WW8Num8">
    <w:name w:val="WW8Num8"/>
    <w:qFormat/>
  </w:style>
  <w:style w:type="numbering" w:styleId="WW8Num19">
    <w:name w:val="WW8Num19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image" Target="media/image1.png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95139-4CD6-4E80-ADC1-D6E90573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Application>AlterOffice/3.4.0.9$Linux_X86_64 LibreOffice_project/b8daf9e823b1a5463a2f48435ddc2e8696e7d4fc</Application>
  <AppVersion>15.0000</AppVersion>
  <Pages>9</Pages>
  <Words>1171</Words>
  <Characters>8006</Characters>
  <CharactersWithSpaces>8967</CharactersWithSpaces>
  <Paragraphs>217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2024-11-29T04:24:00Z</dcterms:created>
  <dc:creator>Быстров Олег Геннадьевич</dc:creator>
  <dc:description/>
  <dc:language>ru-RU</dc:language>
  <cp:lastModifiedBy>Ирина Анатольевна Щербак</cp:lastModifiedBy>
  <cp:lastPrinted>2024-11-29T04:24:00Z</cp:lastPrinted>
  <dcterms:modified xsi:type="dcterms:W3CDTF">2026-10-07T09:19:04Z</dcterms:modified>
  <cp:revision>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