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header13.xml" ContentType="application/vnd.openxmlformats-officedocument.wordprocessingml.header+xml"/>
  <Override PartName="/word/footer10.xml" ContentType="application/vnd.openxmlformats-officedocument.wordprocessingml.footer+xml"/>
  <Override PartName="/word/footer2.xml" ContentType="application/vnd.openxmlformats-officedocument.wordprocessingml.footer+xml"/>
  <Override PartName="/word/header12.xml" ContentType="application/vnd.openxmlformats-officedocument.wordprocessingml.header+xml"/>
  <Override PartName="/word/settings.xml" ContentType="application/vnd.openxmlformats-officedocument.wordprocessingml.settings+xml"/>
  <Override PartName="/word/header9.xml" ContentType="application/vnd.openxmlformats-officedocument.wordprocessingml.header+xml"/>
  <Override PartName="/word/header11.xml" ContentType="application/vnd.openxmlformats-officedocument.wordprocessingml.header+xml"/>
  <Override PartName="/word/header8.xml" ContentType="application/vnd.openxmlformats-officedocument.wordprocessingml.header+xml"/>
  <Override PartName="/word/_rels/document.xml.rels" ContentType="application/vnd.openxmlformats-package.relationships+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9.xml" ContentType="application/vnd.openxmlformats-officedocument.wordprocessingml.footer+xml"/>
  <Override PartName="/word/embeddings/oleObject1.docx" ContentType="application/vnd.openxmlformats-officedocument.wordprocessingml.document"/>
  <Override PartName="/word/embeddings/oleObject2.docx" ContentType="application/vnd.openxmlformats-officedocument.wordprocessingml.document"/>
  <Override PartName="/word/embeddings/oleObject3.docx" ContentType="application/vnd.openxmlformats-officedocument.wordprocessingml.document"/>
  <Override PartName="/word/embeddings/oleObject4.xlsx" ContentType="application/vnd.openxmlformats-officedocument.spreadsheetml.sheet"/>
  <Override PartName="/word/embeddings/oleObject5.docx" ContentType="application/vnd.openxmlformats-officedocument.wordprocessingml.document"/>
  <Override PartName="/word/header14.xml" ContentType="application/vnd.openxmlformats-officedocument.wordprocessingml.header+xml"/>
  <Override PartName="/word/footnotes.xml" ContentType="application/vnd.openxmlformats-officedocument.wordprocessingml.footnotes+xml"/>
  <Override PartName="/word/header4.xml" ContentType="application/vnd.openxmlformats-officedocument.wordprocessingml.header+xml"/>
  <Override PartName="/word/footer12.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15.xml" ContentType="application/vnd.openxmlformats-officedocument.wordprocessingml.header+xml"/>
  <Override PartName="/word/media/image1.png" ContentType="image/png"/>
  <Override PartName="/word/media/image2.wmf" ContentType="image/x-wmf"/>
  <Override PartName="/word/media/image3.wmf" ContentType="image/x-wmf"/>
  <Override PartName="/word/media/image4.wmf" ContentType="image/x-wmf"/>
  <Override PartName="/word/media/image5.wmf" ContentType="image/x-wmf"/>
  <Override PartName="/word/media/image6.wmf" ContentType="image/x-wmf"/>
  <Override PartName="/word/theme/theme1.xml" ContentType="application/vnd.openxmlformats-officedocument.theme+xml"/>
  <Override PartName="/word/header7.xml" ContentType="application/vnd.openxmlformats-officedocument.wordprocessingml.header+xml"/>
  <Override PartName="/word/header10.xml" ContentType="application/vnd.openxmlformats-officedocument.wordprocessingml.header+xml"/>
  <Override PartName="/word/header5.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3.xml" ContentType="application/vnd.openxmlformats-officedocument.wordprocessingml.footer+xml"/>
  <Override PartName="/word/footer11.xml" ContentType="application/vnd.openxmlformats-officedocument.wordprocessingml.footer+xml"/>
  <Override PartName="/word/document.xml" ContentType="application/vnd.openxmlformats-officedocument.wordprocessingml.document.main+xml"/>
  <Override PartName="/word/header6.xml" ContentType="application/vnd.openxmlformats-officedocument.wordprocessingml.header+xml"/>
  <Override PartName="/word/footer7.xml" ContentType="application/vnd.openxmlformats-officedocument.wordprocessingml.footer+xml"/>
  <Override PartName="/word/footer15.xml" ContentType="application/vnd.openxmlformats-officedocument.wordprocessingml.footer+xml"/>
  <Override PartName="/word/numbering.xml" ContentType="application/vnd.openxmlformats-officedocument.wordprocessingml.numbering+xml"/>
  <Override PartName="/word/footer13.xml" ContentType="application/vnd.openxmlformats-officedocument.wordprocessingml.footer+xml"/>
  <Override PartName="/word/footer5.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footer6.xml" ContentType="application/vnd.openxmlformats-officedocument.wordprocessingml.footer+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30"/>
        <w:keepNext w:val="true"/>
        <w:spacing w:before="120" w:after="0"/>
        <w:ind w:hanging="0" w:left="4536"/>
        <w:rPr>
          <w:rFonts w:ascii="Times New Roman" w:hAnsi="Times New Roman"/>
          <w:sz w:val="24"/>
          <w:szCs w:val="24"/>
        </w:rPr>
      </w:pPr>
      <w:r>
        <w:rPr>
          <w:sz w:val="24"/>
          <w:szCs w:val="24"/>
        </w:rPr>
        <w:drawing>
          <wp:anchor behindDoc="0" distT="0" distB="0" distL="0" distR="0" simplePos="0" locked="0" layoutInCell="0" allowOverlap="1" relativeHeight="2">
            <wp:simplePos x="0" y="0"/>
            <wp:positionH relativeFrom="column">
              <wp:align>center</wp:align>
            </wp:positionH>
            <wp:positionV relativeFrom="paragraph">
              <wp:posOffset>635</wp:posOffset>
            </wp:positionV>
            <wp:extent cx="6261100" cy="1005840"/>
            <wp:effectExtent l="0" t="0" r="0" b="0"/>
            <wp:wrapSquare wrapText="largest"/>
            <wp:docPr id="1" name="Рисунок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
                    <pic:cNvPicPr>
                      <a:picLocks noChangeAspect="1" noChangeArrowheads="1"/>
                    </pic:cNvPicPr>
                  </pic:nvPicPr>
                  <pic:blipFill>
                    <a:blip r:embed="rId2"/>
                    <a:stretch>
                      <a:fillRect/>
                    </a:stretch>
                  </pic:blipFill>
                  <pic:spPr bwMode="auto">
                    <a:xfrm>
                      <a:off x="0" y="0"/>
                      <a:ext cx="6261100" cy="1005840"/>
                    </a:xfrm>
                    <a:prstGeom prst="rect">
                      <a:avLst/>
                    </a:prstGeom>
                  </pic:spPr>
                </pic:pic>
              </a:graphicData>
            </a:graphic>
          </wp:anchor>
        </w:drawing>
      </w:r>
    </w:p>
    <w:p>
      <w:pPr>
        <w:pStyle w:val="Style30"/>
        <w:ind w:hanging="0" w:left="4536"/>
        <w:jc w:val="right"/>
        <w:rPr>
          <w:rFonts w:ascii="Times New Roman" w:hAnsi="Times New Roman"/>
          <w:sz w:val="24"/>
          <w:szCs w:val="24"/>
        </w:rPr>
      </w:pPr>
      <w:r>
        <w:rPr>
          <w:sz w:val="24"/>
          <w:szCs w:val="24"/>
        </w:rPr>
      </w:r>
    </w:p>
    <w:p>
      <w:pPr>
        <w:pStyle w:val="Style30"/>
        <w:ind w:hanging="0" w:left="4536"/>
        <w:jc w:val="right"/>
        <w:rPr>
          <w:rFonts w:ascii="Times New Roman" w:hAnsi="Times New Roman"/>
          <w:sz w:val="24"/>
          <w:szCs w:val="24"/>
        </w:rPr>
      </w:pPr>
      <w:r>
        <w:rPr/>
      </w:r>
    </w:p>
    <w:p>
      <w:pPr>
        <w:pStyle w:val="Style30"/>
        <w:rPr>
          <w:rFonts w:ascii="Times New Roman" w:hAnsi="Times New Roman"/>
          <w:sz w:val="24"/>
          <w:szCs w:val="24"/>
        </w:rPr>
      </w:pPr>
      <w:r>
        <w:rPr>
          <w:sz w:val="24"/>
          <w:szCs w:val="24"/>
        </w:rPr>
      </w:r>
    </w:p>
    <w:p>
      <w:pPr>
        <w:pStyle w:val="Style30"/>
        <w:rPr>
          <w:rFonts w:ascii="Times New Roman" w:hAnsi="Times New Roman"/>
          <w:sz w:val="24"/>
          <w:szCs w:val="24"/>
        </w:rPr>
      </w:pPr>
      <w:r>
        <w:rPr>
          <w:sz w:val="24"/>
          <w:szCs w:val="24"/>
        </w:rPr>
      </w:r>
    </w:p>
    <w:p>
      <w:pPr>
        <w:pStyle w:val="Style30"/>
        <w:rPr>
          <w:rFonts w:ascii="Times New Roman" w:hAnsi="Times New Roman"/>
          <w:sz w:val="24"/>
          <w:szCs w:val="24"/>
        </w:rPr>
      </w:pPr>
      <w:r>
        <w:rPr>
          <w:sz w:val="24"/>
          <w:szCs w:val="24"/>
        </w:rPr>
      </w:r>
    </w:p>
    <w:p>
      <w:pPr>
        <w:pStyle w:val="Style30"/>
        <w:rPr>
          <w:rFonts w:ascii="Times New Roman" w:hAnsi="Times New Roman"/>
          <w:sz w:val="24"/>
          <w:szCs w:val="24"/>
        </w:rPr>
      </w:pPr>
      <w:r>
        <w:rPr>
          <w:sz w:val="24"/>
          <w:szCs w:val="24"/>
        </w:rPr>
      </w:r>
    </w:p>
    <w:p>
      <w:pPr>
        <w:pStyle w:val="Style30"/>
        <w:rPr>
          <w:rFonts w:ascii="Times New Roman" w:hAnsi="Times New Roman"/>
          <w:sz w:val="24"/>
          <w:szCs w:val="24"/>
        </w:rPr>
      </w:pPr>
      <w:r>
        <w:rPr>
          <w:sz w:val="24"/>
          <w:szCs w:val="24"/>
        </w:rPr>
      </w:r>
    </w:p>
    <w:p>
      <w:pPr>
        <w:pStyle w:val="Style30"/>
        <w:keepNext w:val="true"/>
        <w:numPr>
          <w:ilvl w:val="0"/>
          <w:numId w:val="0"/>
        </w:numPr>
        <w:ind w:hanging="0" w:left="0"/>
        <w:jc w:val="center"/>
        <w:outlineLvl w:val="2"/>
        <w:rPr>
          <w:rFonts w:ascii="Times New Roman" w:hAnsi="Times New Roman"/>
          <w:sz w:val="24"/>
          <w:szCs w:val="24"/>
        </w:rPr>
      </w:pPr>
      <w:r>
        <w:rPr>
          <w:b/>
          <w:bCs/>
          <w:caps/>
          <w:sz w:val="24"/>
          <w:szCs w:val="24"/>
        </w:rPr>
        <w:t>Документация о закупке</w:t>
      </w:r>
    </w:p>
    <w:p>
      <w:pPr>
        <w:pStyle w:val="Style30"/>
        <w:keepNext w:val="true"/>
        <w:spacing w:before="240" w:after="0"/>
        <w:jc w:val="center"/>
        <w:rPr>
          <w:rFonts w:ascii="Times New Roman" w:hAnsi="Times New Roman"/>
          <w:sz w:val="24"/>
          <w:szCs w:val="24"/>
        </w:rPr>
      </w:pPr>
      <w:r>
        <w:rPr>
          <w:sz w:val="24"/>
          <w:szCs w:val="24"/>
        </w:rPr>
        <w:t>Состязательный отбор в электронной форме,</w:t>
        <w:br/>
        <w:t>участниками которого могут быть только субъекты МСП</w:t>
        <w:br/>
        <w:t>на право заключения договора на </w:t>
      </w:r>
    </w:p>
    <w:p>
      <w:pPr>
        <w:pStyle w:val="Normal"/>
        <w:widowControl w:val="false"/>
        <w:spacing w:lineRule="auto" w:line="240" w:before="60" w:after="60"/>
        <w:ind w:hanging="0" w:left="-108" w:right="-108"/>
        <w:jc w:val="center"/>
        <w:rPr/>
      </w:pPr>
      <w:r>
        <w:rPr>
          <w:rStyle w:val="Style11"/>
          <w:rFonts w:eastAsia="Calibri" w:cs="Times New Roman"/>
          <w:b w:val="false"/>
          <w:i w:val="false"/>
          <w:iCs w:val="false"/>
          <w:caps w:val="false"/>
          <w:smallCaps w:val="false"/>
          <w:color w:val="000000"/>
          <w:spacing w:val="0"/>
          <w:sz w:val="24"/>
          <w:szCs w:val="24"/>
          <w:shd w:fill="auto" w:val="clear"/>
          <w:lang w:eastAsia="en-US"/>
        </w:rPr>
        <w:t>«ОКПД2 71.12.17.000 Разработка рабочей документации на модернизацию силового трансформатора ТДЦ-400000/500 № 6 Бурейской ГЭС путем установки оборудования системы защиты от взрывов и пожаров "SERGI"»</w:t>
      </w:r>
    </w:p>
    <w:p>
      <w:pPr>
        <w:sectPr>
          <w:type w:val="nextPage"/>
          <w:pgSz w:w="11906" w:h="16838"/>
          <w:pgMar w:left="1134" w:right="850" w:gutter="0" w:header="0" w:top="851" w:footer="0" w:bottom="851"/>
          <w:pgNumType w:fmt="decimal"/>
          <w:formProt w:val="false"/>
          <w:textDirection w:val="lrTb"/>
          <w:docGrid w:type="default" w:linePitch="360" w:charSpace="0"/>
        </w:sectPr>
        <w:pStyle w:val="Style30"/>
        <w:keepNext w:val="true"/>
        <w:spacing w:before="240" w:after="0"/>
        <w:jc w:val="center"/>
        <w:rPr>
          <w:rFonts w:ascii="Times New Roman" w:hAnsi="Times New Roman"/>
          <w:sz w:val="24"/>
          <w:szCs w:val="24"/>
        </w:rPr>
      </w:pPr>
      <w:r>
        <w:rPr>
          <w:sz w:val="24"/>
          <w:szCs w:val="24"/>
        </w:rPr>
        <w:t>(Лот № </w:t>
      </w:r>
      <w:r>
        <w:rPr>
          <w:rFonts w:eastAsia="Calibri" w:cs="Times New Roman"/>
          <w:b w:val="false"/>
          <w:bCs w:val="false"/>
          <w:i w:val="false"/>
          <w:iCs w:val="false"/>
          <w:kern w:val="0"/>
          <w:sz w:val="24"/>
          <w:szCs w:val="24"/>
          <w:lang w:val="ru-RU" w:eastAsia="en-US" w:bidi="ar-SA"/>
        </w:rPr>
        <w:t>6-ТПИР-ПИР-2026-БурГЭС</w:t>
      </w:r>
      <w:r>
        <w:rPr>
          <w:sz w:val="24"/>
          <w:szCs w:val="24"/>
        </w:rPr>
        <w:t>)</w:t>
      </w:r>
    </w:p>
    <w:p>
      <w:pPr>
        <w:pStyle w:val="Style29"/>
        <w:numPr>
          <w:ilvl w:val="0"/>
          <w:numId w:val="0"/>
        </w:numPr>
        <w:ind w:hanging="0" w:left="0"/>
        <w:outlineLvl w:val="2"/>
        <w:rPr>
          <w:rFonts w:ascii="Times New Roman" w:hAnsi="Times New Roman"/>
          <w:sz w:val="24"/>
          <w:szCs w:val="24"/>
        </w:rPr>
      </w:pPr>
      <w:r>
        <w:rPr>
          <w:sz w:val="24"/>
          <w:szCs w:val="24"/>
        </w:rPr>
        <w:t>Содержание</w:t>
      </w:r>
    </w:p>
    <w:sdt>
      <w:sdtPr>
        <w:docPartObj>
          <w:docPartGallery w:val="Table of Contents"/>
          <w:docPartUnique w:val="true"/>
        </w:docPartObj>
      </w:sdtPr>
      <w:sdtContent>
        <w:p>
          <w:pPr>
            <w:pStyle w:val="TOC1"/>
            <w:rPr/>
          </w:pPr>
          <w:r>
            <w:fldChar w:fldCharType="begin"/>
          </w:r>
          <w:r>
            <w:rPr>
              <w:webHidden/>
              <w:rStyle w:val="Style20"/>
              <w:sz w:val="24"/>
              <w:szCs w:val="24"/>
              <w:vanish w:val="false"/>
            </w:rPr>
            <w:instrText xml:space="preserve"> TOC \z \u \t "[РГ] Перечисление,5,[РГ] Подпункт,4,[РГ] Пункт,3,[РГ] Подраздел,2,[РГ] Раздел,1,[РГ] Раздел,1,[РГ] Раздел,1,[РГ] Раздел,1,[РГ] Подраздел,2,[РГ] Подраздел,2,[РГ] Подраздел,2,[РГ] Пункт,3,[РГ] Пункт,3,[РГ] Подпункт,4,[РГ] Подпункт,4,[РГ] Перечисление,5,[РГ] Перечисление,5" \h</w:instrText>
          </w:r>
          <w:r>
            <w:rPr>
              <w:webHidden/>
              <w:rStyle w:val="Style20"/>
              <w:sz w:val="24"/>
              <w:szCs w:val="24"/>
              <w:vanish w:val="false"/>
            </w:rPr>
            <w:fldChar w:fldCharType="separate"/>
          </w:r>
          <w:hyperlink w:anchor="_Toc229567026">
            <w:r>
              <w:rPr>
                <w:webHidden/>
              </w:rPr>
              <w:fldChar w:fldCharType="begin"/>
            </w:r>
            <w:r>
              <w:rPr>
                <w:webHidden/>
              </w:rPr>
              <w:instrText xml:space="preserve">PAGEREF _Toc229567026 \h</w:instrText>
            </w:r>
            <w:r>
              <w:rPr>
                <w:webHidden/>
              </w:rPr>
              <w:fldChar w:fldCharType="separate"/>
            </w:r>
            <w:r>
              <w:rPr>
                <w:webHidden/>
                <w:rStyle w:val="Style20"/>
                <w:vanish w:val="false"/>
                <w:sz w:val="24"/>
                <w:szCs w:val="24"/>
              </w:rPr>
              <w:t>Сокращения</w:t>
              <w:tab/>
              <w:t>6</w:t>
            </w:r>
            <w:r>
              <w:rPr>
                <w:webHidden/>
              </w:rPr>
              <w:fldChar w:fldCharType="end"/>
            </w:r>
          </w:hyperlink>
        </w:p>
        <w:p>
          <w:pPr>
            <w:pStyle w:val="TOC1"/>
            <w:rPr/>
          </w:pPr>
          <w:hyperlink w:anchor="_Toc229567027">
            <w:r>
              <w:rPr>
                <w:webHidden/>
              </w:rPr>
              <w:fldChar w:fldCharType="begin"/>
            </w:r>
            <w:r>
              <w:rPr>
                <w:webHidden/>
              </w:rPr>
              <w:instrText xml:space="preserve">PAGEREF _Toc229567027 \h</w:instrText>
            </w:r>
            <w:r>
              <w:rPr>
                <w:webHidden/>
              </w:rPr>
              <w:fldChar w:fldCharType="separate"/>
            </w:r>
            <w:r>
              <w:rPr>
                <w:webHidden/>
                <w:rStyle w:val="Style20"/>
                <w:vanish w:val="false"/>
                <w:sz w:val="24"/>
                <w:szCs w:val="24"/>
              </w:rPr>
              <w:t>Термины и определения</w:t>
              <w:tab/>
              <w:t>8</w:t>
            </w:r>
            <w:r>
              <w:rPr>
                <w:webHidden/>
              </w:rPr>
              <w:fldChar w:fldCharType="end"/>
            </w:r>
          </w:hyperlink>
        </w:p>
        <w:p>
          <w:pPr>
            <w:pStyle w:val="TOC1"/>
            <w:rPr/>
          </w:pPr>
          <w:hyperlink w:anchor="_Toc229567028">
            <w:r>
              <w:rPr>
                <w:webHidden/>
                <w:rStyle w:val="Style20"/>
                <w:vanish w:val="false"/>
                <w:sz w:val="24"/>
                <w:szCs w:val="24"/>
              </w:rPr>
              <w:t>1.</w:t>
            </w:r>
            <w:r>
              <w:rPr>
                <w:rStyle w:val="Style20"/>
                <w:rFonts w:eastAsia="" w:eastAsiaTheme="minorEastAsia"/>
                <w:b w:val="false"/>
                <w:caps w:val="false"/>
                <w:smallCaps w:val="false"/>
                <w:kern w:val="2"/>
                <w:sz w:val="24"/>
                <w:szCs w:val="24"/>
                <w:lang w:eastAsia="ru-RU"/>
                <w14:ligatures w14:val="standardContextual"/>
              </w:rPr>
              <w:tab/>
            </w:r>
            <w:r>
              <w:rPr>
                <w:rStyle w:val="Style20"/>
                <w:sz w:val="24"/>
                <w:szCs w:val="24"/>
              </w:rPr>
              <w:t>Основные сведения о закупке</w:t>
            </w:r>
            <w:r>
              <w:rPr>
                <w:webHidden/>
              </w:rPr>
              <w:fldChar w:fldCharType="begin"/>
            </w:r>
            <w:r>
              <w:rPr>
                <w:webHidden/>
              </w:rPr>
              <w:instrText xml:space="preserve">PAGEREF _Toc229567028 \h</w:instrText>
            </w:r>
            <w:r>
              <w:rPr>
                <w:webHidden/>
              </w:rPr>
              <w:fldChar w:fldCharType="separate"/>
            </w:r>
            <w:r>
              <w:rPr>
                <w:rStyle w:val="Style20"/>
                <w:vanish w:val="false"/>
                <w:sz w:val="24"/>
                <w:szCs w:val="24"/>
              </w:rPr>
              <w:tab/>
              <w:t>12</w:t>
            </w:r>
            <w:r>
              <w:rPr>
                <w:webHidden/>
              </w:rPr>
              <w:fldChar w:fldCharType="end"/>
            </w:r>
          </w:hyperlink>
        </w:p>
        <w:p>
          <w:pPr>
            <w:pStyle w:val="TOC2"/>
            <w:rPr/>
          </w:pPr>
          <w:hyperlink w:anchor="_Toc229567029">
            <w:r>
              <w:rPr>
                <w:webHidden/>
                <w:rStyle w:val="Style20"/>
                <w:vanish w:val="false"/>
                <w:sz w:val="24"/>
                <w:szCs w:val="24"/>
              </w:rPr>
              <w:t>1.1</w:t>
            </w:r>
            <w:r>
              <w:rPr>
                <w:rStyle w:val="Style20"/>
                <w:rFonts w:eastAsia="" w:eastAsiaTheme="minorEastAsia"/>
                <w:kern w:val="2"/>
                <w:sz w:val="24"/>
                <w:szCs w:val="24"/>
                <w:lang w:eastAsia="ru-RU"/>
                <w14:ligatures w14:val="standardContextual"/>
              </w:rPr>
              <w:tab/>
            </w:r>
            <w:r>
              <w:rPr>
                <w:rStyle w:val="Style20"/>
                <w:sz w:val="24"/>
                <w:szCs w:val="24"/>
              </w:rPr>
              <w:t>Статус настоящего раздела</w:t>
            </w:r>
            <w:r>
              <w:rPr>
                <w:webHidden/>
              </w:rPr>
              <w:fldChar w:fldCharType="begin"/>
            </w:r>
            <w:r>
              <w:rPr>
                <w:webHidden/>
              </w:rPr>
              <w:instrText xml:space="preserve">PAGEREF _Toc229567029 \h</w:instrText>
            </w:r>
            <w:r>
              <w:rPr>
                <w:webHidden/>
              </w:rPr>
              <w:fldChar w:fldCharType="separate"/>
            </w:r>
            <w:r>
              <w:rPr>
                <w:rStyle w:val="Style20"/>
                <w:vanish w:val="false"/>
                <w:sz w:val="24"/>
                <w:szCs w:val="24"/>
              </w:rPr>
              <w:tab/>
              <w:t>12</w:t>
            </w:r>
            <w:r>
              <w:rPr>
                <w:webHidden/>
              </w:rPr>
              <w:fldChar w:fldCharType="end"/>
            </w:r>
          </w:hyperlink>
        </w:p>
        <w:p>
          <w:pPr>
            <w:pStyle w:val="TOC2"/>
            <w:rPr/>
          </w:pPr>
          <w:hyperlink w:anchor="_Toc229567030">
            <w:r>
              <w:rPr>
                <w:webHidden/>
                <w:rStyle w:val="Style20"/>
                <w:vanish w:val="false"/>
                <w:sz w:val="24"/>
                <w:szCs w:val="24"/>
              </w:rPr>
              <w:t>1.2</w:t>
            </w:r>
            <w:r>
              <w:rPr>
                <w:rStyle w:val="Style20"/>
                <w:rFonts w:eastAsia="" w:eastAsiaTheme="minorEastAsia"/>
                <w:kern w:val="2"/>
                <w:sz w:val="24"/>
                <w:szCs w:val="24"/>
                <w:lang w:eastAsia="ru-RU"/>
                <w14:ligatures w14:val="standardContextual"/>
              </w:rPr>
              <w:tab/>
            </w:r>
            <w:r>
              <w:rPr>
                <w:rStyle w:val="Style20"/>
                <w:sz w:val="24"/>
                <w:szCs w:val="24"/>
              </w:rPr>
              <w:t>Информация о проводимой закупке</w:t>
            </w:r>
            <w:r>
              <w:rPr>
                <w:webHidden/>
              </w:rPr>
              <w:fldChar w:fldCharType="begin"/>
            </w:r>
            <w:r>
              <w:rPr>
                <w:webHidden/>
              </w:rPr>
              <w:instrText xml:space="preserve">PAGEREF _Toc229567030 \h</w:instrText>
            </w:r>
            <w:r>
              <w:rPr>
                <w:webHidden/>
              </w:rPr>
              <w:fldChar w:fldCharType="separate"/>
            </w:r>
            <w:r>
              <w:rPr>
                <w:rStyle w:val="Style20"/>
                <w:vanish w:val="false"/>
                <w:sz w:val="24"/>
                <w:szCs w:val="24"/>
              </w:rPr>
              <w:tab/>
              <w:t>12</w:t>
            </w:r>
            <w:r>
              <w:rPr>
                <w:webHidden/>
              </w:rPr>
              <w:fldChar w:fldCharType="end"/>
            </w:r>
          </w:hyperlink>
        </w:p>
        <w:p>
          <w:pPr>
            <w:pStyle w:val="TOC1"/>
            <w:rPr/>
          </w:pPr>
          <w:hyperlink w:anchor="_Toc229567031">
            <w:r>
              <w:rPr>
                <w:webHidden/>
                <w:rStyle w:val="Style20"/>
                <w:vanish w:val="false"/>
                <w:sz w:val="24"/>
                <w:szCs w:val="24"/>
              </w:rPr>
              <w:t>2.</w:t>
            </w:r>
            <w:r>
              <w:rPr>
                <w:rStyle w:val="Style20"/>
                <w:rFonts w:eastAsia="" w:eastAsiaTheme="minorEastAsia"/>
                <w:b w:val="false"/>
                <w:caps w:val="false"/>
                <w:smallCaps w:val="false"/>
                <w:kern w:val="2"/>
                <w:sz w:val="24"/>
                <w:szCs w:val="24"/>
                <w:lang w:eastAsia="ru-RU"/>
                <w14:ligatures w14:val="standardContextual"/>
              </w:rPr>
              <w:tab/>
            </w:r>
            <w:r>
              <w:rPr>
                <w:rStyle w:val="Style20"/>
                <w:sz w:val="24"/>
                <w:szCs w:val="24"/>
              </w:rPr>
              <w:t>Общие положения</w:t>
            </w:r>
            <w:r>
              <w:rPr>
                <w:webHidden/>
              </w:rPr>
              <w:fldChar w:fldCharType="begin"/>
            </w:r>
            <w:r>
              <w:rPr>
                <w:webHidden/>
              </w:rPr>
              <w:instrText xml:space="preserve">PAGEREF _Toc229567031 \h</w:instrText>
            </w:r>
            <w:r>
              <w:rPr>
                <w:webHidden/>
              </w:rPr>
              <w:fldChar w:fldCharType="separate"/>
            </w:r>
            <w:r>
              <w:rPr>
                <w:rStyle w:val="Style20"/>
                <w:vanish w:val="false"/>
                <w:sz w:val="24"/>
                <w:szCs w:val="24"/>
              </w:rPr>
              <w:tab/>
              <w:t>25</w:t>
            </w:r>
            <w:r>
              <w:rPr>
                <w:webHidden/>
              </w:rPr>
              <w:fldChar w:fldCharType="end"/>
            </w:r>
          </w:hyperlink>
        </w:p>
        <w:p>
          <w:pPr>
            <w:pStyle w:val="TOC2"/>
            <w:rPr/>
          </w:pPr>
          <w:hyperlink w:anchor="_Toc229567032">
            <w:r>
              <w:rPr>
                <w:webHidden/>
                <w:rStyle w:val="Style20"/>
                <w:vanish w:val="false"/>
                <w:sz w:val="24"/>
                <w:szCs w:val="24"/>
              </w:rPr>
              <w:t>2.1</w:t>
            </w:r>
            <w:r>
              <w:rPr>
                <w:rStyle w:val="Style20"/>
                <w:rFonts w:eastAsia="" w:eastAsiaTheme="minorEastAsia"/>
                <w:kern w:val="2"/>
                <w:sz w:val="24"/>
                <w:szCs w:val="24"/>
                <w:lang w:eastAsia="ru-RU"/>
                <w14:ligatures w14:val="standardContextual"/>
              </w:rPr>
              <w:tab/>
            </w:r>
            <w:r>
              <w:rPr>
                <w:rStyle w:val="Style20"/>
                <w:sz w:val="24"/>
                <w:szCs w:val="24"/>
              </w:rPr>
              <w:t>Общие сведения о закупке</w:t>
            </w:r>
            <w:r>
              <w:rPr>
                <w:webHidden/>
              </w:rPr>
              <w:fldChar w:fldCharType="begin"/>
            </w:r>
            <w:r>
              <w:rPr>
                <w:webHidden/>
              </w:rPr>
              <w:instrText xml:space="preserve">PAGEREF _Toc229567032 \h</w:instrText>
            </w:r>
            <w:r>
              <w:rPr>
                <w:webHidden/>
              </w:rPr>
              <w:fldChar w:fldCharType="separate"/>
            </w:r>
            <w:r>
              <w:rPr>
                <w:rStyle w:val="Style20"/>
                <w:vanish w:val="false"/>
                <w:sz w:val="24"/>
                <w:szCs w:val="24"/>
              </w:rPr>
              <w:tab/>
              <w:t>25</w:t>
            </w:r>
            <w:r>
              <w:rPr>
                <w:webHidden/>
              </w:rPr>
              <w:fldChar w:fldCharType="end"/>
            </w:r>
          </w:hyperlink>
        </w:p>
        <w:p>
          <w:pPr>
            <w:pStyle w:val="TOC2"/>
            <w:rPr/>
          </w:pPr>
          <w:hyperlink w:anchor="_Toc229567033">
            <w:r>
              <w:rPr>
                <w:webHidden/>
                <w:rStyle w:val="Style20"/>
                <w:vanish w:val="false"/>
                <w:sz w:val="24"/>
                <w:szCs w:val="24"/>
              </w:rPr>
              <w:t>2.2</w:t>
            </w:r>
            <w:r>
              <w:rPr>
                <w:rStyle w:val="Style20"/>
                <w:rFonts w:eastAsia="" w:eastAsiaTheme="minorEastAsia"/>
                <w:kern w:val="2"/>
                <w:sz w:val="24"/>
                <w:szCs w:val="24"/>
                <w:lang w:eastAsia="ru-RU"/>
                <w14:ligatures w14:val="standardContextual"/>
              </w:rPr>
              <w:tab/>
            </w:r>
            <w:r>
              <w:rPr>
                <w:rStyle w:val="Style20"/>
                <w:sz w:val="24"/>
                <w:szCs w:val="24"/>
              </w:rPr>
              <w:t>Правовой статус документов</w:t>
            </w:r>
            <w:r>
              <w:rPr>
                <w:webHidden/>
              </w:rPr>
              <w:fldChar w:fldCharType="begin"/>
            </w:r>
            <w:r>
              <w:rPr>
                <w:webHidden/>
              </w:rPr>
              <w:instrText xml:space="preserve">PAGEREF _Toc229567033 \h</w:instrText>
            </w:r>
            <w:r>
              <w:rPr>
                <w:webHidden/>
              </w:rPr>
              <w:fldChar w:fldCharType="separate"/>
            </w:r>
            <w:r>
              <w:rPr>
                <w:rStyle w:val="Style20"/>
                <w:vanish w:val="false"/>
                <w:sz w:val="24"/>
                <w:szCs w:val="24"/>
              </w:rPr>
              <w:tab/>
              <w:t>25</w:t>
            </w:r>
            <w:r>
              <w:rPr>
                <w:webHidden/>
              </w:rPr>
              <w:fldChar w:fldCharType="end"/>
            </w:r>
          </w:hyperlink>
        </w:p>
        <w:p>
          <w:pPr>
            <w:pStyle w:val="TOC2"/>
            <w:rPr/>
          </w:pPr>
          <w:hyperlink w:anchor="_Toc229567034">
            <w:r>
              <w:rPr>
                <w:webHidden/>
                <w:rStyle w:val="Style20"/>
                <w:vanish w:val="false"/>
                <w:sz w:val="24"/>
                <w:szCs w:val="24"/>
              </w:rPr>
              <w:t>2.3</w:t>
            </w:r>
            <w:r>
              <w:rPr>
                <w:rStyle w:val="Style20"/>
                <w:rFonts w:eastAsia="" w:eastAsiaTheme="minorEastAsia"/>
                <w:kern w:val="2"/>
                <w:sz w:val="24"/>
                <w:szCs w:val="24"/>
                <w:lang w:eastAsia="ru-RU"/>
                <w14:ligatures w14:val="standardContextual"/>
              </w:rPr>
              <w:tab/>
            </w:r>
            <w:r>
              <w:rPr>
                <w:rStyle w:val="Style20"/>
                <w:sz w:val="24"/>
                <w:szCs w:val="24"/>
              </w:rPr>
              <w:t>Обжалование</w:t>
            </w:r>
            <w:r>
              <w:rPr>
                <w:webHidden/>
              </w:rPr>
              <w:fldChar w:fldCharType="begin"/>
            </w:r>
            <w:r>
              <w:rPr>
                <w:webHidden/>
              </w:rPr>
              <w:instrText xml:space="preserve">PAGEREF _Toc229567034 \h</w:instrText>
            </w:r>
            <w:r>
              <w:rPr>
                <w:webHidden/>
              </w:rPr>
              <w:fldChar w:fldCharType="separate"/>
            </w:r>
            <w:r>
              <w:rPr>
                <w:rStyle w:val="Style20"/>
                <w:vanish w:val="false"/>
                <w:sz w:val="24"/>
                <w:szCs w:val="24"/>
              </w:rPr>
              <w:tab/>
              <w:t>26</w:t>
            </w:r>
            <w:r>
              <w:rPr>
                <w:webHidden/>
              </w:rPr>
              <w:fldChar w:fldCharType="end"/>
            </w:r>
          </w:hyperlink>
        </w:p>
        <w:p>
          <w:pPr>
            <w:pStyle w:val="TOC2"/>
            <w:rPr/>
          </w:pPr>
          <w:hyperlink w:anchor="_Toc229567035">
            <w:r>
              <w:rPr>
                <w:webHidden/>
                <w:rStyle w:val="Style20"/>
                <w:vanish w:val="false"/>
                <w:sz w:val="24"/>
                <w:szCs w:val="24"/>
              </w:rPr>
              <w:t>2.4</w:t>
            </w:r>
            <w:r>
              <w:rPr>
                <w:rStyle w:val="Style20"/>
                <w:rFonts w:eastAsia="" w:eastAsiaTheme="minorEastAsia"/>
                <w:kern w:val="2"/>
                <w:sz w:val="24"/>
                <w:szCs w:val="24"/>
                <w:lang w:eastAsia="ru-RU"/>
                <w14:ligatures w14:val="standardContextual"/>
              </w:rPr>
              <w:tab/>
            </w:r>
            <w:r>
              <w:rPr>
                <w:rStyle w:val="Style20"/>
                <w:sz w:val="24"/>
                <w:szCs w:val="24"/>
              </w:rPr>
              <w:t>Особые положения при проведении закупки с использованием ЭП</w:t>
            </w:r>
            <w:r>
              <w:rPr>
                <w:webHidden/>
              </w:rPr>
              <w:fldChar w:fldCharType="begin"/>
            </w:r>
            <w:r>
              <w:rPr>
                <w:webHidden/>
              </w:rPr>
              <w:instrText xml:space="preserve">PAGEREF _Toc229567035 \h</w:instrText>
            </w:r>
            <w:r>
              <w:rPr>
                <w:webHidden/>
              </w:rPr>
              <w:fldChar w:fldCharType="separate"/>
            </w:r>
            <w:r>
              <w:rPr>
                <w:rStyle w:val="Style20"/>
                <w:vanish w:val="false"/>
                <w:sz w:val="24"/>
                <w:szCs w:val="24"/>
              </w:rPr>
              <w:tab/>
              <w:t>27</w:t>
            </w:r>
            <w:r>
              <w:rPr>
                <w:webHidden/>
              </w:rPr>
              <w:fldChar w:fldCharType="end"/>
            </w:r>
          </w:hyperlink>
        </w:p>
        <w:p>
          <w:pPr>
            <w:pStyle w:val="TOC2"/>
            <w:rPr/>
          </w:pPr>
          <w:hyperlink w:anchor="_Toc229567036">
            <w:r>
              <w:rPr>
                <w:webHidden/>
                <w:rStyle w:val="Style20"/>
                <w:vanish w:val="false"/>
                <w:sz w:val="24"/>
                <w:szCs w:val="24"/>
              </w:rPr>
              <w:t>2.5</w:t>
            </w:r>
            <w:r>
              <w:rPr>
                <w:rStyle w:val="Style20"/>
                <w:rFonts w:eastAsia="" w:eastAsiaTheme="minorEastAsia"/>
                <w:kern w:val="2"/>
                <w:sz w:val="24"/>
                <w:szCs w:val="24"/>
                <w:lang w:eastAsia="ru-RU"/>
                <w14:ligatures w14:val="standardContextual"/>
              </w:rPr>
              <w:tab/>
            </w:r>
            <w:r>
              <w:rPr>
                <w:rStyle w:val="Style20"/>
                <w:sz w:val="24"/>
                <w:szCs w:val="24"/>
              </w:rPr>
              <w:t>Прочие положения</w:t>
            </w:r>
            <w:r>
              <w:rPr>
                <w:webHidden/>
              </w:rPr>
              <w:fldChar w:fldCharType="begin"/>
            </w:r>
            <w:r>
              <w:rPr>
                <w:webHidden/>
              </w:rPr>
              <w:instrText xml:space="preserve">PAGEREF _Toc229567036 \h</w:instrText>
            </w:r>
            <w:r>
              <w:rPr>
                <w:webHidden/>
              </w:rPr>
              <w:fldChar w:fldCharType="separate"/>
            </w:r>
            <w:r>
              <w:rPr>
                <w:rStyle w:val="Style20"/>
                <w:vanish w:val="false"/>
                <w:sz w:val="24"/>
                <w:szCs w:val="24"/>
              </w:rPr>
              <w:tab/>
              <w:t>27</w:t>
            </w:r>
            <w:r>
              <w:rPr>
                <w:webHidden/>
              </w:rPr>
              <w:fldChar w:fldCharType="end"/>
            </w:r>
          </w:hyperlink>
        </w:p>
        <w:p>
          <w:pPr>
            <w:pStyle w:val="TOC1"/>
            <w:rPr/>
          </w:pPr>
          <w:hyperlink w:anchor="_Toc229567037">
            <w:r>
              <w:rPr>
                <w:webHidden/>
                <w:rStyle w:val="Style20"/>
                <w:vanish w:val="false"/>
                <w:sz w:val="24"/>
                <w:szCs w:val="24"/>
              </w:rPr>
              <w:t>3.</w:t>
            </w:r>
            <w:r>
              <w:rPr>
                <w:rStyle w:val="Style20"/>
                <w:rFonts w:eastAsia="" w:eastAsiaTheme="minorEastAsia"/>
                <w:b w:val="false"/>
                <w:caps w:val="false"/>
                <w:smallCaps w:val="false"/>
                <w:kern w:val="2"/>
                <w:sz w:val="24"/>
                <w:szCs w:val="24"/>
                <w:lang w:eastAsia="ru-RU"/>
                <w14:ligatures w14:val="standardContextual"/>
              </w:rPr>
              <w:tab/>
            </w:r>
            <w:r>
              <w:rPr>
                <w:rStyle w:val="Style20"/>
                <w:sz w:val="24"/>
                <w:szCs w:val="24"/>
              </w:rPr>
              <w:t>Требования к Участникам</w:t>
            </w:r>
            <w:r>
              <w:rPr>
                <w:webHidden/>
              </w:rPr>
              <w:fldChar w:fldCharType="begin"/>
            </w:r>
            <w:r>
              <w:rPr>
                <w:webHidden/>
              </w:rPr>
              <w:instrText xml:space="preserve">PAGEREF _Toc229567037 \h</w:instrText>
            </w:r>
            <w:r>
              <w:rPr>
                <w:webHidden/>
              </w:rPr>
              <w:fldChar w:fldCharType="separate"/>
            </w:r>
            <w:r>
              <w:rPr>
                <w:rStyle w:val="Style20"/>
                <w:vanish w:val="false"/>
                <w:sz w:val="24"/>
                <w:szCs w:val="24"/>
              </w:rPr>
              <w:tab/>
              <w:t>29</w:t>
            </w:r>
            <w:r>
              <w:rPr>
                <w:webHidden/>
              </w:rPr>
              <w:fldChar w:fldCharType="end"/>
            </w:r>
          </w:hyperlink>
        </w:p>
        <w:p>
          <w:pPr>
            <w:pStyle w:val="TOC2"/>
            <w:rPr/>
          </w:pPr>
          <w:hyperlink w:anchor="_Toc229567038">
            <w:r>
              <w:rPr>
                <w:webHidden/>
                <w:rStyle w:val="Style20"/>
                <w:vanish w:val="false"/>
                <w:sz w:val="24"/>
                <w:szCs w:val="24"/>
              </w:rPr>
              <w:t>3.1</w:t>
            </w:r>
            <w:r>
              <w:rPr>
                <w:rStyle w:val="Style20"/>
                <w:rFonts w:eastAsia="" w:eastAsiaTheme="minorEastAsia"/>
                <w:kern w:val="2"/>
                <w:sz w:val="24"/>
                <w:szCs w:val="24"/>
                <w:lang w:eastAsia="ru-RU"/>
                <w14:ligatures w14:val="standardContextual"/>
              </w:rPr>
              <w:tab/>
            </w:r>
            <w:r>
              <w:rPr>
                <w:rStyle w:val="Style20"/>
                <w:sz w:val="24"/>
                <w:szCs w:val="24"/>
              </w:rPr>
              <w:t>Общие требования к Участникам</w:t>
            </w:r>
            <w:r>
              <w:rPr>
                <w:webHidden/>
              </w:rPr>
              <w:fldChar w:fldCharType="begin"/>
            </w:r>
            <w:r>
              <w:rPr>
                <w:webHidden/>
              </w:rPr>
              <w:instrText xml:space="preserve">PAGEREF _Toc229567038 \h</w:instrText>
            </w:r>
            <w:r>
              <w:rPr>
                <w:webHidden/>
              </w:rPr>
              <w:fldChar w:fldCharType="separate"/>
            </w:r>
            <w:r>
              <w:rPr>
                <w:rStyle w:val="Style20"/>
                <w:vanish w:val="false"/>
                <w:sz w:val="24"/>
                <w:szCs w:val="24"/>
              </w:rPr>
              <w:tab/>
              <w:t>29</w:t>
            </w:r>
            <w:r>
              <w:rPr>
                <w:webHidden/>
              </w:rPr>
              <w:fldChar w:fldCharType="end"/>
            </w:r>
          </w:hyperlink>
        </w:p>
        <w:p>
          <w:pPr>
            <w:pStyle w:val="TOC2"/>
            <w:rPr/>
          </w:pPr>
          <w:hyperlink w:anchor="_Toc229567039">
            <w:r>
              <w:rPr>
                <w:webHidden/>
                <w:rStyle w:val="Style20"/>
                <w:vanish w:val="false"/>
                <w:sz w:val="24"/>
                <w:szCs w:val="24"/>
              </w:rPr>
              <w:t>3.2</w:t>
            </w:r>
            <w:r>
              <w:rPr>
                <w:rStyle w:val="Style20"/>
                <w:rFonts w:eastAsia="" w:eastAsiaTheme="minorEastAsia"/>
                <w:kern w:val="2"/>
                <w:sz w:val="24"/>
                <w:szCs w:val="24"/>
                <w:lang w:eastAsia="ru-RU"/>
                <w14:ligatures w14:val="standardContextual"/>
              </w:rPr>
              <w:tab/>
            </w:r>
            <w:r>
              <w:rPr>
                <w:rStyle w:val="Style20"/>
                <w:sz w:val="24"/>
                <w:szCs w:val="24"/>
              </w:rPr>
              <w:t>Генеральные подрядчики</w:t>
            </w:r>
            <w:r>
              <w:rPr>
                <w:webHidden/>
              </w:rPr>
              <w:fldChar w:fldCharType="begin"/>
            </w:r>
            <w:r>
              <w:rPr>
                <w:webHidden/>
              </w:rPr>
              <w:instrText xml:space="preserve">PAGEREF _Toc229567039 \h</w:instrText>
            </w:r>
            <w:r>
              <w:rPr>
                <w:webHidden/>
              </w:rPr>
              <w:fldChar w:fldCharType="separate"/>
            </w:r>
            <w:r>
              <w:rPr>
                <w:rStyle w:val="Style20"/>
                <w:vanish w:val="false"/>
                <w:sz w:val="24"/>
                <w:szCs w:val="24"/>
              </w:rPr>
              <w:tab/>
              <w:t>29</w:t>
            </w:r>
            <w:r>
              <w:rPr>
                <w:webHidden/>
              </w:rPr>
              <w:fldChar w:fldCharType="end"/>
            </w:r>
          </w:hyperlink>
        </w:p>
        <w:p>
          <w:pPr>
            <w:pStyle w:val="TOC1"/>
            <w:rPr/>
          </w:pPr>
          <w:hyperlink w:anchor="_Toc229567040">
            <w:r>
              <w:rPr>
                <w:webHidden/>
                <w:rStyle w:val="Style20"/>
                <w:vanish w:val="false"/>
                <w:sz w:val="24"/>
                <w:szCs w:val="24"/>
              </w:rPr>
              <w:t>4.</w:t>
            </w:r>
            <w:r>
              <w:rPr>
                <w:rStyle w:val="Style20"/>
                <w:rFonts w:eastAsia="" w:eastAsiaTheme="minorEastAsia"/>
                <w:b w:val="false"/>
                <w:caps w:val="false"/>
                <w:smallCaps w:val="false"/>
                <w:kern w:val="2"/>
                <w:sz w:val="24"/>
                <w:szCs w:val="24"/>
                <w:lang w:eastAsia="ru-RU"/>
                <w14:ligatures w14:val="standardContextual"/>
              </w:rPr>
              <w:tab/>
            </w:r>
            <w:r>
              <w:rPr>
                <w:rStyle w:val="Style20"/>
                <w:sz w:val="24"/>
                <w:szCs w:val="24"/>
              </w:rPr>
              <w:t>Порядок проведения закупки</w:t>
            </w:r>
            <w:r>
              <w:rPr>
                <w:webHidden/>
              </w:rPr>
              <w:fldChar w:fldCharType="begin"/>
            </w:r>
            <w:r>
              <w:rPr>
                <w:webHidden/>
              </w:rPr>
              <w:instrText xml:space="preserve">PAGEREF _Toc229567040 \h</w:instrText>
            </w:r>
            <w:r>
              <w:rPr>
                <w:webHidden/>
              </w:rPr>
              <w:fldChar w:fldCharType="separate"/>
            </w:r>
            <w:r>
              <w:rPr>
                <w:rStyle w:val="Style20"/>
                <w:vanish w:val="false"/>
                <w:sz w:val="24"/>
                <w:szCs w:val="24"/>
              </w:rPr>
              <w:tab/>
              <w:t>32</w:t>
            </w:r>
            <w:r>
              <w:rPr>
                <w:webHidden/>
              </w:rPr>
              <w:fldChar w:fldCharType="end"/>
            </w:r>
          </w:hyperlink>
        </w:p>
        <w:p>
          <w:pPr>
            <w:pStyle w:val="TOC2"/>
            <w:rPr/>
          </w:pPr>
          <w:hyperlink w:anchor="_Toc229567041">
            <w:r>
              <w:rPr>
                <w:webHidden/>
                <w:rStyle w:val="Style20"/>
                <w:vanish w:val="false"/>
                <w:sz w:val="24"/>
                <w:szCs w:val="24"/>
              </w:rPr>
              <w:t>4.1</w:t>
            </w:r>
            <w:r>
              <w:rPr>
                <w:rStyle w:val="Style20"/>
                <w:rFonts w:eastAsia="" w:eastAsiaTheme="minorEastAsia"/>
                <w:kern w:val="2"/>
                <w:sz w:val="24"/>
                <w:szCs w:val="24"/>
                <w:lang w:eastAsia="ru-RU"/>
                <w14:ligatures w14:val="standardContextual"/>
              </w:rPr>
              <w:tab/>
            </w:r>
            <w:r>
              <w:rPr>
                <w:rStyle w:val="Style20"/>
                <w:sz w:val="24"/>
                <w:szCs w:val="24"/>
              </w:rPr>
              <w:t>Общий порядок проведения закупки</w:t>
            </w:r>
            <w:r>
              <w:rPr>
                <w:webHidden/>
              </w:rPr>
              <w:fldChar w:fldCharType="begin"/>
            </w:r>
            <w:r>
              <w:rPr>
                <w:webHidden/>
              </w:rPr>
              <w:instrText xml:space="preserve">PAGEREF _Toc229567041 \h</w:instrText>
            </w:r>
            <w:r>
              <w:rPr>
                <w:webHidden/>
              </w:rPr>
              <w:fldChar w:fldCharType="separate"/>
            </w:r>
            <w:r>
              <w:rPr>
                <w:rStyle w:val="Style20"/>
                <w:vanish w:val="false"/>
                <w:sz w:val="24"/>
                <w:szCs w:val="24"/>
              </w:rPr>
              <w:tab/>
              <w:t>32</w:t>
            </w:r>
            <w:r>
              <w:rPr>
                <w:webHidden/>
              </w:rPr>
              <w:fldChar w:fldCharType="end"/>
            </w:r>
          </w:hyperlink>
        </w:p>
        <w:p>
          <w:pPr>
            <w:pStyle w:val="TOC2"/>
            <w:rPr/>
          </w:pPr>
          <w:hyperlink w:anchor="_Toc229567042">
            <w:r>
              <w:rPr>
                <w:webHidden/>
                <w:rStyle w:val="Style20"/>
                <w:vanish w:val="false"/>
                <w:sz w:val="24"/>
                <w:szCs w:val="24"/>
              </w:rPr>
              <w:t>4.2</w:t>
            </w:r>
            <w:r>
              <w:rPr>
                <w:rStyle w:val="Style20"/>
                <w:rFonts w:eastAsia="" w:eastAsiaTheme="minorEastAsia"/>
                <w:kern w:val="2"/>
                <w:sz w:val="24"/>
                <w:szCs w:val="24"/>
                <w:lang w:eastAsia="ru-RU"/>
                <w14:ligatures w14:val="standardContextual"/>
              </w:rPr>
              <w:tab/>
            </w:r>
            <w:r>
              <w:rPr>
                <w:rStyle w:val="Style20"/>
                <w:sz w:val="24"/>
                <w:szCs w:val="24"/>
              </w:rPr>
              <w:t>Официальное размещение Извещения и Документации о закупке</w:t>
            </w:r>
            <w:r>
              <w:rPr>
                <w:webHidden/>
              </w:rPr>
              <w:fldChar w:fldCharType="begin"/>
            </w:r>
            <w:r>
              <w:rPr>
                <w:webHidden/>
              </w:rPr>
              <w:instrText xml:space="preserve">PAGEREF _Toc229567042 \h</w:instrText>
            </w:r>
            <w:r>
              <w:rPr>
                <w:webHidden/>
              </w:rPr>
              <w:fldChar w:fldCharType="separate"/>
            </w:r>
            <w:r>
              <w:rPr>
                <w:rStyle w:val="Style20"/>
                <w:vanish w:val="false"/>
                <w:sz w:val="24"/>
                <w:szCs w:val="24"/>
              </w:rPr>
              <w:tab/>
              <w:t>34</w:t>
            </w:r>
            <w:r>
              <w:rPr>
                <w:webHidden/>
              </w:rPr>
              <w:fldChar w:fldCharType="end"/>
            </w:r>
          </w:hyperlink>
        </w:p>
        <w:p>
          <w:pPr>
            <w:pStyle w:val="TOC2"/>
            <w:rPr/>
          </w:pPr>
          <w:hyperlink w:anchor="_Toc229567043">
            <w:r>
              <w:rPr>
                <w:webHidden/>
                <w:rStyle w:val="Style20"/>
                <w:vanish w:val="false"/>
                <w:sz w:val="24"/>
                <w:szCs w:val="24"/>
              </w:rPr>
              <w:t>4.3</w:t>
            </w:r>
            <w:r>
              <w:rPr>
                <w:rStyle w:val="Style20"/>
                <w:rFonts w:eastAsia="" w:eastAsiaTheme="minorEastAsia"/>
                <w:kern w:val="2"/>
                <w:sz w:val="24"/>
                <w:szCs w:val="24"/>
                <w:lang w:eastAsia="ru-RU"/>
                <w14:ligatures w14:val="standardContextual"/>
              </w:rPr>
              <w:tab/>
            </w:r>
            <w:r>
              <w:rPr>
                <w:rStyle w:val="Style20"/>
                <w:sz w:val="24"/>
                <w:szCs w:val="24"/>
              </w:rPr>
              <w:t>Подготовка заявки</w:t>
            </w:r>
            <w:r>
              <w:rPr>
                <w:webHidden/>
              </w:rPr>
              <w:fldChar w:fldCharType="begin"/>
            </w:r>
            <w:r>
              <w:rPr>
                <w:webHidden/>
              </w:rPr>
              <w:instrText xml:space="preserve">PAGEREF _Toc229567043 \h</w:instrText>
            </w:r>
            <w:r>
              <w:rPr>
                <w:webHidden/>
              </w:rPr>
              <w:fldChar w:fldCharType="separate"/>
            </w:r>
            <w:r>
              <w:rPr>
                <w:rStyle w:val="Style20"/>
                <w:vanish w:val="false"/>
                <w:sz w:val="24"/>
                <w:szCs w:val="24"/>
              </w:rPr>
              <w:tab/>
              <w:t>34</w:t>
            </w:r>
            <w:r>
              <w:rPr>
                <w:webHidden/>
              </w:rPr>
              <w:fldChar w:fldCharType="end"/>
            </w:r>
          </w:hyperlink>
        </w:p>
        <w:p>
          <w:pPr>
            <w:pStyle w:val="TOC2"/>
            <w:rPr/>
          </w:pPr>
          <w:hyperlink w:anchor="_Toc229567044">
            <w:r>
              <w:rPr>
                <w:webHidden/>
                <w:rStyle w:val="Style20"/>
                <w:vanish w:val="false"/>
                <w:sz w:val="24"/>
                <w:szCs w:val="24"/>
              </w:rPr>
              <w:t>4.4</w:t>
            </w:r>
            <w:r>
              <w:rPr>
                <w:rStyle w:val="Style20"/>
                <w:rFonts w:eastAsia="" w:eastAsiaTheme="minorEastAsia"/>
                <w:kern w:val="2"/>
                <w:sz w:val="24"/>
                <w:szCs w:val="24"/>
                <w:lang w:eastAsia="ru-RU"/>
                <w14:ligatures w14:val="standardContextual"/>
              </w:rPr>
              <w:tab/>
            </w:r>
            <w:r>
              <w:rPr>
                <w:rStyle w:val="Style20"/>
                <w:sz w:val="24"/>
                <w:szCs w:val="24"/>
              </w:rPr>
              <w:t>Разъяснение Документации о закупке</w:t>
            </w:r>
            <w:r>
              <w:rPr>
                <w:webHidden/>
              </w:rPr>
              <w:fldChar w:fldCharType="begin"/>
            </w:r>
            <w:r>
              <w:rPr>
                <w:webHidden/>
              </w:rPr>
              <w:instrText xml:space="preserve">PAGEREF _Toc229567044 \h</w:instrText>
            </w:r>
            <w:r>
              <w:rPr>
                <w:webHidden/>
              </w:rPr>
              <w:fldChar w:fldCharType="separate"/>
            </w:r>
            <w:r>
              <w:rPr>
                <w:rStyle w:val="Style20"/>
                <w:vanish w:val="false"/>
                <w:sz w:val="24"/>
                <w:szCs w:val="24"/>
              </w:rPr>
              <w:tab/>
              <w:t>37</w:t>
            </w:r>
            <w:r>
              <w:rPr>
                <w:webHidden/>
              </w:rPr>
              <w:fldChar w:fldCharType="end"/>
            </w:r>
          </w:hyperlink>
        </w:p>
        <w:p>
          <w:pPr>
            <w:pStyle w:val="TOC2"/>
            <w:rPr/>
          </w:pPr>
          <w:hyperlink w:anchor="_Toc229567045">
            <w:r>
              <w:rPr>
                <w:webHidden/>
                <w:rStyle w:val="Style20"/>
                <w:vanish w:val="false"/>
                <w:sz w:val="24"/>
                <w:szCs w:val="24"/>
              </w:rPr>
              <w:t>4.5</w:t>
            </w:r>
            <w:r>
              <w:rPr>
                <w:rStyle w:val="Style20"/>
                <w:rFonts w:eastAsia="" w:eastAsiaTheme="minorEastAsia"/>
                <w:kern w:val="2"/>
                <w:sz w:val="24"/>
                <w:szCs w:val="24"/>
                <w:lang w:eastAsia="ru-RU"/>
                <w14:ligatures w14:val="standardContextual"/>
              </w:rPr>
              <w:tab/>
            </w:r>
            <w:r>
              <w:rPr>
                <w:rStyle w:val="Style20"/>
                <w:sz w:val="24"/>
                <w:szCs w:val="24"/>
              </w:rPr>
              <w:t>Изменения Извещения и (или) Документации о закупке</w:t>
            </w:r>
            <w:r>
              <w:rPr>
                <w:webHidden/>
              </w:rPr>
              <w:fldChar w:fldCharType="begin"/>
            </w:r>
            <w:r>
              <w:rPr>
                <w:webHidden/>
              </w:rPr>
              <w:instrText xml:space="preserve">PAGEREF _Toc229567045 \h</w:instrText>
            </w:r>
            <w:r>
              <w:rPr>
                <w:webHidden/>
              </w:rPr>
              <w:fldChar w:fldCharType="separate"/>
            </w:r>
            <w:r>
              <w:rPr>
                <w:rStyle w:val="Style20"/>
                <w:vanish w:val="false"/>
                <w:sz w:val="24"/>
                <w:szCs w:val="24"/>
              </w:rPr>
              <w:tab/>
              <w:t>38</w:t>
            </w:r>
            <w:r>
              <w:rPr>
                <w:webHidden/>
              </w:rPr>
              <w:fldChar w:fldCharType="end"/>
            </w:r>
          </w:hyperlink>
        </w:p>
        <w:p>
          <w:pPr>
            <w:pStyle w:val="TOC2"/>
            <w:rPr/>
          </w:pPr>
          <w:hyperlink w:anchor="_Toc229567046">
            <w:r>
              <w:rPr>
                <w:webHidden/>
                <w:rStyle w:val="Style20"/>
                <w:vanish w:val="false"/>
                <w:sz w:val="24"/>
                <w:szCs w:val="24"/>
              </w:rPr>
              <w:t>4.6</w:t>
            </w:r>
            <w:r>
              <w:rPr>
                <w:rStyle w:val="Style20"/>
                <w:rFonts w:eastAsia="" w:eastAsiaTheme="minorEastAsia"/>
                <w:kern w:val="2"/>
                <w:sz w:val="24"/>
                <w:szCs w:val="24"/>
                <w:lang w:eastAsia="ru-RU"/>
                <w14:ligatures w14:val="standardContextual"/>
              </w:rPr>
              <w:tab/>
            </w:r>
            <w:r>
              <w:rPr>
                <w:rStyle w:val="Style20"/>
                <w:sz w:val="24"/>
                <w:szCs w:val="24"/>
              </w:rPr>
              <w:t>Подача заявок и их прием</w:t>
            </w:r>
            <w:r>
              <w:rPr>
                <w:webHidden/>
              </w:rPr>
              <w:fldChar w:fldCharType="begin"/>
            </w:r>
            <w:r>
              <w:rPr>
                <w:webHidden/>
              </w:rPr>
              <w:instrText xml:space="preserve">PAGEREF _Toc229567046 \h</w:instrText>
            </w:r>
            <w:r>
              <w:rPr>
                <w:webHidden/>
              </w:rPr>
              <w:fldChar w:fldCharType="separate"/>
            </w:r>
            <w:r>
              <w:rPr>
                <w:rStyle w:val="Style20"/>
                <w:vanish w:val="false"/>
                <w:sz w:val="24"/>
                <w:szCs w:val="24"/>
              </w:rPr>
              <w:tab/>
              <w:t>38</w:t>
            </w:r>
            <w:r>
              <w:rPr>
                <w:webHidden/>
              </w:rPr>
              <w:fldChar w:fldCharType="end"/>
            </w:r>
          </w:hyperlink>
        </w:p>
        <w:p>
          <w:pPr>
            <w:pStyle w:val="TOC2"/>
            <w:rPr/>
          </w:pPr>
          <w:hyperlink w:anchor="_Toc229567047">
            <w:r>
              <w:rPr>
                <w:webHidden/>
                <w:rStyle w:val="Style20"/>
                <w:vanish w:val="false"/>
                <w:sz w:val="24"/>
                <w:szCs w:val="24"/>
              </w:rPr>
              <w:t>4.7</w:t>
            </w:r>
            <w:r>
              <w:rPr>
                <w:rStyle w:val="Style20"/>
                <w:rFonts w:eastAsia="" w:eastAsiaTheme="minorEastAsia"/>
                <w:kern w:val="2"/>
                <w:sz w:val="24"/>
                <w:szCs w:val="24"/>
                <w:lang w:eastAsia="ru-RU"/>
                <w14:ligatures w14:val="standardContextual"/>
              </w:rPr>
              <w:tab/>
            </w:r>
            <w:r>
              <w:rPr>
                <w:rStyle w:val="Style20"/>
                <w:sz w:val="24"/>
                <w:szCs w:val="24"/>
              </w:rPr>
              <w:t>Изменение и отзыв заявок</w:t>
            </w:r>
            <w:r>
              <w:rPr>
                <w:webHidden/>
              </w:rPr>
              <w:fldChar w:fldCharType="begin"/>
            </w:r>
            <w:r>
              <w:rPr>
                <w:webHidden/>
              </w:rPr>
              <w:instrText xml:space="preserve">PAGEREF _Toc229567047 \h</w:instrText>
            </w:r>
            <w:r>
              <w:rPr>
                <w:webHidden/>
              </w:rPr>
              <w:fldChar w:fldCharType="separate"/>
            </w:r>
            <w:r>
              <w:rPr>
                <w:rStyle w:val="Style20"/>
                <w:vanish w:val="false"/>
                <w:sz w:val="24"/>
                <w:szCs w:val="24"/>
              </w:rPr>
              <w:tab/>
              <w:t>39</w:t>
            </w:r>
            <w:r>
              <w:rPr>
                <w:webHidden/>
              </w:rPr>
              <w:fldChar w:fldCharType="end"/>
            </w:r>
          </w:hyperlink>
        </w:p>
        <w:p>
          <w:pPr>
            <w:pStyle w:val="TOC2"/>
            <w:rPr/>
          </w:pPr>
          <w:hyperlink w:anchor="_Toc229567048">
            <w:r>
              <w:rPr>
                <w:webHidden/>
                <w:rStyle w:val="Style20"/>
                <w:vanish w:val="false"/>
                <w:sz w:val="24"/>
                <w:szCs w:val="24"/>
              </w:rPr>
              <w:t>4.8</w:t>
            </w:r>
            <w:r>
              <w:rPr>
                <w:rStyle w:val="Style20"/>
                <w:rFonts w:eastAsia="" w:eastAsiaTheme="minorEastAsia"/>
                <w:kern w:val="2"/>
                <w:sz w:val="24"/>
                <w:szCs w:val="24"/>
                <w:lang w:eastAsia="ru-RU"/>
                <w14:ligatures w14:val="standardContextual"/>
              </w:rPr>
              <w:tab/>
            </w:r>
            <w:r>
              <w:rPr>
                <w:rStyle w:val="Style20"/>
                <w:sz w:val="24"/>
                <w:szCs w:val="24"/>
              </w:rPr>
              <w:t>Открытие доступа к заявкам</w:t>
            </w:r>
            <w:r>
              <w:rPr>
                <w:webHidden/>
              </w:rPr>
              <w:fldChar w:fldCharType="begin"/>
            </w:r>
            <w:r>
              <w:rPr>
                <w:webHidden/>
              </w:rPr>
              <w:instrText xml:space="preserve">PAGEREF _Toc229567048 \h</w:instrText>
            </w:r>
            <w:r>
              <w:rPr>
                <w:webHidden/>
              </w:rPr>
              <w:fldChar w:fldCharType="separate"/>
            </w:r>
            <w:r>
              <w:rPr>
                <w:rStyle w:val="Style20"/>
                <w:vanish w:val="false"/>
                <w:sz w:val="24"/>
                <w:szCs w:val="24"/>
              </w:rPr>
              <w:tab/>
              <w:t>39</w:t>
            </w:r>
            <w:r>
              <w:rPr>
                <w:webHidden/>
              </w:rPr>
              <w:fldChar w:fldCharType="end"/>
            </w:r>
          </w:hyperlink>
        </w:p>
        <w:p>
          <w:pPr>
            <w:pStyle w:val="TOC2"/>
            <w:rPr/>
          </w:pPr>
          <w:hyperlink w:anchor="_Toc229567049">
            <w:r>
              <w:rPr>
                <w:webHidden/>
                <w:rStyle w:val="Style20"/>
                <w:vanish w:val="false"/>
                <w:sz w:val="24"/>
                <w:szCs w:val="24"/>
              </w:rPr>
              <w:t>4.9</w:t>
            </w:r>
            <w:r>
              <w:rPr>
                <w:rStyle w:val="Style20"/>
                <w:rFonts w:eastAsia="" w:eastAsiaTheme="minorEastAsia"/>
                <w:kern w:val="2"/>
                <w:sz w:val="24"/>
                <w:szCs w:val="24"/>
                <w:lang w:eastAsia="ru-RU"/>
                <w14:ligatures w14:val="standardContextual"/>
              </w:rPr>
              <w:tab/>
            </w:r>
            <w:r>
              <w:rPr>
                <w:rStyle w:val="Style20"/>
                <w:sz w:val="24"/>
                <w:szCs w:val="24"/>
              </w:rPr>
              <w:t>Рассмотрение заявок (отборочная стадия), в том числе (при необходимости) проведение аккредитации</w:t>
            </w:r>
            <w:r>
              <w:rPr>
                <w:webHidden/>
              </w:rPr>
              <w:fldChar w:fldCharType="begin"/>
            </w:r>
            <w:r>
              <w:rPr>
                <w:webHidden/>
              </w:rPr>
              <w:instrText xml:space="preserve">PAGEREF _Toc229567049 \h</w:instrText>
            </w:r>
            <w:r>
              <w:rPr>
                <w:webHidden/>
              </w:rPr>
              <w:fldChar w:fldCharType="separate"/>
            </w:r>
            <w:r>
              <w:rPr>
                <w:rStyle w:val="Style20"/>
                <w:vanish w:val="false"/>
                <w:sz w:val="24"/>
                <w:szCs w:val="24"/>
              </w:rPr>
              <w:tab/>
              <w:t>40</w:t>
            </w:r>
            <w:r>
              <w:rPr>
                <w:webHidden/>
              </w:rPr>
              <w:fldChar w:fldCharType="end"/>
            </w:r>
          </w:hyperlink>
        </w:p>
        <w:p>
          <w:pPr>
            <w:pStyle w:val="TOC2"/>
            <w:rPr/>
          </w:pPr>
          <w:hyperlink w:anchor="_Toc229567050">
            <w:r>
              <w:rPr>
                <w:webHidden/>
                <w:rStyle w:val="Style20"/>
                <w:vanish w:val="false"/>
                <w:sz w:val="24"/>
                <w:szCs w:val="24"/>
              </w:rPr>
              <w:t>4.10</w:t>
            </w:r>
            <w:r>
              <w:rPr>
                <w:rStyle w:val="Style20"/>
                <w:rFonts w:eastAsia="" w:eastAsiaTheme="minorEastAsia"/>
                <w:kern w:val="2"/>
                <w:sz w:val="24"/>
                <w:szCs w:val="24"/>
                <w:lang w:eastAsia="ru-RU"/>
                <w14:ligatures w14:val="standardContextual"/>
              </w:rPr>
              <w:tab/>
            </w:r>
            <w:r>
              <w:rPr>
                <w:rStyle w:val="Style20"/>
                <w:sz w:val="24"/>
                <w:szCs w:val="24"/>
              </w:rPr>
              <w:t>Дополнительные запросы разъяснений заявок</w:t>
            </w:r>
            <w:r>
              <w:rPr>
                <w:webHidden/>
              </w:rPr>
              <w:fldChar w:fldCharType="begin"/>
            </w:r>
            <w:r>
              <w:rPr>
                <w:webHidden/>
              </w:rPr>
              <w:instrText xml:space="preserve">PAGEREF _Toc229567050 \h</w:instrText>
            </w:r>
            <w:r>
              <w:rPr>
                <w:webHidden/>
              </w:rPr>
              <w:fldChar w:fldCharType="separate"/>
            </w:r>
            <w:r>
              <w:rPr>
                <w:rStyle w:val="Style20"/>
                <w:vanish w:val="false"/>
                <w:sz w:val="24"/>
                <w:szCs w:val="24"/>
              </w:rPr>
              <w:tab/>
              <w:t>42</w:t>
            </w:r>
            <w:r>
              <w:rPr>
                <w:webHidden/>
              </w:rPr>
              <w:fldChar w:fldCharType="end"/>
            </w:r>
          </w:hyperlink>
        </w:p>
        <w:p>
          <w:pPr>
            <w:pStyle w:val="TOC2"/>
            <w:rPr/>
          </w:pPr>
          <w:hyperlink w:anchor="_Toc229567051">
            <w:r>
              <w:rPr>
                <w:webHidden/>
                <w:rStyle w:val="Style20"/>
                <w:vanish w:val="false"/>
                <w:sz w:val="24"/>
                <w:szCs w:val="24"/>
              </w:rPr>
              <w:t>4.11</w:t>
            </w:r>
            <w:r>
              <w:rPr>
                <w:rStyle w:val="Style20"/>
                <w:rFonts w:eastAsia="" w:eastAsiaTheme="minorEastAsia"/>
                <w:kern w:val="2"/>
                <w:sz w:val="24"/>
                <w:szCs w:val="24"/>
                <w:lang w:eastAsia="ru-RU"/>
                <w14:ligatures w14:val="standardContextual"/>
              </w:rPr>
              <w:tab/>
            </w:r>
            <w:r>
              <w:rPr>
                <w:rStyle w:val="Style20"/>
                <w:sz w:val="24"/>
                <w:szCs w:val="24"/>
              </w:rPr>
              <w:t>Переторжка</w:t>
            </w:r>
            <w:r>
              <w:rPr>
                <w:webHidden/>
              </w:rPr>
              <w:fldChar w:fldCharType="begin"/>
            </w:r>
            <w:r>
              <w:rPr>
                <w:webHidden/>
              </w:rPr>
              <w:instrText xml:space="preserve">PAGEREF _Toc229567051 \h</w:instrText>
            </w:r>
            <w:r>
              <w:rPr>
                <w:webHidden/>
              </w:rPr>
              <w:fldChar w:fldCharType="separate"/>
            </w:r>
            <w:r>
              <w:rPr>
                <w:rStyle w:val="Style20"/>
                <w:vanish w:val="false"/>
                <w:sz w:val="24"/>
                <w:szCs w:val="24"/>
              </w:rPr>
              <w:tab/>
              <w:t>44</w:t>
            </w:r>
            <w:r>
              <w:rPr>
                <w:webHidden/>
              </w:rPr>
              <w:fldChar w:fldCharType="end"/>
            </w:r>
          </w:hyperlink>
        </w:p>
        <w:p>
          <w:pPr>
            <w:pStyle w:val="TOC2"/>
            <w:rPr/>
          </w:pPr>
          <w:hyperlink w:anchor="_Toc229567052">
            <w:r>
              <w:rPr>
                <w:webHidden/>
                <w:rStyle w:val="Style20"/>
                <w:vanish w:val="false"/>
                <w:sz w:val="24"/>
                <w:szCs w:val="24"/>
              </w:rPr>
              <w:t>4.12</w:t>
            </w:r>
            <w:r>
              <w:rPr>
                <w:rStyle w:val="Style20"/>
                <w:rFonts w:eastAsia="" w:eastAsiaTheme="minorEastAsia"/>
                <w:kern w:val="2"/>
                <w:sz w:val="24"/>
                <w:szCs w:val="24"/>
                <w:lang w:eastAsia="ru-RU"/>
                <w14:ligatures w14:val="standardContextual"/>
              </w:rPr>
              <w:tab/>
            </w:r>
            <w:r>
              <w:rPr>
                <w:rStyle w:val="Style20"/>
                <w:sz w:val="24"/>
                <w:szCs w:val="24"/>
              </w:rPr>
              <w:t>Оценка и сопоставление заявок</w:t>
            </w:r>
            <w:r>
              <w:rPr>
                <w:webHidden/>
              </w:rPr>
              <w:fldChar w:fldCharType="begin"/>
            </w:r>
            <w:r>
              <w:rPr>
                <w:webHidden/>
              </w:rPr>
              <w:instrText xml:space="preserve">PAGEREF _Toc229567052 \h</w:instrText>
            </w:r>
            <w:r>
              <w:rPr>
                <w:webHidden/>
              </w:rPr>
              <w:fldChar w:fldCharType="separate"/>
            </w:r>
            <w:r>
              <w:rPr>
                <w:rStyle w:val="Style20"/>
                <w:vanish w:val="false"/>
                <w:sz w:val="24"/>
                <w:szCs w:val="24"/>
              </w:rPr>
              <w:tab/>
              <w:t>46</w:t>
            </w:r>
            <w:r>
              <w:rPr>
                <w:webHidden/>
              </w:rPr>
              <w:fldChar w:fldCharType="end"/>
            </w:r>
          </w:hyperlink>
        </w:p>
        <w:p>
          <w:pPr>
            <w:pStyle w:val="TOC2"/>
            <w:rPr/>
          </w:pPr>
          <w:hyperlink w:anchor="_Toc229567053">
            <w:r>
              <w:rPr>
                <w:webHidden/>
                <w:rStyle w:val="Style20"/>
                <w:vanish w:val="false"/>
                <w:sz w:val="24"/>
                <w:szCs w:val="24"/>
              </w:rPr>
              <w:t>4.13</w:t>
            </w:r>
            <w:r>
              <w:rPr>
                <w:rStyle w:val="Style20"/>
                <w:rFonts w:eastAsia="" w:eastAsiaTheme="minorEastAsia"/>
                <w:kern w:val="2"/>
                <w:sz w:val="24"/>
                <w:szCs w:val="24"/>
                <w:lang w:eastAsia="ru-RU"/>
                <w14:ligatures w14:val="standardContextual"/>
              </w:rPr>
              <w:tab/>
            </w:r>
            <w:r>
              <w:rPr>
                <w:rStyle w:val="Style20"/>
                <w:sz w:val="24"/>
                <w:szCs w:val="24"/>
              </w:rPr>
              <w:t>Применение законодательства о национальном режиме</w:t>
            </w:r>
            <w:r>
              <w:rPr>
                <w:webHidden/>
              </w:rPr>
              <w:fldChar w:fldCharType="begin"/>
            </w:r>
            <w:r>
              <w:rPr>
                <w:webHidden/>
              </w:rPr>
              <w:instrText xml:space="preserve">PAGEREF _Toc229567053 \h</w:instrText>
            </w:r>
            <w:r>
              <w:rPr>
                <w:webHidden/>
              </w:rPr>
              <w:fldChar w:fldCharType="separate"/>
            </w:r>
            <w:r>
              <w:rPr>
                <w:rStyle w:val="Style20"/>
                <w:vanish w:val="false"/>
                <w:sz w:val="24"/>
                <w:szCs w:val="24"/>
              </w:rPr>
              <w:tab/>
              <w:t>47</w:t>
            </w:r>
            <w:r>
              <w:rPr>
                <w:webHidden/>
              </w:rPr>
              <w:fldChar w:fldCharType="end"/>
            </w:r>
          </w:hyperlink>
        </w:p>
        <w:p>
          <w:pPr>
            <w:pStyle w:val="TOC2"/>
            <w:rPr/>
          </w:pPr>
          <w:hyperlink w:anchor="_Toc229567054">
            <w:r>
              <w:rPr>
                <w:webHidden/>
                <w:rStyle w:val="Style20"/>
                <w:vanish w:val="false"/>
                <w:sz w:val="24"/>
                <w:szCs w:val="24"/>
              </w:rPr>
              <w:t>4.14</w:t>
            </w:r>
            <w:r>
              <w:rPr>
                <w:rStyle w:val="Style20"/>
                <w:rFonts w:eastAsia="" w:eastAsiaTheme="minorEastAsia"/>
                <w:kern w:val="2"/>
                <w:sz w:val="24"/>
                <w:szCs w:val="24"/>
                <w:lang w:eastAsia="ru-RU"/>
                <w14:ligatures w14:val="standardContextual"/>
              </w:rPr>
              <w:tab/>
            </w:r>
            <w:r>
              <w:rPr>
                <w:rStyle w:val="Style20"/>
                <w:sz w:val="24"/>
                <w:szCs w:val="24"/>
              </w:rPr>
              <w:t>Подведение итогов закупки (определение Победителя)</w:t>
            </w:r>
            <w:r>
              <w:rPr>
                <w:webHidden/>
              </w:rPr>
              <w:fldChar w:fldCharType="begin"/>
            </w:r>
            <w:r>
              <w:rPr>
                <w:webHidden/>
              </w:rPr>
              <w:instrText xml:space="preserve">PAGEREF _Toc229567054 \h</w:instrText>
            </w:r>
            <w:r>
              <w:rPr>
                <w:webHidden/>
              </w:rPr>
              <w:fldChar w:fldCharType="separate"/>
            </w:r>
            <w:r>
              <w:rPr>
                <w:rStyle w:val="Style20"/>
                <w:vanish w:val="false"/>
                <w:sz w:val="24"/>
                <w:szCs w:val="24"/>
              </w:rPr>
              <w:tab/>
              <w:t>49</w:t>
            </w:r>
            <w:r>
              <w:rPr>
                <w:webHidden/>
              </w:rPr>
              <w:fldChar w:fldCharType="end"/>
            </w:r>
          </w:hyperlink>
        </w:p>
        <w:p>
          <w:pPr>
            <w:pStyle w:val="TOC2"/>
            <w:rPr/>
          </w:pPr>
          <w:hyperlink w:anchor="_Toc229567055">
            <w:r>
              <w:rPr>
                <w:webHidden/>
                <w:rStyle w:val="Style20"/>
                <w:vanish w:val="false"/>
                <w:sz w:val="24"/>
                <w:szCs w:val="24"/>
              </w:rPr>
              <w:t>4.15</w:t>
            </w:r>
            <w:r>
              <w:rPr>
                <w:rStyle w:val="Style20"/>
                <w:rFonts w:eastAsia="" w:eastAsiaTheme="minorEastAsia"/>
                <w:kern w:val="2"/>
                <w:sz w:val="24"/>
                <w:szCs w:val="24"/>
                <w:lang w:eastAsia="ru-RU"/>
                <w14:ligatures w14:val="standardContextual"/>
              </w:rPr>
              <w:tab/>
            </w:r>
            <w:r>
              <w:rPr>
                <w:rStyle w:val="Style20"/>
                <w:sz w:val="24"/>
                <w:szCs w:val="24"/>
              </w:rPr>
              <w:t>Признание закупки несостоявшейся</w:t>
            </w:r>
            <w:r>
              <w:rPr>
                <w:webHidden/>
              </w:rPr>
              <w:fldChar w:fldCharType="begin"/>
            </w:r>
            <w:r>
              <w:rPr>
                <w:webHidden/>
              </w:rPr>
              <w:instrText xml:space="preserve">PAGEREF _Toc229567055 \h</w:instrText>
            </w:r>
            <w:r>
              <w:rPr>
                <w:webHidden/>
              </w:rPr>
              <w:fldChar w:fldCharType="separate"/>
            </w:r>
            <w:r>
              <w:rPr>
                <w:rStyle w:val="Style20"/>
                <w:vanish w:val="false"/>
                <w:sz w:val="24"/>
                <w:szCs w:val="24"/>
              </w:rPr>
              <w:tab/>
              <w:t>51</w:t>
            </w:r>
            <w:r>
              <w:rPr>
                <w:webHidden/>
              </w:rPr>
              <w:fldChar w:fldCharType="end"/>
            </w:r>
          </w:hyperlink>
        </w:p>
        <w:p>
          <w:pPr>
            <w:pStyle w:val="TOC2"/>
            <w:rPr/>
          </w:pPr>
          <w:hyperlink w:anchor="_Toc229567056">
            <w:r>
              <w:rPr>
                <w:webHidden/>
                <w:rStyle w:val="Style20"/>
                <w:vanish w:val="false"/>
                <w:sz w:val="24"/>
                <w:szCs w:val="24"/>
              </w:rPr>
              <w:t>4.16</w:t>
            </w:r>
            <w:r>
              <w:rPr>
                <w:rStyle w:val="Style20"/>
                <w:rFonts w:eastAsia="" w:eastAsiaTheme="minorEastAsia"/>
                <w:kern w:val="2"/>
                <w:sz w:val="24"/>
                <w:szCs w:val="24"/>
                <w:lang w:eastAsia="ru-RU"/>
                <w14:ligatures w14:val="standardContextual"/>
              </w:rPr>
              <w:tab/>
            </w:r>
            <w:r>
              <w:rPr>
                <w:rStyle w:val="Style20"/>
                <w:sz w:val="24"/>
                <w:szCs w:val="24"/>
              </w:rPr>
              <w:t>Отказ от проведения закупки (отмена закупки)</w:t>
            </w:r>
            <w:r>
              <w:rPr>
                <w:webHidden/>
              </w:rPr>
              <w:fldChar w:fldCharType="begin"/>
            </w:r>
            <w:r>
              <w:rPr>
                <w:webHidden/>
              </w:rPr>
              <w:instrText xml:space="preserve">PAGEREF _Toc229567056 \h</w:instrText>
            </w:r>
            <w:r>
              <w:rPr>
                <w:webHidden/>
              </w:rPr>
              <w:fldChar w:fldCharType="separate"/>
            </w:r>
            <w:r>
              <w:rPr>
                <w:rStyle w:val="Style20"/>
                <w:vanish w:val="false"/>
                <w:sz w:val="24"/>
                <w:szCs w:val="24"/>
              </w:rPr>
              <w:tab/>
              <w:t>52</w:t>
            </w:r>
            <w:r>
              <w:rPr>
                <w:webHidden/>
              </w:rPr>
              <w:fldChar w:fldCharType="end"/>
            </w:r>
          </w:hyperlink>
        </w:p>
        <w:p>
          <w:pPr>
            <w:pStyle w:val="TOC2"/>
            <w:rPr/>
          </w:pPr>
          <w:hyperlink w:anchor="_Toc229567057">
            <w:r>
              <w:rPr>
                <w:webHidden/>
                <w:rStyle w:val="Style20"/>
                <w:vanish w:val="false"/>
                <w:sz w:val="24"/>
                <w:szCs w:val="24"/>
              </w:rPr>
              <w:t>4.17</w:t>
            </w:r>
            <w:r>
              <w:rPr>
                <w:rStyle w:val="Style20"/>
                <w:rFonts w:eastAsia="" w:eastAsiaTheme="minorEastAsia"/>
                <w:kern w:val="2"/>
                <w:sz w:val="24"/>
                <w:szCs w:val="24"/>
                <w:lang w:eastAsia="ru-RU"/>
                <w14:ligatures w14:val="standardContextual"/>
              </w:rPr>
              <w:tab/>
            </w:r>
            <w:r>
              <w:rPr>
                <w:rStyle w:val="Style20"/>
                <w:sz w:val="24"/>
                <w:szCs w:val="24"/>
              </w:rPr>
              <w:t>Особенности проведения закупки с необходимостью обеспечения заявки</w:t>
            </w:r>
            <w:r>
              <w:rPr>
                <w:webHidden/>
              </w:rPr>
              <w:fldChar w:fldCharType="begin"/>
            </w:r>
            <w:r>
              <w:rPr>
                <w:webHidden/>
              </w:rPr>
              <w:instrText xml:space="preserve">PAGEREF _Toc229567057 \h</w:instrText>
            </w:r>
            <w:r>
              <w:rPr>
                <w:webHidden/>
              </w:rPr>
              <w:fldChar w:fldCharType="separate"/>
            </w:r>
            <w:r>
              <w:rPr>
                <w:rStyle w:val="Style20"/>
                <w:vanish w:val="false"/>
                <w:sz w:val="24"/>
                <w:szCs w:val="24"/>
              </w:rPr>
              <w:tab/>
              <w:t>52</w:t>
            </w:r>
            <w:r>
              <w:rPr>
                <w:webHidden/>
              </w:rPr>
              <w:fldChar w:fldCharType="end"/>
            </w:r>
          </w:hyperlink>
        </w:p>
        <w:p>
          <w:pPr>
            <w:pStyle w:val="TOC2"/>
            <w:rPr/>
          </w:pPr>
          <w:hyperlink w:anchor="_Toc229567058">
            <w:r>
              <w:rPr>
                <w:webHidden/>
                <w:rStyle w:val="Style20"/>
                <w:vanish w:val="false"/>
                <w:sz w:val="24"/>
                <w:szCs w:val="24"/>
              </w:rPr>
              <w:t>4.18</w:t>
            </w:r>
            <w:r>
              <w:rPr>
                <w:rStyle w:val="Style20"/>
                <w:rFonts w:eastAsia="" w:eastAsiaTheme="minorEastAsia"/>
                <w:kern w:val="2"/>
                <w:sz w:val="24"/>
                <w:szCs w:val="24"/>
                <w:lang w:eastAsia="ru-RU"/>
                <w14:ligatures w14:val="standardContextual"/>
              </w:rPr>
              <w:tab/>
            </w:r>
            <w:r>
              <w:rPr>
                <w:rStyle w:val="Style20"/>
                <w:sz w:val="24"/>
                <w:szCs w:val="24"/>
              </w:rPr>
              <w:t>Особенности проведения многолотовой закупки</w:t>
            </w:r>
            <w:r>
              <w:rPr>
                <w:webHidden/>
              </w:rPr>
              <w:fldChar w:fldCharType="begin"/>
            </w:r>
            <w:r>
              <w:rPr>
                <w:webHidden/>
              </w:rPr>
              <w:instrText xml:space="preserve">PAGEREF _Toc229567058 \h</w:instrText>
            </w:r>
            <w:r>
              <w:rPr>
                <w:webHidden/>
              </w:rPr>
              <w:fldChar w:fldCharType="separate"/>
            </w:r>
            <w:r>
              <w:rPr>
                <w:rStyle w:val="Style20"/>
                <w:vanish w:val="false"/>
                <w:sz w:val="24"/>
                <w:szCs w:val="24"/>
              </w:rPr>
              <w:tab/>
              <w:t>55</w:t>
            </w:r>
            <w:r>
              <w:rPr>
                <w:webHidden/>
              </w:rPr>
              <w:fldChar w:fldCharType="end"/>
            </w:r>
          </w:hyperlink>
        </w:p>
        <w:p>
          <w:pPr>
            <w:pStyle w:val="TOC2"/>
            <w:rPr/>
          </w:pPr>
          <w:hyperlink w:anchor="_Toc229567059">
            <w:r>
              <w:rPr>
                <w:webHidden/>
                <w:rStyle w:val="Style20"/>
                <w:vanish w:val="false"/>
                <w:sz w:val="24"/>
                <w:szCs w:val="24"/>
              </w:rPr>
              <w:t>4.19</w:t>
            </w:r>
            <w:r>
              <w:rPr>
                <w:rStyle w:val="Style20"/>
                <w:rFonts w:eastAsia="" w:eastAsiaTheme="minorEastAsia"/>
                <w:kern w:val="2"/>
                <w:sz w:val="24"/>
                <w:szCs w:val="24"/>
                <w:lang w:eastAsia="ru-RU"/>
                <w14:ligatures w14:val="standardContextual"/>
              </w:rPr>
              <w:tab/>
            </w:r>
            <w:r>
              <w:rPr>
                <w:rStyle w:val="Style20"/>
                <w:sz w:val="24"/>
                <w:szCs w:val="24"/>
              </w:rPr>
              <w:t>Особенности проведения закупки с возможностью подачи альтернативных предложений</w:t>
            </w:r>
            <w:r>
              <w:rPr>
                <w:webHidden/>
              </w:rPr>
              <w:fldChar w:fldCharType="begin"/>
            </w:r>
            <w:r>
              <w:rPr>
                <w:webHidden/>
              </w:rPr>
              <w:instrText xml:space="preserve">PAGEREF _Toc229567059 \h</w:instrText>
            </w:r>
            <w:r>
              <w:rPr>
                <w:webHidden/>
              </w:rPr>
              <w:fldChar w:fldCharType="separate"/>
            </w:r>
            <w:r>
              <w:rPr>
                <w:rStyle w:val="Style20"/>
                <w:vanish w:val="false"/>
                <w:sz w:val="24"/>
                <w:szCs w:val="24"/>
              </w:rPr>
              <w:tab/>
              <w:t>56</w:t>
            </w:r>
            <w:r>
              <w:rPr>
                <w:webHidden/>
              </w:rPr>
              <w:fldChar w:fldCharType="end"/>
            </w:r>
          </w:hyperlink>
        </w:p>
        <w:p>
          <w:pPr>
            <w:pStyle w:val="TOC2"/>
            <w:rPr/>
          </w:pPr>
          <w:hyperlink w:anchor="_Toc229567060">
            <w:r>
              <w:rPr>
                <w:webHidden/>
                <w:rStyle w:val="Style20"/>
                <w:vanish w:val="false"/>
                <w:sz w:val="24"/>
                <w:szCs w:val="24"/>
              </w:rPr>
              <w:t>4.20</w:t>
            </w:r>
            <w:r>
              <w:rPr>
                <w:rStyle w:val="Style20"/>
                <w:rFonts w:eastAsia="" w:eastAsiaTheme="minorEastAsia"/>
                <w:kern w:val="2"/>
                <w:sz w:val="24"/>
                <w:szCs w:val="24"/>
                <w:lang w:eastAsia="ru-RU"/>
                <w14:ligatures w14:val="standardContextual"/>
              </w:rPr>
              <w:tab/>
            </w:r>
            <w:r>
              <w:rPr>
                <w:rStyle w:val="Style20"/>
                <w:sz w:val="24"/>
                <w:szCs w:val="24"/>
              </w:rPr>
              <w:t>Особенности проведения закупки с выбором нескольких победителей</w:t>
            </w:r>
            <w:r>
              <w:rPr>
                <w:webHidden/>
              </w:rPr>
              <w:fldChar w:fldCharType="begin"/>
            </w:r>
            <w:r>
              <w:rPr>
                <w:webHidden/>
              </w:rPr>
              <w:instrText xml:space="preserve">PAGEREF _Toc229567060 \h</w:instrText>
            </w:r>
            <w:r>
              <w:rPr>
                <w:webHidden/>
              </w:rPr>
              <w:fldChar w:fldCharType="separate"/>
            </w:r>
            <w:r>
              <w:rPr>
                <w:rStyle w:val="Style20"/>
                <w:vanish w:val="false"/>
                <w:sz w:val="24"/>
                <w:szCs w:val="24"/>
              </w:rPr>
              <w:tab/>
              <w:t>57</w:t>
            </w:r>
            <w:r>
              <w:rPr>
                <w:webHidden/>
              </w:rPr>
              <w:fldChar w:fldCharType="end"/>
            </w:r>
          </w:hyperlink>
        </w:p>
        <w:p>
          <w:pPr>
            <w:pStyle w:val="TOC1"/>
            <w:rPr/>
          </w:pPr>
          <w:hyperlink w:anchor="_Toc229567061">
            <w:r>
              <w:rPr>
                <w:webHidden/>
                <w:rStyle w:val="Style20"/>
                <w:vanish w:val="false"/>
                <w:sz w:val="24"/>
                <w:szCs w:val="24"/>
              </w:rPr>
              <w:t>5.</w:t>
            </w:r>
            <w:r>
              <w:rPr>
                <w:rStyle w:val="Style20"/>
                <w:rFonts w:eastAsia="" w:eastAsiaTheme="minorEastAsia"/>
                <w:b w:val="false"/>
                <w:caps w:val="false"/>
                <w:smallCaps w:val="false"/>
                <w:kern w:val="2"/>
                <w:sz w:val="24"/>
                <w:szCs w:val="24"/>
                <w:lang w:eastAsia="ru-RU"/>
                <w14:ligatures w14:val="standardContextual"/>
              </w:rPr>
              <w:tab/>
            </w:r>
            <w:r>
              <w:rPr>
                <w:rStyle w:val="Style20"/>
                <w:sz w:val="24"/>
                <w:szCs w:val="24"/>
              </w:rPr>
              <w:t>Порядок заключения Договора</w:t>
            </w:r>
            <w:r>
              <w:rPr>
                <w:webHidden/>
              </w:rPr>
              <w:fldChar w:fldCharType="begin"/>
            </w:r>
            <w:r>
              <w:rPr>
                <w:webHidden/>
              </w:rPr>
              <w:instrText xml:space="preserve">PAGEREF _Toc229567061 \h</w:instrText>
            </w:r>
            <w:r>
              <w:rPr>
                <w:webHidden/>
              </w:rPr>
              <w:fldChar w:fldCharType="separate"/>
            </w:r>
            <w:r>
              <w:rPr>
                <w:rStyle w:val="Style20"/>
                <w:vanish w:val="false"/>
                <w:sz w:val="24"/>
                <w:szCs w:val="24"/>
              </w:rPr>
              <w:tab/>
              <w:t>59</w:t>
            </w:r>
            <w:r>
              <w:rPr>
                <w:webHidden/>
              </w:rPr>
              <w:fldChar w:fldCharType="end"/>
            </w:r>
          </w:hyperlink>
        </w:p>
        <w:p>
          <w:pPr>
            <w:pStyle w:val="TOC2"/>
            <w:rPr/>
          </w:pPr>
          <w:hyperlink w:anchor="_Toc229567062">
            <w:r>
              <w:rPr>
                <w:webHidden/>
                <w:rStyle w:val="Style20"/>
                <w:vanish w:val="false"/>
                <w:sz w:val="24"/>
                <w:szCs w:val="24"/>
              </w:rPr>
              <w:t>5.1</w:t>
            </w:r>
            <w:r>
              <w:rPr>
                <w:rStyle w:val="Style20"/>
                <w:rFonts w:eastAsia="" w:eastAsiaTheme="minorEastAsia"/>
                <w:kern w:val="2"/>
                <w:sz w:val="24"/>
                <w:szCs w:val="24"/>
                <w:lang w:eastAsia="ru-RU"/>
                <w14:ligatures w14:val="standardContextual"/>
              </w:rPr>
              <w:tab/>
            </w:r>
            <w:r>
              <w:rPr>
                <w:rStyle w:val="Style20"/>
                <w:sz w:val="24"/>
                <w:szCs w:val="24"/>
              </w:rPr>
              <w:t>Общие положения</w:t>
            </w:r>
            <w:r>
              <w:rPr>
                <w:webHidden/>
              </w:rPr>
              <w:fldChar w:fldCharType="begin"/>
            </w:r>
            <w:r>
              <w:rPr>
                <w:webHidden/>
              </w:rPr>
              <w:instrText xml:space="preserve">PAGEREF _Toc229567062 \h</w:instrText>
            </w:r>
            <w:r>
              <w:rPr>
                <w:webHidden/>
              </w:rPr>
              <w:fldChar w:fldCharType="separate"/>
            </w:r>
            <w:r>
              <w:rPr>
                <w:rStyle w:val="Style20"/>
                <w:vanish w:val="false"/>
                <w:sz w:val="24"/>
                <w:szCs w:val="24"/>
              </w:rPr>
              <w:tab/>
              <w:t>59</w:t>
            </w:r>
            <w:r>
              <w:rPr>
                <w:webHidden/>
              </w:rPr>
              <w:fldChar w:fldCharType="end"/>
            </w:r>
          </w:hyperlink>
        </w:p>
        <w:p>
          <w:pPr>
            <w:pStyle w:val="TOC2"/>
            <w:rPr/>
          </w:pPr>
          <w:hyperlink w:anchor="_Toc229567063">
            <w:r>
              <w:rPr>
                <w:webHidden/>
                <w:rStyle w:val="Style20"/>
                <w:vanish w:val="false"/>
                <w:sz w:val="24"/>
                <w:szCs w:val="24"/>
              </w:rPr>
              <w:t>5.2</w:t>
            </w:r>
            <w:r>
              <w:rPr>
                <w:rStyle w:val="Style20"/>
                <w:rFonts w:eastAsia="" w:eastAsiaTheme="minorEastAsia"/>
                <w:kern w:val="2"/>
                <w:sz w:val="24"/>
                <w:szCs w:val="24"/>
                <w:lang w:eastAsia="ru-RU"/>
                <w14:ligatures w14:val="standardContextual"/>
              </w:rPr>
              <w:tab/>
            </w:r>
            <w:r>
              <w:rPr>
                <w:rStyle w:val="Style20"/>
                <w:sz w:val="24"/>
                <w:szCs w:val="24"/>
              </w:rPr>
              <w:t>Заключение Договора</w:t>
            </w:r>
            <w:r>
              <w:rPr>
                <w:webHidden/>
              </w:rPr>
              <w:fldChar w:fldCharType="begin"/>
            </w:r>
            <w:r>
              <w:rPr>
                <w:webHidden/>
              </w:rPr>
              <w:instrText xml:space="preserve">PAGEREF _Toc229567063 \h</w:instrText>
            </w:r>
            <w:r>
              <w:rPr>
                <w:webHidden/>
              </w:rPr>
              <w:fldChar w:fldCharType="separate"/>
            </w:r>
            <w:r>
              <w:rPr>
                <w:rStyle w:val="Style20"/>
                <w:vanish w:val="false"/>
                <w:sz w:val="24"/>
                <w:szCs w:val="24"/>
              </w:rPr>
              <w:tab/>
              <w:t>59</w:t>
            </w:r>
            <w:r>
              <w:rPr>
                <w:webHidden/>
              </w:rPr>
              <w:fldChar w:fldCharType="end"/>
            </w:r>
          </w:hyperlink>
        </w:p>
        <w:p>
          <w:pPr>
            <w:pStyle w:val="TOC2"/>
            <w:rPr/>
          </w:pPr>
          <w:hyperlink w:anchor="_Toc229567064">
            <w:r>
              <w:rPr>
                <w:webHidden/>
                <w:rStyle w:val="Style20"/>
                <w:vanish w:val="false"/>
                <w:sz w:val="24"/>
                <w:szCs w:val="24"/>
              </w:rPr>
              <w:t>5.3</w:t>
            </w:r>
            <w:r>
              <w:rPr>
                <w:rStyle w:val="Style20"/>
                <w:rFonts w:eastAsia="" w:eastAsiaTheme="minorEastAsia"/>
                <w:kern w:val="2"/>
                <w:sz w:val="24"/>
                <w:szCs w:val="24"/>
                <w:lang w:eastAsia="ru-RU"/>
                <w14:ligatures w14:val="standardContextual"/>
              </w:rPr>
              <w:tab/>
            </w:r>
            <w:r>
              <w:rPr>
                <w:rStyle w:val="Style20"/>
                <w:sz w:val="24"/>
                <w:szCs w:val="24"/>
              </w:rPr>
              <w:t>Преддоговорные переговоры</w:t>
            </w:r>
            <w:r>
              <w:rPr>
                <w:webHidden/>
              </w:rPr>
              <w:fldChar w:fldCharType="begin"/>
            </w:r>
            <w:r>
              <w:rPr>
                <w:webHidden/>
              </w:rPr>
              <w:instrText xml:space="preserve">PAGEREF _Toc229567064 \h</w:instrText>
            </w:r>
            <w:r>
              <w:rPr>
                <w:webHidden/>
              </w:rPr>
              <w:fldChar w:fldCharType="separate"/>
            </w:r>
            <w:r>
              <w:rPr>
                <w:rStyle w:val="Style20"/>
                <w:vanish w:val="false"/>
                <w:sz w:val="24"/>
                <w:szCs w:val="24"/>
              </w:rPr>
              <w:tab/>
              <w:t>61</w:t>
            </w:r>
            <w:r>
              <w:rPr>
                <w:webHidden/>
              </w:rPr>
              <w:fldChar w:fldCharType="end"/>
            </w:r>
          </w:hyperlink>
        </w:p>
        <w:p>
          <w:pPr>
            <w:pStyle w:val="TOC2"/>
            <w:rPr/>
          </w:pPr>
          <w:hyperlink w:anchor="_Toc229567065">
            <w:r>
              <w:rPr>
                <w:webHidden/>
                <w:rStyle w:val="Style20"/>
                <w:vanish w:val="false"/>
                <w:sz w:val="24"/>
                <w:szCs w:val="24"/>
              </w:rPr>
              <w:t>5.4</w:t>
            </w:r>
            <w:r>
              <w:rPr>
                <w:rStyle w:val="Style20"/>
                <w:rFonts w:eastAsia="" w:eastAsiaTheme="minorEastAsia"/>
                <w:kern w:val="2"/>
                <w:sz w:val="24"/>
                <w:szCs w:val="24"/>
                <w:lang w:eastAsia="ru-RU"/>
                <w14:ligatures w14:val="standardContextual"/>
              </w:rPr>
              <w:tab/>
            </w:r>
            <w:r>
              <w:rPr>
                <w:rStyle w:val="Style20"/>
                <w:sz w:val="24"/>
                <w:szCs w:val="24"/>
              </w:rPr>
              <w:t>Уклонение Победителя от заключения Договора</w:t>
            </w:r>
            <w:r>
              <w:rPr>
                <w:webHidden/>
              </w:rPr>
              <w:fldChar w:fldCharType="begin"/>
            </w:r>
            <w:r>
              <w:rPr>
                <w:webHidden/>
              </w:rPr>
              <w:instrText xml:space="preserve">PAGEREF _Toc229567065 \h</w:instrText>
            </w:r>
            <w:r>
              <w:rPr>
                <w:webHidden/>
              </w:rPr>
              <w:fldChar w:fldCharType="separate"/>
            </w:r>
            <w:r>
              <w:rPr>
                <w:rStyle w:val="Style20"/>
                <w:vanish w:val="false"/>
                <w:sz w:val="24"/>
                <w:szCs w:val="24"/>
              </w:rPr>
              <w:tab/>
              <w:t>62</w:t>
            </w:r>
            <w:r>
              <w:rPr>
                <w:webHidden/>
              </w:rPr>
              <w:fldChar w:fldCharType="end"/>
            </w:r>
          </w:hyperlink>
        </w:p>
        <w:p>
          <w:pPr>
            <w:pStyle w:val="TOC1"/>
            <w:rPr/>
          </w:pPr>
          <w:hyperlink w:anchor="_Toc229567066">
            <w:r>
              <w:rPr>
                <w:webHidden/>
                <w:rStyle w:val="Style20"/>
                <w:vanish w:val="false"/>
                <w:sz w:val="24"/>
                <w:szCs w:val="24"/>
              </w:rPr>
              <w:t>6.</w:t>
            </w:r>
            <w:r>
              <w:rPr>
                <w:rStyle w:val="Style20"/>
                <w:rFonts w:eastAsia="" w:eastAsiaTheme="minorEastAsia"/>
                <w:b w:val="false"/>
                <w:caps w:val="false"/>
                <w:smallCaps w:val="false"/>
                <w:kern w:val="2"/>
                <w:sz w:val="24"/>
                <w:szCs w:val="24"/>
                <w:lang w:eastAsia="ru-RU"/>
                <w14:ligatures w14:val="standardContextual"/>
              </w:rPr>
              <w:tab/>
            </w:r>
            <w:r>
              <w:rPr>
                <w:rStyle w:val="Style20"/>
                <w:sz w:val="24"/>
                <w:szCs w:val="24"/>
              </w:rPr>
              <w:t>Приложение № 1 – Технические требования</w:t>
            </w:r>
            <w:r>
              <w:rPr>
                <w:webHidden/>
              </w:rPr>
              <w:fldChar w:fldCharType="begin"/>
            </w:r>
            <w:r>
              <w:rPr>
                <w:webHidden/>
              </w:rPr>
              <w:instrText xml:space="preserve">PAGEREF _Toc229567066 \h</w:instrText>
            </w:r>
            <w:r>
              <w:rPr>
                <w:webHidden/>
              </w:rPr>
              <w:fldChar w:fldCharType="separate"/>
            </w:r>
            <w:r>
              <w:rPr>
                <w:rStyle w:val="Style20"/>
                <w:vanish w:val="false"/>
                <w:sz w:val="24"/>
                <w:szCs w:val="24"/>
              </w:rPr>
              <w:tab/>
              <w:t>64</w:t>
            </w:r>
            <w:r>
              <w:rPr>
                <w:webHidden/>
              </w:rPr>
              <w:fldChar w:fldCharType="end"/>
            </w:r>
          </w:hyperlink>
        </w:p>
        <w:p>
          <w:pPr>
            <w:pStyle w:val="TOC2"/>
            <w:rPr/>
          </w:pPr>
          <w:hyperlink w:anchor="_Toc229567067">
            <w:r>
              <w:rPr>
                <w:webHidden/>
                <w:rStyle w:val="Style20"/>
                <w:vanish w:val="false"/>
                <w:sz w:val="24"/>
                <w:szCs w:val="24"/>
              </w:rPr>
              <w:t>6.1</w:t>
            </w:r>
            <w:r>
              <w:rPr>
                <w:rStyle w:val="Style20"/>
                <w:rFonts w:eastAsia="" w:eastAsiaTheme="minorEastAsia"/>
                <w:kern w:val="2"/>
                <w:sz w:val="24"/>
                <w:szCs w:val="24"/>
                <w:lang w:eastAsia="ru-RU"/>
                <w14:ligatures w14:val="standardContextual"/>
              </w:rPr>
              <w:tab/>
            </w:r>
            <w:r>
              <w:rPr>
                <w:rStyle w:val="Style20"/>
                <w:sz w:val="24"/>
                <w:szCs w:val="24"/>
              </w:rPr>
              <w:t>Пояснения к Техническим требованиям</w:t>
            </w:r>
            <w:r>
              <w:rPr>
                <w:webHidden/>
              </w:rPr>
              <w:fldChar w:fldCharType="begin"/>
            </w:r>
            <w:r>
              <w:rPr>
                <w:webHidden/>
              </w:rPr>
              <w:instrText xml:space="preserve">PAGEREF _Toc229567067 \h</w:instrText>
            </w:r>
            <w:r>
              <w:rPr>
                <w:webHidden/>
              </w:rPr>
              <w:fldChar w:fldCharType="separate"/>
            </w:r>
            <w:r>
              <w:rPr>
                <w:rStyle w:val="Style20"/>
                <w:vanish w:val="false"/>
                <w:sz w:val="24"/>
                <w:szCs w:val="24"/>
              </w:rPr>
              <w:tab/>
              <w:t>64</w:t>
            </w:r>
            <w:r>
              <w:rPr>
                <w:webHidden/>
              </w:rPr>
              <w:fldChar w:fldCharType="end"/>
            </w:r>
          </w:hyperlink>
        </w:p>
        <w:p>
          <w:pPr>
            <w:pStyle w:val="TOC1"/>
            <w:rPr/>
          </w:pPr>
          <w:hyperlink w:anchor="_Toc229567068">
            <w:r>
              <w:rPr>
                <w:webHidden/>
                <w:rStyle w:val="Style20"/>
                <w:vanish w:val="false"/>
                <w:sz w:val="24"/>
                <w:szCs w:val="24"/>
              </w:rPr>
              <w:t>7.</w:t>
            </w:r>
            <w:r>
              <w:rPr>
                <w:rStyle w:val="Style20"/>
                <w:rFonts w:eastAsia="" w:eastAsiaTheme="minorEastAsia"/>
                <w:b w:val="false"/>
                <w:caps w:val="false"/>
                <w:smallCaps w:val="false"/>
                <w:kern w:val="2"/>
                <w:sz w:val="24"/>
                <w:szCs w:val="24"/>
                <w:lang w:eastAsia="ru-RU"/>
                <w14:ligatures w14:val="standardContextual"/>
              </w:rPr>
              <w:tab/>
            </w:r>
            <w:r>
              <w:rPr>
                <w:rStyle w:val="Style20"/>
                <w:sz w:val="24"/>
                <w:szCs w:val="24"/>
              </w:rPr>
              <w:t>Приложение № 2 – Проект договора</w:t>
            </w:r>
            <w:r>
              <w:rPr>
                <w:webHidden/>
              </w:rPr>
              <w:fldChar w:fldCharType="begin"/>
            </w:r>
            <w:r>
              <w:rPr>
                <w:webHidden/>
              </w:rPr>
              <w:instrText xml:space="preserve">PAGEREF _Toc229567068 \h</w:instrText>
            </w:r>
            <w:r>
              <w:rPr>
                <w:webHidden/>
              </w:rPr>
              <w:fldChar w:fldCharType="separate"/>
            </w:r>
            <w:r>
              <w:rPr>
                <w:rStyle w:val="Style20"/>
                <w:vanish w:val="false"/>
                <w:sz w:val="24"/>
                <w:szCs w:val="24"/>
              </w:rPr>
              <w:tab/>
              <w:t>65</w:t>
            </w:r>
            <w:r>
              <w:rPr>
                <w:webHidden/>
              </w:rPr>
              <w:fldChar w:fldCharType="end"/>
            </w:r>
          </w:hyperlink>
        </w:p>
        <w:p>
          <w:pPr>
            <w:pStyle w:val="TOC2"/>
            <w:rPr/>
          </w:pPr>
          <w:hyperlink w:anchor="_Toc229567069">
            <w:r>
              <w:rPr>
                <w:webHidden/>
                <w:rStyle w:val="Style20"/>
                <w:vanish w:val="false"/>
                <w:sz w:val="24"/>
                <w:szCs w:val="24"/>
              </w:rPr>
              <w:t>7.1</w:t>
            </w:r>
            <w:r>
              <w:rPr>
                <w:rStyle w:val="Style20"/>
                <w:rFonts w:eastAsia="" w:eastAsiaTheme="minorEastAsia"/>
                <w:kern w:val="2"/>
                <w:sz w:val="24"/>
                <w:szCs w:val="24"/>
                <w:lang w:eastAsia="ru-RU"/>
                <w14:ligatures w14:val="standardContextual"/>
              </w:rPr>
              <w:tab/>
            </w:r>
            <w:r>
              <w:rPr>
                <w:rStyle w:val="Style20"/>
                <w:sz w:val="24"/>
                <w:szCs w:val="24"/>
              </w:rPr>
              <w:t>Пояснения к Проекту договора</w:t>
            </w:r>
            <w:r>
              <w:rPr>
                <w:webHidden/>
              </w:rPr>
              <w:fldChar w:fldCharType="begin"/>
            </w:r>
            <w:r>
              <w:rPr>
                <w:webHidden/>
              </w:rPr>
              <w:instrText xml:space="preserve">PAGEREF _Toc229567069 \h</w:instrText>
            </w:r>
            <w:r>
              <w:rPr>
                <w:webHidden/>
              </w:rPr>
              <w:fldChar w:fldCharType="separate"/>
            </w:r>
            <w:r>
              <w:rPr>
                <w:rStyle w:val="Style20"/>
                <w:vanish w:val="false"/>
                <w:sz w:val="24"/>
                <w:szCs w:val="24"/>
              </w:rPr>
              <w:tab/>
              <w:t>65</w:t>
            </w:r>
            <w:r>
              <w:rPr>
                <w:webHidden/>
              </w:rPr>
              <w:fldChar w:fldCharType="end"/>
            </w:r>
          </w:hyperlink>
        </w:p>
        <w:p>
          <w:pPr>
            <w:pStyle w:val="TOC1"/>
            <w:rPr/>
          </w:pPr>
          <w:hyperlink w:anchor="_Toc229567070">
            <w:r>
              <w:rPr>
                <w:webHidden/>
                <w:rStyle w:val="Style20"/>
                <w:vanish w:val="false"/>
                <w:sz w:val="24"/>
                <w:szCs w:val="24"/>
              </w:rPr>
              <w:t>8.</w:t>
            </w:r>
            <w:r>
              <w:rPr>
                <w:rStyle w:val="Style20"/>
                <w:rFonts w:eastAsia="" w:eastAsiaTheme="minorEastAsia"/>
                <w:b w:val="false"/>
                <w:caps w:val="false"/>
                <w:smallCaps w:val="false"/>
                <w:kern w:val="2"/>
                <w:sz w:val="24"/>
                <w:szCs w:val="24"/>
                <w:lang w:eastAsia="ru-RU"/>
                <w14:ligatures w14:val="standardContextual"/>
              </w:rPr>
              <w:tab/>
            </w:r>
            <w:r>
              <w:rPr>
                <w:rStyle w:val="Style20"/>
                <w:sz w:val="24"/>
                <w:szCs w:val="24"/>
              </w:rPr>
              <w:t>Приложение № 3 – Требования к Участникам</w:t>
            </w:r>
            <w:r>
              <w:rPr>
                <w:webHidden/>
              </w:rPr>
              <w:fldChar w:fldCharType="begin"/>
            </w:r>
            <w:r>
              <w:rPr>
                <w:webHidden/>
              </w:rPr>
              <w:instrText xml:space="preserve">PAGEREF _Toc229567070 \h</w:instrText>
            </w:r>
            <w:r>
              <w:rPr>
                <w:webHidden/>
              </w:rPr>
              <w:fldChar w:fldCharType="separate"/>
            </w:r>
            <w:r>
              <w:rPr>
                <w:rStyle w:val="Style20"/>
                <w:vanish w:val="false"/>
                <w:sz w:val="24"/>
                <w:szCs w:val="24"/>
              </w:rPr>
              <w:tab/>
              <w:t>66</w:t>
            </w:r>
            <w:r>
              <w:rPr>
                <w:webHidden/>
              </w:rPr>
              <w:fldChar w:fldCharType="end"/>
            </w:r>
          </w:hyperlink>
        </w:p>
        <w:p>
          <w:pPr>
            <w:pStyle w:val="TOC2"/>
            <w:rPr/>
          </w:pPr>
          <w:hyperlink w:anchor="_Toc229567071">
            <w:r>
              <w:rPr>
                <w:webHidden/>
                <w:rStyle w:val="Style20"/>
                <w:vanish w:val="false"/>
                <w:sz w:val="24"/>
                <w:szCs w:val="24"/>
              </w:rPr>
              <w:t>8.1</w:t>
            </w:r>
            <w:r>
              <w:rPr>
                <w:rStyle w:val="Style20"/>
                <w:rFonts w:eastAsia="" w:eastAsiaTheme="minorEastAsia"/>
                <w:kern w:val="2"/>
                <w:sz w:val="24"/>
                <w:szCs w:val="24"/>
                <w:lang w:eastAsia="ru-RU"/>
                <w14:ligatures w14:val="standardContextual"/>
              </w:rPr>
              <w:tab/>
            </w:r>
            <w:r>
              <w:rPr>
                <w:rStyle w:val="Style20"/>
                <w:sz w:val="24"/>
                <w:szCs w:val="24"/>
              </w:rPr>
              <w:t>Пояснения к требованиям к Участникам</w:t>
            </w:r>
            <w:r>
              <w:rPr>
                <w:webHidden/>
              </w:rPr>
              <w:fldChar w:fldCharType="begin"/>
            </w:r>
            <w:r>
              <w:rPr>
                <w:webHidden/>
              </w:rPr>
              <w:instrText xml:space="preserve">PAGEREF _Toc229567071 \h</w:instrText>
            </w:r>
            <w:r>
              <w:rPr>
                <w:webHidden/>
              </w:rPr>
              <w:fldChar w:fldCharType="separate"/>
            </w:r>
            <w:r>
              <w:rPr>
                <w:rStyle w:val="Style20"/>
                <w:vanish w:val="false"/>
                <w:sz w:val="24"/>
                <w:szCs w:val="24"/>
              </w:rPr>
              <w:tab/>
              <w:t>66</w:t>
            </w:r>
            <w:r>
              <w:rPr>
                <w:webHidden/>
              </w:rPr>
              <w:fldChar w:fldCharType="end"/>
            </w:r>
          </w:hyperlink>
        </w:p>
        <w:p>
          <w:pPr>
            <w:pStyle w:val="TOC2"/>
            <w:rPr/>
          </w:pPr>
          <w:hyperlink w:anchor="_Toc229567072">
            <w:r>
              <w:rPr>
                <w:webHidden/>
                <w:rStyle w:val="Style20"/>
                <w:vanish w:val="false"/>
                <w:sz w:val="24"/>
                <w:szCs w:val="24"/>
              </w:rPr>
              <w:t>8.2</w:t>
            </w:r>
            <w:r>
              <w:rPr>
                <w:rStyle w:val="Style20"/>
                <w:rFonts w:eastAsia="" w:eastAsiaTheme="minorEastAsia"/>
                <w:kern w:val="2"/>
                <w:sz w:val="24"/>
                <w:szCs w:val="24"/>
                <w:lang w:eastAsia="ru-RU"/>
                <w14:ligatures w14:val="standardContextual"/>
              </w:rPr>
              <w:tab/>
            </w:r>
            <w:r>
              <w:rPr>
                <w:rStyle w:val="Style20"/>
                <w:sz w:val="24"/>
                <w:szCs w:val="24"/>
              </w:rPr>
              <w:t>Обязательные требования</w:t>
            </w:r>
            <w:r>
              <w:rPr>
                <w:webHidden/>
              </w:rPr>
              <w:fldChar w:fldCharType="begin"/>
            </w:r>
            <w:r>
              <w:rPr>
                <w:webHidden/>
              </w:rPr>
              <w:instrText xml:space="preserve">PAGEREF _Toc229567072 \h</w:instrText>
            </w:r>
            <w:r>
              <w:rPr>
                <w:webHidden/>
              </w:rPr>
              <w:fldChar w:fldCharType="separate"/>
            </w:r>
            <w:r>
              <w:rPr>
                <w:rStyle w:val="Style20"/>
                <w:vanish w:val="false"/>
                <w:sz w:val="24"/>
                <w:szCs w:val="24"/>
              </w:rPr>
              <w:tab/>
              <w:t>66</w:t>
            </w:r>
            <w:r>
              <w:rPr>
                <w:webHidden/>
              </w:rPr>
              <w:fldChar w:fldCharType="end"/>
            </w:r>
          </w:hyperlink>
        </w:p>
        <w:p>
          <w:pPr>
            <w:pStyle w:val="TOC2"/>
            <w:rPr/>
          </w:pPr>
          <w:hyperlink w:anchor="_Toc229567073">
            <w:r>
              <w:rPr>
                <w:webHidden/>
                <w:rStyle w:val="Style20"/>
                <w:vanish w:val="false"/>
                <w:sz w:val="24"/>
                <w:szCs w:val="24"/>
              </w:rPr>
              <w:t>8.3</w:t>
            </w:r>
            <w:r>
              <w:rPr>
                <w:rStyle w:val="Style20"/>
                <w:rFonts w:eastAsia="" w:eastAsiaTheme="minorEastAsia"/>
                <w:kern w:val="2"/>
                <w:sz w:val="24"/>
                <w:szCs w:val="24"/>
                <w:lang w:eastAsia="ru-RU"/>
                <w14:ligatures w14:val="standardContextual"/>
              </w:rPr>
              <w:tab/>
            </w:r>
            <w:r>
              <w:rPr>
                <w:rStyle w:val="Style20"/>
                <w:sz w:val="24"/>
                <w:szCs w:val="24"/>
              </w:rPr>
              <w:t>Специальные требования</w:t>
            </w:r>
            <w:r>
              <w:rPr>
                <w:webHidden/>
              </w:rPr>
              <w:fldChar w:fldCharType="begin"/>
            </w:r>
            <w:r>
              <w:rPr>
                <w:webHidden/>
              </w:rPr>
              <w:instrText xml:space="preserve">PAGEREF _Toc229567073 \h</w:instrText>
            </w:r>
            <w:r>
              <w:rPr>
                <w:webHidden/>
              </w:rPr>
              <w:fldChar w:fldCharType="separate"/>
            </w:r>
            <w:r>
              <w:rPr>
                <w:rStyle w:val="Style20"/>
                <w:vanish w:val="false"/>
                <w:sz w:val="24"/>
                <w:szCs w:val="24"/>
              </w:rPr>
              <w:tab/>
              <w:t>70</w:t>
            </w:r>
            <w:r>
              <w:rPr>
                <w:webHidden/>
              </w:rPr>
              <w:fldChar w:fldCharType="end"/>
            </w:r>
          </w:hyperlink>
        </w:p>
        <w:p>
          <w:pPr>
            <w:pStyle w:val="TOC2"/>
            <w:rPr/>
          </w:pPr>
          <w:hyperlink w:anchor="_Toc229567074">
            <w:r>
              <w:rPr>
                <w:webHidden/>
                <w:rStyle w:val="Style20"/>
                <w:vanish w:val="false"/>
                <w:sz w:val="24"/>
                <w:szCs w:val="24"/>
              </w:rPr>
              <w:t>8.4</w:t>
            </w:r>
            <w:r>
              <w:rPr>
                <w:rStyle w:val="Style20"/>
                <w:rFonts w:eastAsia="" w:eastAsiaTheme="minorEastAsia"/>
                <w:kern w:val="2"/>
                <w:sz w:val="24"/>
                <w:szCs w:val="24"/>
                <w:lang w:eastAsia="ru-RU"/>
                <w14:ligatures w14:val="standardContextual"/>
              </w:rPr>
              <w:tab/>
            </w:r>
            <w:r>
              <w:rPr>
                <w:rStyle w:val="Style20"/>
                <w:sz w:val="24"/>
                <w:szCs w:val="24"/>
              </w:rPr>
              <w:t>Квалификационные требования</w:t>
            </w:r>
            <w:r>
              <w:rPr>
                <w:webHidden/>
              </w:rPr>
              <w:fldChar w:fldCharType="begin"/>
            </w:r>
            <w:r>
              <w:rPr>
                <w:webHidden/>
              </w:rPr>
              <w:instrText xml:space="preserve">PAGEREF _Toc229567074 \h</w:instrText>
            </w:r>
            <w:r>
              <w:rPr>
                <w:webHidden/>
              </w:rPr>
              <w:fldChar w:fldCharType="separate"/>
            </w:r>
            <w:r>
              <w:rPr>
                <w:rStyle w:val="Style20"/>
                <w:vanish w:val="false"/>
                <w:sz w:val="24"/>
                <w:szCs w:val="24"/>
              </w:rPr>
              <w:tab/>
              <w:t>71</w:t>
            </w:r>
            <w:r>
              <w:rPr>
                <w:webHidden/>
              </w:rPr>
              <w:fldChar w:fldCharType="end"/>
            </w:r>
          </w:hyperlink>
        </w:p>
        <w:p>
          <w:pPr>
            <w:pStyle w:val="TOC2"/>
            <w:rPr/>
          </w:pPr>
          <w:hyperlink w:anchor="_Toc229567075">
            <w:r>
              <w:rPr>
                <w:webHidden/>
                <w:rStyle w:val="Style20"/>
                <w:vanish w:val="false"/>
                <w:sz w:val="24"/>
                <w:szCs w:val="24"/>
              </w:rPr>
              <w:t>8.5</w:t>
            </w:r>
            <w:r>
              <w:rPr>
                <w:rStyle w:val="Style20"/>
                <w:rFonts w:eastAsia="" w:eastAsiaTheme="minorEastAsia"/>
                <w:kern w:val="2"/>
                <w:sz w:val="24"/>
                <w:szCs w:val="24"/>
                <w:lang w:eastAsia="ru-RU"/>
                <w14:ligatures w14:val="standardContextual"/>
              </w:rPr>
              <w:tab/>
            </w:r>
            <w:r>
              <w:rPr>
                <w:rStyle w:val="Style20"/>
                <w:sz w:val="24"/>
                <w:szCs w:val="24"/>
              </w:rPr>
              <w:t>Дополнительные требования к Генеральным подрядчикам</w:t>
            </w:r>
            <w:r>
              <w:rPr>
                <w:webHidden/>
              </w:rPr>
              <w:fldChar w:fldCharType="begin"/>
            </w:r>
            <w:r>
              <w:rPr>
                <w:webHidden/>
              </w:rPr>
              <w:instrText xml:space="preserve">PAGEREF _Toc229567075 \h</w:instrText>
            </w:r>
            <w:r>
              <w:rPr>
                <w:webHidden/>
              </w:rPr>
              <w:fldChar w:fldCharType="separate"/>
            </w:r>
            <w:r>
              <w:rPr>
                <w:rStyle w:val="Style20"/>
                <w:vanish w:val="false"/>
                <w:sz w:val="24"/>
                <w:szCs w:val="24"/>
              </w:rPr>
              <w:tab/>
              <w:t>72</w:t>
            </w:r>
            <w:r>
              <w:rPr>
                <w:webHidden/>
              </w:rPr>
              <w:fldChar w:fldCharType="end"/>
            </w:r>
          </w:hyperlink>
        </w:p>
        <w:p>
          <w:pPr>
            <w:pStyle w:val="TOC1"/>
            <w:rPr/>
          </w:pPr>
          <w:hyperlink w:anchor="_Toc229567076">
            <w:r>
              <w:rPr>
                <w:webHidden/>
                <w:rStyle w:val="Style20"/>
                <w:vanish w:val="false"/>
                <w:sz w:val="24"/>
                <w:szCs w:val="24"/>
              </w:rPr>
              <w:t>9.</w:t>
            </w:r>
            <w:r>
              <w:rPr>
                <w:rStyle w:val="Style20"/>
                <w:rFonts w:eastAsia="" w:eastAsiaTheme="minorEastAsia"/>
                <w:b w:val="false"/>
                <w:caps w:val="false"/>
                <w:smallCaps w:val="false"/>
                <w:kern w:val="2"/>
                <w:sz w:val="24"/>
                <w:szCs w:val="24"/>
                <w:lang w:eastAsia="ru-RU"/>
                <w14:ligatures w14:val="standardContextual"/>
              </w:rPr>
              <w:tab/>
            </w:r>
            <w:r>
              <w:rPr>
                <w:rStyle w:val="Style20"/>
                <w:sz w:val="24"/>
                <w:szCs w:val="24"/>
              </w:rPr>
              <w:t>Приложение № 4 – Образцы форм документов, включаемых в состав заявки</w:t>
            </w:r>
            <w:r>
              <w:rPr>
                <w:webHidden/>
              </w:rPr>
              <w:fldChar w:fldCharType="begin"/>
            </w:r>
            <w:r>
              <w:rPr>
                <w:webHidden/>
              </w:rPr>
              <w:instrText xml:space="preserve">PAGEREF _Toc229567076 \h</w:instrText>
            </w:r>
            <w:r>
              <w:rPr>
                <w:webHidden/>
              </w:rPr>
              <w:fldChar w:fldCharType="separate"/>
            </w:r>
            <w:r>
              <w:rPr>
                <w:rStyle w:val="Style20"/>
                <w:vanish w:val="false"/>
                <w:sz w:val="24"/>
                <w:szCs w:val="24"/>
              </w:rPr>
              <w:tab/>
              <w:t>74</w:t>
            </w:r>
            <w:r>
              <w:rPr>
                <w:webHidden/>
              </w:rPr>
              <w:fldChar w:fldCharType="end"/>
            </w:r>
          </w:hyperlink>
        </w:p>
        <w:p>
          <w:pPr>
            <w:pStyle w:val="TOC2"/>
            <w:rPr/>
          </w:pPr>
          <w:hyperlink w:anchor="_Toc229567077">
            <w:r>
              <w:rPr>
                <w:webHidden/>
                <w:rStyle w:val="Style20"/>
                <w:vanish w:val="false"/>
                <w:sz w:val="24"/>
                <w:szCs w:val="24"/>
              </w:rPr>
              <w:t>9.1</w:t>
            </w:r>
            <w:r>
              <w:rPr>
                <w:rStyle w:val="Style20"/>
                <w:rFonts w:eastAsia="" w:eastAsiaTheme="minorEastAsia"/>
                <w:kern w:val="2"/>
                <w:sz w:val="24"/>
                <w:szCs w:val="24"/>
                <w:lang w:eastAsia="ru-RU"/>
                <w14:ligatures w14:val="standardContextual"/>
              </w:rPr>
              <w:tab/>
            </w:r>
            <w:r>
              <w:rPr>
                <w:rStyle w:val="Style20"/>
                <w:sz w:val="24"/>
                <w:szCs w:val="24"/>
              </w:rPr>
              <w:t>Пояснения к Образцам форм документов, включаемых в состав заявки</w:t>
            </w:r>
            <w:r>
              <w:rPr>
                <w:webHidden/>
              </w:rPr>
              <w:fldChar w:fldCharType="begin"/>
            </w:r>
            <w:r>
              <w:rPr>
                <w:webHidden/>
              </w:rPr>
              <w:instrText xml:space="preserve">PAGEREF _Toc229567077 \h</w:instrText>
            </w:r>
            <w:r>
              <w:rPr>
                <w:webHidden/>
              </w:rPr>
              <w:fldChar w:fldCharType="separate"/>
            </w:r>
            <w:r>
              <w:rPr>
                <w:rStyle w:val="Style20"/>
                <w:vanish w:val="false"/>
                <w:sz w:val="24"/>
                <w:szCs w:val="24"/>
              </w:rPr>
              <w:tab/>
              <w:t>74</w:t>
            </w:r>
            <w:r>
              <w:rPr>
                <w:webHidden/>
              </w:rPr>
              <w:fldChar w:fldCharType="end"/>
            </w:r>
          </w:hyperlink>
        </w:p>
        <w:p>
          <w:pPr>
            <w:pStyle w:val="TOC1"/>
            <w:rPr/>
          </w:pPr>
          <w:hyperlink w:anchor="_Toc229567078">
            <w:r>
              <w:rPr>
                <w:webHidden/>
                <w:rStyle w:val="Style20"/>
                <w:vanish w:val="false"/>
                <w:sz w:val="24"/>
                <w:szCs w:val="24"/>
              </w:rPr>
              <w:t>10.</w:t>
            </w:r>
            <w:r>
              <w:rPr>
                <w:rStyle w:val="Style20"/>
                <w:rFonts w:eastAsia="" w:eastAsiaTheme="minorEastAsia"/>
                <w:b w:val="false"/>
                <w:caps w:val="false"/>
                <w:smallCaps w:val="false"/>
                <w:kern w:val="2"/>
                <w:sz w:val="24"/>
                <w:szCs w:val="24"/>
                <w:lang w:eastAsia="ru-RU"/>
                <w14:ligatures w14:val="standardContextual"/>
              </w:rPr>
              <w:tab/>
            </w:r>
            <w:r>
              <w:rPr>
                <w:rStyle w:val="Style20"/>
                <w:sz w:val="24"/>
                <w:szCs w:val="24"/>
              </w:rPr>
              <w:t>Приложение № 5 – Образцы форм документов, предоставляемых Победителем</w:t>
            </w:r>
            <w:r>
              <w:rPr>
                <w:webHidden/>
              </w:rPr>
              <w:fldChar w:fldCharType="begin"/>
            </w:r>
            <w:r>
              <w:rPr>
                <w:webHidden/>
              </w:rPr>
              <w:instrText xml:space="preserve">PAGEREF _Toc229567078 \h</w:instrText>
            </w:r>
            <w:r>
              <w:rPr>
                <w:webHidden/>
              </w:rPr>
              <w:fldChar w:fldCharType="separate"/>
            </w:r>
            <w:r>
              <w:rPr>
                <w:rStyle w:val="Style20"/>
                <w:vanish w:val="false"/>
                <w:sz w:val="24"/>
                <w:szCs w:val="24"/>
              </w:rPr>
              <w:tab/>
              <w:t>75</w:t>
            </w:r>
            <w:r>
              <w:rPr>
                <w:webHidden/>
              </w:rPr>
              <w:fldChar w:fldCharType="end"/>
            </w:r>
          </w:hyperlink>
        </w:p>
        <w:p>
          <w:pPr>
            <w:pStyle w:val="TOC2"/>
            <w:rPr/>
          </w:pPr>
          <w:hyperlink w:anchor="_Toc229567079">
            <w:r>
              <w:rPr>
                <w:webHidden/>
                <w:rStyle w:val="Style20"/>
                <w:vanish w:val="false"/>
                <w:sz w:val="24"/>
                <w:szCs w:val="24"/>
              </w:rPr>
              <w:t>10.1</w:t>
            </w:r>
            <w:r>
              <w:rPr>
                <w:rStyle w:val="Style20"/>
                <w:rFonts w:eastAsia="" w:eastAsiaTheme="minorEastAsia"/>
                <w:kern w:val="2"/>
                <w:sz w:val="24"/>
                <w:szCs w:val="24"/>
                <w:lang w:eastAsia="ru-RU"/>
                <w14:ligatures w14:val="standardContextual"/>
              </w:rPr>
              <w:tab/>
            </w:r>
            <w:r>
              <w:rPr>
                <w:rStyle w:val="Style20"/>
                <w:sz w:val="24"/>
                <w:szCs w:val="24"/>
              </w:rPr>
              <w:t>Пояснения к Образцам форм документов, предоставляемых Победителем</w:t>
            </w:r>
            <w:r>
              <w:rPr>
                <w:webHidden/>
              </w:rPr>
              <w:fldChar w:fldCharType="begin"/>
            </w:r>
            <w:r>
              <w:rPr>
                <w:webHidden/>
              </w:rPr>
              <w:instrText xml:space="preserve">PAGEREF _Toc229567079 \h</w:instrText>
            </w:r>
            <w:r>
              <w:rPr>
                <w:webHidden/>
              </w:rPr>
              <w:fldChar w:fldCharType="separate"/>
            </w:r>
            <w:r>
              <w:rPr>
                <w:rStyle w:val="Style20"/>
                <w:vanish w:val="false"/>
                <w:sz w:val="24"/>
                <w:szCs w:val="24"/>
              </w:rPr>
              <w:tab/>
              <w:t>75</w:t>
            </w:r>
            <w:r>
              <w:rPr>
                <w:webHidden/>
              </w:rPr>
              <w:fldChar w:fldCharType="end"/>
            </w:r>
          </w:hyperlink>
        </w:p>
        <w:p>
          <w:pPr>
            <w:pStyle w:val="TOC2"/>
            <w:rPr/>
          </w:pPr>
          <w:hyperlink w:anchor="_Toc229567080">
            <w:r>
              <w:rPr>
                <w:webHidden/>
                <w:rStyle w:val="Style20"/>
                <w:vanish w:val="false"/>
                <w:sz w:val="24"/>
                <w:szCs w:val="24"/>
              </w:rPr>
              <w:t>10.2</w:t>
            </w:r>
            <w:r>
              <w:rPr>
                <w:rStyle w:val="Style20"/>
                <w:rFonts w:eastAsia="" w:eastAsiaTheme="minorEastAsia"/>
                <w:kern w:val="2"/>
                <w:sz w:val="24"/>
                <w:szCs w:val="24"/>
                <w:lang w:eastAsia="ru-RU"/>
                <w14:ligatures w14:val="standardContextual"/>
              </w:rPr>
              <w:tab/>
            </w:r>
            <w:r>
              <w:rPr>
                <w:rStyle w:val="Style20"/>
                <w:sz w:val="24"/>
                <w:szCs w:val="24"/>
              </w:rPr>
              <w:t>Форма справки «Сведения о цепочке собственников, включая бенефициаров (в том числе конечных)»</w:t>
            </w:r>
            <w:r>
              <w:rPr>
                <w:webHidden/>
              </w:rPr>
              <w:fldChar w:fldCharType="begin"/>
            </w:r>
            <w:r>
              <w:rPr>
                <w:webHidden/>
              </w:rPr>
              <w:instrText xml:space="preserve">PAGEREF _Toc229567080 \h</w:instrText>
            </w:r>
            <w:r>
              <w:rPr>
                <w:webHidden/>
              </w:rPr>
              <w:fldChar w:fldCharType="separate"/>
            </w:r>
            <w:r>
              <w:rPr>
                <w:rStyle w:val="Style20"/>
                <w:vanish w:val="false"/>
                <w:sz w:val="24"/>
                <w:szCs w:val="24"/>
              </w:rPr>
              <w:tab/>
              <w:t>75</w:t>
            </w:r>
            <w:r>
              <w:rPr>
                <w:webHidden/>
              </w:rPr>
              <w:fldChar w:fldCharType="end"/>
            </w:r>
          </w:hyperlink>
        </w:p>
        <w:p>
          <w:pPr>
            <w:pStyle w:val="TOC2"/>
            <w:rPr/>
          </w:pPr>
          <w:hyperlink w:anchor="_Toc229567081">
            <w:r>
              <w:rPr>
                <w:webHidden/>
                <w:rStyle w:val="Style20"/>
                <w:vanish w:val="false"/>
                <w:sz w:val="24"/>
                <w:szCs w:val="24"/>
              </w:rPr>
              <w:t>10.3</w:t>
            </w:r>
            <w:r>
              <w:rPr>
                <w:rStyle w:val="Style20"/>
                <w:rFonts w:eastAsia="" w:eastAsiaTheme="minorEastAsia"/>
                <w:kern w:val="2"/>
                <w:sz w:val="24"/>
                <w:szCs w:val="24"/>
                <w:lang w:eastAsia="ru-RU"/>
                <w14:ligatures w14:val="standardContextual"/>
              </w:rPr>
              <w:tab/>
            </w:r>
            <w:r>
              <w:rPr>
                <w:rStyle w:val="Style20"/>
                <w:sz w:val="24"/>
                <w:szCs w:val="24"/>
              </w:rPr>
              <w:t>Форма «Заверение об обстоятельствах»</w:t>
            </w:r>
            <w:r>
              <w:rPr>
                <w:webHidden/>
              </w:rPr>
              <w:fldChar w:fldCharType="begin"/>
            </w:r>
            <w:r>
              <w:rPr>
                <w:webHidden/>
              </w:rPr>
              <w:instrText xml:space="preserve">PAGEREF _Toc229567081 \h</w:instrText>
            </w:r>
            <w:r>
              <w:rPr>
                <w:webHidden/>
              </w:rPr>
              <w:fldChar w:fldCharType="separate"/>
            </w:r>
            <w:r>
              <w:rPr>
                <w:rStyle w:val="Style20"/>
                <w:vanish w:val="false"/>
                <w:sz w:val="24"/>
                <w:szCs w:val="24"/>
              </w:rPr>
              <w:tab/>
              <w:t>75</w:t>
            </w:r>
            <w:r>
              <w:rPr>
                <w:webHidden/>
              </w:rPr>
              <w:fldChar w:fldCharType="end"/>
            </w:r>
          </w:hyperlink>
        </w:p>
        <w:p>
          <w:pPr>
            <w:pStyle w:val="TOC1"/>
            <w:rPr/>
          </w:pPr>
          <w:hyperlink w:anchor="_Toc229567082">
            <w:r>
              <w:rPr>
                <w:webHidden/>
                <w:rStyle w:val="Style20"/>
                <w:vanish w:val="false"/>
                <w:sz w:val="24"/>
                <w:szCs w:val="24"/>
              </w:rPr>
              <w:t>11.</w:t>
            </w:r>
            <w:r>
              <w:rPr>
                <w:rStyle w:val="Style20"/>
                <w:rFonts w:eastAsia="" w:eastAsiaTheme="minorEastAsia"/>
                <w:b w:val="false"/>
                <w:caps w:val="false"/>
                <w:smallCaps w:val="false"/>
                <w:kern w:val="2"/>
                <w:sz w:val="24"/>
                <w:szCs w:val="24"/>
                <w:lang w:eastAsia="ru-RU"/>
                <w14:ligatures w14:val="standardContextual"/>
              </w:rPr>
              <w:tab/>
            </w:r>
            <w:r>
              <w:rPr>
                <w:rStyle w:val="Style20"/>
                <w:sz w:val="24"/>
                <w:szCs w:val="24"/>
              </w:rPr>
              <w:t>Приложение № 6 – Состав заявки</w:t>
            </w:r>
            <w:r>
              <w:rPr>
                <w:webHidden/>
              </w:rPr>
              <w:fldChar w:fldCharType="begin"/>
            </w:r>
            <w:r>
              <w:rPr>
                <w:webHidden/>
              </w:rPr>
              <w:instrText xml:space="preserve">PAGEREF _Toc229567082 \h</w:instrText>
            </w:r>
            <w:r>
              <w:rPr>
                <w:webHidden/>
              </w:rPr>
              <w:fldChar w:fldCharType="separate"/>
            </w:r>
            <w:r>
              <w:rPr>
                <w:rStyle w:val="Style20"/>
                <w:vanish w:val="false"/>
                <w:sz w:val="24"/>
                <w:szCs w:val="24"/>
              </w:rPr>
              <w:tab/>
              <w:t>77</w:t>
            </w:r>
            <w:r>
              <w:rPr>
                <w:webHidden/>
              </w:rPr>
              <w:fldChar w:fldCharType="end"/>
            </w:r>
          </w:hyperlink>
        </w:p>
        <w:p>
          <w:pPr>
            <w:pStyle w:val="TOC2"/>
            <w:rPr/>
          </w:pPr>
          <w:hyperlink w:anchor="_Toc229567083">
            <w:r>
              <w:rPr>
                <w:webHidden/>
                <w:rStyle w:val="Style20"/>
                <w:vanish w:val="false"/>
                <w:sz w:val="24"/>
                <w:szCs w:val="24"/>
              </w:rPr>
              <w:t>11.1</w:t>
            </w:r>
            <w:r>
              <w:rPr>
                <w:rStyle w:val="Style20"/>
                <w:rFonts w:eastAsia="" w:eastAsiaTheme="minorEastAsia"/>
                <w:kern w:val="2"/>
                <w:sz w:val="24"/>
                <w:szCs w:val="24"/>
                <w:lang w:eastAsia="ru-RU"/>
                <w14:ligatures w14:val="standardContextual"/>
              </w:rPr>
              <w:tab/>
            </w:r>
            <w:r>
              <w:rPr>
                <w:rStyle w:val="Style20"/>
                <w:sz w:val="24"/>
                <w:szCs w:val="24"/>
              </w:rPr>
              <w:t>Состав заявки</w:t>
            </w:r>
            <w:r>
              <w:rPr>
                <w:webHidden/>
              </w:rPr>
              <w:fldChar w:fldCharType="begin"/>
            </w:r>
            <w:r>
              <w:rPr>
                <w:webHidden/>
              </w:rPr>
              <w:instrText xml:space="preserve">PAGEREF _Toc229567083 \h</w:instrText>
            </w:r>
            <w:r>
              <w:rPr>
                <w:webHidden/>
              </w:rPr>
              <w:fldChar w:fldCharType="separate"/>
            </w:r>
            <w:r>
              <w:rPr>
                <w:rStyle w:val="Style20"/>
                <w:vanish w:val="false"/>
                <w:sz w:val="24"/>
                <w:szCs w:val="24"/>
              </w:rPr>
              <w:tab/>
              <w:t>77</w:t>
            </w:r>
            <w:r>
              <w:rPr>
                <w:webHidden/>
              </w:rPr>
              <w:fldChar w:fldCharType="end"/>
            </w:r>
          </w:hyperlink>
        </w:p>
        <w:p>
          <w:pPr>
            <w:pStyle w:val="TOC1"/>
            <w:rPr/>
          </w:pPr>
          <w:hyperlink w:anchor="_Toc229567084">
            <w:r>
              <w:rPr>
                <w:webHidden/>
                <w:rStyle w:val="Style20"/>
                <w:vanish w:val="false"/>
                <w:sz w:val="24"/>
                <w:szCs w:val="24"/>
              </w:rPr>
              <w:t>12.</w:t>
            </w:r>
            <w:r>
              <w:rPr>
                <w:rStyle w:val="Style20"/>
                <w:rFonts w:eastAsia="" w:eastAsiaTheme="minorEastAsia"/>
                <w:b w:val="false"/>
                <w:caps w:val="false"/>
                <w:smallCaps w:val="false"/>
                <w:kern w:val="2"/>
                <w:sz w:val="24"/>
                <w:szCs w:val="24"/>
                <w:lang w:eastAsia="ru-RU"/>
                <w14:ligatures w14:val="standardContextual"/>
              </w:rPr>
              <w:tab/>
            </w:r>
            <w:r>
              <w:rPr>
                <w:rStyle w:val="Style20"/>
                <w:sz w:val="24"/>
                <w:szCs w:val="24"/>
              </w:rPr>
              <w:t>Приложение № 7 – Отборочные критерии рассмотрения заявок</w:t>
            </w:r>
            <w:r>
              <w:rPr>
                <w:webHidden/>
              </w:rPr>
              <w:fldChar w:fldCharType="begin"/>
            </w:r>
            <w:r>
              <w:rPr>
                <w:webHidden/>
              </w:rPr>
              <w:instrText xml:space="preserve">PAGEREF _Toc229567084 \h</w:instrText>
            </w:r>
            <w:r>
              <w:rPr>
                <w:webHidden/>
              </w:rPr>
              <w:fldChar w:fldCharType="separate"/>
            </w:r>
            <w:r>
              <w:rPr>
                <w:rStyle w:val="Style20"/>
                <w:vanish w:val="false"/>
                <w:sz w:val="24"/>
                <w:szCs w:val="24"/>
              </w:rPr>
              <w:tab/>
              <w:t>79</w:t>
            </w:r>
            <w:r>
              <w:rPr>
                <w:webHidden/>
              </w:rPr>
              <w:fldChar w:fldCharType="end"/>
            </w:r>
          </w:hyperlink>
        </w:p>
        <w:p>
          <w:pPr>
            <w:pStyle w:val="TOC2"/>
            <w:rPr/>
          </w:pPr>
          <w:hyperlink w:anchor="_Toc229567085">
            <w:r>
              <w:rPr>
                <w:webHidden/>
                <w:rStyle w:val="Style20"/>
                <w:vanish w:val="false"/>
                <w:sz w:val="24"/>
                <w:szCs w:val="24"/>
              </w:rPr>
              <w:t>12.1</w:t>
            </w:r>
            <w:r>
              <w:rPr>
                <w:rStyle w:val="Style20"/>
                <w:rFonts w:eastAsia="" w:eastAsiaTheme="minorEastAsia"/>
                <w:kern w:val="2"/>
                <w:sz w:val="24"/>
                <w:szCs w:val="24"/>
                <w:lang w:eastAsia="ru-RU"/>
                <w14:ligatures w14:val="standardContextual"/>
              </w:rPr>
              <w:tab/>
            </w:r>
            <w:r>
              <w:rPr>
                <w:rStyle w:val="Style20"/>
                <w:sz w:val="24"/>
                <w:szCs w:val="24"/>
              </w:rPr>
              <w:t>Отборочные критерии рассмотрения заявок</w:t>
            </w:r>
            <w:r>
              <w:rPr>
                <w:webHidden/>
              </w:rPr>
              <w:fldChar w:fldCharType="begin"/>
            </w:r>
            <w:r>
              <w:rPr>
                <w:webHidden/>
              </w:rPr>
              <w:instrText xml:space="preserve">PAGEREF _Toc229567085 \h</w:instrText>
            </w:r>
            <w:r>
              <w:rPr>
                <w:webHidden/>
              </w:rPr>
              <w:fldChar w:fldCharType="separate"/>
            </w:r>
            <w:r>
              <w:rPr>
                <w:rStyle w:val="Style20"/>
                <w:vanish w:val="false"/>
                <w:sz w:val="24"/>
                <w:szCs w:val="24"/>
              </w:rPr>
              <w:tab/>
              <w:t>79</w:t>
            </w:r>
            <w:r>
              <w:rPr>
                <w:webHidden/>
              </w:rPr>
              <w:fldChar w:fldCharType="end"/>
            </w:r>
          </w:hyperlink>
        </w:p>
        <w:p>
          <w:pPr>
            <w:pStyle w:val="TOC2"/>
            <w:rPr/>
          </w:pPr>
          <w:hyperlink w:anchor="_Toc229567086">
            <w:r>
              <w:rPr>
                <w:webHidden/>
                <w:rStyle w:val="Style20"/>
                <w:vanish w:val="false"/>
                <w:sz w:val="24"/>
                <w:szCs w:val="24"/>
              </w:rPr>
              <w:t>12.2</w:t>
            </w:r>
            <w:r>
              <w:rPr>
                <w:rStyle w:val="Style20"/>
                <w:rFonts w:eastAsia="" w:eastAsiaTheme="minorEastAsia"/>
                <w:kern w:val="2"/>
                <w:sz w:val="24"/>
                <w:szCs w:val="24"/>
                <w:lang w:eastAsia="ru-RU"/>
                <w14:ligatures w14:val="standardContextual"/>
              </w:rPr>
              <w:tab/>
            </w:r>
            <w:r>
              <w:rPr>
                <w:rStyle w:val="Style20"/>
                <w:sz w:val="24"/>
                <w:szCs w:val="24"/>
              </w:rPr>
              <w:t>Дополнительные критерии проверки заявок на соответствие условиям Документации о закупке</w:t>
            </w:r>
            <w:r>
              <w:rPr>
                <w:webHidden/>
              </w:rPr>
              <w:fldChar w:fldCharType="begin"/>
            </w:r>
            <w:r>
              <w:rPr>
                <w:webHidden/>
              </w:rPr>
              <w:instrText xml:space="preserve">PAGEREF _Toc229567086 \h</w:instrText>
            </w:r>
            <w:r>
              <w:rPr>
                <w:webHidden/>
              </w:rPr>
              <w:fldChar w:fldCharType="separate"/>
            </w:r>
            <w:r>
              <w:rPr>
                <w:rStyle w:val="Style20"/>
                <w:vanish w:val="false"/>
                <w:sz w:val="24"/>
                <w:szCs w:val="24"/>
              </w:rPr>
              <w:tab/>
              <w:t>83</w:t>
            </w:r>
            <w:r>
              <w:rPr>
                <w:webHidden/>
              </w:rPr>
              <w:fldChar w:fldCharType="end"/>
            </w:r>
          </w:hyperlink>
        </w:p>
        <w:p>
          <w:pPr>
            <w:pStyle w:val="TOC1"/>
            <w:rPr/>
          </w:pPr>
          <w:hyperlink w:anchor="_Toc229567087">
            <w:r>
              <w:rPr>
                <w:webHidden/>
                <w:rStyle w:val="Style20"/>
                <w:vanish w:val="false"/>
                <w:sz w:val="24"/>
                <w:szCs w:val="24"/>
              </w:rPr>
              <w:t>13.</w:t>
            </w:r>
            <w:r>
              <w:rPr>
                <w:rStyle w:val="Style20"/>
                <w:rFonts w:eastAsia="" w:eastAsiaTheme="minorEastAsia"/>
                <w:b w:val="false"/>
                <w:caps w:val="false"/>
                <w:smallCaps w:val="false"/>
                <w:kern w:val="2"/>
                <w:sz w:val="24"/>
                <w:szCs w:val="24"/>
                <w:lang w:eastAsia="ru-RU"/>
                <w14:ligatures w14:val="standardContextual"/>
              </w:rPr>
              <w:tab/>
            </w:r>
            <w:r>
              <w:rPr>
                <w:rStyle w:val="Style20"/>
                <w:sz w:val="24"/>
                <w:szCs w:val="24"/>
              </w:rPr>
              <w:t>Приложение № 8 – Порядок и критерии оценки и сопоставления заявок</w:t>
            </w:r>
            <w:r>
              <w:rPr>
                <w:webHidden/>
              </w:rPr>
              <w:fldChar w:fldCharType="begin"/>
            </w:r>
            <w:r>
              <w:rPr>
                <w:webHidden/>
              </w:rPr>
              <w:instrText xml:space="preserve">PAGEREF _Toc229567087 \h</w:instrText>
            </w:r>
            <w:r>
              <w:rPr>
                <w:webHidden/>
              </w:rPr>
              <w:fldChar w:fldCharType="separate"/>
            </w:r>
            <w:r>
              <w:rPr>
                <w:rStyle w:val="Style20"/>
                <w:vanish w:val="false"/>
                <w:sz w:val="24"/>
                <w:szCs w:val="24"/>
              </w:rPr>
              <w:tab/>
              <w:t>86</w:t>
            </w:r>
            <w:r>
              <w:rPr>
                <w:webHidden/>
              </w:rPr>
              <w:fldChar w:fldCharType="end"/>
            </w:r>
          </w:hyperlink>
        </w:p>
        <w:p>
          <w:pPr>
            <w:pStyle w:val="TOC2"/>
            <w:rPr/>
          </w:pPr>
          <w:hyperlink w:anchor="_Toc229567088">
            <w:r>
              <w:rPr>
                <w:webHidden/>
                <w:rStyle w:val="Style20"/>
                <w:vanish w:val="false"/>
                <w:sz w:val="24"/>
                <w:szCs w:val="24"/>
              </w:rPr>
              <w:t>13.1</w:t>
            </w:r>
            <w:r>
              <w:rPr>
                <w:rStyle w:val="Style20"/>
                <w:rFonts w:eastAsia="" w:eastAsiaTheme="minorEastAsia"/>
                <w:kern w:val="2"/>
                <w:sz w:val="24"/>
                <w:szCs w:val="24"/>
                <w:lang w:eastAsia="ru-RU"/>
                <w14:ligatures w14:val="standardContextual"/>
              </w:rPr>
              <w:tab/>
            </w:r>
            <w:r>
              <w:rPr>
                <w:rStyle w:val="Style20"/>
                <w:sz w:val="24"/>
                <w:szCs w:val="24"/>
              </w:rPr>
              <w:t>Порядок и критерии оценки и сопоставления заявок</w:t>
            </w:r>
            <w:r>
              <w:rPr>
                <w:webHidden/>
              </w:rPr>
              <w:fldChar w:fldCharType="begin"/>
            </w:r>
            <w:r>
              <w:rPr>
                <w:webHidden/>
              </w:rPr>
              <w:instrText xml:space="preserve">PAGEREF _Toc229567088 \h</w:instrText>
            </w:r>
            <w:r>
              <w:rPr>
                <w:webHidden/>
              </w:rPr>
              <w:fldChar w:fldCharType="separate"/>
            </w:r>
            <w:r>
              <w:rPr>
                <w:rStyle w:val="Style20"/>
                <w:vanish w:val="false"/>
                <w:sz w:val="24"/>
                <w:szCs w:val="24"/>
              </w:rPr>
              <w:tab/>
              <w:t>86</w:t>
            </w:r>
            <w:r>
              <w:rPr>
                <w:webHidden/>
              </w:rPr>
              <w:fldChar w:fldCharType="end"/>
            </w:r>
          </w:hyperlink>
        </w:p>
        <w:p>
          <w:pPr>
            <w:pStyle w:val="TOC2"/>
            <w:rPr/>
          </w:pPr>
          <w:hyperlink w:anchor="_Toc229567089">
            <w:r>
              <w:rPr>
                <w:webHidden/>
                <w:rStyle w:val="Style20"/>
                <w:vanish w:val="false"/>
                <w:sz w:val="24"/>
                <w:szCs w:val="24"/>
              </w:rPr>
              <w:t>13.2</w:t>
            </w:r>
            <w:r>
              <w:rPr>
                <w:rStyle w:val="Style20"/>
                <w:rFonts w:eastAsia="" w:eastAsiaTheme="minorEastAsia"/>
                <w:kern w:val="2"/>
                <w:sz w:val="24"/>
                <w:szCs w:val="24"/>
                <w:lang w:eastAsia="ru-RU"/>
                <w14:ligatures w14:val="standardContextual"/>
              </w:rPr>
              <w:tab/>
            </w:r>
            <w:r>
              <w:rPr>
                <w:rStyle w:val="Style20"/>
                <w:sz w:val="24"/>
                <w:szCs w:val="24"/>
              </w:rPr>
              <w:t>Порядок и критерии оценки и сопоставления заявок</w:t>
            </w:r>
            <w:r>
              <w:rPr>
                <w:webHidden/>
              </w:rPr>
              <w:fldChar w:fldCharType="begin"/>
            </w:r>
            <w:r>
              <w:rPr>
                <w:webHidden/>
              </w:rPr>
              <w:instrText xml:space="preserve">PAGEREF _Toc229567089 \h</w:instrText>
            </w:r>
            <w:r>
              <w:rPr>
                <w:webHidden/>
              </w:rPr>
              <w:fldChar w:fldCharType="separate"/>
            </w:r>
            <w:r>
              <w:rPr>
                <w:rStyle w:val="Style20"/>
                <w:vanish w:val="false"/>
                <w:sz w:val="24"/>
                <w:szCs w:val="24"/>
              </w:rPr>
              <w:tab/>
              <w:t>91</w:t>
            </w:r>
            <w:r>
              <w:rPr>
                <w:webHidden/>
              </w:rPr>
              <w:fldChar w:fldCharType="end"/>
            </w:r>
          </w:hyperlink>
        </w:p>
        <w:p>
          <w:pPr>
            <w:pStyle w:val="TOC1"/>
            <w:rPr/>
          </w:pPr>
          <w:hyperlink w:anchor="_Toc229567090">
            <w:r>
              <w:rPr>
                <w:webHidden/>
                <w:rStyle w:val="Style20"/>
                <w:vanish w:val="false"/>
                <w:sz w:val="24"/>
                <w:szCs w:val="24"/>
              </w:rPr>
              <w:t>14.</w:t>
            </w:r>
            <w:r>
              <w:rPr>
                <w:rStyle w:val="Style20"/>
                <w:rFonts w:eastAsia="" w:eastAsiaTheme="minorEastAsia"/>
                <w:b w:val="false"/>
                <w:caps w:val="false"/>
                <w:smallCaps w:val="false"/>
                <w:kern w:val="2"/>
                <w:sz w:val="24"/>
                <w:szCs w:val="24"/>
                <w:lang w:eastAsia="ru-RU"/>
                <w14:ligatures w14:val="standardContextual"/>
              </w:rPr>
              <w:tab/>
            </w:r>
            <w:r>
              <w:rPr>
                <w:rStyle w:val="Style20"/>
                <w:sz w:val="24"/>
                <w:szCs w:val="24"/>
              </w:rPr>
              <w:t>Приложение № 9 – Обоснование НМЦ</w:t>
            </w:r>
            <w:r>
              <w:rPr>
                <w:webHidden/>
              </w:rPr>
              <w:fldChar w:fldCharType="begin"/>
            </w:r>
            <w:r>
              <w:rPr>
                <w:webHidden/>
              </w:rPr>
              <w:instrText xml:space="preserve">PAGEREF _Toc229567090 \h</w:instrText>
            </w:r>
            <w:r>
              <w:rPr>
                <w:webHidden/>
              </w:rPr>
              <w:fldChar w:fldCharType="separate"/>
            </w:r>
            <w:r>
              <w:rPr>
                <w:rStyle w:val="Style20"/>
                <w:vanish w:val="false"/>
                <w:sz w:val="24"/>
                <w:szCs w:val="24"/>
              </w:rPr>
              <w:tab/>
              <w:t>92</w:t>
            </w:r>
            <w:r>
              <w:rPr>
                <w:webHidden/>
              </w:rPr>
              <w:fldChar w:fldCharType="end"/>
            </w:r>
          </w:hyperlink>
        </w:p>
        <w:p>
          <w:pPr>
            <w:pStyle w:val="TOC2"/>
            <w:rPr/>
          </w:pPr>
          <w:hyperlink w:anchor="_Toc229567091">
            <w:r>
              <w:rPr>
                <w:webHidden/>
                <w:rStyle w:val="Style20"/>
                <w:vanish w:val="false"/>
                <w:sz w:val="24"/>
                <w:szCs w:val="24"/>
              </w:rPr>
              <w:t>14.1</w:t>
            </w:r>
            <w:r>
              <w:rPr>
                <w:rStyle w:val="Style20"/>
                <w:rFonts w:eastAsia="" w:eastAsiaTheme="minorEastAsia"/>
                <w:kern w:val="2"/>
                <w:sz w:val="24"/>
                <w:szCs w:val="24"/>
                <w:lang w:eastAsia="ru-RU"/>
                <w14:ligatures w14:val="standardContextual"/>
              </w:rPr>
              <w:tab/>
            </w:r>
            <w:r>
              <w:rPr>
                <w:rStyle w:val="Style20"/>
                <w:sz w:val="24"/>
                <w:szCs w:val="24"/>
              </w:rPr>
              <w:t>Пояснения к Обоснованию НМЦ</w:t>
            </w:r>
            <w:r>
              <w:rPr>
                <w:webHidden/>
              </w:rPr>
              <w:fldChar w:fldCharType="begin"/>
            </w:r>
            <w:r>
              <w:rPr>
                <w:webHidden/>
              </w:rPr>
              <w:instrText xml:space="preserve">PAGEREF _Toc229567091 \h</w:instrText>
            </w:r>
            <w:r>
              <w:rPr>
                <w:webHidden/>
              </w:rPr>
              <w:fldChar w:fldCharType="separate"/>
            </w:r>
            <w:r>
              <w:rPr>
                <w:rStyle w:val="Style20"/>
                <w:vanish w:val="false"/>
                <w:sz w:val="24"/>
                <w:szCs w:val="24"/>
              </w:rPr>
              <w:tab/>
              <w:t>92</w:t>
            </w:r>
            <w:r>
              <w:rPr>
                <w:webHidden/>
              </w:rPr>
              <w:fldChar w:fldCharType="end"/>
            </w:r>
          </w:hyperlink>
        </w:p>
        <w:p>
          <w:pPr>
            <w:pStyle w:val="TOC1"/>
            <w:rPr/>
          </w:pPr>
          <w:hyperlink w:anchor="_Toc229567092">
            <w:r>
              <w:rPr>
                <w:webHidden/>
                <w:rStyle w:val="Style20"/>
                <w:vanish w:val="false"/>
                <w:sz w:val="24"/>
                <w:szCs w:val="24"/>
              </w:rPr>
              <w:t>15.</w:t>
            </w:r>
            <w:r>
              <w:rPr>
                <w:rStyle w:val="Style20"/>
                <w:rFonts w:eastAsia="" w:eastAsiaTheme="minorEastAsia"/>
                <w:b w:val="false"/>
                <w:caps w:val="false"/>
                <w:smallCaps w:val="false"/>
                <w:kern w:val="2"/>
                <w:sz w:val="24"/>
                <w:szCs w:val="24"/>
                <w:lang w:eastAsia="ru-RU"/>
                <w14:ligatures w14:val="standardContextual"/>
              </w:rPr>
              <w:tab/>
            </w:r>
            <w:r>
              <w:rPr>
                <w:rStyle w:val="Style20"/>
                <w:sz w:val="24"/>
                <w:szCs w:val="24"/>
              </w:rPr>
              <w:t>Приложение № 10 – Форма Заявки на аккредитацию</w:t>
            </w:r>
            <w:r>
              <w:rPr>
                <w:webHidden/>
              </w:rPr>
              <w:fldChar w:fldCharType="begin"/>
            </w:r>
            <w:r>
              <w:rPr>
                <w:webHidden/>
              </w:rPr>
              <w:instrText xml:space="preserve">PAGEREF _Toc229567092 \h</w:instrText>
            </w:r>
            <w:r>
              <w:rPr>
                <w:webHidden/>
              </w:rPr>
              <w:fldChar w:fldCharType="separate"/>
            </w:r>
            <w:r>
              <w:rPr>
                <w:rStyle w:val="Style20"/>
                <w:vanish w:val="false"/>
                <w:sz w:val="24"/>
                <w:szCs w:val="24"/>
              </w:rPr>
              <w:tab/>
              <w:t>93</w:t>
            </w:r>
            <w:r>
              <w:rPr>
                <w:webHidden/>
              </w:rPr>
              <w:fldChar w:fldCharType="end"/>
            </w:r>
          </w:hyperlink>
        </w:p>
        <w:p>
          <w:pPr>
            <w:pStyle w:val="TOC2"/>
            <w:rPr/>
          </w:pPr>
          <w:hyperlink w:anchor="_Toc229567093">
            <w:r>
              <w:rPr>
                <w:webHidden/>
                <w:rStyle w:val="Style20"/>
                <w:vanish w:val="false"/>
                <w:sz w:val="24"/>
                <w:szCs w:val="24"/>
              </w:rPr>
              <w:t>15.1</w:t>
            </w:r>
            <w:r>
              <w:rPr>
                <w:rStyle w:val="Style20"/>
                <w:rFonts w:eastAsia="" w:eastAsiaTheme="minorEastAsia"/>
                <w:kern w:val="2"/>
                <w:sz w:val="24"/>
                <w:szCs w:val="24"/>
                <w:lang w:eastAsia="ru-RU"/>
                <w14:ligatures w14:val="standardContextual"/>
              </w:rPr>
              <w:tab/>
            </w:r>
            <w:r>
              <w:rPr>
                <w:rStyle w:val="Style20"/>
                <w:sz w:val="24"/>
                <w:szCs w:val="24"/>
              </w:rPr>
              <w:t>Пояснения к форме Заявки на аккредитацию</w:t>
            </w:r>
            <w:r>
              <w:rPr>
                <w:webHidden/>
              </w:rPr>
              <w:fldChar w:fldCharType="begin"/>
            </w:r>
            <w:r>
              <w:rPr>
                <w:webHidden/>
              </w:rPr>
              <w:instrText xml:space="preserve">PAGEREF _Toc229567093 \h</w:instrText>
            </w:r>
            <w:r>
              <w:rPr>
                <w:webHidden/>
              </w:rPr>
              <w:fldChar w:fldCharType="separate"/>
            </w:r>
            <w:r>
              <w:rPr>
                <w:rStyle w:val="Style20"/>
                <w:vanish w:val="false"/>
                <w:sz w:val="24"/>
                <w:szCs w:val="24"/>
              </w:rPr>
              <w:tab/>
              <w:t>93</w:t>
            </w:r>
            <w:r>
              <w:rPr>
                <w:webHidden/>
              </w:rPr>
              <w:fldChar w:fldCharType="end"/>
            </w:r>
          </w:hyperlink>
        </w:p>
        <w:p>
          <w:pPr>
            <w:pStyle w:val="TOC1"/>
            <w:rPr/>
          </w:pPr>
          <w:hyperlink w:anchor="_Toc229567094">
            <w:r>
              <w:rPr>
                <w:webHidden/>
                <w:rStyle w:val="Style20"/>
                <w:vanish w:val="false"/>
                <w:sz w:val="24"/>
                <w:szCs w:val="24"/>
              </w:rPr>
              <w:t>16.</w:t>
            </w:r>
            <w:r>
              <w:rPr>
                <w:rStyle w:val="Style20"/>
                <w:rFonts w:eastAsia="" w:eastAsiaTheme="minorEastAsia"/>
                <w:b w:val="false"/>
                <w:caps w:val="false"/>
                <w:smallCaps w:val="false"/>
                <w:kern w:val="2"/>
                <w:sz w:val="24"/>
                <w:szCs w:val="24"/>
                <w:lang w:eastAsia="ru-RU"/>
                <w14:ligatures w14:val="standardContextual"/>
              </w:rPr>
              <w:tab/>
            </w:r>
            <w:r>
              <w:rPr>
                <w:rStyle w:val="Style20"/>
                <w:sz w:val="24"/>
                <w:szCs w:val="24"/>
              </w:rPr>
              <w:t>Приложение № 11 – форма Данных бухгалтерской (финансовой) отчетности</w:t>
            </w:r>
            <w:r>
              <w:rPr>
                <w:webHidden/>
              </w:rPr>
              <w:fldChar w:fldCharType="begin"/>
            </w:r>
            <w:r>
              <w:rPr>
                <w:webHidden/>
              </w:rPr>
              <w:instrText xml:space="preserve">PAGEREF _Toc229567094 \h</w:instrText>
            </w:r>
            <w:r>
              <w:rPr>
                <w:webHidden/>
              </w:rPr>
              <w:fldChar w:fldCharType="separate"/>
            </w:r>
            <w:r>
              <w:rPr>
                <w:rStyle w:val="Style20"/>
                <w:vanish w:val="false"/>
                <w:sz w:val="24"/>
                <w:szCs w:val="24"/>
              </w:rPr>
              <w:tab/>
              <w:t>94</w:t>
            </w:r>
            <w:r>
              <w:rPr>
                <w:webHidden/>
              </w:rPr>
              <w:fldChar w:fldCharType="end"/>
            </w:r>
          </w:hyperlink>
        </w:p>
        <w:p>
          <w:pPr>
            <w:pStyle w:val="TOC2"/>
            <w:rPr/>
          </w:pPr>
          <w:hyperlink w:anchor="_Toc229567095">
            <w:r>
              <w:rPr>
                <w:webHidden/>
                <w:rStyle w:val="Style20"/>
                <w:vanish w:val="false"/>
                <w:sz w:val="24"/>
                <w:szCs w:val="24"/>
              </w:rPr>
              <w:t>16.1</w:t>
            </w:r>
            <w:r>
              <w:rPr>
                <w:rStyle w:val="Style20"/>
                <w:rFonts w:eastAsia="" w:eastAsiaTheme="minorEastAsia"/>
                <w:kern w:val="2"/>
                <w:sz w:val="24"/>
                <w:szCs w:val="24"/>
                <w:lang w:eastAsia="ru-RU"/>
                <w14:ligatures w14:val="standardContextual"/>
              </w:rPr>
              <w:tab/>
            </w:r>
            <w:r>
              <w:rPr>
                <w:rStyle w:val="Style20"/>
                <w:sz w:val="24"/>
                <w:szCs w:val="24"/>
              </w:rPr>
              <w:t>Пояснения к форме Данных бухгалтерской (финансовой) отчетности</w:t>
            </w:r>
            <w:r>
              <w:rPr>
                <w:webHidden/>
              </w:rPr>
              <w:fldChar w:fldCharType="begin"/>
            </w:r>
            <w:r>
              <w:rPr>
                <w:webHidden/>
              </w:rPr>
              <w:instrText xml:space="preserve">PAGEREF _Toc229567095 \h</w:instrText>
            </w:r>
            <w:r>
              <w:rPr>
                <w:webHidden/>
              </w:rPr>
              <w:fldChar w:fldCharType="separate"/>
            </w:r>
            <w:r>
              <w:rPr>
                <w:rStyle w:val="Style20"/>
                <w:vanish w:val="false"/>
                <w:sz w:val="24"/>
                <w:szCs w:val="24"/>
              </w:rPr>
              <w:tab/>
              <w:t>94</w:t>
            </w:r>
            <w:r>
              <w:rPr>
                <w:webHidden/>
              </w:rPr>
              <w:fldChar w:fldCharType="end"/>
            </w:r>
          </w:hyperlink>
          <w:r>
            <w:rPr>
              <w:rStyle w:val="Style20"/>
              <w:sz w:val="24"/>
              <w:szCs w:val="24"/>
              <w:vanish w:val="false"/>
            </w:rPr>
            <w:fldChar w:fldCharType="end"/>
          </w:r>
        </w:p>
      </w:sdtContent>
    </w:sdt>
    <w:p>
      <w:pPr>
        <w:pStyle w:val="Style30"/>
        <w:jc w:val="both"/>
        <w:rPr>
          <w:rFonts w:ascii="Times New Roman" w:hAnsi="Times New Roman"/>
          <w:sz w:val="24"/>
          <w:szCs w:val="24"/>
        </w:rPr>
      </w:pPr>
      <w:r>
        <w:rPr>
          <w:sz w:val="24"/>
          <w:szCs w:val="24"/>
        </w:rPr>
      </w:r>
    </w:p>
    <w:p>
      <w:pPr>
        <w:pStyle w:val="Style30"/>
        <w:keepNext w:val="true"/>
        <w:spacing w:before="60" w:after="0"/>
        <w:rPr/>
      </w:pPr>
      <w:r>
        <w:rPr>
          <w:rStyle w:val="Style17"/>
          <w:sz w:val="24"/>
          <w:szCs w:val="24"/>
        </w:rPr>
        <w:t xml:space="preserve">[Примечание (дополнительные удобства работы с Документацией о закупке; Microsoft Word | </w:t>
      </w:r>
      <w:r>
        <w:rPr>
          <w:rStyle w:val="Style17"/>
          <w:color w:val="4472C4" w:themeColor="accent1"/>
          <w:sz w:val="24"/>
          <w:szCs w:val="24"/>
        </w:rPr>
        <w:t>AlterOffice AText – отмечены отличая для данного текстового редактора</w:t>
      </w:r>
      <w:r>
        <w:rPr>
          <w:rStyle w:val="Style17"/>
          <w:sz w:val="24"/>
          <w:szCs w:val="24"/>
        </w:rPr>
        <w:t>):</w:t>
      </w:r>
    </w:p>
    <w:p>
      <w:pPr>
        <w:pStyle w:val="Style30"/>
        <w:numPr>
          <w:ilvl w:val="0"/>
          <w:numId w:val="10"/>
        </w:numPr>
        <w:spacing w:before="60" w:after="0"/>
        <w:ind w:hanging="284" w:left="284"/>
        <w:rPr/>
      </w:pPr>
      <w:r>
        <w:rPr>
          <w:rStyle w:val="Style17"/>
          <w:sz w:val="24"/>
          <w:szCs w:val="24"/>
        </w:rPr>
        <w:t xml:space="preserve">для навигации рекомендуется использовать боковое меню – включается на вкладке «Вид» в разделе «Отображение» опцией «Область навигации» | </w:t>
      </w:r>
      <w:r>
        <w:rPr>
          <w:rStyle w:val="Style17"/>
          <w:color w:val="4472C4" w:themeColor="accent1"/>
          <w:sz w:val="24"/>
          <w:szCs w:val="24"/>
        </w:rPr>
        <w:t>включается на вкладке «Вид» опцией «Навигатор»</w:t>
      </w:r>
      <w:r>
        <w:rPr>
          <w:rStyle w:val="Style17"/>
          <w:sz w:val="24"/>
          <w:szCs w:val="24"/>
        </w:rPr>
        <w:t>;</w:t>
      </w:r>
    </w:p>
    <w:p>
      <w:pPr>
        <w:pStyle w:val="Style30"/>
        <w:numPr>
          <w:ilvl w:val="0"/>
          <w:numId w:val="10"/>
        </w:numPr>
        <w:spacing w:before="60" w:after="0"/>
        <w:ind w:hanging="284" w:left="284"/>
        <w:rPr/>
      </w:pPr>
      <w:r>
        <w:rPr>
          <w:rStyle w:val="Style17"/>
          <w:sz w:val="24"/>
          <w:szCs w:val="24"/>
        </w:rPr>
        <w:t>переход по перекрестным и другим ссылкам осуществляется левым кликом мыши с</w:t>
      </w:r>
      <w:r>
        <w:rPr>
          <w:rStyle w:val="Style17"/>
          <w:sz w:val="24"/>
          <w:szCs w:val="24"/>
          <w:lang w:val="en-US"/>
        </w:rPr>
        <w:t> </w:t>
      </w:r>
      <w:r>
        <w:rPr>
          <w:rStyle w:val="Style17"/>
          <w:sz w:val="24"/>
          <w:szCs w:val="24"/>
        </w:rPr>
        <w:t xml:space="preserve">зажатой клавишей Ctrl, обратный возврат на место в тексте, с которого был сделан переход, осуществляется нажатием стрелки влево (←) с зажатой левой клавишей Alt </w:t>
      </w:r>
      <w:r>
        <w:rPr>
          <w:rStyle w:val="Style17"/>
          <w:color w:val="4472C4" w:themeColor="accent1"/>
          <w:sz w:val="24"/>
          <w:szCs w:val="24"/>
        </w:rPr>
        <w:t>(обратный переход функционально не реализован в AlterOffice AText, пользуйтесь функциональностью «Навигатор»)</w:t>
      </w:r>
      <w:r>
        <w:rPr>
          <w:rStyle w:val="Style17"/>
          <w:sz w:val="24"/>
          <w:szCs w:val="24"/>
        </w:rPr>
        <w:t>;</w:t>
      </w:r>
    </w:p>
    <w:p>
      <w:pPr>
        <w:pStyle w:val="Style30"/>
        <w:numPr>
          <w:ilvl w:val="0"/>
          <w:numId w:val="10"/>
        </w:numPr>
        <w:spacing w:before="60" w:after="0"/>
        <w:ind w:hanging="284" w:left="284"/>
        <w:rPr/>
      </w:pPr>
      <w:r>
        <w:rPr>
          <w:rStyle w:val="Style17"/>
          <w:sz w:val="24"/>
          <w:szCs w:val="24"/>
        </w:rPr>
        <w:t>открытие внедренного в текст документа (файла) осуществляется по двойному клику левой клавиши мыши по соответствующей иконке документа (файла) в</w:t>
      </w:r>
      <w:r>
        <w:rPr>
          <w:rStyle w:val="Style17"/>
          <w:sz w:val="24"/>
          <w:szCs w:val="24"/>
          <w:lang w:val="en-US"/>
        </w:rPr>
        <w:t> </w:t>
      </w:r>
      <w:r>
        <w:rPr>
          <w:rStyle w:val="Style17"/>
          <w:sz w:val="24"/>
          <w:szCs w:val="24"/>
        </w:rPr>
        <w:t>тексте;</w:t>
      </w:r>
    </w:p>
    <w:p>
      <w:pPr>
        <w:pStyle w:val="Style30"/>
        <w:numPr>
          <w:ilvl w:val="0"/>
          <w:numId w:val="10"/>
        </w:numPr>
        <w:spacing w:before="60" w:after="0"/>
        <w:ind w:hanging="284" w:left="284"/>
        <w:rPr/>
      </w:pPr>
      <w:r>
        <w:rPr>
          <w:rStyle w:val="Style17"/>
          <w:color w:val="4472C4" w:themeColor="accent1"/>
          <w:sz w:val="24"/>
          <w:szCs w:val="24"/>
        </w:rPr>
        <w:t>отключение затенения серыми блоками по тексту объектов, в том числе некоторых неразрывных пробелов и перекрестных ссылок: Ctrl + F8 (только для AlterOffice AText)</w:t>
      </w:r>
      <w:r>
        <w:rPr>
          <w:rStyle w:val="Style17"/>
          <w:sz w:val="24"/>
          <w:szCs w:val="24"/>
        </w:rPr>
        <w:t>.]</w:t>
      </w:r>
    </w:p>
    <w:p>
      <w:pPr>
        <w:pStyle w:val="Style29"/>
        <w:numPr>
          <w:ilvl w:val="0"/>
          <w:numId w:val="0"/>
        </w:numPr>
        <w:ind w:hanging="0" w:left="0"/>
        <w:outlineLvl w:val="0"/>
        <w:rPr>
          <w:rFonts w:ascii="Times New Roman" w:hAnsi="Times New Roman"/>
          <w:sz w:val="24"/>
          <w:szCs w:val="24"/>
        </w:rPr>
      </w:pPr>
      <w:bookmarkStart w:id="0" w:name="_Toc229567026"/>
      <w:r>
        <w:rPr>
          <w:sz w:val="24"/>
          <w:szCs w:val="24"/>
        </w:rPr>
        <w:t>Сокращения</w:t>
      </w:r>
      <w:bookmarkEnd w:id="0"/>
    </w:p>
    <w:p>
      <w:pPr>
        <w:pStyle w:val="Style30"/>
        <w:ind w:firstLine="567"/>
        <w:rPr>
          <w:rFonts w:ascii="Times New Roman" w:hAnsi="Times New Roman"/>
          <w:sz w:val="24"/>
          <w:szCs w:val="24"/>
        </w:rPr>
      </w:pPr>
      <w:r>
        <w:rPr>
          <w:b/>
          <w:bCs/>
          <w:sz w:val="24"/>
          <w:szCs w:val="24"/>
        </w:rPr>
        <w:t>ГК РФ</w:t>
      </w:r>
      <w:r>
        <w:rPr>
          <w:sz w:val="24"/>
          <w:szCs w:val="24"/>
        </w:rPr>
        <w:t xml:space="preserve"> – Гражданской кодекс Российской Федерации.</w:t>
      </w:r>
    </w:p>
    <w:p>
      <w:pPr>
        <w:pStyle w:val="Style30"/>
        <w:ind w:firstLine="567"/>
        <w:rPr>
          <w:rFonts w:ascii="Times New Roman" w:hAnsi="Times New Roman"/>
          <w:sz w:val="24"/>
          <w:szCs w:val="24"/>
        </w:rPr>
      </w:pPr>
      <w:r>
        <w:rPr>
          <w:b/>
          <w:bCs/>
          <w:sz w:val="24"/>
          <w:szCs w:val="24"/>
        </w:rPr>
        <w:t>ЕАЭС</w:t>
      </w:r>
      <w:r>
        <w:rPr>
          <w:sz w:val="24"/>
          <w:szCs w:val="24"/>
        </w:rPr>
        <w:t xml:space="preserve"> – Евразийский экономический союз.</w:t>
      </w:r>
    </w:p>
    <w:p>
      <w:pPr>
        <w:pStyle w:val="Style30"/>
        <w:ind w:firstLine="567"/>
        <w:rPr>
          <w:rFonts w:ascii="Times New Roman" w:hAnsi="Times New Roman"/>
          <w:sz w:val="24"/>
          <w:szCs w:val="24"/>
        </w:rPr>
      </w:pPr>
      <w:r>
        <w:rPr>
          <w:b/>
          <w:bCs/>
          <w:sz w:val="24"/>
          <w:szCs w:val="24"/>
        </w:rPr>
        <w:t>ЕГРИП</w:t>
      </w:r>
      <w:r>
        <w:rPr>
          <w:sz w:val="24"/>
          <w:szCs w:val="24"/>
        </w:rPr>
        <w:t xml:space="preserve"> – Единый государственный реестр индивидуальных предпринимателей.</w:t>
      </w:r>
    </w:p>
    <w:p>
      <w:pPr>
        <w:pStyle w:val="Style30"/>
        <w:ind w:firstLine="567"/>
        <w:rPr>
          <w:rFonts w:ascii="Times New Roman" w:hAnsi="Times New Roman"/>
          <w:sz w:val="24"/>
          <w:szCs w:val="24"/>
        </w:rPr>
      </w:pPr>
      <w:r>
        <w:rPr>
          <w:b/>
          <w:bCs/>
          <w:sz w:val="24"/>
          <w:szCs w:val="24"/>
        </w:rPr>
        <w:t>ЕГРЮЛ</w:t>
      </w:r>
      <w:r>
        <w:rPr>
          <w:sz w:val="24"/>
          <w:szCs w:val="24"/>
        </w:rPr>
        <w:t xml:space="preserve"> – Единый государственный реестр юридических лиц.</w:t>
      </w:r>
    </w:p>
    <w:p>
      <w:pPr>
        <w:pStyle w:val="Style30"/>
        <w:ind w:firstLine="567"/>
        <w:rPr>
          <w:rFonts w:ascii="Times New Roman" w:hAnsi="Times New Roman"/>
          <w:sz w:val="24"/>
          <w:szCs w:val="24"/>
        </w:rPr>
      </w:pPr>
      <w:r>
        <w:rPr>
          <w:b/>
          <w:bCs/>
          <w:sz w:val="24"/>
          <w:szCs w:val="24"/>
        </w:rPr>
        <w:t>ЕИС</w:t>
      </w:r>
      <w:r>
        <w:rPr>
          <w:sz w:val="24"/>
          <w:szCs w:val="24"/>
        </w:rPr>
        <w:t xml:space="preserve"> – Единая информационная система в сфере закупок.</w:t>
      </w:r>
    </w:p>
    <w:p>
      <w:pPr>
        <w:pStyle w:val="Style30"/>
        <w:ind w:firstLine="567"/>
        <w:rPr>
          <w:rFonts w:ascii="Times New Roman" w:hAnsi="Times New Roman"/>
          <w:sz w:val="24"/>
          <w:szCs w:val="24"/>
        </w:rPr>
      </w:pPr>
      <w:r>
        <w:rPr>
          <w:b/>
          <w:bCs/>
          <w:sz w:val="24"/>
          <w:szCs w:val="24"/>
        </w:rPr>
        <w:t>Закон 44-ФЗ</w:t>
      </w:r>
      <w:r>
        <w:rPr>
          <w:sz w:val="24"/>
          <w:szCs w:val="24"/>
        </w:rPr>
        <w:t xml:space="preserve"> – Федеральный закон от 05.04.2013 № 44-ФЗ «О контрактной системе в</w:t>
      </w:r>
      <w:r>
        <w:rPr>
          <w:sz w:val="24"/>
          <w:szCs w:val="24"/>
          <w:lang w:val="en-US"/>
        </w:rPr>
        <w:t> </w:t>
      </w:r>
      <w:r>
        <w:rPr>
          <w:sz w:val="24"/>
          <w:szCs w:val="24"/>
        </w:rPr>
        <w:t>сфере закупок товаров, работ, услуг для обеспечения государственных и муниципальных нужд».</w:t>
      </w:r>
    </w:p>
    <w:p>
      <w:pPr>
        <w:pStyle w:val="Style30"/>
        <w:ind w:firstLine="567"/>
        <w:rPr>
          <w:rFonts w:ascii="Times New Roman" w:hAnsi="Times New Roman"/>
          <w:sz w:val="24"/>
          <w:szCs w:val="24"/>
        </w:rPr>
      </w:pPr>
      <w:r>
        <w:rPr>
          <w:b/>
          <w:bCs/>
          <w:sz w:val="24"/>
          <w:szCs w:val="24"/>
        </w:rPr>
        <w:t>Закон 209-ФЗ</w:t>
      </w:r>
      <w:r>
        <w:rPr>
          <w:sz w:val="24"/>
          <w:szCs w:val="24"/>
        </w:rPr>
        <w:t xml:space="preserve"> – Федеральный закон от 24.07.2007 № 209-ФЗ «О развитии малого и среднего предпринимательства в Российской Федерации».</w:t>
      </w:r>
    </w:p>
    <w:p>
      <w:pPr>
        <w:pStyle w:val="Style30"/>
        <w:ind w:firstLine="567"/>
        <w:rPr>
          <w:rFonts w:ascii="Times New Roman" w:hAnsi="Times New Roman"/>
          <w:sz w:val="24"/>
          <w:szCs w:val="24"/>
        </w:rPr>
      </w:pPr>
      <w:r>
        <w:rPr>
          <w:b/>
          <w:bCs/>
          <w:sz w:val="24"/>
          <w:szCs w:val="24"/>
        </w:rPr>
        <w:t>Закон 223-ФЗ</w:t>
      </w:r>
      <w:r>
        <w:rPr>
          <w:sz w:val="24"/>
          <w:szCs w:val="24"/>
        </w:rPr>
        <w:t xml:space="preserve"> – Федеральный закон от 18.07.2011 № 223-ФЗ «О закупках товаров, работ, услуг отдельными видами юридических лиц».</w:t>
      </w:r>
    </w:p>
    <w:p>
      <w:pPr>
        <w:pStyle w:val="Style30"/>
        <w:ind w:firstLine="567"/>
        <w:rPr>
          <w:rFonts w:ascii="Times New Roman" w:hAnsi="Times New Roman"/>
          <w:sz w:val="24"/>
          <w:szCs w:val="24"/>
        </w:rPr>
      </w:pPr>
      <w:r>
        <w:rPr>
          <w:b/>
          <w:bCs/>
          <w:sz w:val="24"/>
          <w:szCs w:val="24"/>
        </w:rPr>
        <w:t>Закон 255-ФЗ</w:t>
      </w:r>
      <w:r>
        <w:rPr>
          <w:sz w:val="24"/>
          <w:szCs w:val="24"/>
        </w:rPr>
        <w:t xml:space="preserve"> – Федеральный закон от 14.07.2022 № 255-ФЗ «О контроле за деятельностью лиц, находящихся под иностранным влиянием».</w:t>
      </w:r>
    </w:p>
    <w:p>
      <w:pPr>
        <w:pStyle w:val="Style30"/>
        <w:ind w:firstLine="567"/>
        <w:rPr>
          <w:rFonts w:ascii="Times New Roman" w:hAnsi="Times New Roman"/>
          <w:sz w:val="24"/>
          <w:szCs w:val="24"/>
        </w:rPr>
      </w:pPr>
      <w:r>
        <w:rPr>
          <w:b/>
          <w:bCs/>
          <w:sz w:val="24"/>
          <w:szCs w:val="24"/>
        </w:rPr>
        <w:t>Закон 422-ФЗ</w:t>
      </w:r>
      <w:r>
        <w:rPr>
          <w:sz w:val="24"/>
          <w:szCs w:val="24"/>
        </w:rPr>
        <w:t xml:space="preserve"> – Федеральный закон от 27.11.2018 № 422-ФЗ «О проведении эксперимента по установлению специального налогового режима «Налог на профессиональный доход».</w:t>
      </w:r>
    </w:p>
    <w:p>
      <w:pPr>
        <w:pStyle w:val="Style30"/>
        <w:ind w:firstLine="567"/>
        <w:rPr>
          <w:rFonts w:ascii="Times New Roman" w:hAnsi="Times New Roman"/>
          <w:sz w:val="24"/>
          <w:szCs w:val="24"/>
        </w:rPr>
      </w:pPr>
      <w:r>
        <w:rPr>
          <w:b/>
          <w:bCs/>
          <w:sz w:val="24"/>
          <w:szCs w:val="24"/>
        </w:rPr>
        <w:t>Законодательство</w:t>
      </w:r>
      <w:r>
        <w:rPr>
          <w:sz w:val="24"/>
          <w:szCs w:val="24"/>
        </w:rPr>
        <w:t xml:space="preserve"> – законодательство Российской Федерации (если в тексте настоящей Документации о закупке прямо не указано иное).</w:t>
      </w:r>
    </w:p>
    <w:p>
      <w:pPr>
        <w:pStyle w:val="Style30"/>
        <w:ind w:firstLine="567"/>
        <w:rPr>
          <w:rFonts w:ascii="Times New Roman" w:hAnsi="Times New Roman"/>
          <w:sz w:val="24"/>
          <w:szCs w:val="24"/>
        </w:rPr>
      </w:pPr>
      <w:r>
        <w:rPr>
          <w:b/>
          <w:bCs/>
          <w:sz w:val="24"/>
          <w:szCs w:val="24"/>
        </w:rPr>
        <w:t>Извещение</w:t>
      </w:r>
      <w:r>
        <w:rPr>
          <w:sz w:val="24"/>
          <w:szCs w:val="24"/>
        </w:rPr>
        <w:t xml:space="preserve"> – извещение о проведении настоящей закупки.</w:t>
      </w:r>
    </w:p>
    <w:p>
      <w:pPr>
        <w:pStyle w:val="Style30"/>
        <w:ind w:firstLine="567"/>
        <w:rPr>
          <w:rFonts w:ascii="Times New Roman" w:hAnsi="Times New Roman"/>
          <w:sz w:val="24"/>
          <w:szCs w:val="24"/>
        </w:rPr>
      </w:pPr>
      <w:r>
        <w:rPr>
          <w:b/>
          <w:bCs/>
          <w:sz w:val="24"/>
          <w:szCs w:val="24"/>
        </w:rPr>
        <w:t>ИНН</w:t>
      </w:r>
      <w:r>
        <w:rPr>
          <w:sz w:val="24"/>
          <w:szCs w:val="24"/>
        </w:rPr>
        <w:t xml:space="preserve"> – идентификационный номер налогоплательщика.</w:t>
      </w:r>
    </w:p>
    <w:p>
      <w:pPr>
        <w:pStyle w:val="Style30"/>
        <w:ind w:firstLine="567"/>
        <w:rPr>
          <w:rFonts w:ascii="Times New Roman" w:hAnsi="Times New Roman"/>
          <w:sz w:val="24"/>
          <w:szCs w:val="24"/>
        </w:rPr>
      </w:pPr>
      <w:r>
        <w:rPr>
          <w:b/>
          <w:bCs/>
          <w:sz w:val="24"/>
          <w:szCs w:val="24"/>
        </w:rPr>
        <w:t>ИФНС</w:t>
      </w:r>
      <w:r>
        <w:rPr>
          <w:sz w:val="24"/>
          <w:szCs w:val="24"/>
        </w:rPr>
        <w:t xml:space="preserve"> – инспекция Федеральной налоговой службы Российской Федерации.</w:t>
      </w:r>
    </w:p>
    <w:p>
      <w:pPr>
        <w:pStyle w:val="Style30"/>
        <w:ind w:firstLine="567"/>
        <w:rPr>
          <w:rFonts w:ascii="Times New Roman" w:hAnsi="Times New Roman"/>
          <w:sz w:val="24"/>
          <w:szCs w:val="24"/>
        </w:rPr>
      </w:pPr>
      <w:r>
        <w:rPr>
          <w:b/>
          <w:bCs/>
          <w:sz w:val="24"/>
          <w:szCs w:val="24"/>
        </w:rPr>
        <w:t>МТР</w:t>
      </w:r>
      <w:r>
        <w:rPr>
          <w:sz w:val="24"/>
          <w:szCs w:val="24"/>
        </w:rPr>
        <w:t xml:space="preserve"> – материально-технические ресурсы.</w:t>
      </w:r>
    </w:p>
    <w:p>
      <w:pPr>
        <w:pStyle w:val="Style30"/>
        <w:ind w:firstLine="567"/>
        <w:rPr>
          <w:rFonts w:ascii="Times New Roman" w:hAnsi="Times New Roman"/>
          <w:sz w:val="24"/>
          <w:szCs w:val="24"/>
        </w:rPr>
      </w:pPr>
      <w:r>
        <w:rPr>
          <w:b/>
          <w:bCs/>
          <w:sz w:val="24"/>
          <w:szCs w:val="24"/>
        </w:rPr>
        <w:t>НДС</w:t>
      </w:r>
      <w:r>
        <w:rPr>
          <w:sz w:val="24"/>
          <w:szCs w:val="24"/>
        </w:rPr>
        <w:t xml:space="preserve"> – налог на добавленную стоимость.</w:t>
      </w:r>
    </w:p>
    <w:p>
      <w:pPr>
        <w:pStyle w:val="Style30"/>
        <w:ind w:firstLine="567"/>
        <w:rPr>
          <w:rFonts w:ascii="Times New Roman" w:hAnsi="Times New Roman"/>
          <w:sz w:val="24"/>
          <w:szCs w:val="24"/>
        </w:rPr>
      </w:pPr>
      <w:r>
        <w:rPr>
          <w:b/>
          <w:bCs/>
          <w:sz w:val="24"/>
          <w:szCs w:val="24"/>
        </w:rPr>
        <w:t>НМЦ</w:t>
      </w:r>
      <w:r>
        <w:rPr>
          <w:sz w:val="24"/>
          <w:szCs w:val="24"/>
        </w:rPr>
        <w:t xml:space="preserve"> – начальная (максимальная) цена договора.</w:t>
      </w:r>
    </w:p>
    <w:p>
      <w:pPr>
        <w:pStyle w:val="Style30"/>
        <w:ind w:firstLine="567"/>
        <w:rPr>
          <w:rFonts w:ascii="Times New Roman" w:hAnsi="Times New Roman"/>
          <w:sz w:val="24"/>
          <w:szCs w:val="24"/>
        </w:rPr>
      </w:pPr>
      <w:r>
        <w:rPr>
          <w:b/>
          <w:bCs/>
          <w:sz w:val="24"/>
          <w:szCs w:val="24"/>
        </w:rPr>
        <w:t>Оператор ЭП</w:t>
      </w:r>
      <w:r>
        <w:rPr>
          <w:sz w:val="24"/>
          <w:szCs w:val="24"/>
        </w:rPr>
        <w:t xml:space="preserve"> – оператор электронной площадки.</w:t>
      </w:r>
    </w:p>
    <w:p>
      <w:pPr>
        <w:pStyle w:val="Style30"/>
        <w:ind w:firstLine="567"/>
        <w:rPr>
          <w:rFonts w:ascii="Times New Roman" w:hAnsi="Times New Roman"/>
          <w:sz w:val="24"/>
          <w:szCs w:val="24"/>
        </w:rPr>
      </w:pPr>
      <w:r>
        <w:rPr>
          <w:b/>
          <w:bCs/>
          <w:sz w:val="24"/>
          <w:szCs w:val="24"/>
        </w:rPr>
        <w:t>Официальный сайт</w:t>
      </w:r>
      <w:r>
        <w:rPr>
          <w:sz w:val="24"/>
          <w:szCs w:val="24"/>
        </w:rPr>
        <w:t xml:space="preserve"> – официальный сайт Единой информационной системы в сфере закупок, расположенный в сети Интернет по </w:t>
      </w:r>
      <w:r>
        <w:rPr>
          <w:sz w:val="24"/>
          <w:szCs w:val="24"/>
          <w:lang w:val="en-US"/>
        </w:rPr>
        <w:t>URL</w:t>
      </w:r>
      <w:r>
        <w:rPr>
          <w:sz w:val="24"/>
          <w:szCs w:val="24"/>
        </w:rPr>
        <w:t>-адресу https://zakupki.gov.ru/.</w:t>
      </w:r>
    </w:p>
    <w:p>
      <w:pPr>
        <w:pStyle w:val="Style30"/>
        <w:ind w:firstLine="567"/>
        <w:rPr>
          <w:rFonts w:ascii="Times New Roman" w:hAnsi="Times New Roman"/>
          <w:sz w:val="24"/>
          <w:szCs w:val="24"/>
        </w:rPr>
      </w:pPr>
      <w:r>
        <w:rPr>
          <w:b/>
          <w:bCs/>
          <w:sz w:val="24"/>
          <w:szCs w:val="24"/>
        </w:rPr>
        <w:t>Положение о закупке</w:t>
      </w:r>
      <w:r>
        <w:rPr>
          <w:sz w:val="24"/>
          <w:szCs w:val="24"/>
        </w:rPr>
        <w:t xml:space="preserve"> – Единое Положение о закупке продукции для нужд Группы РусГидро.</w:t>
      </w:r>
    </w:p>
    <w:p>
      <w:pPr>
        <w:pStyle w:val="Style30"/>
        <w:ind w:firstLine="567"/>
        <w:rPr>
          <w:rFonts w:ascii="Times New Roman" w:hAnsi="Times New Roman"/>
          <w:sz w:val="24"/>
          <w:szCs w:val="24"/>
        </w:rPr>
      </w:pPr>
      <w:r>
        <w:rPr>
          <w:b/>
          <w:bCs/>
          <w:sz w:val="24"/>
          <w:szCs w:val="24"/>
        </w:rPr>
        <w:t>Положение об аккредитации</w:t>
      </w:r>
      <w:r>
        <w:rPr>
          <w:sz w:val="24"/>
          <w:szCs w:val="24"/>
        </w:rPr>
        <w:t xml:space="preserve"> – Единое Положение об аккредитации поставщиков продукции в Группе РусГидро, размещенное на Официальном сайте (в составе Положения о закупке).</w:t>
      </w:r>
    </w:p>
    <w:p>
      <w:pPr>
        <w:pStyle w:val="Style30"/>
        <w:ind w:firstLine="567"/>
        <w:rPr>
          <w:rFonts w:ascii="Times New Roman" w:hAnsi="Times New Roman"/>
          <w:sz w:val="24"/>
          <w:szCs w:val="24"/>
        </w:rPr>
      </w:pPr>
      <w:r>
        <w:rPr>
          <w:b/>
          <w:bCs/>
          <w:sz w:val="24"/>
          <w:szCs w:val="24"/>
        </w:rPr>
        <w:t>ПП 325</w:t>
      </w:r>
      <w:r>
        <w:rPr>
          <w:sz w:val="24"/>
          <w:szCs w:val="24"/>
        </w:rPr>
        <w:t xml:space="preserve"> – постановление Правительства Российской Федерации от 23.03.2017 №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w:t>
      </w:r>
    </w:p>
    <w:p>
      <w:pPr>
        <w:pStyle w:val="Style30"/>
        <w:ind w:firstLine="567"/>
        <w:rPr>
          <w:rFonts w:ascii="Times New Roman" w:hAnsi="Times New Roman"/>
          <w:sz w:val="24"/>
          <w:szCs w:val="24"/>
        </w:rPr>
      </w:pPr>
      <w:r>
        <w:rPr>
          <w:b/>
          <w:bCs/>
          <w:sz w:val="24"/>
          <w:szCs w:val="24"/>
        </w:rPr>
        <w:t>ПП 719</w:t>
      </w:r>
      <w:r>
        <w:rPr>
          <w:sz w:val="24"/>
          <w:szCs w:val="24"/>
        </w:rPr>
        <w:t xml:space="preserve"> – постановление Правительства Российской Федерации от 17.07. 2014 № 719 «О подтверждении производства российской промышленной продукции».</w:t>
      </w:r>
    </w:p>
    <w:p>
      <w:pPr>
        <w:pStyle w:val="Style30"/>
        <w:ind w:firstLine="567"/>
        <w:rPr>
          <w:rFonts w:ascii="Times New Roman" w:hAnsi="Times New Roman"/>
          <w:sz w:val="24"/>
          <w:szCs w:val="24"/>
        </w:rPr>
      </w:pPr>
      <w:r>
        <w:rPr>
          <w:b/>
          <w:bCs/>
          <w:sz w:val="24"/>
          <w:szCs w:val="24"/>
        </w:rPr>
        <w:t>ПП 1352</w:t>
      </w:r>
      <w:r>
        <w:rPr>
          <w:sz w:val="24"/>
          <w:szCs w:val="24"/>
        </w:rPr>
        <w:t xml:space="preserve"> – постановление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p>
      <w:pPr>
        <w:pStyle w:val="Style30"/>
        <w:ind w:firstLine="567"/>
        <w:rPr>
          <w:rFonts w:ascii="Times New Roman" w:hAnsi="Times New Roman"/>
          <w:sz w:val="24"/>
          <w:szCs w:val="24"/>
        </w:rPr>
      </w:pPr>
      <w:r>
        <w:rPr>
          <w:b/>
          <w:bCs/>
          <w:sz w:val="24"/>
          <w:szCs w:val="24"/>
        </w:rPr>
        <w:t>ПП 1875</w:t>
      </w:r>
      <w:r>
        <w:rPr>
          <w:sz w:val="24"/>
          <w:szCs w:val="24"/>
        </w:rPr>
        <w:t xml:space="preserve"> – постановление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pPr>
        <w:pStyle w:val="Style30"/>
        <w:ind w:firstLine="567"/>
        <w:rPr>
          <w:rFonts w:ascii="Times New Roman" w:hAnsi="Times New Roman"/>
          <w:sz w:val="24"/>
          <w:szCs w:val="24"/>
        </w:rPr>
      </w:pPr>
      <w:r>
        <w:rPr>
          <w:b/>
          <w:bCs/>
          <w:sz w:val="24"/>
          <w:szCs w:val="24"/>
        </w:rPr>
        <w:t>Реестр МСП</w:t>
      </w:r>
      <w:r>
        <w:rPr>
          <w:sz w:val="24"/>
          <w:szCs w:val="24"/>
        </w:rPr>
        <w:t xml:space="preserve"> – единый реестр субъектов малого и среднего предпринимательства, ведение которого осуществляется в соответствии с Законом 209-ФЗ.</w:t>
      </w:r>
    </w:p>
    <w:p>
      <w:pPr>
        <w:pStyle w:val="Style30"/>
        <w:ind w:firstLine="567"/>
        <w:rPr>
          <w:rFonts w:ascii="Times New Roman" w:hAnsi="Times New Roman"/>
          <w:sz w:val="24"/>
          <w:szCs w:val="24"/>
        </w:rPr>
      </w:pPr>
      <w:r>
        <w:rPr>
          <w:b/>
          <w:bCs/>
          <w:sz w:val="24"/>
          <w:szCs w:val="24"/>
        </w:rPr>
        <w:t>Система ЭДО</w:t>
      </w:r>
      <w:r>
        <w:rPr>
          <w:rStyle w:val="FootnoteReference"/>
          <w:b/>
          <w:bCs/>
          <w:sz w:val="24"/>
          <w:szCs w:val="24"/>
        </w:rPr>
        <w:footnoteReference w:id="2"/>
      </w:r>
      <w:r>
        <w:rPr>
          <w:sz w:val="24"/>
          <w:szCs w:val="24"/>
        </w:rPr>
        <w:t xml:space="preserve"> – информационная система, посредством которой осуществляется обмен информацией в электронной форме между участниками информационного взаимодействия.</w:t>
      </w:r>
    </w:p>
    <w:p>
      <w:pPr>
        <w:pStyle w:val="Style30"/>
        <w:ind w:firstLine="567"/>
        <w:rPr>
          <w:rFonts w:ascii="Times New Roman" w:hAnsi="Times New Roman"/>
          <w:sz w:val="24"/>
          <w:szCs w:val="24"/>
        </w:rPr>
      </w:pPr>
      <w:r>
        <w:rPr>
          <w:b/>
          <w:bCs/>
          <w:sz w:val="24"/>
          <w:szCs w:val="24"/>
        </w:rPr>
        <w:t>Стороны</w:t>
      </w:r>
      <w:r>
        <w:rPr>
          <w:sz w:val="24"/>
          <w:szCs w:val="24"/>
        </w:rPr>
        <w:t xml:space="preserve"> – Организатор, Заказчик и Участники, являющиеся сторонами данной закупки (при совместном упоминании).</w:t>
      </w:r>
    </w:p>
    <w:p>
      <w:pPr>
        <w:pStyle w:val="Style30"/>
        <w:ind w:firstLine="567"/>
        <w:rPr>
          <w:rFonts w:ascii="Times New Roman" w:hAnsi="Times New Roman"/>
          <w:sz w:val="24"/>
          <w:szCs w:val="24"/>
        </w:rPr>
      </w:pPr>
      <w:r>
        <w:rPr>
          <w:b/>
          <w:bCs/>
          <w:sz w:val="24"/>
          <w:szCs w:val="24"/>
        </w:rPr>
        <w:t>Субъект МСП</w:t>
      </w:r>
      <w:r>
        <w:rPr>
          <w:sz w:val="24"/>
          <w:szCs w:val="24"/>
        </w:rPr>
        <w:t xml:space="preserve"> – субъект малого и среднего предпринимательства.</w:t>
      </w:r>
    </w:p>
    <w:p>
      <w:pPr>
        <w:pStyle w:val="Style30"/>
        <w:ind w:firstLine="567"/>
        <w:rPr>
          <w:rFonts w:ascii="Times New Roman" w:hAnsi="Times New Roman"/>
          <w:sz w:val="24"/>
          <w:szCs w:val="24"/>
        </w:rPr>
      </w:pPr>
      <w:r>
        <w:rPr>
          <w:b/>
          <w:bCs/>
          <w:sz w:val="24"/>
          <w:szCs w:val="24"/>
        </w:rPr>
        <w:t>ЭП</w:t>
      </w:r>
      <w:r>
        <w:rPr>
          <w:sz w:val="24"/>
          <w:szCs w:val="24"/>
        </w:rPr>
        <w:t xml:space="preserve"> – электронная площадка.</w:t>
      </w:r>
    </w:p>
    <w:p>
      <w:pPr>
        <w:pStyle w:val="Style29"/>
        <w:numPr>
          <w:ilvl w:val="0"/>
          <w:numId w:val="0"/>
        </w:numPr>
        <w:ind w:hanging="0" w:left="0"/>
        <w:outlineLvl w:val="0"/>
        <w:rPr>
          <w:rFonts w:ascii="Times New Roman" w:hAnsi="Times New Roman"/>
          <w:sz w:val="24"/>
          <w:szCs w:val="24"/>
        </w:rPr>
      </w:pPr>
      <w:bookmarkStart w:id="1" w:name="_Toc229567027"/>
      <w:r>
        <w:rPr>
          <w:sz w:val="24"/>
          <w:szCs w:val="24"/>
        </w:rPr>
        <w:t>Термины и определения</w:t>
      </w:r>
      <w:bookmarkEnd w:id="1"/>
    </w:p>
    <w:p>
      <w:pPr>
        <w:pStyle w:val="Style30"/>
        <w:ind w:firstLine="567"/>
        <w:rPr>
          <w:rFonts w:ascii="Times New Roman" w:hAnsi="Times New Roman"/>
          <w:sz w:val="24"/>
          <w:szCs w:val="24"/>
        </w:rPr>
      </w:pPr>
      <w:r>
        <w:rPr>
          <w:b/>
          <w:bCs/>
          <w:sz w:val="24"/>
          <w:szCs w:val="24"/>
        </w:rPr>
        <w:t>Аккредитация</w:t>
      </w:r>
      <w:r>
        <w:rPr>
          <w:sz w:val="24"/>
          <w:szCs w:val="24"/>
        </w:rPr>
        <w:t xml:space="preserve"> – процедура проверки заявителей (потенциальных поставщиков) на соответствие требованиям в отношении их правоспособности, благонадежности и деловой репутации, с целью включения их в Реестр аккредитации для обеспечения (в этой части) допуска к участию в закупках, проводимых в Группе РусГидро. Аккредитация проводится с целью защиты интересов Заказчика от действий недобросовестных лиц и неблагонадежных поставщиков продукции при проведении закупочных процедур и выборе Победителя и является проявлением коммерческой осмотрительности Заказчика при заключении договора (-ов) по результатам закупки. Порядок проведения данной процедуры представлен в Положении об аккредитации.</w:t>
      </w:r>
    </w:p>
    <w:p>
      <w:pPr>
        <w:pStyle w:val="Style30"/>
        <w:ind w:firstLine="567"/>
        <w:rPr>
          <w:rFonts w:ascii="Times New Roman" w:hAnsi="Times New Roman"/>
          <w:sz w:val="24"/>
          <w:szCs w:val="24"/>
        </w:rPr>
      </w:pPr>
      <w:r>
        <w:rPr>
          <w:b/>
          <w:bCs/>
          <w:sz w:val="24"/>
          <w:szCs w:val="24"/>
        </w:rPr>
        <w:t>Актуализация статуса (аккредитации)</w:t>
      </w:r>
      <w:r>
        <w:rPr>
          <w:sz w:val="24"/>
          <w:szCs w:val="24"/>
        </w:rPr>
        <w:t xml:space="preserve"> – процедура повторной проверки определенного (конкретного)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с продлением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30"/>
        <w:ind w:firstLine="567"/>
        <w:rPr>
          <w:rFonts w:ascii="Times New Roman" w:hAnsi="Times New Roman"/>
          <w:sz w:val="24"/>
          <w:szCs w:val="24"/>
        </w:rPr>
      </w:pPr>
      <w:r>
        <w:rPr>
          <w:b/>
          <w:bCs/>
          <w:sz w:val="24"/>
          <w:szCs w:val="24"/>
        </w:rPr>
        <w:t>Альтернативное предложение</w:t>
      </w:r>
      <w:r>
        <w:rPr>
          <w:sz w:val="24"/>
          <w:szCs w:val="24"/>
        </w:rPr>
        <w:t xml:space="preserve"> – предложение Участника, подаваемое в составе заявки дополнительно к основному и содержащее одно или несколько условий, отличающихся от заявленных в основном предложении.</w:t>
      </w:r>
    </w:p>
    <w:p>
      <w:pPr>
        <w:pStyle w:val="Style30"/>
        <w:ind w:firstLine="567"/>
        <w:rPr>
          <w:rFonts w:ascii="Times New Roman" w:hAnsi="Times New Roman"/>
          <w:sz w:val="24"/>
          <w:szCs w:val="24"/>
        </w:rPr>
      </w:pPr>
      <w:r>
        <w:rPr>
          <w:b/>
          <w:bCs/>
          <w:sz w:val="24"/>
          <w:szCs w:val="24"/>
        </w:rPr>
        <w:t>Генеральный подрядчик</w:t>
      </w:r>
      <w:r>
        <w:rPr>
          <w:sz w:val="24"/>
          <w:szCs w:val="24"/>
        </w:rPr>
        <w:t xml:space="preserve"> – подрядчик, привлекающий к исполнению своих обязательств по договору с Заказчиком третьих лиц (субподрядчиков). Под генеральным подрядчиком и субподрядчиками понимаются соответственно также генеральный исполнитель и соисполнители, генеральный поставщик и субпоставщики, в зависимости от предмета закупки.</w:t>
      </w:r>
    </w:p>
    <w:p>
      <w:pPr>
        <w:pStyle w:val="Style30"/>
        <w:ind w:firstLine="567"/>
        <w:rPr>
          <w:rFonts w:ascii="Times New Roman" w:hAnsi="Times New Roman"/>
          <w:sz w:val="24"/>
          <w:szCs w:val="24"/>
        </w:rPr>
      </w:pPr>
      <w:r>
        <w:rPr>
          <w:b/>
          <w:bCs/>
          <w:sz w:val="24"/>
          <w:szCs w:val="24"/>
        </w:rPr>
        <w:t>Документация о закупке</w:t>
      </w:r>
      <w:r>
        <w:rPr>
          <w:sz w:val="24"/>
          <w:szCs w:val="24"/>
        </w:rPr>
        <w:t xml:space="preserve"> – комплект документов, содержащий всю необходимую согласно законодательству информацию о закупке и условиях ее проведения.</w:t>
      </w:r>
    </w:p>
    <w:p>
      <w:pPr>
        <w:pStyle w:val="Style30"/>
        <w:ind w:firstLine="567"/>
        <w:rPr>
          <w:rFonts w:ascii="Times New Roman" w:hAnsi="Times New Roman"/>
          <w:sz w:val="24"/>
          <w:szCs w:val="24"/>
        </w:rPr>
      </w:pPr>
      <w:r>
        <w:rPr>
          <w:b/>
          <w:bCs/>
          <w:sz w:val="24"/>
          <w:szCs w:val="24"/>
        </w:rPr>
        <w:t>Единая информационная система в сфере закупок</w:t>
      </w:r>
      <w:r>
        <w:rPr>
          <w:sz w:val="24"/>
          <w:szCs w:val="24"/>
        </w:rPr>
        <w:t xml:space="preserve">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в установленном законодательством порядке с использованием сети Интернет посредствам Официального сайта Единой информационной системы в сфере закупок.</w:t>
      </w:r>
    </w:p>
    <w:p>
      <w:pPr>
        <w:pStyle w:val="Style30"/>
        <w:ind w:firstLine="567"/>
        <w:rPr>
          <w:rFonts w:ascii="Times New Roman" w:hAnsi="Times New Roman"/>
          <w:sz w:val="24"/>
          <w:szCs w:val="24"/>
        </w:rPr>
      </w:pPr>
      <w:r>
        <w:rPr>
          <w:b/>
          <w:bCs/>
          <w:sz w:val="24"/>
          <w:szCs w:val="24"/>
        </w:rPr>
        <w:t>Единый реестр субъектов малого и среднего предпринимательства</w:t>
      </w:r>
      <w:r>
        <w:rPr>
          <w:sz w:val="24"/>
          <w:szCs w:val="24"/>
        </w:rPr>
        <w:t xml:space="preserve"> – реестр, являющийся официальным источником сведений о юридических лицах и об индивидуальных предпринимателях, отнесенных по законодательству к таковым, и размещенный в сети Интернет на официальном сайте федерального органа исполнительной власти Российской Федерации, осуществляющего функции по контролю и надзору за соблюдением законодательства о налогах и сборах.</w:t>
      </w:r>
    </w:p>
    <w:p>
      <w:pPr>
        <w:pStyle w:val="Style30"/>
        <w:ind w:firstLine="567"/>
        <w:rPr>
          <w:rFonts w:ascii="Times New Roman" w:hAnsi="Times New Roman"/>
          <w:sz w:val="24"/>
          <w:szCs w:val="24"/>
        </w:rPr>
      </w:pPr>
      <w:r>
        <w:rPr>
          <w:b/>
          <w:bCs/>
          <w:sz w:val="24"/>
          <w:szCs w:val="24"/>
        </w:rPr>
        <w:t>Заказчик</w:t>
      </w:r>
      <w:r>
        <w:rPr>
          <w:sz w:val="24"/>
          <w:szCs w:val="24"/>
        </w:rPr>
        <w:t xml:space="preserve"> – юридическое лицо, в интересах и за счет средств, которого осуществляется закупка.</w:t>
      </w:r>
    </w:p>
    <w:p>
      <w:pPr>
        <w:pStyle w:val="Style30"/>
        <w:ind w:firstLine="567"/>
        <w:rPr>
          <w:rFonts w:ascii="Times New Roman" w:hAnsi="Times New Roman"/>
          <w:sz w:val="24"/>
          <w:szCs w:val="24"/>
        </w:rPr>
      </w:pPr>
      <w:r>
        <w:rPr>
          <w:b/>
          <w:bCs/>
          <w:sz w:val="24"/>
          <w:szCs w:val="24"/>
        </w:rPr>
        <w:t>Закупка</w:t>
      </w:r>
      <w:r>
        <w:rPr>
          <w:sz w:val="24"/>
          <w:szCs w:val="24"/>
        </w:rPr>
        <w:t xml:space="preserve"> – последовательность действий, осуществляемая в соответствии с требованиями законодательства, Положением о закупке, иными локальными нормативными документами (актами) Заказчика, а для конкурентной закупки (и неконкурентной, проводимой способом состязательный отбор) дополнительно – правилами, установленными Извещением и Документацией о закупке, в результате которой производится выбор поставщика с целью заключения договора на приобретение продукции.</w:t>
      </w:r>
    </w:p>
    <w:p>
      <w:pPr>
        <w:pStyle w:val="Style30"/>
        <w:ind w:firstLine="567"/>
        <w:rPr>
          <w:rFonts w:ascii="Times New Roman" w:hAnsi="Times New Roman"/>
          <w:sz w:val="24"/>
          <w:szCs w:val="24"/>
        </w:rPr>
      </w:pPr>
      <w:r>
        <w:rPr>
          <w:b/>
          <w:bCs/>
          <w:sz w:val="24"/>
          <w:szCs w:val="24"/>
        </w:rPr>
        <w:t>Закупочная комиссия</w:t>
      </w:r>
      <w:r>
        <w:rPr>
          <w:sz w:val="24"/>
          <w:szCs w:val="24"/>
        </w:rPr>
        <w:t xml:space="preserve"> – коллегиальный орган, принимающий решения о ходе проведения соответствующей закупки (в том числе по выбору ее победителя).</w:t>
      </w:r>
    </w:p>
    <w:p>
      <w:pPr>
        <w:pStyle w:val="Style30"/>
        <w:ind w:firstLine="567"/>
        <w:rPr>
          <w:rFonts w:ascii="Times New Roman" w:hAnsi="Times New Roman"/>
          <w:sz w:val="24"/>
          <w:szCs w:val="24"/>
        </w:rPr>
      </w:pPr>
      <w:r>
        <w:rPr>
          <w:b/>
          <w:bCs/>
          <w:sz w:val="24"/>
          <w:szCs w:val="24"/>
        </w:rPr>
        <w:t>Заявка (заявка на участие в закупке)</w:t>
      </w:r>
      <w:r>
        <w:rPr>
          <w:sz w:val="24"/>
          <w:szCs w:val="24"/>
        </w:rPr>
        <w:t xml:space="preserve"> – документ (комплект документов), содержащий предложения Участника, направленный Организатору с намерением принять участие в процедурах соответствующей закупки и впоследствии заключить договор на поставку продукции на условиях, определенных Заказчиком: для конкурентных закупок – в Извещении и (или) Документацией о закупке.</w:t>
      </w:r>
    </w:p>
    <w:p>
      <w:pPr>
        <w:pStyle w:val="Style30"/>
        <w:ind w:firstLine="567"/>
        <w:rPr>
          <w:rFonts w:ascii="Times New Roman" w:hAnsi="Times New Roman"/>
          <w:sz w:val="24"/>
          <w:szCs w:val="24"/>
        </w:rPr>
      </w:pPr>
      <w:r>
        <w:rPr>
          <w:b/>
          <w:bCs/>
          <w:sz w:val="24"/>
          <w:szCs w:val="24"/>
        </w:rPr>
        <w:t>Заявка на аккредитацию</w:t>
      </w:r>
      <w:r>
        <w:rPr>
          <w:sz w:val="24"/>
          <w:szCs w:val="24"/>
        </w:rPr>
        <w:t xml:space="preserve"> – сведения, которые Заявитель предоставляет в установленном Положением об аккредитации порядке для прохождения аккредитации.</w:t>
      </w:r>
    </w:p>
    <w:p>
      <w:pPr>
        <w:pStyle w:val="Style30"/>
        <w:ind w:firstLine="567"/>
        <w:rPr>
          <w:rFonts w:ascii="Times New Roman" w:hAnsi="Times New Roman"/>
          <w:sz w:val="24"/>
          <w:szCs w:val="24"/>
        </w:rPr>
      </w:pPr>
      <w:r>
        <w:rPr>
          <w:b/>
          <w:bCs/>
          <w:sz w:val="24"/>
          <w:szCs w:val="24"/>
        </w:rPr>
        <w:t>Извещение о закупке (Извещение)</w:t>
      </w:r>
      <w:r>
        <w:rPr>
          <w:sz w:val="24"/>
          <w:szCs w:val="24"/>
        </w:rPr>
        <w:t xml:space="preserve"> – документ, предназначенный для потенциальных Участников, публикация (размещение) которого означает официальное объявление о начале закупки (информация в объеме, определенном частью 9 статьи 4 Закона 223-ФЗ и Положением о закупке); под данным документом и соответственно его размещением также подразумевается заполнение и создание на Официальном сайте (ЕИС) и (или) ЭП соответствующей страницы на указанных ресурсах с информацией об объявленной закупке.</w:t>
      </w:r>
    </w:p>
    <w:p>
      <w:pPr>
        <w:pStyle w:val="Style30"/>
        <w:ind w:firstLine="567"/>
        <w:rPr>
          <w:rFonts w:ascii="Times New Roman" w:hAnsi="Times New Roman"/>
          <w:sz w:val="24"/>
          <w:szCs w:val="24"/>
        </w:rPr>
      </w:pPr>
      <w:r>
        <w:rPr>
          <w:b/>
          <w:bCs/>
          <w:sz w:val="24"/>
          <w:szCs w:val="24"/>
        </w:rPr>
        <w:t>Интеллектуальные системы управления электросетевым хозяйством</w:t>
      </w:r>
      <w:r>
        <w:rPr>
          <w:sz w:val="24"/>
          <w:szCs w:val="24"/>
        </w:rPr>
        <w:t xml:space="preserve"> – системы удаленного мониторинга и диагностики, интеллектуальные системы учета электрической энергии (мощности), автоматизированные системы управления технологическими процессами подстанций, автоматизированные системы технологического управления центров управления сетями.</w:t>
      </w:r>
    </w:p>
    <w:p>
      <w:pPr>
        <w:pStyle w:val="Style30"/>
        <w:ind w:firstLine="567"/>
        <w:rPr>
          <w:rFonts w:ascii="Times New Roman" w:hAnsi="Times New Roman"/>
          <w:sz w:val="24"/>
          <w:szCs w:val="24"/>
        </w:rPr>
      </w:pPr>
      <w:r>
        <w:rPr>
          <w:b/>
          <w:bCs/>
          <w:sz w:val="24"/>
          <w:szCs w:val="24"/>
        </w:rPr>
        <w:t>Лот</w:t>
      </w:r>
      <w:r>
        <w:rPr>
          <w:sz w:val="24"/>
          <w:szCs w:val="24"/>
        </w:rPr>
        <w:t xml:space="preserve"> – продукция, на которую в рамках закупки допускаются подача отдельного предложения и заключение отдельного договора.</w:t>
      </w:r>
    </w:p>
    <w:p>
      <w:pPr>
        <w:pStyle w:val="Style30"/>
        <w:ind w:firstLine="567"/>
        <w:rPr>
          <w:rFonts w:ascii="Times New Roman" w:hAnsi="Times New Roman"/>
          <w:sz w:val="24"/>
          <w:szCs w:val="24"/>
        </w:rPr>
      </w:pPr>
      <w:r>
        <w:rPr>
          <w:b/>
          <w:bCs/>
          <w:sz w:val="24"/>
          <w:szCs w:val="24"/>
        </w:rPr>
        <w:t>Мониторинг аккредитованных поставщиков</w:t>
      </w:r>
      <w:r>
        <w:rPr>
          <w:sz w:val="24"/>
          <w:szCs w:val="24"/>
        </w:rPr>
        <w:t xml:space="preserve"> – процедура выборочной повторной проверки любого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без продления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30"/>
        <w:ind w:firstLine="567"/>
        <w:rPr>
          <w:rFonts w:ascii="Times New Roman" w:hAnsi="Times New Roman"/>
          <w:sz w:val="24"/>
          <w:szCs w:val="24"/>
        </w:rPr>
      </w:pPr>
      <w:r>
        <w:rPr>
          <w:b/>
          <w:bCs/>
          <w:sz w:val="24"/>
          <w:szCs w:val="24"/>
        </w:rPr>
        <w:t>Начальная (максимальная) цена договора</w:t>
      </w:r>
      <w:r>
        <w:rPr>
          <w:sz w:val="24"/>
          <w:szCs w:val="24"/>
        </w:rPr>
        <w:t xml:space="preserve"> – предельно допустимая цена договора (лота, единицы продукции), превышение которой исключает возможность заключения договора / недопустимо для заключения договора по итогам проведения закупки.</w:t>
      </w:r>
    </w:p>
    <w:p>
      <w:pPr>
        <w:pStyle w:val="Style30"/>
        <w:ind w:firstLine="567"/>
        <w:rPr>
          <w:rFonts w:ascii="Times New Roman" w:hAnsi="Times New Roman"/>
          <w:sz w:val="24"/>
          <w:szCs w:val="24"/>
        </w:rPr>
      </w:pPr>
      <w:r>
        <w:rPr>
          <w:b/>
          <w:bCs/>
          <w:sz w:val="24"/>
          <w:szCs w:val="24"/>
        </w:rPr>
        <w:t>Оператор электронной площадки</w:t>
      </w:r>
      <w:r>
        <w:rPr>
          <w:sz w:val="24"/>
          <w:szCs w:val="24"/>
        </w:rPr>
        <w:t xml:space="preserve"> – юридическое лицо, соответствующее требованиям законодательства, владеющее электронной площадкой и обеспечивающее проведение закупок в электронной форме в соответствии с положениями законодательства.</w:t>
      </w:r>
    </w:p>
    <w:p>
      <w:pPr>
        <w:pStyle w:val="Style30"/>
        <w:ind w:firstLine="567"/>
        <w:rPr>
          <w:rFonts w:ascii="Times New Roman" w:hAnsi="Times New Roman"/>
          <w:sz w:val="24"/>
          <w:szCs w:val="24"/>
        </w:rPr>
      </w:pPr>
      <w:r>
        <w:rPr>
          <w:b/>
          <w:bCs/>
          <w:sz w:val="24"/>
          <w:szCs w:val="24"/>
        </w:rPr>
        <w:t>Организатор</w:t>
      </w:r>
      <w:r>
        <w:rPr>
          <w:sz w:val="24"/>
          <w:szCs w:val="24"/>
        </w:rPr>
        <w:t xml:space="preserve"> – Заказчик или действующее по договору с ним юридическое лицо, выступающее Сторонним организатором закупки.</w:t>
      </w:r>
    </w:p>
    <w:p>
      <w:pPr>
        <w:pStyle w:val="Style30"/>
        <w:ind w:firstLine="567"/>
        <w:rPr>
          <w:rFonts w:ascii="Times New Roman" w:hAnsi="Times New Roman"/>
          <w:sz w:val="24"/>
          <w:szCs w:val="24"/>
        </w:rPr>
      </w:pPr>
      <w:r>
        <w:rPr>
          <w:b/>
          <w:bCs/>
          <w:sz w:val="24"/>
          <w:szCs w:val="24"/>
        </w:rPr>
        <w:t>Официальное размещение</w:t>
      </w:r>
      <w:r>
        <w:rPr>
          <w:sz w:val="24"/>
          <w:szCs w:val="24"/>
        </w:rPr>
        <w:t xml:space="preserve"> – размещение информации о закупке на ЭП. Если окончание срока размещения приходится на нерабочий день согласно законодательству, сведения размещаются в первый рабочий день, следующий за нерабочими днями.</w:t>
      </w:r>
    </w:p>
    <w:p>
      <w:pPr>
        <w:pStyle w:val="Style30"/>
        <w:ind w:firstLine="567"/>
        <w:rPr>
          <w:rFonts w:ascii="Times New Roman" w:hAnsi="Times New Roman"/>
          <w:sz w:val="24"/>
          <w:szCs w:val="24"/>
        </w:rPr>
      </w:pPr>
      <w:r>
        <w:rPr>
          <w:b/>
          <w:bCs/>
          <w:sz w:val="24"/>
          <w:szCs w:val="24"/>
        </w:rPr>
        <w:t>Переторжка</w:t>
      </w:r>
      <w:r>
        <w:rPr>
          <w:sz w:val="24"/>
          <w:szCs w:val="24"/>
        </w:rPr>
        <w:t xml:space="preserve"> – опциональный этап закупки, представляющий собой процедуру подачи Участниками дополнительных предложений с целью повысить их предпочтительность для Заказчика.</w:t>
      </w:r>
    </w:p>
    <w:p>
      <w:pPr>
        <w:pStyle w:val="Style30"/>
        <w:ind w:firstLine="567"/>
        <w:rPr>
          <w:rFonts w:ascii="Times New Roman" w:hAnsi="Times New Roman"/>
          <w:sz w:val="24"/>
          <w:szCs w:val="24"/>
        </w:rPr>
      </w:pPr>
      <w:r>
        <w:rPr>
          <w:b/>
          <w:bCs/>
          <w:sz w:val="24"/>
          <w:szCs w:val="24"/>
        </w:rPr>
        <w:t>Победитель</w:t>
      </w:r>
      <w:r>
        <w:rPr>
          <w:sz w:val="24"/>
          <w:szCs w:val="24"/>
        </w:rPr>
        <w:t xml:space="preserve"> – Участник, заявка которого соответствует требованиям Документации о закупке и который предложил лучшие условия исполнения договора на основании критериев оценки (или единственного критерия оценки, если условия закупки не предполагают два и более критерия оценки) в соответствии с Документацией о закупке. В случае признания закупки несостоявшейся Единственный участник такой закупки, с которым Заказчик принял решение заключить договор по результатам закупки, в оговоренных Положением о закупке случаях приобретает обязательства Победителя по заключению договора.</w:t>
      </w:r>
    </w:p>
    <w:p>
      <w:pPr>
        <w:pStyle w:val="Style30"/>
        <w:ind w:firstLine="567"/>
        <w:rPr>
          <w:rFonts w:ascii="Times New Roman" w:hAnsi="Times New Roman"/>
          <w:sz w:val="24"/>
          <w:szCs w:val="24"/>
        </w:rPr>
      </w:pPr>
      <w:r>
        <w:rPr>
          <w:b/>
          <w:bCs/>
          <w:sz w:val="24"/>
          <w:szCs w:val="24"/>
        </w:rPr>
        <w:t>Поставщик</w:t>
      </w:r>
      <w:r>
        <w:rPr>
          <w:sz w:val="24"/>
          <w:szCs w:val="24"/>
        </w:rPr>
        <w:t xml:space="preserve"> – любое юридическое или физическое лицо, а также объединение этих лиц, способное на законных основаниях поставить Заказчику требуемую продукцию. Под поставщиком продукции при закупке работ / услуг понимается соответственно подрядчик / исполнитель.</w:t>
      </w:r>
    </w:p>
    <w:p>
      <w:pPr>
        <w:pStyle w:val="Style30"/>
        <w:ind w:firstLine="567"/>
        <w:rPr>
          <w:rFonts w:ascii="Times New Roman" w:hAnsi="Times New Roman"/>
          <w:sz w:val="24"/>
          <w:szCs w:val="24"/>
        </w:rPr>
      </w:pPr>
      <w:r>
        <w:rPr>
          <w:b/>
          <w:bCs/>
          <w:sz w:val="24"/>
          <w:szCs w:val="24"/>
        </w:rPr>
        <w:t>Постквалификация</w:t>
      </w:r>
      <w:r>
        <w:rPr>
          <w:sz w:val="24"/>
          <w:szCs w:val="24"/>
        </w:rPr>
        <w:t xml:space="preserve"> – процедура дополнительной проверки Участника перед выбором его Победителем на подтверждения его соответствия квалификационным требованиям, установленным в Документации о закупке.</w:t>
      </w:r>
    </w:p>
    <w:p>
      <w:pPr>
        <w:pStyle w:val="Style30"/>
        <w:ind w:firstLine="567"/>
        <w:rPr>
          <w:rFonts w:ascii="Times New Roman" w:hAnsi="Times New Roman"/>
          <w:sz w:val="24"/>
          <w:szCs w:val="24"/>
        </w:rPr>
      </w:pPr>
      <w:r>
        <w:rPr>
          <w:b/>
          <w:bCs/>
          <w:sz w:val="24"/>
          <w:szCs w:val="24"/>
        </w:rPr>
        <w:t>Предмет закупки / предмет договора</w:t>
      </w:r>
      <w:r>
        <w:rPr>
          <w:sz w:val="24"/>
          <w:szCs w:val="24"/>
        </w:rPr>
        <w:t xml:space="preserve"> – конкретная продукция, которую предполагается закупить в объеме и на условиях, определенных Заказчиком.</w:t>
      </w:r>
    </w:p>
    <w:p>
      <w:pPr>
        <w:pStyle w:val="Style30"/>
        <w:ind w:firstLine="567"/>
        <w:rPr>
          <w:rFonts w:ascii="Times New Roman" w:hAnsi="Times New Roman"/>
          <w:sz w:val="24"/>
          <w:szCs w:val="24"/>
        </w:rPr>
      </w:pPr>
      <w:r>
        <w:rPr>
          <w:b/>
          <w:bCs/>
          <w:sz w:val="24"/>
          <w:szCs w:val="24"/>
        </w:rPr>
        <w:t>Преференция</w:t>
      </w:r>
      <w:r>
        <w:rPr>
          <w:sz w:val="24"/>
          <w:szCs w:val="24"/>
        </w:rPr>
        <w:t xml:space="preserve"> – преимущество, которое Заказчик предоставляет определенным группам поставщиков при проведении закупок в соответствии с Единым Положением о закупке продукции для нужд Группы РусГидро.</w:t>
      </w:r>
    </w:p>
    <w:p>
      <w:pPr>
        <w:pStyle w:val="Style30"/>
        <w:ind w:firstLine="567"/>
        <w:rPr>
          <w:rFonts w:ascii="Times New Roman" w:hAnsi="Times New Roman"/>
          <w:sz w:val="24"/>
          <w:szCs w:val="24"/>
        </w:rPr>
      </w:pPr>
      <w:r>
        <w:rPr>
          <w:b/>
          <w:bCs/>
          <w:sz w:val="24"/>
          <w:szCs w:val="24"/>
        </w:rPr>
        <w:t>Применение законодательства о национальном режиме</w:t>
      </w:r>
      <w:r>
        <w:rPr>
          <w:sz w:val="24"/>
          <w:szCs w:val="24"/>
        </w:rPr>
        <w:t xml:space="preserve"> – 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равных условий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в соответствии с нормами, установленными законодательством.</w:t>
      </w:r>
    </w:p>
    <w:p>
      <w:pPr>
        <w:pStyle w:val="Style30"/>
        <w:ind w:firstLine="567"/>
        <w:rPr>
          <w:rFonts w:ascii="Times New Roman" w:hAnsi="Times New Roman"/>
          <w:sz w:val="24"/>
          <w:szCs w:val="24"/>
        </w:rPr>
      </w:pPr>
      <w:r>
        <w:rPr>
          <w:b/>
          <w:bCs/>
          <w:sz w:val="24"/>
          <w:szCs w:val="24"/>
        </w:rPr>
        <w:t>Программное обеспечение</w:t>
      </w:r>
      <w:r>
        <w:rPr>
          <w:sz w:val="24"/>
          <w:szCs w:val="24"/>
        </w:rPr>
        <w:t xml:space="preserve"> – программное обеспечение, включенное в единый реестр Минцифры России российских программ для электронных вычислительных машин и баз данных, используемое в качестве компонента интеллектуальных систем управления электросетевым хозяйством.</w:t>
      </w:r>
    </w:p>
    <w:p>
      <w:pPr>
        <w:pStyle w:val="Style30"/>
        <w:ind w:firstLine="567"/>
        <w:rPr>
          <w:rFonts w:ascii="Times New Roman" w:hAnsi="Times New Roman"/>
          <w:sz w:val="24"/>
          <w:szCs w:val="24"/>
        </w:rPr>
      </w:pPr>
      <w:r>
        <w:rPr>
          <w:b/>
          <w:bCs/>
          <w:sz w:val="24"/>
          <w:szCs w:val="24"/>
        </w:rPr>
        <w:t>Продукция</w:t>
      </w:r>
      <w:r>
        <w:rPr>
          <w:sz w:val="24"/>
          <w:szCs w:val="24"/>
        </w:rPr>
        <w:t xml:space="preserve"> – товары, работы, услуги, приобретаемые Заказчиком на возмездной основе; в том числе в контексте «поставка продукции»: поставка товаров, выполнение работ, оказание услуг.</w:t>
      </w:r>
    </w:p>
    <w:p>
      <w:pPr>
        <w:pStyle w:val="Style30"/>
        <w:ind w:firstLine="567"/>
        <w:rPr>
          <w:rFonts w:ascii="Times New Roman" w:hAnsi="Times New Roman"/>
          <w:sz w:val="24"/>
          <w:szCs w:val="24"/>
        </w:rPr>
      </w:pPr>
      <w:r>
        <w:rPr>
          <w:b/>
          <w:bCs/>
          <w:sz w:val="24"/>
          <w:szCs w:val="24"/>
        </w:rPr>
        <w:t>Реестр аккредитации</w:t>
      </w:r>
      <w:r>
        <w:rPr>
          <w:sz w:val="24"/>
          <w:szCs w:val="24"/>
        </w:rPr>
        <w:t xml:space="preserve"> – перечень лиц – Заявителей, подававших Заявки на аккредитацию с указанием в отношении них результатов процедуры аккредитации.</w:t>
      </w:r>
    </w:p>
    <w:p>
      <w:pPr>
        <w:pStyle w:val="Style30"/>
        <w:ind w:firstLine="567"/>
        <w:rPr>
          <w:rFonts w:ascii="Times New Roman" w:hAnsi="Times New Roman"/>
          <w:sz w:val="24"/>
          <w:szCs w:val="24"/>
        </w:rPr>
      </w:pPr>
      <w:r>
        <w:rPr>
          <w:b/>
          <w:bCs/>
          <w:sz w:val="24"/>
          <w:szCs w:val="24"/>
        </w:rPr>
        <w:t>Субъект малого и среднего предпринимательства</w:t>
      </w:r>
      <w:r>
        <w:rPr>
          <w:sz w:val="24"/>
          <w:szCs w:val="24"/>
        </w:rPr>
        <w:t xml:space="preserve"> – определяется в соответствии с Законом 209-ФЗ. Все условия и требования данной Документации о закупке, относящиеся к субъектам МСП, распространяются также на физических лиц, не являющихся индивидуальными предпринимателями и применяющих специальный налоговый режим «Налог на профессиональный доход»</w:t>
      </w:r>
      <w:r>
        <w:rPr>
          <w:rStyle w:val="FootnoteReference"/>
          <w:sz w:val="24"/>
          <w:szCs w:val="24"/>
        </w:rPr>
        <w:footnoteReference w:id="3"/>
      </w:r>
      <w:r>
        <w:rPr>
          <w:sz w:val="24"/>
          <w:szCs w:val="24"/>
        </w:rPr>
        <w:t>, если иное не установлено в Документации о закупке.</w:t>
      </w:r>
    </w:p>
    <w:p>
      <w:pPr>
        <w:pStyle w:val="Style30"/>
        <w:ind w:firstLine="567"/>
        <w:rPr>
          <w:rFonts w:ascii="Times New Roman" w:hAnsi="Times New Roman"/>
          <w:sz w:val="24"/>
          <w:szCs w:val="24"/>
        </w:rPr>
      </w:pPr>
      <w:r>
        <w:rPr>
          <w:b/>
          <w:bCs/>
          <w:sz w:val="24"/>
          <w:szCs w:val="24"/>
        </w:rPr>
        <w:t>Уполномоченное лицо</w:t>
      </w:r>
      <w:r>
        <w:rPr>
          <w:sz w:val="24"/>
          <w:szCs w:val="24"/>
        </w:rPr>
        <w:t xml:space="preserve"> – руководитель организации, действующий на основании устава, или уполномоченное им лицо, действующее на основании доверенности на осуществление действий, </w:t>
      </w:r>
      <w:r>
        <w:rPr>
          <w:rFonts w:eastAsia="Calibri" w:cs="Times New Roman"/>
          <w:sz w:val="24"/>
          <w:szCs w:val="24"/>
          <w:shd w:fill="FFFFFF" w:val="clear"/>
        </w:rPr>
        <w:t>в том числе выданной в порядке передоверия,</w:t>
      </w:r>
      <w:r>
        <w:rPr>
          <w:sz w:val="24"/>
          <w:szCs w:val="24"/>
        </w:rPr>
        <w:t xml:space="preserve"> от имени организации, полномочия которых подтверждены соответствующими документами.</w:t>
      </w:r>
    </w:p>
    <w:p>
      <w:pPr>
        <w:pStyle w:val="Style30"/>
        <w:ind w:firstLine="567"/>
        <w:rPr>
          <w:rFonts w:ascii="Times New Roman" w:hAnsi="Times New Roman"/>
          <w:sz w:val="24"/>
          <w:szCs w:val="24"/>
        </w:rPr>
      </w:pPr>
      <w:r>
        <w:rPr>
          <w:b/>
          <w:bCs/>
          <w:sz w:val="24"/>
          <w:szCs w:val="24"/>
        </w:rPr>
        <w:t>Участник</w:t>
      </w:r>
      <w:r>
        <w:rPr>
          <w:sz w:val="24"/>
          <w:szCs w:val="24"/>
        </w:rPr>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Законом 255-ФЗ),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Законом 255-ФЗ), выразившее заинтересованность в участии в закупке (посредством получения Документации о закупке, направления запроса о разъяснении Документации о закупке, внесения обеспечения заявки или подачи заявки на участие в закупке).</w:t>
      </w:r>
    </w:p>
    <w:p>
      <w:pPr>
        <w:pStyle w:val="Style24"/>
        <w:rPr>
          <w:rFonts w:ascii="Times New Roman" w:hAnsi="Times New Roman"/>
          <w:sz w:val="24"/>
          <w:szCs w:val="24"/>
        </w:rPr>
      </w:pPr>
      <w:bookmarkStart w:id="2" w:name="_Ref125359988"/>
      <w:bookmarkStart w:id="3" w:name="_Toc229567028"/>
      <w:r>
        <w:rPr>
          <w:sz w:val="24"/>
          <w:szCs w:val="24"/>
        </w:rPr>
        <w:t>Основные сведения о закупке</w:t>
      </w:r>
      <w:bookmarkEnd w:id="2"/>
      <w:bookmarkEnd w:id="3"/>
    </w:p>
    <w:p>
      <w:pPr>
        <w:pStyle w:val="Style25"/>
        <w:rPr>
          <w:rFonts w:ascii="Times New Roman" w:hAnsi="Times New Roman"/>
          <w:sz w:val="24"/>
          <w:szCs w:val="24"/>
        </w:rPr>
      </w:pPr>
      <w:bookmarkStart w:id="4" w:name="_Toc229567029"/>
      <w:r>
        <w:rPr>
          <w:sz w:val="24"/>
          <w:szCs w:val="24"/>
        </w:rPr>
        <w:t>Статус настоящего раздела</w:t>
      </w:r>
      <w:bookmarkEnd w:id="4"/>
    </w:p>
    <w:p>
      <w:pPr>
        <w:pStyle w:val="Style26"/>
        <w:rPr>
          <w:rFonts w:ascii="Times New Roman" w:hAnsi="Times New Roman"/>
          <w:sz w:val="24"/>
          <w:szCs w:val="24"/>
        </w:rPr>
      </w:pPr>
      <w:r>
        <w:rPr>
          <w:sz w:val="24"/>
          <w:szCs w:val="24"/>
        </w:rPr>
        <w:t>В настоящем разделе содержатся основные сведения о предмете, способе и иных ключевых условиях проводимой закупки.</w:t>
      </w:r>
    </w:p>
    <w:p>
      <w:pPr>
        <w:pStyle w:val="Style26"/>
        <w:rPr/>
      </w:pPr>
      <w:r>
        <w:rPr>
          <w:sz w:val="24"/>
          <w:szCs w:val="24"/>
        </w:rPr>
        <w:t xml:space="preserve">Здесь и далее все используемые ссылки относятся к соответствующим пунктам, разделам и подразделам Документации о закупке, если прямо не указано иное; ссылки на приложения относятся к соответствующим приложениям к Документации о закупке, если прямо не указано иное. Ссылки на статьи, пункты и разделы, используемые в </w:t>
      </w:r>
      <w:hyperlink w:anchor="Прил01_ТехТребования">
        <w:r>
          <w:rPr>
            <w:rStyle w:val="Style14"/>
            <w:sz w:val="24"/>
            <w:szCs w:val="24"/>
          </w:rPr>
          <w:t>Технических требованиях (Приложение № 1)</w:t>
        </w:r>
      </w:hyperlink>
      <w:r>
        <w:rPr>
          <w:rStyle w:val="Style14"/>
          <w:sz w:val="24"/>
          <w:szCs w:val="24"/>
        </w:rPr>
        <w:t>,</w:t>
      </w:r>
      <w:r>
        <w:rPr>
          <w:sz w:val="24"/>
          <w:szCs w:val="24"/>
        </w:rPr>
        <w:t xml:space="preserve"> в </w:t>
      </w:r>
      <w:hyperlink w:anchor="Прил02_ПроектДоговора">
        <w:r>
          <w:rPr>
            <w:rStyle w:val="Style14"/>
            <w:sz w:val="24"/>
            <w:szCs w:val="24"/>
          </w:rPr>
          <w:t>Проекте договора (Приложение № 2)</w:t>
        </w:r>
      </w:hyperlink>
      <w:r>
        <w:rPr>
          <w:sz w:val="24"/>
          <w:szCs w:val="24"/>
        </w:rPr>
        <w:t xml:space="preserve"> и иных приложениях к Документации о закупке, относятся соответственно к статьям, пунктам и разделам этих приложений к Документации о закупке. Все приложения к Документации о закупке являются ее неотъемлемыми частями.</w:t>
      </w:r>
    </w:p>
    <w:p>
      <w:pPr>
        <w:pStyle w:val="Style26"/>
        <w:rPr>
          <w:rFonts w:ascii="Times New Roman" w:hAnsi="Times New Roman"/>
          <w:sz w:val="24"/>
          <w:szCs w:val="24"/>
        </w:rPr>
      </w:pPr>
      <w:bookmarkStart w:id="5" w:name="_Ref136768031"/>
      <w:r>
        <w:rPr>
          <w:sz w:val="24"/>
          <w:szCs w:val="24"/>
        </w:rPr>
        <w:t>Информация о проводимой закупке, указанная в подразделе </w:t>
      </w:r>
      <w:r>
        <w:rPr>
          <w:sz w:val="24"/>
          <w:szCs w:val="24"/>
        </w:rPr>
        <w:fldChar w:fldCharType="begin"/>
      </w:r>
      <w:r>
        <w:rPr>
          <w:sz w:val="24"/>
          <w:szCs w:val="24"/>
        </w:rPr>
        <w:instrText xml:space="preserve"> REF _Ref125359973 \r \h </w:instrText>
      </w:r>
      <w:r>
        <w:rPr>
          <w:sz w:val="24"/>
          <w:szCs w:val="24"/>
        </w:rPr>
        <w:fldChar w:fldCharType="separate"/>
      </w:r>
      <w:r>
        <w:rPr>
          <w:sz w:val="24"/>
          <w:szCs w:val="24"/>
        </w:rPr>
        <w:t>1.2</w:t>
      </w:r>
      <w:r>
        <w:rPr>
          <w:sz w:val="24"/>
          <w:szCs w:val="24"/>
        </w:rPr>
        <w:fldChar w:fldCharType="end"/>
      </w:r>
      <w:r>
        <w:rPr>
          <w:sz w:val="24"/>
          <w:szCs w:val="24"/>
        </w:rPr>
        <w:t>, в объеме, определенном частью 9 статьи 4 Закона 223-ФЗ, составляет Извещение о закупке.</w:t>
      </w:r>
      <w:bookmarkEnd w:id="5"/>
    </w:p>
    <w:p>
      <w:pPr>
        <w:pStyle w:val="Style25"/>
        <w:spacing w:before="360" w:after="120"/>
        <w:rPr>
          <w:rFonts w:ascii="Times New Roman" w:hAnsi="Times New Roman"/>
          <w:sz w:val="24"/>
          <w:szCs w:val="24"/>
        </w:rPr>
      </w:pPr>
      <w:bookmarkStart w:id="6" w:name="_Ref125359973"/>
      <w:bookmarkStart w:id="7" w:name="_Ref127270076"/>
      <w:bookmarkStart w:id="8" w:name="_Toc229567030"/>
      <w:r>
        <w:rPr>
          <w:sz w:val="24"/>
          <w:szCs w:val="24"/>
        </w:rPr>
        <w:t>Информация о проводимой закупке</w:t>
      </w:r>
      <w:bookmarkEnd w:id="6"/>
      <w:bookmarkEnd w:id="7"/>
      <w:bookmarkEnd w:id="8"/>
    </w:p>
    <w:tbl>
      <w:tblPr>
        <w:tblStyle w:val="af6"/>
        <w:tblW w:w="9754"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842"/>
        <w:gridCol w:w="3236"/>
        <w:gridCol w:w="5676"/>
      </w:tblGrid>
      <w:tr>
        <w:trPr>
          <w:cnfStyle w:val="100000000000" w:firstRow="1" w:lastRow="0" w:firstColumn="0" w:lastColumn="0" w:oddVBand="0" w:evenVBand="0" w:oddHBand="0" w:evenHBand="0" w:firstRowFirstColumn="0" w:firstRowLastColumn="0" w:lastRowFirstColumn="0" w:lastRowLastColumn="0"/>
        </w:trPr>
        <w:tc>
          <w:tcPr>
            <w:tcW w:w="842" w:type="dxa"/>
            <w:tcBorders/>
          </w:tcPr>
          <w:p>
            <w:pPr>
              <w:pStyle w:val="Style30"/>
              <w:keepNext w:val="true"/>
              <w:keepLines w:val="false"/>
              <w:widowControl w:val="false"/>
              <w:suppressAutoHyphens w:val="true"/>
              <w:spacing w:before="60" w:after="60"/>
              <w:jc w:val="center"/>
              <w:rPr>
                <w:rFonts w:ascii="Times New Roman" w:hAnsi="Times New Roman"/>
                <w:sz w:val="24"/>
                <w:szCs w:val="24"/>
              </w:rPr>
            </w:pPr>
            <w:r>
              <w:rPr>
                <w:rFonts w:eastAsia="Calibri" w:cs=""/>
                <w:b/>
                <w:kern w:val="0"/>
                <w:sz w:val="24"/>
                <w:szCs w:val="24"/>
                <w:lang w:val="ru-RU" w:eastAsia="en-US" w:bidi="ar-SA"/>
              </w:rPr>
              <w:t>№</w:t>
            </w:r>
            <w:r>
              <w:rPr>
                <w:rFonts w:eastAsia="Calibri" w:cs=""/>
                <w:b/>
                <w:kern w:val="0"/>
                <w:sz w:val="24"/>
                <w:szCs w:val="24"/>
                <w:lang w:val="ru-RU" w:eastAsia="en-US" w:bidi="ar-SA"/>
              </w:rPr>
              <w:br/>
              <w:t>п/п</w:t>
            </w:r>
          </w:p>
        </w:tc>
        <w:tc>
          <w:tcPr>
            <w:tcW w:w="3236" w:type="dxa"/>
            <w:tcBorders/>
          </w:tcPr>
          <w:p>
            <w:pPr>
              <w:pStyle w:val="Style30"/>
              <w:keepNext w:val="true"/>
              <w:keepLines w:val="false"/>
              <w:widowControl w:val="false"/>
              <w:suppressAutoHyphens w:val="true"/>
              <w:spacing w:before="60" w:after="60"/>
              <w:jc w:val="center"/>
              <w:rPr>
                <w:rFonts w:ascii="Times New Roman" w:hAnsi="Times New Roman"/>
                <w:sz w:val="24"/>
                <w:szCs w:val="24"/>
              </w:rPr>
            </w:pPr>
            <w:r>
              <w:rPr>
                <w:rFonts w:eastAsia="Calibri" w:cs=""/>
                <w:b/>
                <w:kern w:val="0"/>
                <w:sz w:val="24"/>
                <w:szCs w:val="24"/>
                <w:lang w:val="ru-RU" w:eastAsia="en-US" w:bidi="ar-SA"/>
              </w:rPr>
              <w:t>Наименование пункта</w:t>
            </w:r>
          </w:p>
        </w:tc>
        <w:tc>
          <w:tcPr>
            <w:tcW w:w="5676" w:type="dxa"/>
            <w:tcBorders/>
          </w:tcPr>
          <w:p>
            <w:pPr>
              <w:pStyle w:val="Style30"/>
              <w:keepNext w:val="true"/>
              <w:keepLines w:val="false"/>
              <w:widowControl w:val="false"/>
              <w:suppressAutoHyphens w:val="true"/>
              <w:spacing w:before="60" w:after="60"/>
              <w:jc w:val="center"/>
              <w:rPr>
                <w:rFonts w:ascii="Times New Roman" w:hAnsi="Times New Roman"/>
                <w:sz w:val="24"/>
                <w:szCs w:val="24"/>
              </w:rPr>
            </w:pPr>
            <w:r>
              <w:rPr>
                <w:rFonts w:eastAsia="Calibri" w:cs=""/>
                <w:b/>
                <w:kern w:val="0"/>
                <w:sz w:val="24"/>
                <w:szCs w:val="24"/>
                <w:lang w:val="ru-RU" w:eastAsia="en-US" w:bidi="ar-SA"/>
              </w:rPr>
              <w:t>Содержание пункта</w:t>
            </w:r>
          </w:p>
        </w:tc>
      </w:tr>
      <w:tr>
        <w:trPr/>
        <w:tc>
          <w:tcPr>
            <w:tcW w:w="842" w:type="dxa"/>
            <w:tcBorders/>
          </w:tcPr>
          <w:p>
            <w:pPr>
              <w:pStyle w:val="Style26"/>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bookmarkStart w:id="9" w:name="_Ref125360980"/>
            <w:bookmarkStart w:id="10" w:name="_Ref125360980"/>
            <w:bookmarkEnd w:id="10"/>
          </w:p>
        </w:tc>
        <w:tc>
          <w:tcPr>
            <w:tcW w:w="3236" w:type="dxa"/>
            <w:tcBorders/>
          </w:tcPr>
          <w:p>
            <w:pPr>
              <w:pStyle w:val="Style30"/>
              <w:widowControl w:val="false"/>
              <w:suppressAutoHyphens w:val="true"/>
              <w:spacing w:before="60" w:after="60"/>
              <w:jc w:val="left"/>
              <w:rPr>
                <w:rFonts w:ascii="Times New Roman" w:hAnsi="Times New Roman"/>
                <w:sz w:val="24"/>
                <w:szCs w:val="24"/>
              </w:rPr>
            </w:pPr>
            <w:r>
              <w:rPr>
                <w:rFonts w:eastAsia="Calibri" w:cs=""/>
                <w:kern w:val="0"/>
                <w:sz w:val="24"/>
                <w:szCs w:val="24"/>
                <w:lang w:val="ru-RU" w:eastAsia="en-US" w:bidi="ar-SA"/>
              </w:rPr>
              <w:t>Способ закупки:</w:t>
            </w:r>
          </w:p>
        </w:tc>
        <w:tc>
          <w:tcPr>
            <w:tcW w:w="5676" w:type="dxa"/>
            <w:tcBorders/>
          </w:tcPr>
          <w:p>
            <w:pPr>
              <w:pStyle w:val="Style30"/>
              <w:widowControl w:val="false"/>
              <w:suppressAutoHyphens w:val="true"/>
              <w:spacing w:before="60" w:after="60"/>
              <w:rPr>
                <w:rFonts w:ascii="Times New Roman" w:hAnsi="Times New Roman"/>
                <w:sz w:val="24"/>
                <w:szCs w:val="24"/>
              </w:rPr>
            </w:pPr>
            <w:r>
              <w:rPr>
                <w:rFonts w:eastAsia="Calibri" w:cs=""/>
                <w:kern w:val="0"/>
                <w:sz w:val="24"/>
                <w:szCs w:val="24"/>
                <w:lang w:val="ru-RU" w:eastAsia="en-US" w:bidi="ar-SA"/>
              </w:rPr>
              <w:t>Состязательный отбор в электронной форме, участниками которого могут быть только субъекты МСП.</w:t>
            </w:r>
          </w:p>
        </w:tc>
      </w:tr>
      <w:tr>
        <w:trPr/>
        <w:tc>
          <w:tcPr>
            <w:tcW w:w="842" w:type="dxa"/>
            <w:tcBorders/>
          </w:tcPr>
          <w:p>
            <w:pPr>
              <w:pStyle w:val="Style26"/>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bookmarkStart w:id="11" w:name="_Ref125360996"/>
            <w:bookmarkStart w:id="12" w:name="_Ref125360996"/>
            <w:bookmarkEnd w:id="12"/>
          </w:p>
        </w:tc>
        <w:tc>
          <w:tcPr>
            <w:tcW w:w="3236" w:type="dxa"/>
            <w:tcBorders/>
          </w:tcPr>
          <w:p>
            <w:pPr>
              <w:pStyle w:val="Style30"/>
              <w:widowControl w:val="false"/>
              <w:suppressAutoHyphens w:val="true"/>
              <w:spacing w:before="60" w:after="60"/>
              <w:jc w:val="left"/>
              <w:rPr>
                <w:rFonts w:ascii="Times New Roman" w:hAnsi="Times New Roman"/>
                <w:sz w:val="24"/>
                <w:szCs w:val="24"/>
              </w:rPr>
            </w:pPr>
            <w:r>
              <w:rPr>
                <w:rFonts w:eastAsia="Calibri" w:cs=""/>
                <w:kern w:val="0"/>
                <w:sz w:val="24"/>
                <w:szCs w:val="24"/>
                <w:lang w:val="ru-RU" w:eastAsia="en-US" w:bidi="ar-SA"/>
              </w:rPr>
              <w:t>Предмет Договора</w:t>
              <w:br/>
              <w:t>(в том числе номер лота):</w:t>
            </w:r>
          </w:p>
        </w:tc>
        <w:tc>
          <w:tcPr>
            <w:tcW w:w="5676" w:type="dxa"/>
            <w:tcBorders/>
          </w:tcPr>
          <w:p>
            <w:pPr>
              <w:pStyle w:val="Style30"/>
              <w:widowControl w:val="false"/>
              <w:suppressAutoHyphens w:val="true"/>
              <w:spacing w:before="60" w:after="60"/>
              <w:rPr>
                <w:rFonts w:ascii="Times New Roman" w:hAnsi="Times New Roman"/>
                <w:sz w:val="24"/>
                <w:szCs w:val="24"/>
              </w:rPr>
            </w:pPr>
            <w:r>
              <w:rPr>
                <w:rFonts w:eastAsia="Calibri" w:cs=""/>
                <w:kern w:val="0"/>
                <w:sz w:val="24"/>
                <w:szCs w:val="24"/>
                <w:lang w:val="ru-RU" w:eastAsia="en-US" w:bidi="ar-SA"/>
              </w:rPr>
              <w:t>Лот № </w:t>
            </w:r>
            <w:r>
              <w:rPr>
                <w:rFonts w:eastAsia="Calibri" w:cs=""/>
                <w:i w:val="false"/>
                <w:iCs w:val="false"/>
                <w:kern w:val="0"/>
                <w:sz w:val="24"/>
                <w:szCs w:val="24"/>
                <w:lang w:val="ru-RU" w:eastAsia="en-US" w:bidi="ar-SA"/>
              </w:rPr>
              <w:t>6-ТПИР-ПИР-2026-БурГЭС</w:t>
            </w:r>
            <w:r>
              <w:rPr>
                <w:rFonts w:eastAsia="Calibri" w:cs=""/>
                <w:kern w:val="0"/>
                <w:sz w:val="24"/>
                <w:szCs w:val="24"/>
                <w:lang w:val="ru-RU" w:eastAsia="en-US" w:bidi="ar-SA"/>
              </w:rPr>
              <w:t xml:space="preserve"> </w:t>
            </w:r>
            <w:r>
              <w:rPr>
                <w:rFonts w:eastAsia="Calibri" w:cs="Times New Roman"/>
                <w:b w:val="false"/>
                <w:i w:val="false"/>
                <w:iCs w:val="false"/>
                <w:caps w:val="false"/>
                <w:smallCaps w:val="false"/>
                <w:color w:val="000000"/>
                <w:spacing w:val="0"/>
                <w:kern w:val="0"/>
                <w:sz w:val="24"/>
                <w:szCs w:val="24"/>
                <w:lang w:val="ru-RU" w:eastAsia="x-none" w:bidi="ar-SA"/>
              </w:rPr>
              <w:t>«</w:t>
            </w:r>
            <w:r>
              <w:rPr>
                <w:rFonts w:eastAsia="Calibri" w:cs="Times New Roman"/>
                <w:b w:val="false"/>
                <w:i w:val="false"/>
                <w:iCs w:val="false"/>
                <w:caps w:val="false"/>
                <w:smallCaps w:val="false"/>
                <w:color w:val="000000"/>
                <w:spacing w:val="0"/>
                <w:kern w:val="0"/>
                <w:sz w:val="24"/>
                <w:szCs w:val="24"/>
                <w:lang w:val="ru-RU" w:eastAsia="en-US" w:bidi="ar-SA"/>
              </w:rPr>
              <w:t>ОКПД2 71.12.17.000 Разработка рабочей документации на модернизацию силового трансформатора ТДЦ-400000/500 № 6 Бурейской ГЭС путем установки оборудования системы защиты от взрывов и пожаров "SERGI"</w:t>
            </w:r>
            <w:r>
              <w:rPr>
                <w:rFonts w:eastAsia="Calibri" w:cs="Times New Roman"/>
                <w:b w:val="false"/>
                <w:i w:val="false"/>
                <w:iCs w:val="false"/>
                <w:caps w:val="false"/>
                <w:smallCaps w:val="false"/>
                <w:color w:val="000000"/>
                <w:spacing w:val="0"/>
                <w:kern w:val="0"/>
                <w:sz w:val="24"/>
                <w:szCs w:val="24"/>
                <w:lang w:val="ru-RU" w:eastAsia="x-none" w:bidi="ar-SA"/>
              </w:rPr>
              <w:t>»</w:t>
            </w:r>
            <w:r>
              <w:rPr>
                <w:rFonts w:eastAsia="Calibri" w:cs=""/>
                <w:kern w:val="0"/>
                <w:sz w:val="24"/>
                <w:szCs w:val="24"/>
                <w:lang w:val="ru-RU" w:eastAsia="en-US" w:bidi="ar-SA"/>
              </w:rPr>
              <w:t xml:space="preserve">  </w:t>
            </w:r>
          </w:p>
        </w:tc>
      </w:tr>
      <w:tr>
        <w:trPr/>
        <w:tc>
          <w:tcPr>
            <w:tcW w:w="842" w:type="dxa"/>
            <w:tcBorders/>
          </w:tcPr>
          <w:p>
            <w:pPr>
              <w:pStyle w:val="Style26"/>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bookmarkStart w:id="13" w:name="_Ref135729276"/>
            <w:bookmarkStart w:id="14" w:name="_Ref135729276"/>
            <w:bookmarkEnd w:id="14"/>
          </w:p>
        </w:tc>
        <w:tc>
          <w:tcPr>
            <w:tcW w:w="3236" w:type="dxa"/>
            <w:tcBorders/>
          </w:tcPr>
          <w:p>
            <w:pPr>
              <w:pStyle w:val="Style30"/>
              <w:widowControl w:val="false"/>
              <w:suppressAutoHyphens w:val="true"/>
              <w:spacing w:before="60" w:after="60"/>
              <w:jc w:val="left"/>
              <w:rPr>
                <w:rFonts w:ascii="Times New Roman" w:hAnsi="Times New Roman"/>
                <w:sz w:val="24"/>
                <w:szCs w:val="24"/>
              </w:rPr>
            </w:pPr>
            <w:r>
              <w:rPr>
                <w:rFonts w:eastAsia="Calibri" w:cs=""/>
                <w:kern w:val="0"/>
                <w:sz w:val="24"/>
                <w:szCs w:val="24"/>
                <w:lang w:val="ru-RU" w:eastAsia="en-US" w:bidi="ar-SA"/>
              </w:rPr>
              <w:t>Описание</w:t>
              <w:br/>
              <w:t>предмета закупки:</w:t>
            </w:r>
          </w:p>
        </w:tc>
        <w:tc>
          <w:tcPr>
            <w:tcW w:w="5676" w:type="dxa"/>
            <w:tcBorders/>
          </w:tcPr>
          <w:p>
            <w:pPr>
              <w:pStyle w:val="Style30"/>
              <w:widowControl w:val="false"/>
              <w:suppressAutoHyphens w:val="true"/>
              <w:spacing w:before="60" w:after="60"/>
              <w:rPr/>
            </w:pPr>
            <w:r>
              <w:rPr>
                <w:rFonts w:eastAsia="Calibri" w:cs=""/>
                <w:kern w:val="0"/>
                <w:sz w:val="24"/>
                <w:szCs w:val="24"/>
                <w:lang w:val="ru-RU" w:eastAsia="en-US" w:bidi="ar-SA"/>
              </w:rPr>
              <w:t>Подробное описание предмета закупки, в том числе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информация о количестве поставляемого товара, объема выполняемых работ, оказываемых услуг, а также место поставки товара, выполнения работы, оказания услуги, содержится в </w:t>
            </w:r>
            <w:hyperlink w:anchor="Прил01_ТехТребования">
              <w:r>
                <w:rPr>
                  <w:rStyle w:val="Style14"/>
                  <w:rFonts w:eastAsia="Calibri" w:cs=""/>
                  <w:kern w:val="0"/>
                  <w:sz w:val="24"/>
                  <w:szCs w:val="24"/>
                  <w:lang w:val="ru-RU" w:eastAsia="en-US" w:bidi="ar-SA"/>
                </w:rPr>
                <w:t>Технических требованиях (Приложении № 1)</w:t>
              </w:r>
            </w:hyperlink>
            <w:r>
              <w:rPr>
                <w:rFonts w:eastAsia="Calibri" w:cs=""/>
                <w:kern w:val="0"/>
                <w:sz w:val="24"/>
                <w:szCs w:val="24"/>
                <w:lang w:val="ru-RU" w:eastAsia="en-US" w:bidi="ar-SA"/>
              </w:rPr>
              <w:t>, в части требований, обусловленных законодательством о национальном режиме дополнительно в Структуре НМЦ (в составе Коммерческого предложения (форма 3) (</w:t>
            </w:r>
            <w:hyperlink w:anchor="Прил04_ФормыЗаявки">
              <w:r>
                <w:rPr>
                  <w:rStyle w:val="Style14"/>
                  <w:rFonts w:eastAsia="Calibri" w:cs=""/>
                  <w:kern w:val="0"/>
                  <w:sz w:val="24"/>
                  <w:szCs w:val="24"/>
                  <w:lang w:val="ru-RU" w:eastAsia="en-US" w:bidi="ar-SA"/>
                </w:rPr>
                <w:t>Приложение № 4</w:t>
              </w:r>
            </w:hyperlink>
            <w:r>
              <w:rPr>
                <w:rFonts w:eastAsia="Calibri" w:cs=""/>
                <w:kern w:val="0"/>
                <w:sz w:val="24"/>
                <w:szCs w:val="24"/>
                <w:lang w:val="ru-RU" w:eastAsia="en-US" w:bidi="ar-SA"/>
              </w:rPr>
              <w:t>)).</w:t>
            </w:r>
          </w:p>
        </w:tc>
      </w:tr>
      <w:tr>
        <w:trPr>
          <w:trHeight w:val="535" w:hRule="atLeast"/>
        </w:trPr>
        <w:tc>
          <w:tcPr>
            <w:tcW w:w="842" w:type="dxa"/>
            <w:tcBorders/>
          </w:tcPr>
          <w:p>
            <w:pPr>
              <w:pStyle w:val="Style26"/>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bookmarkStart w:id="15" w:name="_Ref125367124"/>
            <w:bookmarkStart w:id="16" w:name="_Ref125367124"/>
            <w:bookmarkEnd w:id="16"/>
          </w:p>
        </w:tc>
        <w:tc>
          <w:tcPr>
            <w:tcW w:w="3236" w:type="dxa"/>
            <w:tcBorders/>
          </w:tcPr>
          <w:p>
            <w:pPr>
              <w:pStyle w:val="Style30"/>
              <w:widowControl w:val="false"/>
              <w:suppressAutoHyphens w:val="true"/>
              <w:spacing w:before="60" w:after="60"/>
              <w:jc w:val="left"/>
              <w:rPr>
                <w:rFonts w:ascii="Times New Roman" w:hAnsi="Times New Roman"/>
                <w:sz w:val="24"/>
                <w:szCs w:val="24"/>
              </w:rPr>
            </w:pPr>
            <w:r>
              <w:rPr>
                <w:rFonts w:eastAsia="Calibri" w:cs=""/>
                <w:kern w:val="0"/>
                <w:sz w:val="24"/>
                <w:szCs w:val="24"/>
                <w:lang w:val="ru-RU" w:eastAsia="en-US" w:bidi="ar-SA"/>
              </w:rPr>
              <w:t>Многолотовая закупка:</w:t>
            </w:r>
          </w:p>
        </w:tc>
        <w:tc>
          <w:tcPr>
            <w:tcW w:w="5676" w:type="dxa"/>
            <w:tcBorders/>
          </w:tcPr>
          <w:p>
            <w:pPr>
              <w:pStyle w:val="Style30"/>
              <w:widowControl w:val="false"/>
              <w:suppressAutoHyphens w:val="true"/>
              <w:spacing w:before="60" w:after="60"/>
              <w:rPr>
                <w:rFonts w:ascii="Times New Roman" w:hAnsi="Times New Roman"/>
                <w:sz w:val="24"/>
                <w:szCs w:val="24"/>
              </w:rPr>
            </w:pPr>
            <w:r>
              <w:rPr>
                <w:rFonts w:eastAsia="Calibri" w:cs=""/>
                <w:kern w:val="0"/>
                <w:sz w:val="24"/>
                <w:szCs w:val="24"/>
                <w:lang w:val="ru-RU" w:eastAsia="en-US" w:bidi="ar-SA"/>
              </w:rPr>
              <w:t>Нет.</w:t>
            </w:r>
          </w:p>
        </w:tc>
      </w:tr>
      <w:tr>
        <w:trPr/>
        <w:tc>
          <w:tcPr>
            <w:tcW w:w="842" w:type="dxa"/>
            <w:tcBorders/>
          </w:tcPr>
          <w:p>
            <w:pPr>
              <w:pStyle w:val="Style26"/>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bookmarkStart w:id="17" w:name="_Ref125360764"/>
            <w:bookmarkStart w:id="18" w:name="_Ref125360764"/>
            <w:bookmarkEnd w:id="18"/>
          </w:p>
        </w:tc>
        <w:tc>
          <w:tcPr>
            <w:tcW w:w="3236" w:type="dxa"/>
            <w:tcBorders/>
          </w:tcPr>
          <w:p>
            <w:pPr>
              <w:pStyle w:val="Style30"/>
              <w:widowControl w:val="false"/>
              <w:suppressAutoHyphens w:val="true"/>
              <w:spacing w:before="60" w:after="60"/>
              <w:jc w:val="left"/>
              <w:rPr>
                <w:rFonts w:ascii="Times New Roman" w:hAnsi="Times New Roman"/>
                <w:sz w:val="24"/>
                <w:szCs w:val="24"/>
              </w:rPr>
            </w:pPr>
            <w:r>
              <w:rPr>
                <w:rFonts w:eastAsia="Calibri" w:cs=""/>
                <w:kern w:val="0"/>
                <w:sz w:val="24"/>
                <w:szCs w:val="24"/>
                <w:lang w:val="ru-RU" w:eastAsia="en-US" w:bidi="ar-SA"/>
              </w:rPr>
              <w:t>Наименование и адрес ЭП, на которой проводится закупка:</w:t>
            </w:r>
          </w:p>
        </w:tc>
        <w:tc>
          <w:tcPr>
            <w:tcW w:w="5676" w:type="dxa"/>
            <w:tcBorders/>
          </w:tcPr>
          <w:p>
            <w:pPr>
              <w:pStyle w:val="Style30"/>
              <w:widowControl w:val="false"/>
              <w:suppressAutoHyphens w:val="true"/>
              <w:spacing w:before="60" w:after="60"/>
              <w:rPr>
                <w:rFonts w:ascii="Times New Roman" w:hAnsi="Times New Roman"/>
                <w:sz w:val="24"/>
                <w:szCs w:val="24"/>
              </w:rPr>
            </w:pPr>
            <w:r>
              <w:rPr>
                <w:rFonts w:eastAsia="Calibri" w:cs=""/>
                <w:kern w:val="0"/>
                <w:sz w:val="24"/>
                <w:szCs w:val="24"/>
                <w:lang w:val="ru-RU" w:eastAsia="en-US" w:bidi="ar-SA"/>
              </w:rPr>
              <w:t>Электронная площадка: Электронная (торговая) площадка: АО «Российский аукционный дом» https://tender.lot-online.ru.</w:t>
            </w:r>
          </w:p>
        </w:tc>
      </w:tr>
      <w:tr>
        <w:trPr/>
        <w:tc>
          <w:tcPr>
            <w:tcW w:w="842" w:type="dxa"/>
            <w:tcBorders/>
          </w:tcPr>
          <w:p>
            <w:pPr>
              <w:pStyle w:val="Style26"/>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bookmarkStart w:id="19" w:name="_Ref125360970"/>
            <w:bookmarkStart w:id="20" w:name="_Ref125360970"/>
            <w:bookmarkEnd w:id="20"/>
          </w:p>
        </w:tc>
        <w:tc>
          <w:tcPr>
            <w:tcW w:w="3236" w:type="dxa"/>
            <w:tcBorders/>
          </w:tcPr>
          <w:p>
            <w:pPr>
              <w:pStyle w:val="Style30"/>
              <w:widowControl w:val="false"/>
              <w:suppressAutoHyphens w:val="true"/>
              <w:spacing w:before="60" w:after="60"/>
              <w:jc w:val="left"/>
              <w:rPr>
                <w:rFonts w:ascii="Times New Roman" w:hAnsi="Times New Roman"/>
                <w:sz w:val="24"/>
                <w:szCs w:val="24"/>
              </w:rPr>
            </w:pPr>
            <w:r>
              <w:rPr>
                <w:rFonts w:eastAsia="Calibri" w:cs=""/>
                <w:kern w:val="0"/>
                <w:sz w:val="24"/>
                <w:szCs w:val="24"/>
                <w:lang w:val="ru-RU" w:eastAsia="en-US" w:bidi="ar-SA"/>
              </w:rPr>
              <w:t>Участники:</w:t>
            </w:r>
          </w:p>
        </w:tc>
        <w:tc>
          <w:tcPr>
            <w:tcW w:w="5676" w:type="dxa"/>
            <w:tcBorders/>
          </w:tcPr>
          <w:p>
            <w:pPr>
              <w:pStyle w:val="Style30"/>
              <w:widowControl w:val="false"/>
              <w:suppressAutoHyphens w:val="true"/>
              <w:spacing w:before="60" w:after="60"/>
              <w:rPr>
                <w:rFonts w:ascii="Times New Roman" w:hAnsi="Times New Roman"/>
                <w:sz w:val="24"/>
                <w:szCs w:val="24"/>
              </w:rPr>
            </w:pPr>
            <w:r>
              <w:rPr>
                <w:rFonts w:eastAsia="Calibri" w:cs=""/>
                <w:kern w:val="0"/>
                <w:sz w:val="24"/>
                <w:szCs w:val="24"/>
                <w:lang w:val="ru-RU" w:eastAsia="en-US" w:bidi="ar-SA"/>
              </w:rPr>
              <w:t>Участвовать в закупке могут только субъекты МСП, а также физические лица, не являющиеся индивидуальными предпринимателями и применяющие специальный налоговый режим «Налог на профессиональный доход».</w:t>
            </w:r>
          </w:p>
          <w:p>
            <w:pPr>
              <w:pStyle w:val="Style30"/>
              <w:widowControl w:val="false"/>
              <w:suppressAutoHyphens w:val="true"/>
              <w:spacing w:before="60" w:after="60"/>
              <w:rPr/>
            </w:pPr>
            <w:r>
              <w:rPr>
                <w:rFonts w:eastAsia="Calibri" w:cs=""/>
                <w:kern w:val="0"/>
                <w:sz w:val="24"/>
                <w:szCs w:val="24"/>
                <w:lang w:val="ru-RU" w:eastAsia="en-US" w:bidi="ar-SA"/>
              </w:rPr>
              <w:t xml:space="preserve">При этом Участник вправе привлекать субподрядчиков (соисполнителей), в том числе не являющихся субъектами МСП, а также указанными выше физическими лицами (в случае отсутствия в условиях </w:t>
            </w:r>
            <w:hyperlink w:anchor="Прил02_ПроектДоговора">
              <w:r>
                <w:rPr>
                  <w:rStyle w:val="Style14"/>
                  <w:rFonts w:eastAsia="Calibri" w:cs=""/>
                  <w:kern w:val="0"/>
                  <w:sz w:val="24"/>
                  <w:szCs w:val="24"/>
                  <w:lang w:val="ru-RU" w:eastAsia="en-US" w:bidi="ar-SA"/>
                </w:rPr>
                <w:t>Проекта Договора (Приложение № 2)</w:t>
              </w:r>
            </w:hyperlink>
            <w:r>
              <w:rPr>
                <w:rFonts w:eastAsia="Calibri" w:cs=""/>
                <w:kern w:val="0"/>
                <w:sz w:val="24"/>
                <w:szCs w:val="24"/>
                <w:lang w:val="ru-RU" w:eastAsia="en-US" w:bidi="ar-SA"/>
              </w:rPr>
              <w:t xml:space="preserve"> прямого запрета на привлечение к исполнению обязательств по Договору третьих лиц).</w:t>
            </w:r>
          </w:p>
        </w:tc>
      </w:tr>
      <w:tr>
        <w:trPr/>
        <w:tc>
          <w:tcPr>
            <w:tcW w:w="842" w:type="dxa"/>
            <w:tcBorders/>
          </w:tcPr>
          <w:p>
            <w:pPr>
              <w:pStyle w:val="Style26"/>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bookmarkStart w:id="21" w:name="_Ref125360988"/>
            <w:bookmarkStart w:id="22" w:name="_Ref125360988"/>
            <w:bookmarkEnd w:id="22"/>
          </w:p>
        </w:tc>
        <w:tc>
          <w:tcPr>
            <w:tcW w:w="3236" w:type="dxa"/>
            <w:tcBorders/>
          </w:tcPr>
          <w:p>
            <w:pPr>
              <w:pStyle w:val="Style30"/>
              <w:widowControl w:val="false"/>
              <w:suppressAutoHyphens w:val="true"/>
              <w:spacing w:before="60" w:after="60"/>
              <w:jc w:val="left"/>
              <w:rPr>
                <w:rFonts w:ascii="Times New Roman" w:hAnsi="Times New Roman"/>
                <w:sz w:val="24"/>
                <w:szCs w:val="24"/>
              </w:rPr>
            </w:pPr>
            <w:r>
              <w:rPr>
                <w:rFonts w:eastAsia="Calibri" w:cs=""/>
                <w:kern w:val="0"/>
                <w:sz w:val="24"/>
                <w:szCs w:val="24"/>
                <w:lang w:val="ru-RU" w:eastAsia="en-US" w:bidi="ar-SA"/>
              </w:rPr>
              <w:t>Заказчик:</w:t>
            </w:r>
          </w:p>
        </w:tc>
        <w:tc>
          <w:tcPr>
            <w:tcW w:w="5676" w:type="dxa"/>
            <w:tcBorders/>
          </w:tcPr>
          <w:p>
            <w:pPr>
              <w:pStyle w:val="Style30"/>
              <w:keepNext w:val="true"/>
              <w:widowControl w:val="false"/>
              <w:suppressAutoHyphens w:val="true"/>
              <w:spacing w:before="60" w:after="60"/>
              <w:rPr>
                <w:rFonts w:ascii="Times New Roman" w:hAnsi="Times New Roman"/>
                <w:sz w:val="24"/>
                <w:szCs w:val="24"/>
              </w:rPr>
            </w:pPr>
            <w:r>
              <w:rPr>
                <w:rFonts w:eastAsia="Calibri" w:cs=""/>
                <w:kern w:val="0"/>
                <w:sz w:val="24"/>
                <w:szCs w:val="24"/>
                <w:lang w:val="ru-RU" w:eastAsia="en-US" w:bidi="ar-SA"/>
              </w:rPr>
              <w:t xml:space="preserve">Наименование (полное): </w:t>
            </w:r>
            <w:r>
              <w:rPr>
                <w:b w:val="false"/>
                <w:sz w:val="24"/>
                <w:szCs w:val="24"/>
              </w:rPr>
              <w:t>Публичное акционерное общество «Федеральная гидрогенерирующая компания – РусГидро»</w:t>
            </w:r>
          </w:p>
          <w:p>
            <w:pPr>
              <w:pStyle w:val="Style30"/>
              <w:keepNext w:val="true"/>
              <w:widowControl w:val="false"/>
              <w:suppressAutoHyphens w:val="true"/>
              <w:spacing w:before="60" w:after="60"/>
              <w:rPr>
                <w:rFonts w:ascii="Times New Roman" w:hAnsi="Times New Roman"/>
                <w:sz w:val="24"/>
                <w:szCs w:val="24"/>
              </w:rPr>
            </w:pPr>
            <w:r>
              <w:rPr>
                <w:rFonts w:eastAsia="Calibri" w:cs=""/>
                <w:kern w:val="0"/>
                <w:sz w:val="24"/>
                <w:szCs w:val="24"/>
                <w:lang w:val="ru-RU" w:eastAsia="en-US" w:bidi="ar-SA"/>
              </w:rPr>
              <w:t xml:space="preserve">Наименование (сокращенное): </w:t>
            </w:r>
            <w:r>
              <w:rPr>
                <w:b w:val="false"/>
                <w:sz w:val="24"/>
                <w:szCs w:val="24"/>
              </w:rPr>
              <w:t>ПАО «РусГидро»</w:t>
            </w:r>
          </w:p>
          <w:p>
            <w:pPr>
              <w:pStyle w:val="Style30"/>
              <w:keepNext w:val="true"/>
              <w:widowControl w:val="false"/>
              <w:suppressAutoHyphens w:val="true"/>
              <w:spacing w:before="60" w:after="60"/>
              <w:rPr>
                <w:rFonts w:ascii="Times New Roman" w:hAnsi="Times New Roman"/>
                <w:sz w:val="24"/>
                <w:szCs w:val="24"/>
              </w:rPr>
            </w:pPr>
            <w:r>
              <w:rPr>
                <w:rFonts w:eastAsia="Calibri" w:cs=""/>
                <w:kern w:val="0"/>
                <w:sz w:val="24"/>
                <w:szCs w:val="24"/>
                <w:lang w:val="ru-RU" w:eastAsia="en-US" w:bidi="ar-SA"/>
              </w:rPr>
              <w:t xml:space="preserve">Место нахождения: </w:t>
            </w:r>
            <w:r>
              <w:rPr>
                <w:rFonts w:eastAsia="Times New Roman" w:cs="Times New Roman"/>
                <w:color w:val="auto"/>
                <w:sz w:val="24"/>
                <w:szCs w:val="24"/>
              </w:rPr>
              <w:t xml:space="preserve">660049, Россия, Красноярский край, г.о. город Красноярск, ул. Перенсона, </w:t>
            </w:r>
            <w:r>
              <w:rPr>
                <w:rFonts w:eastAsia="Times New Roman" w:cs="Times New Roman"/>
                <w:b w:val="false"/>
                <w:color w:val="auto"/>
                <w:sz w:val="24"/>
                <w:szCs w:val="24"/>
              </w:rPr>
              <w:t>зд. 2А, помещ. 1</w:t>
            </w:r>
          </w:p>
          <w:p>
            <w:pPr>
              <w:pStyle w:val="Style30"/>
              <w:keepNext w:val="true"/>
              <w:widowControl w:val="false"/>
              <w:suppressAutoHyphens w:val="true"/>
              <w:spacing w:before="60" w:after="60"/>
              <w:rPr>
                <w:rFonts w:ascii="Times New Roman" w:hAnsi="Times New Roman"/>
                <w:sz w:val="24"/>
                <w:szCs w:val="24"/>
              </w:rPr>
            </w:pPr>
            <w:r>
              <w:rPr>
                <w:rFonts w:eastAsia="Calibri" w:cs=""/>
                <w:kern w:val="0"/>
                <w:sz w:val="24"/>
                <w:szCs w:val="24"/>
                <w:lang w:val="ru-RU" w:eastAsia="en-US" w:bidi="ar-SA"/>
              </w:rPr>
              <w:t xml:space="preserve">Почтовый адрес: </w:t>
            </w:r>
            <w:r>
              <w:rPr>
                <w:rFonts w:eastAsia="Times New Roman" w:cs="Times New Roman"/>
                <w:b w:val="false"/>
                <w:color w:val="auto"/>
                <w:sz w:val="24"/>
                <w:szCs w:val="24"/>
              </w:rPr>
              <w:t xml:space="preserve">60049, Россия, Красноярский край, </w:t>
            </w:r>
            <w:r>
              <w:rPr>
                <w:rFonts w:eastAsia="Times New Roman" w:cs="Times New Roman"/>
                <w:b w:val="false"/>
                <w:bCs w:val="false"/>
                <w:color w:val="auto"/>
                <w:sz w:val="24"/>
                <w:szCs w:val="24"/>
              </w:rPr>
              <w:t xml:space="preserve">г.о. город Красноярск, ул. Перенсона,       </w:t>
            </w:r>
            <w:r>
              <w:rPr>
                <w:rFonts w:eastAsia="Times New Roman" w:cs="Times New Roman"/>
                <w:b w:val="false"/>
                <w:color w:val="auto"/>
                <w:sz w:val="24"/>
                <w:szCs w:val="24"/>
              </w:rPr>
              <w:t>зд. 2А, помещ. 1</w:t>
            </w:r>
          </w:p>
          <w:p>
            <w:pPr>
              <w:pStyle w:val="Style30"/>
              <w:keepNext w:val="true"/>
              <w:widowControl w:val="false"/>
              <w:suppressAutoHyphens w:val="true"/>
              <w:spacing w:before="60" w:after="60"/>
              <w:rPr>
                <w:rFonts w:ascii="Times New Roman" w:hAnsi="Times New Roman"/>
                <w:sz w:val="24"/>
                <w:szCs w:val="24"/>
              </w:rPr>
            </w:pPr>
            <w:r>
              <w:rPr>
                <w:rFonts w:eastAsia="Calibri" w:cs=""/>
                <w:kern w:val="0"/>
                <w:sz w:val="24"/>
                <w:szCs w:val="24"/>
                <w:lang w:val="ru-RU" w:eastAsia="en-US" w:bidi="ar-SA"/>
              </w:rPr>
              <w:t>Адрес электронной почты:</w:t>
            </w:r>
          </w:p>
          <w:p>
            <w:pPr>
              <w:pStyle w:val="Tableheader"/>
              <w:widowControl w:val="false"/>
              <w:suppressAutoHyphens w:val="true"/>
              <w:spacing w:before="120" w:after="60"/>
              <w:jc w:val="left"/>
              <w:rPr/>
            </w:pPr>
            <w:hyperlink r:id="rId3">
              <w:r>
                <w:rPr>
                  <w:rStyle w:val="Hyperlink"/>
                  <w:b w:val="false"/>
                  <w:sz w:val="24"/>
                  <w:szCs w:val="24"/>
                </w:rPr>
                <w:t>OFFICE@RUSHYDRO.RU</w:t>
              </w:r>
            </w:hyperlink>
            <w:r>
              <w:rPr>
                <w:b w:val="false"/>
                <w:sz w:val="24"/>
                <w:szCs w:val="24"/>
              </w:rPr>
              <w:t xml:space="preserve"> </w:t>
            </w:r>
          </w:p>
          <w:p>
            <w:pPr>
              <w:pStyle w:val="Style30"/>
              <w:keepNext w:val="true"/>
              <w:widowControl w:val="false"/>
              <w:suppressAutoHyphens w:val="true"/>
              <w:spacing w:before="60" w:after="60"/>
              <w:rPr/>
            </w:pPr>
            <w:r>
              <w:rPr>
                <w:rFonts w:eastAsia="Calibri" w:cs=""/>
                <w:kern w:val="0"/>
                <w:sz w:val="24"/>
                <w:szCs w:val="24"/>
                <w:lang w:val="ru-RU" w:eastAsia="en-US" w:bidi="ar-SA"/>
              </w:rPr>
              <w:t xml:space="preserve">Контактный телефон: </w:t>
            </w:r>
            <w:r>
              <w:rPr>
                <w:rStyle w:val="Style11"/>
                <w:b w:val="false"/>
                <w:i w:val="false"/>
                <w:iCs w:val="false"/>
                <w:color w:val="000000"/>
                <w:sz w:val="24"/>
                <w:szCs w:val="24"/>
                <w:shd w:fill="FFFFFF" w:val="clear"/>
                <w:lang w:val="ru-RU"/>
              </w:rPr>
              <w:t>8 (495) 225-32-32</w:t>
            </w:r>
          </w:p>
        </w:tc>
      </w:tr>
      <w:tr>
        <w:trPr/>
        <w:tc>
          <w:tcPr>
            <w:tcW w:w="842" w:type="dxa"/>
            <w:tcBorders/>
          </w:tcPr>
          <w:p>
            <w:pPr>
              <w:pStyle w:val="Style26"/>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bookmarkStart w:id="23" w:name="_Ref125360954"/>
            <w:bookmarkStart w:id="24" w:name="_Ref125360954"/>
            <w:bookmarkEnd w:id="24"/>
          </w:p>
        </w:tc>
        <w:tc>
          <w:tcPr>
            <w:tcW w:w="3236" w:type="dxa"/>
            <w:tcBorders/>
          </w:tcPr>
          <w:p>
            <w:pPr>
              <w:pStyle w:val="Style30"/>
              <w:widowControl w:val="false"/>
              <w:suppressAutoHyphens w:val="true"/>
              <w:spacing w:before="60" w:after="60"/>
              <w:jc w:val="left"/>
              <w:rPr>
                <w:rFonts w:ascii="Times New Roman" w:hAnsi="Times New Roman"/>
                <w:sz w:val="24"/>
                <w:szCs w:val="24"/>
              </w:rPr>
            </w:pPr>
            <w:r>
              <w:rPr>
                <w:rFonts w:eastAsia="Calibri" w:cs=""/>
                <w:kern w:val="0"/>
                <w:sz w:val="24"/>
                <w:szCs w:val="24"/>
                <w:lang w:val="ru-RU" w:eastAsia="en-US" w:bidi="ar-SA"/>
              </w:rPr>
              <w:t>Организатор:</w:t>
            </w:r>
          </w:p>
        </w:tc>
        <w:tc>
          <w:tcPr>
            <w:tcW w:w="5676" w:type="dxa"/>
            <w:tcBorders/>
          </w:tcPr>
          <w:p>
            <w:pPr>
              <w:pStyle w:val="Style30"/>
              <w:keepNext w:val="true"/>
              <w:widowControl w:val="false"/>
              <w:suppressAutoHyphens w:val="true"/>
              <w:spacing w:before="60" w:after="60"/>
              <w:rPr>
                <w:rFonts w:ascii="Times New Roman" w:hAnsi="Times New Roman"/>
                <w:sz w:val="24"/>
                <w:szCs w:val="24"/>
              </w:rPr>
            </w:pPr>
            <w:r>
              <w:rPr>
                <w:rFonts w:eastAsia="Calibri" w:cs=""/>
                <w:kern w:val="0"/>
                <w:sz w:val="24"/>
                <w:szCs w:val="24"/>
                <w:lang w:val="ru-RU" w:eastAsia="en-US" w:bidi="ar-SA"/>
              </w:rPr>
              <w:t xml:space="preserve">Наименование (полное): </w:t>
            </w:r>
            <w:r>
              <w:rPr>
                <w:b w:val="false"/>
                <w:sz w:val="24"/>
                <w:szCs w:val="24"/>
              </w:rPr>
              <w:t>Филиал Публичного акционерного общества "Федеральная гидрогенерирующая компания - РусГидро" - "Бурейская ГЭС"</w:t>
            </w:r>
          </w:p>
          <w:p>
            <w:pPr>
              <w:pStyle w:val="Style30"/>
              <w:keepNext w:val="true"/>
              <w:widowControl w:val="false"/>
              <w:suppressAutoHyphens w:val="true"/>
              <w:spacing w:before="60" w:after="60"/>
              <w:rPr>
                <w:rFonts w:ascii="Times New Roman" w:hAnsi="Times New Roman"/>
                <w:sz w:val="24"/>
                <w:szCs w:val="24"/>
              </w:rPr>
            </w:pPr>
            <w:r>
              <w:rPr>
                <w:rFonts w:eastAsia="Calibri" w:cs=""/>
                <w:kern w:val="0"/>
                <w:sz w:val="24"/>
                <w:szCs w:val="24"/>
                <w:lang w:val="ru-RU" w:eastAsia="en-US" w:bidi="ar-SA"/>
              </w:rPr>
              <w:t xml:space="preserve">Наименование (сокращенное): </w:t>
            </w:r>
            <w:r>
              <w:rPr>
                <w:b w:val="false"/>
                <w:sz w:val="24"/>
                <w:szCs w:val="24"/>
              </w:rPr>
              <w:t>Филиал ПАО "РусГидро" - "Бурейская ГЭС"</w:t>
            </w:r>
          </w:p>
          <w:p>
            <w:pPr>
              <w:pStyle w:val="Style30"/>
              <w:keepNext w:val="true"/>
              <w:widowControl w:val="false"/>
              <w:suppressAutoHyphens w:val="true"/>
              <w:spacing w:before="60" w:after="60"/>
              <w:rPr>
                <w:rFonts w:ascii="Times New Roman" w:hAnsi="Times New Roman"/>
                <w:sz w:val="24"/>
                <w:szCs w:val="24"/>
              </w:rPr>
            </w:pPr>
            <w:r>
              <w:rPr>
                <w:rFonts w:eastAsia="Calibri" w:cs=""/>
                <w:kern w:val="0"/>
                <w:sz w:val="24"/>
                <w:szCs w:val="24"/>
                <w:lang w:val="ru-RU" w:eastAsia="en-US" w:bidi="ar-SA"/>
              </w:rPr>
              <w:t xml:space="preserve">Место нахождения: </w:t>
            </w:r>
            <w:r>
              <w:rPr>
                <w:b w:val="false"/>
                <w:sz w:val="24"/>
                <w:szCs w:val="24"/>
              </w:rPr>
              <w:t>676730, Амурская область, Бурейский район, пос. Талакан</w:t>
            </w:r>
          </w:p>
          <w:p>
            <w:pPr>
              <w:pStyle w:val="Style30"/>
              <w:keepNext w:val="true"/>
              <w:widowControl w:val="false"/>
              <w:suppressAutoHyphens w:val="true"/>
              <w:spacing w:before="60" w:after="60"/>
              <w:rPr>
                <w:rFonts w:ascii="Times New Roman" w:hAnsi="Times New Roman"/>
                <w:sz w:val="24"/>
                <w:szCs w:val="24"/>
              </w:rPr>
            </w:pPr>
            <w:r>
              <w:rPr>
                <w:rFonts w:eastAsia="Calibri" w:cs=""/>
                <w:kern w:val="0"/>
                <w:sz w:val="24"/>
                <w:szCs w:val="24"/>
                <w:lang w:val="ru-RU" w:eastAsia="en-US" w:bidi="ar-SA"/>
              </w:rPr>
              <w:t xml:space="preserve">Почтовый адрес: </w:t>
            </w:r>
            <w:r>
              <w:rPr>
                <w:b w:val="false"/>
                <w:sz w:val="24"/>
                <w:szCs w:val="24"/>
              </w:rPr>
              <w:t>676730, Амурская область, Бурейский район, пос. Талакан</w:t>
            </w:r>
          </w:p>
          <w:p>
            <w:pPr>
              <w:pStyle w:val="Style30"/>
              <w:keepNext w:val="true"/>
              <w:widowControl w:val="false"/>
              <w:suppressAutoHyphens w:val="true"/>
              <w:spacing w:before="60" w:after="60"/>
              <w:rPr>
                <w:rFonts w:ascii="Times New Roman" w:hAnsi="Times New Roman"/>
                <w:sz w:val="24"/>
                <w:szCs w:val="24"/>
              </w:rPr>
            </w:pPr>
            <w:r>
              <w:rPr>
                <w:rFonts w:eastAsia="Calibri" w:cs=""/>
                <w:kern w:val="0"/>
                <w:sz w:val="24"/>
                <w:szCs w:val="24"/>
                <w:lang w:val="ru-RU" w:eastAsia="en-US" w:bidi="ar-SA"/>
              </w:rPr>
              <w:t>Адрес электронной почты:</w:t>
            </w:r>
          </w:p>
          <w:p>
            <w:pPr>
              <w:pStyle w:val="Style30"/>
              <w:widowControl w:val="false"/>
              <w:suppressAutoHyphens w:val="true"/>
              <w:spacing w:before="60" w:after="60"/>
              <w:rPr/>
            </w:pPr>
            <w:hyperlink r:id="rId4">
              <w:r>
                <w:rPr>
                  <w:rStyle w:val="Hyperlink"/>
                  <w:rFonts w:eastAsia="Calibri" w:cs=""/>
                  <w:kern w:val="0"/>
                  <w:sz w:val="24"/>
                  <w:szCs w:val="24"/>
                  <w:lang w:val="ru-RU" w:eastAsia="en-US" w:bidi="ar-SA"/>
                </w:rPr>
                <w:t>KukushkinaVB@rushydro.ru</w:t>
              </w:r>
            </w:hyperlink>
            <w:r>
              <w:rPr>
                <w:rFonts w:eastAsia="Calibri" w:cs=""/>
                <w:kern w:val="0"/>
                <w:sz w:val="24"/>
                <w:szCs w:val="24"/>
                <w:lang w:val="ru-RU" w:eastAsia="en-US" w:bidi="ar-SA"/>
              </w:rPr>
              <w:t xml:space="preserve"> </w:t>
            </w:r>
          </w:p>
          <w:p>
            <w:pPr>
              <w:pStyle w:val="Style30"/>
              <w:keepNext w:val="true"/>
              <w:widowControl w:val="false"/>
              <w:suppressAutoHyphens w:val="true"/>
              <w:spacing w:before="60" w:after="60"/>
              <w:rPr/>
            </w:pPr>
            <w:r>
              <w:rPr>
                <w:rStyle w:val="Style11"/>
                <w:rFonts w:eastAsia="Calibri" w:cs=""/>
                <w:b w:val="false"/>
                <w:i w:val="false"/>
                <w:iCs w:val="false"/>
                <w:color w:val="000000"/>
                <w:kern w:val="0"/>
                <w:sz w:val="24"/>
                <w:szCs w:val="24"/>
                <w:shd w:fill="auto" w:val="clear"/>
                <w:lang w:val="ru-RU" w:eastAsia="en-US" w:bidi="ar-SA"/>
              </w:rPr>
              <w:t xml:space="preserve">Контактный телефон: </w:t>
            </w:r>
            <w:r>
              <w:rPr>
                <w:rStyle w:val="Emphasis"/>
                <w:rFonts w:eastAsia="Calibri" w:cs=""/>
                <w:b w:val="false"/>
                <w:i w:val="false"/>
                <w:iCs w:val="false"/>
                <w:color w:val="000000"/>
                <w:kern w:val="0"/>
                <w:sz w:val="24"/>
                <w:szCs w:val="24"/>
                <w:shd w:fill="FFFFFF" w:val="clear"/>
                <w:lang w:val="ru-RU" w:eastAsia="en-US" w:bidi="ar-SA"/>
              </w:rPr>
              <w:t>8(41634)28333,  доп. 23-86</w:t>
            </w:r>
          </w:p>
        </w:tc>
      </w:tr>
      <w:tr>
        <w:trPr/>
        <w:tc>
          <w:tcPr>
            <w:tcW w:w="842" w:type="dxa"/>
            <w:tcBorders/>
          </w:tcPr>
          <w:p>
            <w:pPr>
              <w:pStyle w:val="Style26"/>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bookmarkStart w:id="25" w:name="_Ref125361238"/>
            <w:bookmarkStart w:id="26" w:name="_Ref125361238"/>
            <w:bookmarkEnd w:id="26"/>
          </w:p>
        </w:tc>
        <w:tc>
          <w:tcPr>
            <w:tcW w:w="3236" w:type="dxa"/>
            <w:tcBorders/>
          </w:tcPr>
          <w:p>
            <w:pPr>
              <w:pStyle w:val="Style30"/>
              <w:widowControl w:val="false"/>
              <w:suppressAutoHyphens w:val="true"/>
              <w:spacing w:before="60" w:after="60"/>
              <w:jc w:val="left"/>
              <w:rPr>
                <w:rFonts w:ascii="Times New Roman" w:hAnsi="Times New Roman"/>
                <w:sz w:val="24"/>
                <w:szCs w:val="24"/>
              </w:rPr>
            </w:pPr>
            <w:r>
              <w:rPr>
                <w:rFonts w:eastAsia="Calibri" w:cs=""/>
                <w:kern w:val="0"/>
                <w:sz w:val="24"/>
                <w:szCs w:val="24"/>
                <w:lang w:val="ru-RU" w:eastAsia="en-US" w:bidi="ar-SA"/>
              </w:rPr>
              <w:t>Представитель Организатора:</w:t>
            </w:r>
          </w:p>
        </w:tc>
        <w:tc>
          <w:tcPr>
            <w:tcW w:w="5676" w:type="dxa"/>
            <w:tcBorders/>
          </w:tcPr>
          <w:p>
            <w:pPr>
              <w:pStyle w:val="Style30"/>
              <w:keepNext w:val="true"/>
              <w:widowControl w:val="false"/>
              <w:suppressAutoHyphens w:val="true"/>
              <w:spacing w:before="60" w:after="60"/>
              <w:rPr>
                <w:rFonts w:ascii="Times New Roman" w:hAnsi="Times New Roman"/>
                <w:sz w:val="24"/>
                <w:szCs w:val="24"/>
              </w:rPr>
            </w:pPr>
            <w:r>
              <w:rPr>
                <w:rFonts w:eastAsia="Calibri" w:cs=""/>
                <w:kern w:val="0"/>
                <w:sz w:val="24"/>
                <w:szCs w:val="24"/>
                <w:lang w:val="ru-RU" w:eastAsia="en-US" w:bidi="ar-SA"/>
              </w:rPr>
              <w:t>Контактное лицо (Ф.И.О.):</w:t>
            </w:r>
          </w:p>
          <w:p>
            <w:pPr>
              <w:pStyle w:val="Style30"/>
              <w:widowControl w:val="false"/>
              <w:suppressAutoHyphens w:val="true"/>
              <w:spacing w:before="60" w:after="60"/>
              <w:rPr>
                <w:rFonts w:ascii="Times New Roman" w:hAnsi="Times New Roman"/>
                <w:sz w:val="24"/>
                <w:szCs w:val="24"/>
              </w:rPr>
            </w:pPr>
            <w:r>
              <w:rPr>
                <w:rFonts w:eastAsia="Calibri" w:cs=""/>
                <w:kern w:val="0"/>
                <w:sz w:val="24"/>
                <w:szCs w:val="24"/>
                <w:lang w:val="ru-RU" w:eastAsia="en-US" w:bidi="ar-SA"/>
              </w:rPr>
              <w:t>Кукушкина Виктория Борисовна</w:t>
            </w:r>
          </w:p>
          <w:p>
            <w:pPr>
              <w:pStyle w:val="Style30"/>
              <w:keepNext w:val="true"/>
              <w:widowControl w:val="false"/>
              <w:suppressAutoHyphens w:val="true"/>
              <w:spacing w:before="60" w:after="60"/>
              <w:rPr>
                <w:rFonts w:ascii="Times New Roman" w:hAnsi="Times New Roman"/>
                <w:sz w:val="24"/>
                <w:szCs w:val="24"/>
              </w:rPr>
            </w:pPr>
            <w:r>
              <w:rPr>
                <w:rFonts w:eastAsia="Calibri" w:cs=""/>
                <w:kern w:val="0"/>
                <w:sz w:val="24"/>
                <w:szCs w:val="24"/>
                <w:lang w:val="ru-RU" w:eastAsia="en-US" w:bidi="ar-SA"/>
              </w:rPr>
              <w:t>Адрес электронной почты:</w:t>
            </w:r>
          </w:p>
          <w:p>
            <w:pPr>
              <w:pStyle w:val="Style30"/>
              <w:widowControl w:val="false"/>
              <w:suppressAutoHyphens w:val="true"/>
              <w:spacing w:before="60" w:after="60"/>
              <w:rPr/>
            </w:pPr>
            <w:hyperlink r:id="rId5">
              <w:r>
                <w:rPr>
                  <w:rStyle w:val="Hyperlink"/>
                  <w:rFonts w:eastAsia="Calibri" w:cs=""/>
                  <w:kern w:val="0"/>
                  <w:sz w:val="24"/>
                  <w:szCs w:val="24"/>
                  <w:lang w:val="ru-RU" w:eastAsia="en-US" w:bidi="ar-SA"/>
                </w:rPr>
                <w:t>KukushkinaVB@rushydro.ru</w:t>
              </w:r>
            </w:hyperlink>
            <w:r>
              <w:rPr>
                <w:rFonts w:eastAsia="Calibri" w:cs=""/>
                <w:kern w:val="0"/>
                <w:sz w:val="24"/>
                <w:szCs w:val="24"/>
                <w:lang w:val="ru-RU" w:eastAsia="en-US" w:bidi="ar-SA"/>
              </w:rPr>
              <w:t xml:space="preserve"> </w:t>
            </w:r>
          </w:p>
          <w:p>
            <w:pPr>
              <w:pStyle w:val="Style30"/>
              <w:keepNext w:val="true"/>
              <w:widowControl w:val="false"/>
              <w:suppressAutoHyphens w:val="true"/>
              <w:spacing w:before="60" w:after="60"/>
              <w:rPr/>
            </w:pPr>
            <w:r>
              <w:rPr>
                <w:rStyle w:val="Style11"/>
                <w:rFonts w:eastAsia="Calibri" w:cs=""/>
                <w:i w:val="false"/>
                <w:iCs w:val="false"/>
                <w:kern w:val="0"/>
                <w:sz w:val="24"/>
                <w:szCs w:val="24"/>
                <w:shd w:fill="auto" w:val="clear"/>
                <w:lang w:val="ru-RU" w:eastAsia="en-US" w:bidi="ar-SA"/>
              </w:rPr>
              <w:t xml:space="preserve">Контактный телефон: </w:t>
            </w:r>
            <w:r>
              <w:rPr>
                <w:rStyle w:val="Emphasis"/>
                <w:rFonts w:eastAsia="Calibri" w:cs=""/>
                <w:i w:val="false"/>
                <w:iCs w:val="false"/>
                <w:kern w:val="0"/>
                <w:sz w:val="24"/>
                <w:szCs w:val="24"/>
                <w:lang w:val="ru-RU" w:eastAsia="en-US" w:bidi="ar-SA"/>
              </w:rPr>
              <w:t>8(41634)28333,  доп. 23-86</w:t>
            </w:r>
          </w:p>
        </w:tc>
      </w:tr>
      <w:tr>
        <w:trPr/>
        <w:tc>
          <w:tcPr>
            <w:tcW w:w="842" w:type="dxa"/>
            <w:tcBorders/>
          </w:tcPr>
          <w:p>
            <w:pPr>
              <w:pStyle w:val="Style26"/>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bookmarkStart w:id="27" w:name="_Ref125362694"/>
            <w:bookmarkStart w:id="28" w:name="_Ref125362694"/>
            <w:bookmarkEnd w:id="28"/>
          </w:p>
        </w:tc>
        <w:tc>
          <w:tcPr>
            <w:tcW w:w="3236" w:type="dxa"/>
            <w:tcBorders/>
          </w:tcPr>
          <w:p>
            <w:pPr>
              <w:pStyle w:val="Style30"/>
              <w:widowControl w:val="false"/>
              <w:suppressAutoHyphens w:val="true"/>
              <w:spacing w:before="60" w:after="60"/>
              <w:jc w:val="left"/>
              <w:rPr>
                <w:rFonts w:ascii="Times New Roman" w:hAnsi="Times New Roman"/>
                <w:sz w:val="24"/>
                <w:szCs w:val="24"/>
              </w:rPr>
            </w:pPr>
            <w:r>
              <w:rPr>
                <w:rFonts w:eastAsia="Calibri" w:cs=""/>
                <w:kern w:val="0"/>
                <w:sz w:val="24"/>
                <w:szCs w:val="24"/>
                <w:lang w:val="ru-RU" w:eastAsia="en-US" w:bidi="ar-SA"/>
              </w:rPr>
              <w:t>Официальный источник размещения информации о проведении закупки / срок, место и порядок предоставления Документации о закупке:</w:t>
            </w:r>
          </w:p>
        </w:tc>
        <w:tc>
          <w:tcPr>
            <w:tcW w:w="5676" w:type="dxa"/>
            <w:tcBorders/>
          </w:tcPr>
          <w:p>
            <w:pPr>
              <w:pStyle w:val="Style30"/>
              <w:widowControl w:val="false"/>
              <w:suppressAutoHyphens w:val="true"/>
              <w:spacing w:before="60" w:after="60"/>
              <w:rPr>
                <w:rFonts w:ascii="Times New Roman" w:hAnsi="Times New Roman"/>
                <w:sz w:val="24"/>
                <w:szCs w:val="24"/>
              </w:rPr>
            </w:pPr>
            <w:r>
              <w:rPr>
                <w:rFonts w:eastAsia="Calibri" w:cs=""/>
                <w:kern w:val="0"/>
                <w:sz w:val="24"/>
                <w:szCs w:val="24"/>
                <w:lang w:val="ru-RU" w:eastAsia="en-US" w:bidi="ar-SA"/>
              </w:rPr>
              <w:t>Документация о закупке официально размещена на ЭП и доступна для ознакомления любым заинтересованным лицам. Официальным источником информации о ходе проведения закупки является ЭП, указанная в пункте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_Ref125360764 \r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t>1.2.5</w:t>
            </w:r>
            <w:r>
              <w:rPr>
                <w:sz w:val="24"/>
                <w:kern w:val="0"/>
                <w:szCs w:val="24"/>
                <w:rFonts w:eastAsia="Calibri" w:cs=""/>
                <w:lang w:val="ru-RU" w:eastAsia="en-US" w:bidi="ar-SA"/>
              </w:rPr>
              <w:fldChar w:fldCharType="end"/>
            </w:r>
            <w:r>
              <w:rPr>
                <w:rFonts w:eastAsia="Calibri" w:cs=""/>
                <w:kern w:val="0"/>
                <w:sz w:val="24"/>
                <w:szCs w:val="24"/>
                <w:lang w:val="ru-RU" w:eastAsia="en-US" w:bidi="ar-SA"/>
              </w:rPr>
              <w:t>.</w:t>
            </w:r>
          </w:p>
          <w:p>
            <w:pPr>
              <w:pStyle w:val="Style30"/>
              <w:widowControl w:val="false"/>
              <w:suppressAutoHyphens w:val="true"/>
              <w:spacing w:before="60" w:after="60"/>
              <w:rPr>
                <w:rFonts w:ascii="Times New Roman" w:hAnsi="Times New Roman"/>
                <w:sz w:val="24"/>
                <w:szCs w:val="24"/>
              </w:rPr>
            </w:pPr>
            <w:r>
              <w:rPr>
                <w:rFonts w:eastAsia="Calibri" w:cs=""/>
                <w:kern w:val="0"/>
                <w:sz w:val="24"/>
                <w:szCs w:val="24"/>
                <w:lang w:val="ru-RU" w:eastAsia="en-US" w:bidi="ar-SA"/>
              </w:rPr>
              <w:t>Документация о закупке доступна (без взимания платы) в форме электронного документа в любое время с момента официального размещения Извещения. Предоставление Документации о закупке на бумажном носителе не предусмотрено.</w:t>
            </w:r>
          </w:p>
        </w:tc>
      </w:tr>
      <w:tr>
        <w:trPr/>
        <w:tc>
          <w:tcPr>
            <w:tcW w:w="842" w:type="dxa"/>
            <w:tcBorders/>
          </w:tcPr>
          <w:p>
            <w:pPr>
              <w:pStyle w:val="Style26"/>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bookmarkStart w:id="29" w:name="_Ref125360963"/>
            <w:bookmarkStart w:id="30" w:name="_Ref125360963"/>
            <w:bookmarkEnd w:id="30"/>
          </w:p>
        </w:tc>
        <w:tc>
          <w:tcPr>
            <w:tcW w:w="3236" w:type="dxa"/>
            <w:tcBorders/>
          </w:tcPr>
          <w:p>
            <w:pPr>
              <w:pStyle w:val="Style30"/>
              <w:widowControl w:val="false"/>
              <w:suppressAutoHyphens w:val="true"/>
              <w:spacing w:before="60" w:after="60"/>
              <w:jc w:val="left"/>
              <w:rPr>
                <w:rFonts w:ascii="Times New Roman" w:hAnsi="Times New Roman"/>
                <w:sz w:val="24"/>
                <w:szCs w:val="24"/>
              </w:rPr>
            </w:pPr>
            <w:r>
              <w:rPr>
                <w:rFonts w:eastAsia="Calibri" w:cs=""/>
                <w:kern w:val="0"/>
                <w:sz w:val="24"/>
                <w:szCs w:val="24"/>
                <w:lang w:val="ru-RU" w:eastAsia="en-US" w:bidi="ar-SA"/>
              </w:rPr>
              <w:t>Дата размещения Извещения о проведении закупки:</w:t>
            </w:r>
          </w:p>
        </w:tc>
        <w:tc>
          <w:tcPr>
            <w:tcW w:w="5676" w:type="dxa"/>
            <w:tcBorders/>
          </w:tcPr>
          <w:p>
            <w:pPr>
              <w:pStyle w:val="Style30"/>
              <w:widowControl w:val="false"/>
              <w:suppressAutoHyphens w:val="true"/>
              <w:spacing w:before="60" w:after="60"/>
              <w:rPr>
                <w:rFonts w:ascii="Times New Roman" w:hAnsi="Times New Roman"/>
                <w:sz w:val="24"/>
                <w:szCs w:val="24"/>
              </w:rPr>
            </w:pPr>
            <w:r>
              <w:rPr>
                <w:rFonts w:eastAsia="Calibri" w:cs=""/>
                <w:kern w:val="0"/>
                <w:sz w:val="24"/>
                <w:szCs w:val="24"/>
                <w:lang w:val="ru-RU" w:eastAsia="en-US" w:bidi="ar-SA"/>
              </w:rPr>
              <w:t>«07» октября 2026 г.</w:t>
            </w:r>
          </w:p>
          <w:p>
            <w:pPr>
              <w:pStyle w:val="Style30"/>
              <w:widowControl w:val="false"/>
              <w:suppressAutoHyphens w:val="true"/>
              <w:spacing w:before="60" w:after="60"/>
              <w:rPr>
                <w:rFonts w:ascii="Times New Roman" w:hAnsi="Times New Roman"/>
                <w:sz w:val="24"/>
                <w:szCs w:val="24"/>
              </w:rPr>
            </w:pPr>
            <w:r>
              <w:rPr>
                <w:sz w:val="24"/>
                <w:szCs w:val="24"/>
              </w:rPr>
            </w:r>
          </w:p>
        </w:tc>
      </w:tr>
      <w:tr>
        <w:trPr/>
        <w:tc>
          <w:tcPr>
            <w:tcW w:w="842" w:type="dxa"/>
            <w:tcBorders/>
          </w:tcPr>
          <w:p>
            <w:pPr>
              <w:pStyle w:val="Style26"/>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bookmarkStart w:id="31" w:name="_Ref125362837"/>
            <w:bookmarkStart w:id="32" w:name="_Ref125362837"/>
            <w:bookmarkEnd w:id="32"/>
          </w:p>
        </w:tc>
        <w:tc>
          <w:tcPr>
            <w:tcW w:w="3236" w:type="dxa"/>
            <w:tcBorders/>
          </w:tcPr>
          <w:p>
            <w:pPr>
              <w:pStyle w:val="Style30"/>
              <w:widowControl w:val="false"/>
              <w:suppressAutoHyphens w:val="true"/>
              <w:spacing w:before="60" w:after="60"/>
              <w:jc w:val="left"/>
              <w:rPr>
                <w:rFonts w:ascii="Times New Roman" w:hAnsi="Times New Roman"/>
                <w:sz w:val="24"/>
                <w:szCs w:val="24"/>
              </w:rPr>
            </w:pPr>
            <w:r>
              <w:rPr>
                <w:rFonts w:eastAsia="Calibri" w:cs=""/>
                <w:kern w:val="0"/>
                <w:sz w:val="24"/>
                <w:szCs w:val="24"/>
                <w:lang w:val="ru-RU" w:eastAsia="en-US" w:bidi="ar-SA"/>
              </w:rPr>
              <w:t>Начальная (максимальная) цена договора (цена лота):</w:t>
            </w:r>
          </w:p>
        </w:tc>
        <w:tc>
          <w:tcPr>
            <w:tcW w:w="5676" w:type="dxa"/>
            <w:tcBorders/>
          </w:tcPr>
          <w:p>
            <w:pPr>
              <w:pStyle w:val="Style30"/>
              <w:widowControl w:val="false"/>
              <w:suppressAutoHyphens w:val="true"/>
              <w:spacing w:before="60" w:after="60"/>
              <w:rPr>
                <w:rFonts w:ascii="Times New Roman" w:hAnsi="Times New Roman"/>
                <w:sz w:val="24"/>
                <w:szCs w:val="24"/>
              </w:rPr>
            </w:pPr>
            <w:r>
              <w:rPr>
                <w:rFonts w:eastAsia="Calibri" w:cs=""/>
                <w:kern w:val="0"/>
                <w:sz w:val="24"/>
                <w:szCs w:val="24"/>
                <w:lang w:val="ru-RU" w:eastAsia="en-US" w:bidi="ar-SA"/>
              </w:rPr>
              <w:t xml:space="preserve">НМЦ составляет </w:t>
            </w:r>
            <w:r>
              <w:rPr>
                <w:rFonts w:eastAsia="Calibri" w:cs=""/>
                <w:i w:val="false"/>
                <w:iCs w:val="false"/>
                <w:kern w:val="0"/>
                <w:sz w:val="24"/>
                <w:szCs w:val="24"/>
                <w:lang w:val="ru-RU" w:eastAsia="en-US" w:bidi="ar-SA"/>
              </w:rPr>
              <w:t>10 000 883,52</w:t>
            </w:r>
            <w:r>
              <w:rPr>
                <w:rFonts w:eastAsia="Calibri" w:cs=""/>
                <w:kern w:val="0"/>
                <w:sz w:val="24"/>
                <w:szCs w:val="24"/>
                <w:lang w:val="ru-RU" w:eastAsia="en-US" w:bidi="ar-SA"/>
              </w:rPr>
              <w:t> руб., без учета НДС.</w:t>
            </w:r>
          </w:p>
          <w:p>
            <w:pPr>
              <w:pStyle w:val="Style30"/>
              <w:widowControl w:val="false"/>
              <w:suppressAutoHyphens w:val="true"/>
              <w:spacing w:before="60" w:after="60"/>
              <w:rPr/>
            </w:pPr>
            <w:r>
              <w:rPr>
                <w:rFonts w:eastAsia="Calibri" w:cs=""/>
                <w:kern w:val="0"/>
                <w:sz w:val="24"/>
                <w:szCs w:val="24"/>
                <w:lang w:val="ru-RU" w:eastAsia="en-US" w:bidi="ar-SA"/>
              </w:rPr>
              <w:t>НМЦ представлена в виде цен на каждую единицу товара, работы, услуги согласно Структуре НМЦ (представлена в форме Коммерческого предложения (форма 3) (</w:t>
            </w:r>
            <w:hyperlink w:anchor="Прил04_ФормыЗаявки">
              <w:r>
                <w:rPr>
                  <w:rStyle w:val="Style14"/>
                  <w:rFonts w:eastAsia="Calibri" w:cs=""/>
                  <w:kern w:val="0"/>
                  <w:sz w:val="24"/>
                  <w:szCs w:val="24"/>
                  <w:lang w:val="ru-RU" w:eastAsia="en-US" w:bidi="ar-SA"/>
                </w:rPr>
                <w:t>Приложение № 4</w:t>
              </w:r>
            </w:hyperlink>
            <w:r>
              <w:rPr>
                <w:rFonts w:eastAsia="Calibri" w:cs=""/>
                <w:kern w:val="0"/>
                <w:sz w:val="24"/>
                <w:szCs w:val="24"/>
                <w:lang w:val="ru-RU" w:eastAsia="en-US" w:bidi="ar-SA"/>
              </w:rPr>
              <w:t xml:space="preserve">)), превышение которых (по каждой единице товара, работы, услуги) не допускается. При этом максимальным значением цены Договора является сумма в размере: </w:t>
            </w:r>
            <w:r>
              <w:rPr>
                <w:rFonts w:eastAsia="Calibri" w:cs=""/>
                <w:i w:val="false"/>
                <w:iCs w:val="false"/>
                <w:kern w:val="0"/>
                <w:sz w:val="24"/>
                <w:szCs w:val="24"/>
                <w:lang w:val="ru-RU" w:eastAsia="en-US" w:bidi="ar-SA"/>
              </w:rPr>
              <w:t>10 000 883,52</w:t>
            </w:r>
            <w:r>
              <w:rPr>
                <w:rFonts w:eastAsia="Calibri" w:cs=""/>
                <w:kern w:val="0"/>
                <w:sz w:val="24"/>
                <w:szCs w:val="24"/>
                <w:lang w:val="ru-RU" w:eastAsia="en-US" w:bidi="ar-SA"/>
              </w:rPr>
              <w:t> руб., без учета НДС.</w:t>
            </w:r>
          </w:p>
          <w:p>
            <w:pPr>
              <w:pStyle w:val="Style33"/>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p>
          <w:p>
            <w:pPr>
              <w:pStyle w:val="Style30"/>
              <w:widowControl w:val="false"/>
              <w:suppressAutoHyphens w:val="true"/>
              <w:spacing w:before="60" w:after="60"/>
              <w:rPr/>
            </w:pPr>
            <w:r>
              <w:rPr>
                <w:rFonts w:eastAsia="Calibri" w:cs=""/>
                <w:kern w:val="0"/>
                <w:sz w:val="24"/>
                <w:szCs w:val="24"/>
                <w:lang w:val="ru-RU" w:eastAsia="en-US" w:bidi="ar-SA"/>
              </w:rPr>
              <w:t xml:space="preserve">Обоснование НМЦ представлено в </w:t>
            </w:r>
            <w:hyperlink w:anchor="Прил09_ОбоснованиеНМЦ">
              <w:r>
                <w:rPr>
                  <w:rStyle w:val="Style14"/>
                  <w:rFonts w:eastAsia="Calibri" w:cs=""/>
                  <w:kern w:val="0"/>
                  <w:sz w:val="24"/>
                  <w:szCs w:val="24"/>
                  <w:lang w:val="ru-RU" w:eastAsia="en-US" w:bidi="ar-SA"/>
                </w:rPr>
                <w:t>Приложении № 9</w:t>
              </w:r>
            </w:hyperlink>
            <w:r>
              <w:rPr>
                <w:rFonts w:eastAsia="Calibri" w:cs=""/>
                <w:kern w:val="0"/>
                <w:sz w:val="24"/>
                <w:szCs w:val="24"/>
                <w:lang w:val="ru-RU" w:eastAsia="en-US" w:bidi="ar-SA"/>
              </w:rPr>
              <w:t>.</w:t>
            </w:r>
          </w:p>
        </w:tc>
      </w:tr>
      <w:tr>
        <w:trPr/>
        <w:tc>
          <w:tcPr>
            <w:tcW w:w="842" w:type="dxa"/>
            <w:tcBorders/>
          </w:tcPr>
          <w:p>
            <w:pPr>
              <w:pStyle w:val="Style26"/>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bookmarkStart w:id="33" w:name="_Ref125363076"/>
            <w:bookmarkStart w:id="34" w:name="_Ref125363076"/>
            <w:bookmarkEnd w:id="34"/>
          </w:p>
        </w:tc>
        <w:tc>
          <w:tcPr>
            <w:tcW w:w="3236" w:type="dxa"/>
            <w:tcBorders/>
          </w:tcPr>
          <w:p>
            <w:pPr>
              <w:pStyle w:val="Style30"/>
              <w:widowControl w:val="false"/>
              <w:suppressAutoHyphens w:val="true"/>
              <w:spacing w:before="60" w:after="60"/>
              <w:jc w:val="left"/>
              <w:rPr>
                <w:rFonts w:ascii="Times New Roman" w:hAnsi="Times New Roman"/>
                <w:sz w:val="24"/>
                <w:szCs w:val="24"/>
              </w:rPr>
            </w:pPr>
            <w:r>
              <w:rPr>
                <w:rFonts w:eastAsia="Calibri" w:cs=""/>
                <w:kern w:val="0"/>
                <w:sz w:val="24"/>
                <w:szCs w:val="24"/>
                <w:lang w:val="ru-RU" w:eastAsia="en-US" w:bidi="ar-SA"/>
              </w:rPr>
              <w:t>Обеспечение заявки на участие в закупке:</w:t>
            </w:r>
          </w:p>
        </w:tc>
        <w:tc>
          <w:tcPr>
            <w:tcW w:w="5676" w:type="dxa"/>
            <w:tcBorders/>
          </w:tcPr>
          <w:p>
            <w:pPr>
              <w:pStyle w:val="Style30"/>
              <w:widowControl w:val="false"/>
              <w:suppressAutoHyphens w:val="true"/>
              <w:spacing w:before="60" w:after="60"/>
              <w:rPr>
                <w:rFonts w:ascii="Times New Roman" w:hAnsi="Times New Roman"/>
                <w:sz w:val="24"/>
                <w:szCs w:val="24"/>
              </w:rPr>
            </w:pPr>
            <w:r>
              <w:rPr>
                <w:rFonts w:eastAsia="Calibri" w:cs=""/>
                <w:kern w:val="0"/>
                <w:sz w:val="24"/>
                <w:szCs w:val="24"/>
                <w:lang w:val="ru-RU" w:eastAsia="en-US" w:bidi="ar-SA"/>
              </w:rPr>
              <w:t>Не требуется.</w:t>
            </w:r>
          </w:p>
          <w:p>
            <w:pPr>
              <w:pStyle w:val="Style33"/>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p>
        </w:tc>
      </w:tr>
      <w:tr>
        <w:trPr/>
        <w:tc>
          <w:tcPr>
            <w:tcW w:w="842" w:type="dxa"/>
            <w:tcBorders/>
          </w:tcPr>
          <w:p>
            <w:pPr>
              <w:pStyle w:val="Style26"/>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bookmarkStart w:id="35" w:name="_Ref125362995"/>
            <w:bookmarkStart w:id="36" w:name="_Ref125362995"/>
            <w:bookmarkEnd w:id="36"/>
          </w:p>
        </w:tc>
        <w:tc>
          <w:tcPr>
            <w:tcW w:w="3236" w:type="dxa"/>
            <w:tcBorders/>
          </w:tcPr>
          <w:p>
            <w:pPr>
              <w:pStyle w:val="Style30"/>
              <w:widowControl w:val="false"/>
              <w:suppressAutoHyphens w:val="true"/>
              <w:spacing w:before="60" w:after="60"/>
              <w:jc w:val="left"/>
              <w:rPr>
                <w:rFonts w:ascii="Times New Roman" w:hAnsi="Times New Roman"/>
                <w:sz w:val="24"/>
                <w:szCs w:val="24"/>
              </w:rPr>
            </w:pPr>
            <w:r>
              <w:rPr>
                <w:rFonts w:eastAsia="Calibri" w:cs=""/>
                <w:kern w:val="0"/>
                <w:sz w:val="24"/>
                <w:szCs w:val="24"/>
                <w:lang w:val="ru-RU" w:eastAsia="en-US" w:bidi="ar-SA"/>
              </w:rPr>
              <w:t>Требования</w:t>
              <w:br/>
              <w:t>к описанию продукции:</w:t>
            </w:r>
          </w:p>
        </w:tc>
        <w:tc>
          <w:tcPr>
            <w:tcW w:w="5676" w:type="dxa"/>
            <w:tcBorders/>
          </w:tcPr>
          <w:p>
            <w:pPr>
              <w:pStyle w:val="Style30"/>
              <w:widowControl w:val="false"/>
              <w:suppressAutoHyphens w:val="true"/>
              <w:spacing w:before="60" w:after="60"/>
              <w:rPr/>
            </w:pPr>
            <w:r>
              <w:rPr>
                <w:rFonts w:eastAsia="Calibri" w:cs=""/>
                <w:kern w:val="0"/>
                <w:sz w:val="24"/>
                <w:szCs w:val="24"/>
                <w:lang w:val="ru-RU" w:eastAsia="en-US" w:bidi="ar-SA"/>
              </w:rPr>
              <w:t>Подробное предложение Участника в отношении поставляемой продукции, включая функциональные характеристики (потребительские свойства), количественные и качественные характеристики продукции по параметрам эквивалентности, указанным в </w:t>
            </w:r>
            <w:hyperlink w:anchor="Прил01_ТехТребования">
              <w:r>
                <w:rPr>
                  <w:rStyle w:val="Style14"/>
                  <w:rFonts w:eastAsia="Calibri" w:cs=""/>
                  <w:kern w:val="0"/>
                  <w:sz w:val="24"/>
                  <w:szCs w:val="24"/>
                  <w:lang w:val="ru-RU" w:eastAsia="en-US" w:bidi="ar-SA"/>
                </w:rPr>
                <w:t>Технических требованиях (Приложение № 1)</w:t>
              </w:r>
            </w:hyperlink>
            <w:r>
              <w:rPr>
                <w:rFonts w:eastAsia="Calibri" w:cs=""/>
                <w:kern w:val="0"/>
                <w:sz w:val="24"/>
                <w:szCs w:val="24"/>
                <w:lang w:val="ru-RU" w:eastAsia="en-US" w:bidi="ar-SA"/>
              </w:rPr>
              <w:t>, – по установленной форме Технического предложения (форма 4) (</w:t>
            </w:r>
            <w:hyperlink w:anchor="Прил04_ФормыЗаявки">
              <w:r>
                <w:rPr>
                  <w:rStyle w:val="Style14"/>
                  <w:rFonts w:eastAsia="Calibri" w:cs=""/>
                  <w:kern w:val="0"/>
                  <w:sz w:val="24"/>
                  <w:szCs w:val="24"/>
                  <w:lang w:val="ru-RU" w:eastAsia="en-US" w:bidi="ar-SA"/>
                </w:rPr>
                <w:t>Приложение № 4</w:t>
              </w:r>
            </w:hyperlink>
            <w:r>
              <w:rPr>
                <w:rFonts w:eastAsia="Calibri" w:cs=""/>
                <w:kern w:val="0"/>
                <w:sz w:val="24"/>
                <w:szCs w:val="24"/>
                <w:lang w:val="ru-RU" w:eastAsia="en-US" w:bidi="ar-SA"/>
              </w:rPr>
              <w:t>).</w:t>
            </w:r>
          </w:p>
        </w:tc>
      </w:tr>
      <w:tr>
        <w:trPr/>
        <w:tc>
          <w:tcPr>
            <w:tcW w:w="842" w:type="dxa"/>
            <w:tcBorders/>
          </w:tcPr>
          <w:p>
            <w:pPr>
              <w:pStyle w:val="Style26"/>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p>
        </w:tc>
        <w:tc>
          <w:tcPr>
            <w:tcW w:w="3236" w:type="dxa"/>
            <w:tcBorders/>
          </w:tcPr>
          <w:p>
            <w:pPr>
              <w:pStyle w:val="Style30"/>
              <w:widowControl w:val="false"/>
              <w:suppressAutoHyphens w:val="true"/>
              <w:spacing w:before="60" w:after="60"/>
              <w:jc w:val="left"/>
              <w:rPr>
                <w:rFonts w:ascii="Times New Roman" w:hAnsi="Times New Roman"/>
                <w:sz w:val="24"/>
                <w:szCs w:val="24"/>
              </w:rPr>
            </w:pPr>
            <w:r>
              <w:rPr>
                <w:rFonts w:eastAsia="Calibri" w:cs=""/>
                <w:kern w:val="0"/>
                <w:sz w:val="24"/>
                <w:szCs w:val="24"/>
                <w:lang w:val="ru-RU" w:eastAsia="en-US" w:bidi="ar-SA"/>
              </w:rPr>
              <w:t>Применение законодательства о национальном режиме:</w:t>
            </w:r>
          </w:p>
        </w:tc>
        <w:tc>
          <w:tcPr>
            <w:tcW w:w="5676" w:type="dxa"/>
            <w:tcBorders/>
          </w:tcPr>
          <w:p>
            <w:pPr>
              <w:pStyle w:val="Style30"/>
              <w:widowControl w:val="false"/>
              <w:suppressAutoHyphens w:val="true"/>
              <w:spacing w:before="60" w:after="60"/>
              <w:rPr>
                <w:rFonts w:ascii="Times New Roman" w:hAnsi="Times New Roman"/>
                <w:sz w:val="24"/>
                <w:szCs w:val="24"/>
              </w:rPr>
            </w:pPr>
            <w:r>
              <w:rPr>
                <w:rFonts w:eastAsia="Calibri" w:cs=""/>
                <w:kern w:val="0"/>
                <w:sz w:val="24"/>
                <w:szCs w:val="24"/>
                <w:lang w:val="ru-RU" w:eastAsia="en-US" w:bidi="ar-SA"/>
              </w:rPr>
              <w:t>Установлен режим преимущества российской продукции (или ее части).</w:t>
            </w:r>
          </w:p>
          <w:p>
            <w:pPr>
              <w:pStyle w:val="Style30"/>
              <w:widowControl w:val="false"/>
              <w:suppressAutoHyphens w:val="true"/>
              <w:spacing w:before="60" w:after="60"/>
              <w:rPr/>
            </w:pPr>
            <w:r>
              <w:rPr>
                <w:rFonts w:eastAsia="Calibri" w:cs=""/>
                <w:kern w:val="0"/>
                <w:sz w:val="24"/>
                <w:szCs w:val="24"/>
                <w:lang w:val="ru-RU" w:eastAsia="en-US" w:bidi="ar-SA"/>
              </w:rPr>
              <w:t>Подробнее в отношении каждой позиции закупаемой продукции указано в Структуре НМЦ (в составе Коммерческого предложения (форма 3) (</w:t>
            </w:r>
            <w:hyperlink w:anchor="Прил04_ФормыЗаявки">
              <w:r>
                <w:rPr>
                  <w:rStyle w:val="Style14"/>
                  <w:rFonts w:eastAsia="Calibri" w:cs=""/>
                  <w:kern w:val="0"/>
                  <w:sz w:val="24"/>
                  <w:szCs w:val="24"/>
                  <w:lang w:val="ru-RU" w:eastAsia="en-US" w:bidi="ar-SA"/>
                </w:rPr>
                <w:t>Приложение № 4</w:t>
              </w:r>
            </w:hyperlink>
            <w:r>
              <w:rPr>
                <w:rFonts w:eastAsia="Calibri" w:cs=""/>
                <w:kern w:val="0"/>
                <w:sz w:val="24"/>
                <w:szCs w:val="24"/>
                <w:lang w:val="ru-RU" w:eastAsia="en-US" w:bidi="ar-SA"/>
              </w:rPr>
              <w:t>)).</w:t>
            </w:r>
          </w:p>
        </w:tc>
      </w:tr>
      <w:tr>
        <w:trPr/>
        <w:tc>
          <w:tcPr>
            <w:tcW w:w="842" w:type="dxa"/>
            <w:tcBorders/>
          </w:tcPr>
          <w:p>
            <w:pPr>
              <w:pStyle w:val="Style26"/>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bookmarkStart w:id="37" w:name="_Ref125533737"/>
            <w:bookmarkStart w:id="38" w:name="_Ref125533737"/>
            <w:bookmarkEnd w:id="38"/>
          </w:p>
        </w:tc>
        <w:tc>
          <w:tcPr>
            <w:tcW w:w="3236" w:type="dxa"/>
            <w:tcBorders/>
          </w:tcPr>
          <w:p>
            <w:pPr>
              <w:pStyle w:val="Normal"/>
              <w:widowControl w:val="false"/>
              <w:suppressAutoHyphens w:val="true"/>
              <w:spacing w:before="60" w:after="60"/>
              <w:jc w:val="left"/>
              <w:rPr>
                <w:rFonts w:ascii="Times New Roman" w:hAnsi="Times New Roman"/>
                <w:sz w:val="24"/>
                <w:szCs w:val="24"/>
              </w:rPr>
            </w:pPr>
            <w:r>
              <w:rPr>
                <w:rFonts w:eastAsia="Calibri" w:cs=""/>
                <w:kern w:val="0"/>
                <w:sz w:val="24"/>
                <w:szCs w:val="24"/>
                <w:lang w:val="ru-RU" w:eastAsia="en-US" w:bidi="ar-SA"/>
              </w:rPr>
              <w:t>Возможность подачи альтернативных предложений:</w:t>
            </w:r>
          </w:p>
        </w:tc>
        <w:tc>
          <w:tcPr>
            <w:tcW w:w="5676" w:type="dxa"/>
            <w:tcBorders/>
          </w:tcPr>
          <w:p>
            <w:pPr>
              <w:pStyle w:val="Style30"/>
              <w:widowControl w:val="false"/>
              <w:suppressAutoHyphens w:val="true"/>
              <w:spacing w:before="60" w:after="60"/>
              <w:rPr>
                <w:rFonts w:ascii="Times New Roman" w:hAnsi="Times New Roman"/>
                <w:sz w:val="24"/>
                <w:szCs w:val="24"/>
              </w:rPr>
            </w:pPr>
            <w:r>
              <w:rPr>
                <w:rFonts w:eastAsia="Calibri" w:cs=""/>
                <w:kern w:val="0"/>
                <w:sz w:val="24"/>
                <w:szCs w:val="24"/>
                <w:lang w:val="ru-RU" w:eastAsia="en-US" w:bidi="ar-SA"/>
              </w:rPr>
              <w:t>Не предусмотрена.</w:t>
            </w:r>
          </w:p>
          <w:p>
            <w:pPr>
              <w:pStyle w:val="Style33"/>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p>
        </w:tc>
      </w:tr>
      <w:tr>
        <w:trPr/>
        <w:tc>
          <w:tcPr>
            <w:tcW w:w="842" w:type="dxa"/>
            <w:tcBorders/>
          </w:tcPr>
          <w:p>
            <w:pPr>
              <w:pStyle w:val="Style26"/>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bookmarkStart w:id="39" w:name="_Ref125475086"/>
            <w:bookmarkStart w:id="40" w:name="_Ref125475086"/>
            <w:bookmarkEnd w:id="40"/>
          </w:p>
        </w:tc>
        <w:tc>
          <w:tcPr>
            <w:tcW w:w="3236" w:type="dxa"/>
            <w:tcBorders/>
          </w:tcPr>
          <w:p>
            <w:pPr>
              <w:pStyle w:val="Style30"/>
              <w:widowControl w:val="false"/>
              <w:suppressAutoHyphens w:val="true"/>
              <w:spacing w:before="60" w:after="60"/>
              <w:jc w:val="left"/>
              <w:rPr>
                <w:rFonts w:ascii="Times New Roman" w:hAnsi="Times New Roman"/>
                <w:sz w:val="24"/>
                <w:szCs w:val="24"/>
              </w:rPr>
            </w:pPr>
            <w:r>
              <w:rPr>
                <w:rFonts w:eastAsia="Calibri" w:cs=""/>
                <w:kern w:val="0"/>
                <w:sz w:val="24"/>
                <w:szCs w:val="24"/>
                <w:lang w:val="ru-RU" w:eastAsia="en-US" w:bidi="ar-SA"/>
              </w:rPr>
              <w:t>Место и порядок подачи заявок:</w:t>
            </w:r>
          </w:p>
        </w:tc>
        <w:tc>
          <w:tcPr>
            <w:tcW w:w="5676" w:type="dxa"/>
            <w:tcBorders/>
          </w:tcPr>
          <w:p>
            <w:pPr>
              <w:pStyle w:val="Style30"/>
              <w:widowControl w:val="false"/>
              <w:suppressAutoHyphens w:val="true"/>
              <w:spacing w:before="60" w:after="60"/>
              <w:rPr>
                <w:rFonts w:ascii="Times New Roman" w:hAnsi="Times New Roman"/>
                <w:sz w:val="24"/>
                <w:szCs w:val="24"/>
              </w:rPr>
            </w:pPr>
            <w:r>
              <w:rPr>
                <w:rFonts w:eastAsia="Calibri" w:cs=""/>
                <w:kern w:val="0"/>
                <w:sz w:val="24"/>
                <w:szCs w:val="24"/>
                <w:lang w:val="ru-RU" w:eastAsia="en-US" w:bidi="ar-SA"/>
              </w:rPr>
              <w:t>Заявки подаются посредством функционала ЭП, по адресу ЭП, указанному в пункте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_Ref125360764 \r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t>1.2.5</w:t>
            </w:r>
            <w:r>
              <w:rPr>
                <w:sz w:val="24"/>
                <w:kern w:val="0"/>
                <w:szCs w:val="24"/>
                <w:rFonts w:eastAsia="Calibri" w:cs=""/>
                <w:lang w:val="ru-RU" w:eastAsia="en-US" w:bidi="ar-SA"/>
              </w:rPr>
              <w:fldChar w:fldCharType="end"/>
            </w:r>
            <w:r>
              <w:rPr>
                <w:rFonts w:eastAsia="Calibri" w:cs=""/>
                <w:kern w:val="0"/>
                <w:sz w:val="24"/>
                <w:szCs w:val="24"/>
                <w:lang w:val="ru-RU" w:eastAsia="en-US" w:bidi="ar-SA"/>
              </w:rPr>
              <w:t>.</w:t>
            </w:r>
          </w:p>
        </w:tc>
      </w:tr>
      <w:tr>
        <w:trPr/>
        <w:tc>
          <w:tcPr>
            <w:tcW w:w="842" w:type="dxa"/>
            <w:tcBorders/>
          </w:tcPr>
          <w:p>
            <w:pPr>
              <w:pStyle w:val="Style26"/>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bookmarkStart w:id="41" w:name="_Ref125360779"/>
            <w:bookmarkStart w:id="42" w:name="_Ref125360779"/>
            <w:bookmarkEnd w:id="42"/>
          </w:p>
        </w:tc>
        <w:tc>
          <w:tcPr>
            <w:tcW w:w="3236" w:type="dxa"/>
            <w:tcBorders/>
          </w:tcPr>
          <w:p>
            <w:pPr>
              <w:pStyle w:val="Style30"/>
              <w:widowControl w:val="false"/>
              <w:suppressAutoHyphens w:val="true"/>
              <w:spacing w:before="60" w:after="60"/>
              <w:jc w:val="left"/>
              <w:rPr>
                <w:rFonts w:ascii="Times New Roman" w:hAnsi="Times New Roman"/>
                <w:sz w:val="24"/>
                <w:szCs w:val="24"/>
              </w:rPr>
            </w:pPr>
            <w:r>
              <w:rPr>
                <w:rFonts w:eastAsia="Calibri" w:cs=""/>
                <w:kern w:val="0"/>
                <w:sz w:val="24"/>
                <w:szCs w:val="24"/>
                <w:lang w:val="ru-RU" w:eastAsia="en-US" w:bidi="ar-SA"/>
              </w:rPr>
              <w:t>Дата начала; дата и время окончания срока подачи заявок:</w:t>
            </w:r>
          </w:p>
        </w:tc>
        <w:tc>
          <w:tcPr>
            <w:tcW w:w="5676" w:type="dxa"/>
            <w:tcBorders/>
          </w:tcPr>
          <w:p>
            <w:pPr>
              <w:pStyle w:val="Style30"/>
              <w:widowControl w:val="false"/>
              <w:suppressAutoHyphens w:val="true"/>
              <w:spacing w:before="60" w:after="60"/>
              <w:rPr>
                <w:rFonts w:ascii="Times New Roman" w:hAnsi="Times New Roman"/>
                <w:sz w:val="24"/>
                <w:szCs w:val="24"/>
              </w:rPr>
            </w:pPr>
            <w:r>
              <w:rPr>
                <w:rFonts w:eastAsia="Calibri" w:cs=""/>
                <w:kern w:val="0"/>
                <w:sz w:val="24"/>
                <w:szCs w:val="24"/>
                <w:lang w:val="ru-RU" w:eastAsia="en-US" w:bidi="ar-SA"/>
              </w:rPr>
              <w:t>Дата начала подачи заявок:</w:t>
            </w:r>
          </w:p>
          <w:p>
            <w:pPr>
              <w:pStyle w:val="Style30"/>
              <w:widowControl w:val="false"/>
              <w:suppressAutoHyphens w:val="true"/>
              <w:spacing w:before="60" w:after="60"/>
              <w:rPr>
                <w:rFonts w:ascii="Times New Roman" w:hAnsi="Times New Roman"/>
                <w:sz w:val="24"/>
                <w:szCs w:val="24"/>
              </w:rPr>
            </w:pPr>
            <w:r>
              <w:rPr>
                <w:rFonts w:eastAsia="Calibri" w:cs=""/>
                <w:kern w:val="0"/>
                <w:sz w:val="24"/>
                <w:szCs w:val="24"/>
                <w:lang w:val="ru-RU" w:eastAsia="en-US" w:bidi="ar-SA"/>
              </w:rPr>
              <w:t>«07» октября 2026 г.</w:t>
            </w:r>
          </w:p>
          <w:p>
            <w:pPr>
              <w:pStyle w:val="Style30"/>
              <w:widowControl w:val="false"/>
              <w:suppressAutoHyphens w:val="true"/>
              <w:spacing w:before="60" w:after="60"/>
              <w:rPr>
                <w:rFonts w:ascii="Times New Roman" w:hAnsi="Times New Roman"/>
                <w:sz w:val="24"/>
                <w:szCs w:val="24"/>
              </w:rPr>
            </w:pPr>
            <w:r>
              <w:rPr>
                <w:rFonts w:eastAsia="Calibri" w:cs=""/>
                <w:kern w:val="0"/>
                <w:sz w:val="24"/>
                <w:szCs w:val="24"/>
                <w:lang w:val="ru-RU" w:eastAsia="en-US" w:bidi="ar-SA"/>
              </w:rPr>
              <w:t>Дата и время окончания срока подачи заявок:</w:t>
            </w:r>
          </w:p>
          <w:p>
            <w:pPr>
              <w:pStyle w:val="Style30"/>
              <w:widowControl w:val="false"/>
              <w:suppressAutoHyphens w:val="true"/>
              <w:spacing w:before="60" w:after="60"/>
              <w:rPr>
                <w:rFonts w:ascii="Times New Roman" w:hAnsi="Times New Roman"/>
                <w:sz w:val="24"/>
                <w:szCs w:val="24"/>
              </w:rPr>
            </w:pPr>
            <w:r>
              <w:rPr>
                <w:rFonts w:eastAsia="Calibri" w:cs=""/>
                <w:kern w:val="0"/>
                <w:sz w:val="24"/>
                <w:szCs w:val="24"/>
                <w:lang w:val="ru-RU" w:eastAsia="en-US" w:bidi="ar-SA"/>
              </w:rPr>
              <w:t>«22» октября 2026 г. в 08 ч. 00 мин.</w:t>
            </w:r>
          </w:p>
          <w:p>
            <w:pPr>
              <w:pStyle w:val="Style30"/>
              <w:widowControl w:val="false"/>
              <w:suppressAutoHyphens w:val="true"/>
              <w:spacing w:before="60" w:after="60"/>
              <w:rPr>
                <w:rFonts w:ascii="Times New Roman" w:hAnsi="Times New Roman"/>
                <w:sz w:val="24"/>
                <w:szCs w:val="24"/>
              </w:rPr>
            </w:pPr>
            <w:r>
              <w:rPr>
                <w:rFonts w:eastAsia="Calibri" w:cs=""/>
                <w:kern w:val="0"/>
                <w:sz w:val="24"/>
                <w:szCs w:val="24"/>
                <w:lang w:val="ru-RU" w:eastAsia="en-US" w:bidi="ar-SA"/>
              </w:rPr>
              <w:t>(по московскому времени).</w:t>
            </w:r>
          </w:p>
          <w:p>
            <w:pPr>
              <w:pStyle w:val="Style30"/>
              <w:widowControl w:val="false"/>
              <w:suppressAutoHyphens w:val="true"/>
              <w:spacing w:before="60" w:after="60"/>
              <w:rPr>
                <w:rFonts w:eastAsia="Calibri" w:cs=""/>
                <w:kern w:val="0"/>
                <w:lang w:val="ru-RU" w:eastAsia="en-US" w:bidi="ar-SA"/>
              </w:rPr>
            </w:pPr>
            <w:r>
              <w:rPr>
                <w:rFonts w:eastAsia="Calibri" w:cs=""/>
                <w:kern w:val="0"/>
                <w:lang w:val="ru-RU" w:eastAsia="en-US" w:bidi="ar-SA"/>
              </w:rPr>
            </w:r>
          </w:p>
        </w:tc>
      </w:tr>
      <w:tr>
        <w:trPr/>
        <w:tc>
          <w:tcPr>
            <w:tcW w:w="842" w:type="dxa"/>
            <w:tcBorders/>
          </w:tcPr>
          <w:p>
            <w:pPr>
              <w:pStyle w:val="Style26"/>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p>
        </w:tc>
        <w:tc>
          <w:tcPr>
            <w:tcW w:w="3236" w:type="dxa"/>
            <w:tcBorders/>
          </w:tcPr>
          <w:p>
            <w:pPr>
              <w:pStyle w:val="Style30"/>
              <w:widowControl w:val="false"/>
              <w:suppressAutoHyphens w:val="true"/>
              <w:spacing w:before="60" w:after="60"/>
              <w:jc w:val="left"/>
              <w:rPr>
                <w:rFonts w:ascii="Times New Roman" w:hAnsi="Times New Roman"/>
                <w:sz w:val="24"/>
                <w:szCs w:val="24"/>
              </w:rPr>
            </w:pPr>
            <w:r>
              <w:rPr>
                <w:rFonts w:eastAsia="Calibri" w:cs=""/>
                <w:kern w:val="0"/>
                <w:sz w:val="24"/>
                <w:szCs w:val="24"/>
                <w:lang w:val="ru-RU" w:eastAsia="en-US" w:bidi="ar-SA"/>
              </w:rPr>
              <w:t>Срок предоставления Участникам разъяснений Документации о закупке:</w:t>
            </w:r>
          </w:p>
        </w:tc>
        <w:tc>
          <w:tcPr>
            <w:tcW w:w="5676" w:type="dxa"/>
            <w:tcBorders/>
          </w:tcPr>
          <w:p>
            <w:pPr>
              <w:pStyle w:val="Style30"/>
              <w:widowControl w:val="false"/>
              <w:suppressAutoHyphens w:val="true"/>
              <w:spacing w:before="60" w:after="60"/>
              <w:rPr>
                <w:rFonts w:ascii="Times New Roman" w:hAnsi="Times New Roman"/>
                <w:sz w:val="24"/>
                <w:szCs w:val="24"/>
              </w:rPr>
            </w:pPr>
            <w:r>
              <w:rPr>
                <w:rFonts w:eastAsia="Calibri" w:cs=""/>
                <w:kern w:val="0"/>
                <w:sz w:val="24"/>
                <w:szCs w:val="24"/>
                <w:lang w:val="ru-RU" w:eastAsia="en-US" w:bidi="ar-SA"/>
              </w:rPr>
              <w:t>Дата и время окончания срока предоставления разъяснений:</w:t>
            </w:r>
          </w:p>
          <w:p>
            <w:pPr>
              <w:pStyle w:val="Style30"/>
              <w:widowControl w:val="false"/>
              <w:suppressAutoHyphens w:val="true"/>
              <w:spacing w:before="60" w:after="60"/>
              <w:rPr>
                <w:rFonts w:ascii="Times New Roman" w:hAnsi="Times New Roman"/>
                <w:sz w:val="24"/>
                <w:szCs w:val="24"/>
              </w:rPr>
            </w:pPr>
            <w:r>
              <w:rPr>
                <w:rFonts w:eastAsia="Calibri" w:cs=""/>
                <w:kern w:val="0"/>
                <w:sz w:val="24"/>
                <w:szCs w:val="24"/>
                <w:lang w:val="ru-RU" w:eastAsia="en-US" w:bidi="ar-SA"/>
              </w:rPr>
              <w:t>«22» октября 2026 г. в 08 ч. 00 мин.</w:t>
            </w:r>
          </w:p>
          <w:p>
            <w:pPr>
              <w:pStyle w:val="Style30"/>
              <w:widowControl w:val="false"/>
              <w:suppressAutoHyphens w:val="true"/>
              <w:spacing w:before="60" w:after="60"/>
              <w:rPr>
                <w:rFonts w:ascii="Times New Roman" w:hAnsi="Times New Roman"/>
                <w:sz w:val="24"/>
                <w:szCs w:val="24"/>
              </w:rPr>
            </w:pPr>
            <w:r>
              <w:rPr>
                <w:rFonts w:eastAsia="Calibri" w:cs=""/>
                <w:kern w:val="0"/>
                <w:sz w:val="24"/>
                <w:szCs w:val="24"/>
                <w:lang w:val="ru-RU" w:eastAsia="en-US" w:bidi="ar-SA"/>
              </w:rPr>
              <w:t>(по московскому времени).</w:t>
            </w:r>
          </w:p>
          <w:p>
            <w:pPr>
              <w:pStyle w:val="Style30"/>
              <w:widowControl w:val="false"/>
              <w:suppressAutoHyphens w:val="true"/>
              <w:spacing w:before="60" w:after="60"/>
              <w:rPr>
                <w:rFonts w:ascii="Times New Roman" w:hAnsi="Times New Roman"/>
                <w:sz w:val="24"/>
                <w:szCs w:val="24"/>
              </w:rPr>
            </w:pPr>
            <w:r>
              <w:rPr>
                <w:rFonts w:eastAsia="Calibri" w:cs=""/>
                <w:kern w:val="0"/>
                <w:sz w:val="24"/>
                <w:szCs w:val="24"/>
                <w:lang w:val="ru-RU" w:eastAsia="en-US" w:bidi="ar-SA"/>
              </w:rPr>
              <w:t>Организатор вправе не предоставлять разъяснение, если запрос от Участника поступил позднее чем за 3 (три) рабочих дня до даты окончания срока подачи заявок, установленной в пункте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_Ref125360779 \r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t>1.2.18</w:t>
            </w:r>
            <w:r>
              <w:rPr>
                <w:sz w:val="24"/>
                <w:kern w:val="0"/>
                <w:szCs w:val="24"/>
                <w:rFonts w:eastAsia="Calibri" w:cs=""/>
                <w:lang w:val="ru-RU" w:eastAsia="en-US" w:bidi="ar-SA"/>
              </w:rPr>
              <w:fldChar w:fldCharType="end"/>
            </w:r>
            <w:r>
              <w:rPr>
                <w:rFonts w:eastAsia="Calibri" w:cs=""/>
                <w:kern w:val="0"/>
                <w:sz w:val="24"/>
                <w:szCs w:val="24"/>
                <w:lang w:val="ru-RU" w:eastAsia="en-US" w:bidi="ar-SA"/>
              </w:rPr>
              <w:t>.</w:t>
            </w:r>
          </w:p>
        </w:tc>
      </w:tr>
      <w:tr>
        <w:trPr/>
        <w:tc>
          <w:tcPr>
            <w:tcW w:w="842" w:type="dxa"/>
            <w:tcBorders/>
          </w:tcPr>
          <w:p>
            <w:pPr>
              <w:pStyle w:val="Style26"/>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bookmarkStart w:id="43" w:name="_Ref125476197"/>
            <w:bookmarkStart w:id="44" w:name="_Ref125476197"/>
            <w:bookmarkEnd w:id="44"/>
          </w:p>
        </w:tc>
        <w:tc>
          <w:tcPr>
            <w:tcW w:w="3236" w:type="dxa"/>
            <w:tcBorders/>
          </w:tcPr>
          <w:p>
            <w:pPr>
              <w:pStyle w:val="Style30"/>
              <w:widowControl w:val="false"/>
              <w:suppressAutoHyphens w:val="true"/>
              <w:spacing w:before="60" w:after="60"/>
              <w:jc w:val="left"/>
              <w:rPr>
                <w:rFonts w:ascii="Times New Roman" w:hAnsi="Times New Roman"/>
                <w:sz w:val="24"/>
                <w:szCs w:val="24"/>
              </w:rPr>
            </w:pPr>
            <w:r>
              <w:rPr>
                <w:rFonts w:eastAsia="Calibri" w:cs=""/>
                <w:kern w:val="0"/>
                <w:sz w:val="24"/>
                <w:szCs w:val="24"/>
                <w:lang w:val="ru-RU" w:eastAsia="en-US" w:bidi="ar-SA"/>
              </w:rPr>
              <w:t>Место открытия</w:t>
              <w:br/>
              <w:t>доступа к заявкам:</w:t>
            </w:r>
          </w:p>
        </w:tc>
        <w:tc>
          <w:tcPr>
            <w:tcW w:w="5676" w:type="dxa"/>
            <w:tcBorders/>
          </w:tcPr>
          <w:p>
            <w:pPr>
              <w:pStyle w:val="Style30"/>
              <w:widowControl w:val="false"/>
              <w:suppressAutoHyphens w:val="true"/>
              <w:spacing w:before="60" w:after="60"/>
              <w:rPr>
                <w:rFonts w:ascii="Times New Roman" w:hAnsi="Times New Roman"/>
                <w:sz w:val="24"/>
                <w:szCs w:val="24"/>
              </w:rPr>
            </w:pPr>
            <w:r>
              <w:rPr>
                <w:rFonts w:eastAsia="Calibri" w:cs=""/>
                <w:kern w:val="0"/>
                <w:sz w:val="24"/>
                <w:szCs w:val="24"/>
                <w:lang w:val="ru-RU" w:eastAsia="en-US" w:bidi="ar-SA"/>
              </w:rPr>
              <w:t>Открытие доступа к заявкам осуществляется автоматически на ЭП, расположенной по адресу согласно пункту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_Ref125360764 \r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t>1.2.5</w:t>
            </w:r>
            <w:r>
              <w:rPr>
                <w:sz w:val="24"/>
                <w:kern w:val="0"/>
                <w:szCs w:val="24"/>
                <w:rFonts w:eastAsia="Calibri" w:cs=""/>
                <w:lang w:val="ru-RU" w:eastAsia="en-US" w:bidi="ar-SA"/>
              </w:rPr>
              <w:fldChar w:fldCharType="end"/>
            </w:r>
            <w:r>
              <w:rPr>
                <w:rFonts w:eastAsia="Calibri" w:cs=""/>
                <w:kern w:val="0"/>
                <w:sz w:val="24"/>
                <w:szCs w:val="24"/>
                <w:lang w:val="ru-RU" w:eastAsia="en-US" w:bidi="ar-SA"/>
              </w:rPr>
              <w:t>.</w:t>
            </w:r>
          </w:p>
        </w:tc>
      </w:tr>
      <w:tr>
        <w:trPr/>
        <w:tc>
          <w:tcPr>
            <w:tcW w:w="842" w:type="dxa"/>
            <w:tcBorders/>
          </w:tcPr>
          <w:p>
            <w:pPr>
              <w:pStyle w:val="Style26"/>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bookmarkStart w:id="45" w:name="_Ref125362733"/>
            <w:bookmarkStart w:id="46" w:name="_Ref125362733"/>
            <w:bookmarkEnd w:id="46"/>
          </w:p>
        </w:tc>
        <w:tc>
          <w:tcPr>
            <w:tcW w:w="3236" w:type="dxa"/>
            <w:tcBorders/>
          </w:tcPr>
          <w:p>
            <w:pPr>
              <w:pStyle w:val="Style30"/>
              <w:widowControl w:val="false"/>
              <w:suppressAutoHyphens w:val="true"/>
              <w:spacing w:before="60" w:after="60"/>
              <w:jc w:val="left"/>
              <w:rPr>
                <w:rFonts w:ascii="Times New Roman" w:hAnsi="Times New Roman"/>
                <w:sz w:val="24"/>
                <w:szCs w:val="24"/>
              </w:rPr>
            </w:pPr>
            <w:r>
              <w:rPr>
                <w:rFonts w:eastAsia="Calibri" w:cs=""/>
                <w:kern w:val="0"/>
                <w:sz w:val="24"/>
                <w:szCs w:val="24"/>
                <w:lang w:val="ru-RU" w:eastAsia="en-US" w:bidi="ar-SA"/>
              </w:rPr>
              <w:t>Дата окончания рассмотрения заявок:</w:t>
            </w:r>
          </w:p>
        </w:tc>
        <w:tc>
          <w:tcPr>
            <w:tcW w:w="5676" w:type="dxa"/>
            <w:tcBorders/>
          </w:tcPr>
          <w:p>
            <w:pPr>
              <w:pStyle w:val="Style30"/>
              <w:widowControl w:val="false"/>
              <w:suppressAutoHyphens w:val="true"/>
              <w:spacing w:before="60" w:after="60"/>
              <w:rPr>
                <w:rFonts w:ascii="Times New Roman" w:hAnsi="Times New Roman"/>
                <w:sz w:val="24"/>
                <w:szCs w:val="24"/>
              </w:rPr>
            </w:pPr>
            <w:r>
              <w:rPr>
                <w:rFonts w:eastAsia="Calibri" w:cs=""/>
                <w:kern w:val="0"/>
                <w:sz w:val="24"/>
                <w:szCs w:val="24"/>
                <w:lang w:val="ru-RU" w:eastAsia="en-US" w:bidi="ar-SA"/>
              </w:rPr>
              <w:t>«03» ноября 2026 г.</w:t>
            </w:r>
          </w:p>
          <w:p>
            <w:pPr>
              <w:pStyle w:val="Style30"/>
              <w:widowControl w:val="false"/>
              <w:suppressAutoHyphens w:val="true"/>
              <w:spacing w:before="60" w:after="60"/>
              <w:rPr>
                <w:rFonts w:ascii="Times New Roman" w:hAnsi="Times New Roman"/>
                <w:sz w:val="24"/>
                <w:szCs w:val="24"/>
              </w:rPr>
            </w:pPr>
            <w:r>
              <w:rPr>
                <w:sz w:val="24"/>
                <w:szCs w:val="24"/>
              </w:rPr>
            </w:r>
          </w:p>
        </w:tc>
      </w:tr>
      <w:tr>
        <w:trPr/>
        <w:tc>
          <w:tcPr>
            <w:tcW w:w="842" w:type="dxa"/>
            <w:tcBorders/>
          </w:tcPr>
          <w:p>
            <w:pPr>
              <w:pStyle w:val="Style26"/>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p>
        </w:tc>
        <w:tc>
          <w:tcPr>
            <w:tcW w:w="3236" w:type="dxa"/>
            <w:tcBorders/>
          </w:tcPr>
          <w:p>
            <w:pPr>
              <w:pStyle w:val="Style30"/>
              <w:widowControl w:val="false"/>
              <w:suppressAutoHyphens w:val="true"/>
              <w:spacing w:before="60" w:after="60"/>
              <w:jc w:val="left"/>
              <w:rPr>
                <w:rFonts w:ascii="Times New Roman" w:hAnsi="Times New Roman"/>
                <w:sz w:val="24"/>
                <w:szCs w:val="24"/>
              </w:rPr>
            </w:pPr>
            <w:r>
              <w:rPr>
                <w:rFonts w:eastAsia="Calibri" w:cs=""/>
                <w:kern w:val="0"/>
                <w:sz w:val="24"/>
                <w:szCs w:val="24"/>
                <w:lang w:val="ru-RU" w:eastAsia="en-US" w:bidi="ar-SA"/>
              </w:rPr>
              <w:t>Возможность проведения процедуры переторжки:</w:t>
            </w:r>
          </w:p>
        </w:tc>
        <w:tc>
          <w:tcPr>
            <w:tcW w:w="5676" w:type="dxa"/>
            <w:tcBorders/>
          </w:tcPr>
          <w:p>
            <w:pPr>
              <w:pStyle w:val="Style30"/>
              <w:widowControl w:val="false"/>
              <w:suppressAutoHyphens w:val="true"/>
              <w:spacing w:before="60" w:after="60"/>
              <w:rPr>
                <w:rFonts w:ascii="Times New Roman" w:hAnsi="Times New Roman"/>
                <w:sz w:val="24"/>
                <w:szCs w:val="24"/>
              </w:rPr>
            </w:pPr>
            <w:r>
              <w:rPr>
                <w:rFonts w:eastAsia="Calibri" w:cs=""/>
                <w:kern w:val="0"/>
                <w:sz w:val="24"/>
                <w:szCs w:val="24"/>
                <w:lang w:val="ru-RU" w:eastAsia="en-US" w:bidi="ar-SA"/>
              </w:rPr>
              <w:t>Не предусмотрено.</w:t>
            </w:r>
          </w:p>
          <w:p>
            <w:pPr>
              <w:pStyle w:val="Style33"/>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p>
        </w:tc>
      </w:tr>
      <w:tr>
        <w:trPr/>
        <w:tc>
          <w:tcPr>
            <w:tcW w:w="842" w:type="dxa"/>
            <w:tcBorders/>
          </w:tcPr>
          <w:p>
            <w:pPr>
              <w:pStyle w:val="Style26"/>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bookmarkStart w:id="47" w:name="_Ref125362757"/>
            <w:bookmarkStart w:id="48" w:name="_Ref125362757"/>
            <w:bookmarkEnd w:id="48"/>
          </w:p>
        </w:tc>
        <w:tc>
          <w:tcPr>
            <w:tcW w:w="3236" w:type="dxa"/>
            <w:tcBorders/>
          </w:tcPr>
          <w:p>
            <w:pPr>
              <w:pStyle w:val="Style30"/>
              <w:widowControl w:val="false"/>
              <w:suppressAutoHyphens w:val="true"/>
              <w:spacing w:before="60" w:after="60"/>
              <w:jc w:val="left"/>
              <w:rPr>
                <w:rFonts w:ascii="Times New Roman" w:hAnsi="Times New Roman"/>
                <w:sz w:val="24"/>
                <w:szCs w:val="24"/>
              </w:rPr>
            </w:pPr>
            <w:r>
              <w:rPr>
                <w:rFonts w:eastAsia="Calibri" w:cs=""/>
                <w:kern w:val="0"/>
                <w:sz w:val="24"/>
                <w:szCs w:val="24"/>
                <w:lang w:val="ru-RU" w:eastAsia="en-US" w:bidi="ar-SA"/>
              </w:rPr>
              <w:t>Дата подведения</w:t>
              <w:br/>
              <w:t>итогов закупки:</w:t>
            </w:r>
          </w:p>
        </w:tc>
        <w:tc>
          <w:tcPr>
            <w:tcW w:w="5676" w:type="dxa"/>
            <w:tcBorders/>
          </w:tcPr>
          <w:p>
            <w:pPr>
              <w:pStyle w:val="Style30"/>
              <w:widowControl w:val="false"/>
              <w:suppressAutoHyphens w:val="true"/>
              <w:spacing w:before="60" w:after="60"/>
              <w:rPr>
                <w:rFonts w:ascii="Times New Roman" w:hAnsi="Times New Roman"/>
                <w:sz w:val="24"/>
                <w:szCs w:val="24"/>
              </w:rPr>
            </w:pPr>
            <w:r>
              <w:rPr>
                <w:rFonts w:eastAsia="Calibri" w:cs=""/>
                <w:kern w:val="0"/>
                <w:sz w:val="24"/>
                <w:szCs w:val="24"/>
                <w:lang w:val="ru-RU" w:eastAsia="en-US" w:bidi="ar-SA"/>
              </w:rPr>
              <w:t>«03» ноября 2026 г.</w:t>
            </w:r>
          </w:p>
          <w:p>
            <w:pPr>
              <w:pStyle w:val="Style30"/>
              <w:widowControl w:val="false"/>
              <w:suppressAutoHyphens w:val="true"/>
              <w:spacing w:before="60" w:after="60"/>
              <w:rPr>
                <w:rFonts w:ascii="Times New Roman" w:hAnsi="Times New Roman"/>
                <w:sz w:val="24"/>
                <w:szCs w:val="24"/>
              </w:rPr>
            </w:pPr>
            <w:r>
              <w:rPr>
                <w:sz w:val="24"/>
                <w:szCs w:val="24"/>
              </w:rPr>
            </w:r>
          </w:p>
        </w:tc>
      </w:tr>
      <w:tr>
        <w:trPr/>
        <w:tc>
          <w:tcPr>
            <w:tcW w:w="842" w:type="dxa"/>
            <w:tcBorders/>
          </w:tcPr>
          <w:p>
            <w:pPr>
              <w:pStyle w:val="Style26"/>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bookmarkStart w:id="49" w:name="_Ref125361769"/>
            <w:bookmarkStart w:id="50" w:name="_Ref125361769"/>
            <w:bookmarkEnd w:id="50"/>
          </w:p>
        </w:tc>
        <w:tc>
          <w:tcPr>
            <w:tcW w:w="3236" w:type="dxa"/>
            <w:tcBorders/>
          </w:tcPr>
          <w:p>
            <w:pPr>
              <w:pStyle w:val="Style30"/>
              <w:widowControl w:val="false"/>
              <w:suppressAutoHyphens w:val="true"/>
              <w:spacing w:before="60" w:after="60"/>
              <w:jc w:val="left"/>
              <w:rPr>
                <w:rFonts w:ascii="Times New Roman" w:hAnsi="Times New Roman"/>
                <w:sz w:val="24"/>
                <w:szCs w:val="24"/>
              </w:rPr>
            </w:pPr>
            <w:r>
              <w:rPr>
                <w:rFonts w:eastAsia="Calibri" w:cs=""/>
                <w:kern w:val="0"/>
                <w:sz w:val="24"/>
                <w:szCs w:val="24"/>
                <w:lang w:val="ru-RU" w:eastAsia="en-US" w:bidi="ar-SA"/>
              </w:rPr>
              <w:t>Рассмотрение, оценка и сопоставление заявок Участников с учетом привлекаемых субподрядчиков:</w:t>
            </w:r>
          </w:p>
        </w:tc>
        <w:tc>
          <w:tcPr>
            <w:tcW w:w="5676" w:type="dxa"/>
            <w:tcBorders/>
          </w:tcPr>
          <w:p>
            <w:pPr>
              <w:pStyle w:val="Style30"/>
              <w:widowControl w:val="false"/>
              <w:suppressAutoHyphens w:val="true"/>
              <w:spacing w:before="60" w:after="60"/>
              <w:rPr>
                <w:rFonts w:ascii="Times New Roman" w:hAnsi="Times New Roman"/>
                <w:sz w:val="24"/>
                <w:szCs w:val="24"/>
              </w:rPr>
            </w:pPr>
            <w:r>
              <w:rPr>
                <w:rFonts w:eastAsia="Calibri" w:cs=""/>
                <w:kern w:val="0"/>
                <w:sz w:val="24"/>
                <w:szCs w:val="24"/>
                <w:lang w:val="ru-RU" w:eastAsia="en-US" w:bidi="ar-SA"/>
              </w:rPr>
              <w:t>Не предусмотрено.</w:t>
            </w:r>
          </w:p>
          <w:p>
            <w:pPr>
              <w:pStyle w:val="Style33"/>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p>
        </w:tc>
      </w:tr>
      <w:tr>
        <w:trPr/>
        <w:tc>
          <w:tcPr>
            <w:tcW w:w="842" w:type="dxa"/>
            <w:tcBorders/>
          </w:tcPr>
          <w:p>
            <w:pPr>
              <w:pStyle w:val="Style26"/>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p>
        </w:tc>
        <w:tc>
          <w:tcPr>
            <w:tcW w:w="3236" w:type="dxa"/>
            <w:tcBorders/>
          </w:tcPr>
          <w:p>
            <w:pPr>
              <w:pStyle w:val="Style30"/>
              <w:widowControl w:val="false"/>
              <w:suppressAutoHyphens w:val="true"/>
              <w:spacing w:before="60" w:after="60"/>
              <w:jc w:val="left"/>
              <w:rPr>
                <w:rFonts w:ascii="Times New Roman" w:hAnsi="Times New Roman"/>
                <w:sz w:val="24"/>
                <w:szCs w:val="24"/>
              </w:rPr>
            </w:pPr>
            <w:r>
              <w:rPr>
                <w:rFonts w:eastAsia="Calibri" w:cs=""/>
                <w:kern w:val="0"/>
                <w:sz w:val="24"/>
                <w:szCs w:val="24"/>
                <w:lang w:val="ru-RU" w:eastAsia="en-US" w:bidi="ar-SA"/>
              </w:rPr>
              <w:t>Порядок подведения</w:t>
              <w:br/>
              <w:t>итогов закупки:</w:t>
            </w:r>
          </w:p>
        </w:tc>
        <w:tc>
          <w:tcPr>
            <w:tcW w:w="5676" w:type="dxa"/>
            <w:tcBorders/>
          </w:tcPr>
          <w:p>
            <w:pPr>
              <w:pStyle w:val="Style30"/>
              <w:widowControl w:val="false"/>
              <w:suppressAutoHyphens w:val="true"/>
              <w:spacing w:before="60" w:after="60"/>
              <w:rPr>
                <w:rFonts w:ascii="Times New Roman" w:hAnsi="Times New Roman"/>
                <w:sz w:val="24"/>
                <w:szCs w:val="24"/>
              </w:rPr>
            </w:pPr>
            <w:r>
              <w:rPr>
                <w:rFonts w:eastAsia="Calibri" w:cs=""/>
                <w:kern w:val="0"/>
                <w:sz w:val="24"/>
                <w:szCs w:val="24"/>
                <w:lang w:val="ru-RU" w:eastAsia="en-US" w:bidi="ar-SA"/>
              </w:rPr>
              <w:t>Победителем закупки признается Участник, заявка которого соответствует требованиям Документации о закупке и содержит лучшие условия исполнения Договора на основании установленных критериев оценки согласно Документации о закупке.</w:t>
            </w:r>
          </w:p>
        </w:tc>
      </w:tr>
      <w:tr>
        <w:trPr/>
        <w:tc>
          <w:tcPr>
            <w:tcW w:w="842" w:type="dxa"/>
            <w:tcBorders/>
          </w:tcPr>
          <w:p>
            <w:pPr>
              <w:pStyle w:val="Style26"/>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bookmarkStart w:id="51" w:name="_Ref125366606"/>
            <w:bookmarkStart w:id="52" w:name="_Ref125366606"/>
            <w:bookmarkEnd w:id="52"/>
          </w:p>
        </w:tc>
        <w:tc>
          <w:tcPr>
            <w:tcW w:w="3236" w:type="dxa"/>
            <w:tcBorders/>
          </w:tcPr>
          <w:p>
            <w:pPr>
              <w:pStyle w:val="Style30"/>
              <w:widowControl w:val="false"/>
              <w:suppressAutoHyphens w:val="true"/>
              <w:spacing w:before="60" w:after="60"/>
              <w:jc w:val="left"/>
              <w:rPr>
                <w:rFonts w:ascii="Times New Roman" w:hAnsi="Times New Roman"/>
                <w:sz w:val="24"/>
                <w:szCs w:val="24"/>
              </w:rPr>
            </w:pPr>
            <w:r>
              <w:rPr>
                <w:rFonts w:eastAsia="Calibri" w:cs=""/>
                <w:kern w:val="0"/>
                <w:sz w:val="24"/>
                <w:szCs w:val="24"/>
                <w:lang w:val="ru-RU" w:eastAsia="en-US" w:bidi="ar-SA"/>
              </w:rPr>
              <w:t>Количество победителей закупки (в рамках одного лота):</w:t>
            </w:r>
          </w:p>
        </w:tc>
        <w:tc>
          <w:tcPr>
            <w:tcW w:w="5676" w:type="dxa"/>
            <w:tcBorders/>
          </w:tcPr>
          <w:p>
            <w:pPr>
              <w:pStyle w:val="Style30"/>
              <w:widowControl w:val="false"/>
              <w:suppressAutoHyphens w:val="true"/>
              <w:spacing w:before="60" w:after="60"/>
              <w:rPr>
                <w:rFonts w:ascii="Times New Roman" w:hAnsi="Times New Roman"/>
                <w:sz w:val="24"/>
                <w:szCs w:val="24"/>
              </w:rPr>
            </w:pPr>
            <w:r>
              <w:rPr>
                <w:rFonts w:eastAsia="Calibri" w:cs=""/>
                <w:kern w:val="0"/>
                <w:sz w:val="24"/>
                <w:szCs w:val="24"/>
                <w:lang w:val="ru-RU" w:eastAsia="en-US" w:bidi="ar-SA"/>
              </w:rPr>
              <w:t>Один победитель.</w:t>
            </w:r>
          </w:p>
          <w:p>
            <w:pPr>
              <w:pStyle w:val="Style33"/>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p>
        </w:tc>
      </w:tr>
      <w:tr>
        <w:trPr/>
        <w:tc>
          <w:tcPr>
            <w:tcW w:w="842" w:type="dxa"/>
            <w:tcBorders/>
          </w:tcPr>
          <w:p>
            <w:pPr>
              <w:pStyle w:val="Style26"/>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bookmarkStart w:id="53" w:name="_Ref125533374"/>
            <w:bookmarkStart w:id="54" w:name="_Ref125533374"/>
            <w:bookmarkEnd w:id="54"/>
          </w:p>
        </w:tc>
        <w:tc>
          <w:tcPr>
            <w:tcW w:w="3236" w:type="dxa"/>
            <w:tcBorders/>
          </w:tcPr>
          <w:p>
            <w:pPr>
              <w:pStyle w:val="Style30"/>
              <w:widowControl w:val="false"/>
              <w:suppressAutoHyphens w:val="true"/>
              <w:spacing w:before="60" w:after="60"/>
              <w:jc w:val="left"/>
              <w:rPr>
                <w:rFonts w:ascii="Times New Roman" w:hAnsi="Times New Roman"/>
                <w:sz w:val="24"/>
                <w:szCs w:val="24"/>
              </w:rPr>
            </w:pPr>
            <w:r>
              <w:rPr>
                <w:rFonts w:eastAsia="Calibri" w:cs=""/>
                <w:kern w:val="0"/>
                <w:sz w:val="24"/>
                <w:szCs w:val="24"/>
                <w:lang w:val="ru-RU" w:eastAsia="en-US" w:bidi="ar-SA"/>
              </w:rPr>
              <w:t>Форма заключения Договора:</w:t>
            </w:r>
          </w:p>
        </w:tc>
        <w:tc>
          <w:tcPr>
            <w:tcW w:w="5676" w:type="dxa"/>
            <w:tcBorders/>
          </w:tcPr>
          <w:p>
            <w:pPr>
              <w:pStyle w:val="Style30"/>
              <w:widowControl w:val="false"/>
              <w:suppressAutoHyphens w:val="true"/>
              <w:spacing w:before="60" w:after="60"/>
              <w:rPr>
                <w:rFonts w:ascii="Times New Roman" w:hAnsi="Times New Roman"/>
                <w:sz w:val="24"/>
                <w:szCs w:val="24"/>
              </w:rPr>
            </w:pPr>
            <w:r>
              <w:rPr>
                <w:rFonts w:eastAsia="Calibri" w:cs=""/>
                <w:kern w:val="0"/>
                <w:sz w:val="24"/>
                <w:szCs w:val="24"/>
                <w:lang w:val="ru-RU" w:eastAsia="en-US" w:bidi="ar-SA"/>
              </w:rPr>
              <w:t>В бумажной или электронной форме (подробный порядок заключения Договора содержится в разделе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_Ref126142429 \r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t>5</w:t>
            </w:r>
            <w:r>
              <w:rPr>
                <w:sz w:val="24"/>
                <w:kern w:val="0"/>
                <w:szCs w:val="24"/>
                <w:rFonts w:eastAsia="Calibri" w:cs=""/>
                <w:lang w:val="ru-RU" w:eastAsia="en-US" w:bidi="ar-SA"/>
              </w:rPr>
              <w:fldChar w:fldCharType="end"/>
            </w:r>
            <w:r>
              <w:rPr>
                <w:rFonts w:eastAsia="Calibri" w:cs=""/>
                <w:kern w:val="0"/>
                <w:sz w:val="24"/>
                <w:szCs w:val="24"/>
                <w:lang w:val="ru-RU" w:eastAsia="en-US" w:bidi="ar-SA"/>
              </w:rPr>
              <w:t>).</w:t>
            </w:r>
          </w:p>
          <w:p>
            <w:pPr>
              <w:pStyle w:val="Style30"/>
              <w:widowControl w:val="false"/>
              <w:suppressAutoHyphens w:val="true"/>
              <w:spacing w:before="60" w:after="60"/>
              <w:rPr/>
            </w:pPr>
            <w:r>
              <w:rPr>
                <w:rFonts w:eastAsia="Calibri" w:cs=""/>
                <w:kern w:val="0"/>
                <w:sz w:val="24"/>
                <w:szCs w:val="24"/>
                <w:lang w:val="ru-RU" w:eastAsia="en-US" w:bidi="ar-SA"/>
              </w:rPr>
              <w:t xml:space="preserve">Если договор будет заключаться в электронной форме посредством информационной системы электронного документооборота </w:t>
            </w:r>
            <w:r>
              <w:rPr>
                <w:rStyle w:val="Style11"/>
                <w:rFonts w:eastAsia="Calibri" w:cs=""/>
                <w:i w:val="false"/>
                <w:iCs w:val="false"/>
                <w:kern w:val="0"/>
                <w:sz w:val="24"/>
                <w:szCs w:val="24"/>
                <w:shd w:fill="auto" w:val="clear"/>
                <w:lang w:val="ru-RU" w:eastAsia="en-US" w:bidi="ar-SA"/>
              </w:rPr>
              <w:t>Системой ЭДО ПАО «РусГидро» является «Диадок»</w:t>
            </w:r>
            <w:r>
              <w:rPr>
                <w:rFonts w:eastAsia="Calibri" w:cs=""/>
                <w:kern w:val="0"/>
                <w:sz w:val="24"/>
                <w:szCs w:val="24"/>
                <w:lang w:val="ru-RU" w:eastAsia="en-US" w:bidi="ar-SA"/>
              </w:rPr>
              <w:t>, то Победителю будет необходимо заключить соглашение с оператором информационной системы электронного документооборота, посредством которой Победитель будет осуществлять обмен договорными документами в электронной форме. Для заключения договора необходимо наличие у Победителя усиленной квалифицированной электронной подписи, выданной аккредитованным удостоверяющим центром. Победителю будет необходимо принять приглашение о переходе на электронный юридически значимый документооборот посредством акцепта полученного от используемой Заказчиком системы электронного документооборота соответствующего соглашения, направленного Заказчиком.</w:t>
            </w:r>
          </w:p>
        </w:tc>
      </w:tr>
      <w:tr>
        <w:trPr/>
        <w:tc>
          <w:tcPr>
            <w:tcW w:w="842" w:type="dxa"/>
            <w:tcBorders/>
          </w:tcPr>
          <w:p>
            <w:pPr>
              <w:pStyle w:val="Style26"/>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bookmarkStart w:id="55" w:name="_Ref125366813"/>
            <w:bookmarkStart w:id="56" w:name="_Ref125366813"/>
            <w:bookmarkEnd w:id="56"/>
          </w:p>
        </w:tc>
        <w:tc>
          <w:tcPr>
            <w:tcW w:w="3236" w:type="dxa"/>
            <w:tcBorders/>
          </w:tcPr>
          <w:p>
            <w:pPr>
              <w:pStyle w:val="Style30"/>
              <w:widowControl w:val="false"/>
              <w:suppressAutoHyphens w:val="true"/>
              <w:spacing w:before="60" w:after="60"/>
              <w:jc w:val="left"/>
              <w:rPr>
                <w:rFonts w:ascii="Times New Roman" w:hAnsi="Times New Roman"/>
                <w:sz w:val="24"/>
                <w:szCs w:val="24"/>
              </w:rPr>
            </w:pPr>
            <w:r>
              <w:rPr>
                <w:rFonts w:eastAsia="Calibri" w:cs=""/>
                <w:kern w:val="0"/>
                <w:sz w:val="24"/>
                <w:szCs w:val="24"/>
                <w:lang w:val="ru-RU" w:eastAsia="en-US" w:bidi="ar-SA"/>
              </w:rPr>
              <w:t>Место подачи документов в отношении цепочки собственников, включая конечных бенефициаров:</w:t>
            </w:r>
          </w:p>
        </w:tc>
        <w:tc>
          <w:tcPr>
            <w:tcW w:w="5676" w:type="dxa"/>
            <w:tcBorders/>
          </w:tcPr>
          <w:p>
            <w:pPr>
              <w:pStyle w:val="Style30"/>
              <w:keepNext w:val="true"/>
              <w:widowControl w:val="false"/>
              <w:suppressAutoHyphens w:val="true"/>
              <w:spacing w:before="60" w:after="60"/>
              <w:rPr>
                <w:rFonts w:ascii="Times New Roman" w:hAnsi="Times New Roman"/>
                <w:sz w:val="24"/>
                <w:szCs w:val="24"/>
              </w:rPr>
            </w:pPr>
            <w:r>
              <w:rPr>
                <w:rFonts w:eastAsia="Calibri" w:cs=""/>
                <w:kern w:val="0"/>
                <w:sz w:val="24"/>
                <w:szCs w:val="24"/>
                <w:lang w:val="ru-RU" w:eastAsia="en-US" w:bidi="ar-SA"/>
              </w:rPr>
              <w:t>Для подачи документов в бумажной форме: Контактное лицо (Ф.И.О.):</w:t>
            </w:r>
          </w:p>
          <w:p>
            <w:pPr>
              <w:pStyle w:val="Normal"/>
              <w:widowControl w:val="false"/>
              <w:suppressAutoHyphens w:val="true"/>
              <w:spacing w:lineRule="auto" w:line="240" w:before="60" w:after="60"/>
              <w:ind w:hanging="0" w:right="-108"/>
              <w:jc w:val="left"/>
              <w:rPr>
                <w:rFonts w:ascii="Times New Roman" w:hAnsi="Times New Roman"/>
                <w:sz w:val="24"/>
                <w:szCs w:val="24"/>
              </w:rPr>
            </w:pPr>
            <w:r>
              <w:rPr>
                <w:i w:val="false"/>
                <w:iCs w:val="false"/>
                <w:sz w:val="24"/>
                <w:szCs w:val="24"/>
              </w:rPr>
              <w:t>Кравченко Татьяна Николаевна</w:t>
            </w:r>
          </w:p>
          <w:p>
            <w:pPr>
              <w:pStyle w:val="Style30"/>
              <w:keepNext w:val="true"/>
              <w:widowControl w:val="false"/>
              <w:suppressAutoHyphens w:val="true"/>
              <w:spacing w:before="60" w:after="60"/>
              <w:rPr>
                <w:rFonts w:ascii="Times New Roman" w:hAnsi="Times New Roman"/>
                <w:sz w:val="24"/>
                <w:szCs w:val="24"/>
              </w:rPr>
            </w:pPr>
            <w:r>
              <w:rPr>
                <w:rFonts w:eastAsia="Calibri" w:cs=""/>
                <w:kern w:val="0"/>
                <w:sz w:val="24"/>
                <w:szCs w:val="24"/>
                <w:lang w:val="ru-RU" w:eastAsia="en-US" w:bidi="ar-SA"/>
              </w:rPr>
              <w:t>Почтовый адрес:</w:t>
            </w:r>
          </w:p>
          <w:p>
            <w:pPr>
              <w:pStyle w:val="Tableheader"/>
              <w:widowControl w:val="false"/>
              <w:suppressAutoHyphens w:val="true"/>
              <w:spacing w:before="120" w:after="120"/>
              <w:jc w:val="left"/>
              <w:rPr>
                <w:rFonts w:ascii="Times New Roman" w:hAnsi="Times New Roman"/>
                <w:sz w:val="24"/>
                <w:szCs w:val="24"/>
              </w:rPr>
            </w:pPr>
            <w:r>
              <w:rPr>
                <w:b w:val="false"/>
                <w:i w:val="false"/>
                <w:iCs w:val="false"/>
                <w:sz w:val="24"/>
                <w:szCs w:val="24"/>
              </w:rPr>
              <w:t>676730, Российская Федерация, Амурская область, Бурейский округ, пгт. Талакан</w:t>
            </w:r>
          </w:p>
          <w:p>
            <w:pPr>
              <w:pStyle w:val="Style30"/>
              <w:widowControl w:val="false"/>
              <w:suppressAutoHyphens w:val="true"/>
              <w:spacing w:before="120" w:after="60"/>
              <w:rPr>
                <w:rFonts w:ascii="Times New Roman" w:hAnsi="Times New Roman"/>
                <w:sz w:val="24"/>
                <w:szCs w:val="24"/>
              </w:rPr>
            </w:pPr>
            <w:r>
              <w:rPr>
                <w:rFonts w:eastAsia="Calibri" w:cs=""/>
                <w:kern w:val="0"/>
                <w:sz w:val="24"/>
                <w:szCs w:val="24"/>
                <w:lang w:val="ru-RU" w:eastAsia="en-US" w:bidi="ar-SA"/>
              </w:rPr>
              <w:t>Для подачи документов в электронной форме:</w:t>
            </w:r>
          </w:p>
          <w:p>
            <w:pPr>
              <w:pStyle w:val="Style30"/>
              <w:widowControl w:val="false"/>
              <w:suppressAutoHyphens w:val="true"/>
              <w:spacing w:before="60" w:after="60"/>
              <w:rPr>
                <w:rFonts w:ascii="Times New Roman" w:hAnsi="Times New Roman"/>
                <w:sz w:val="24"/>
                <w:szCs w:val="24"/>
              </w:rPr>
            </w:pPr>
            <w:bookmarkStart w:id="57" w:name="_Hlk193278855"/>
            <w:r>
              <w:rPr>
                <w:rFonts w:eastAsia="Calibri" w:cs=""/>
                <w:kern w:val="0"/>
                <w:sz w:val="24"/>
                <w:szCs w:val="24"/>
                <w:lang w:val="ru-RU" w:eastAsia="en-US" w:bidi="ar-SA"/>
              </w:rPr>
              <w:t>Корпоративный сайт ПАО «РусГидро»</w:t>
            </w:r>
            <w:bookmarkEnd w:id="57"/>
            <w:r>
              <w:rPr>
                <w:rFonts w:eastAsia="Calibri" w:cs=""/>
                <w:kern w:val="0"/>
                <w:sz w:val="24"/>
                <w:szCs w:val="24"/>
                <w:lang w:val="ru-RU" w:eastAsia="en-US" w:bidi="ar-SA"/>
              </w:rPr>
              <w:t>, через специально созданную учетную запись (подробный порядок содержится в разделе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_Ref126142429 \r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t>5</w:t>
            </w:r>
            <w:r>
              <w:rPr>
                <w:sz w:val="24"/>
                <w:kern w:val="0"/>
                <w:szCs w:val="24"/>
                <w:rFonts w:eastAsia="Calibri" w:cs=""/>
                <w:lang w:val="ru-RU" w:eastAsia="en-US" w:bidi="ar-SA"/>
              </w:rPr>
              <w:fldChar w:fldCharType="end"/>
            </w:r>
            <w:r>
              <w:rPr>
                <w:rFonts w:eastAsia="Calibri" w:cs=""/>
                <w:kern w:val="0"/>
                <w:sz w:val="24"/>
                <w:szCs w:val="24"/>
                <w:lang w:val="ru-RU" w:eastAsia="en-US" w:bidi="ar-SA"/>
              </w:rPr>
              <w:t>).</w:t>
            </w:r>
          </w:p>
        </w:tc>
      </w:tr>
      <w:tr>
        <w:trPr/>
        <w:tc>
          <w:tcPr>
            <w:tcW w:w="842" w:type="dxa"/>
            <w:tcBorders/>
          </w:tcPr>
          <w:p>
            <w:pPr>
              <w:pStyle w:val="Style26"/>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bookmarkStart w:id="58" w:name="_Ref125368490"/>
            <w:bookmarkStart w:id="59" w:name="_Ref125368490"/>
            <w:bookmarkEnd w:id="59"/>
          </w:p>
        </w:tc>
        <w:tc>
          <w:tcPr>
            <w:tcW w:w="3236" w:type="dxa"/>
            <w:tcBorders/>
          </w:tcPr>
          <w:p>
            <w:pPr>
              <w:pStyle w:val="Style30"/>
              <w:widowControl w:val="false"/>
              <w:suppressAutoHyphens w:val="true"/>
              <w:spacing w:before="60" w:after="60"/>
              <w:jc w:val="left"/>
              <w:rPr>
                <w:rFonts w:ascii="Times New Roman" w:hAnsi="Times New Roman"/>
                <w:sz w:val="24"/>
                <w:szCs w:val="24"/>
              </w:rPr>
            </w:pPr>
            <w:r>
              <w:rPr>
                <w:rFonts w:eastAsia="Calibri" w:cs=""/>
                <w:kern w:val="0"/>
                <w:sz w:val="24"/>
                <w:szCs w:val="24"/>
                <w:lang w:val="ru-RU" w:eastAsia="en-US" w:bidi="ar-SA"/>
              </w:rPr>
              <w:t>Некритичные пункты Проекта договора:</w:t>
            </w:r>
          </w:p>
        </w:tc>
        <w:tc>
          <w:tcPr>
            <w:tcW w:w="5676" w:type="dxa"/>
            <w:tcBorders/>
          </w:tcPr>
          <w:p>
            <w:pPr>
              <w:pStyle w:val="Style30"/>
              <w:widowControl w:val="false"/>
              <w:suppressAutoHyphens w:val="true"/>
              <w:spacing w:before="60" w:after="60"/>
              <w:rPr>
                <w:rFonts w:ascii="Times New Roman" w:hAnsi="Times New Roman"/>
                <w:sz w:val="24"/>
                <w:szCs w:val="24"/>
              </w:rPr>
            </w:pPr>
            <w:r>
              <w:rPr>
                <w:rFonts w:eastAsia="Calibri" w:cs=""/>
                <w:kern w:val="0"/>
                <w:sz w:val="24"/>
                <w:szCs w:val="24"/>
                <w:lang w:val="ru-RU" w:eastAsia="en-US" w:bidi="ar-SA"/>
              </w:rPr>
              <w:t>Отсутствуют.</w:t>
            </w:r>
          </w:p>
          <w:p>
            <w:pPr>
              <w:pStyle w:val="Style33"/>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p>
        </w:tc>
      </w:tr>
      <w:tr>
        <w:trPr/>
        <w:tc>
          <w:tcPr>
            <w:tcW w:w="842" w:type="dxa"/>
            <w:tcBorders/>
          </w:tcPr>
          <w:p>
            <w:pPr>
              <w:pStyle w:val="Style26"/>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p>
        </w:tc>
        <w:tc>
          <w:tcPr>
            <w:tcW w:w="3236" w:type="dxa"/>
            <w:tcBorders/>
          </w:tcPr>
          <w:p>
            <w:pPr>
              <w:pStyle w:val="Style30"/>
              <w:widowControl w:val="false"/>
              <w:suppressAutoHyphens w:val="true"/>
              <w:spacing w:before="60" w:after="60"/>
              <w:jc w:val="left"/>
              <w:rPr>
                <w:rFonts w:ascii="Times New Roman" w:hAnsi="Times New Roman"/>
                <w:sz w:val="24"/>
                <w:szCs w:val="24"/>
              </w:rPr>
            </w:pPr>
            <w:r>
              <w:rPr>
                <w:rFonts w:eastAsia="Calibri" w:cs=""/>
                <w:kern w:val="0"/>
                <w:sz w:val="24"/>
                <w:szCs w:val="24"/>
                <w:lang w:val="ru-RU" w:eastAsia="en-US" w:bidi="ar-SA"/>
              </w:rPr>
              <w:t>Обеспечение</w:t>
              <w:br/>
              <w:t>исполнения Договора:</w:t>
            </w:r>
          </w:p>
        </w:tc>
        <w:tc>
          <w:tcPr>
            <w:tcW w:w="5676" w:type="dxa"/>
            <w:tcBorders/>
          </w:tcPr>
          <w:p>
            <w:pPr>
              <w:pStyle w:val="Normal"/>
              <w:widowControl w:val="false"/>
              <w:numPr>
                <w:ilvl w:val="0"/>
                <w:numId w:val="0"/>
              </w:numPr>
              <w:spacing w:lineRule="auto" w:line="240" w:before="60" w:after="240"/>
              <w:ind w:hanging="0" w:left="0"/>
              <w:jc w:val="both"/>
              <w:rPr>
                <w:sz w:val="24"/>
                <w:szCs w:val="24"/>
              </w:rPr>
            </w:pPr>
            <w:r>
              <w:rPr>
                <w:rFonts w:eastAsia="Calibri" w:cs=""/>
                <w:i w:val="false"/>
                <w:iCs w:val="false"/>
                <w:kern w:val="0"/>
                <w:sz w:val="24"/>
                <w:szCs w:val="24"/>
                <w:lang w:val="ru-RU" w:eastAsia="en-US" w:bidi="ar-SA"/>
              </w:rPr>
              <w:t>Требования к обеспечению исполнения Договора: приведены в Проекте договора (Приложение №2 к Документации о закупке).</w:t>
            </w:r>
          </w:p>
        </w:tc>
      </w:tr>
      <w:tr>
        <w:trPr/>
        <w:tc>
          <w:tcPr>
            <w:tcW w:w="9754" w:type="dxa"/>
            <w:gridSpan w:val="3"/>
            <w:tcBorders>
              <w:top w:val="nil"/>
            </w:tcBorders>
          </w:tcPr>
          <w:p>
            <w:pPr>
              <w:pStyle w:val="Normal"/>
              <w:widowControl w:val="false"/>
              <w:suppressAutoHyphens w:val="true"/>
              <w:spacing w:before="120" w:after="120"/>
              <w:jc w:val="center"/>
              <w:rPr>
                <w:rFonts w:ascii="Times New Roman" w:hAnsi="Times New Roman"/>
                <w:sz w:val="24"/>
                <w:szCs w:val="24"/>
              </w:rPr>
            </w:pPr>
            <w:r>
              <w:rPr>
                <w:b/>
                <w:sz w:val="24"/>
                <w:szCs w:val="24"/>
              </w:rPr>
              <w:t>Для данной закупки процедура переторжки не предусмотрена!</w:t>
            </w:r>
          </w:p>
        </w:tc>
      </w:tr>
    </w:tbl>
    <w:p>
      <w:pPr>
        <w:pStyle w:val="Style24"/>
        <w:rPr>
          <w:rFonts w:ascii="Times New Roman" w:hAnsi="Times New Roman"/>
          <w:sz w:val="24"/>
          <w:szCs w:val="24"/>
        </w:rPr>
      </w:pPr>
      <w:bookmarkStart w:id="60" w:name="_Ref125360073"/>
      <w:bookmarkStart w:id="61" w:name="_Ref125360337"/>
      <w:bookmarkStart w:id="62" w:name="_Toc229567031"/>
      <w:r>
        <w:rPr>
          <w:sz w:val="24"/>
          <w:szCs w:val="24"/>
        </w:rPr>
        <w:t>Общие положения</w:t>
      </w:r>
      <w:bookmarkEnd w:id="60"/>
      <w:bookmarkEnd w:id="61"/>
      <w:bookmarkEnd w:id="62"/>
    </w:p>
    <w:p>
      <w:pPr>
        <w:pStyle w:val="Style25"/>
        <w:rPr>
          <w:rFonts w:ascii="Times New Roman" w:hAnsi="Times New Roman"/>
          <w:sz w:val="24"/>
          <w:szCs w:val="24"/>
        </w:rPr>
      </w:pPr>
      <w:bookmarkStart w:id="63" w:name="_Toc229567032"/>
      <w:r>
        <w:rPr>
          <w:sz w:val="24"/>
          <w:szCs w:val="24"/>
        </w:rPr>
        <w:t>Общие сведения о закупке</w:t>
      </w:r>
      <w:bookmarkEnd w:id="63"/>
    </w:p>
    <w:p>
      <w:pPr>
        <w:pStyle w:val="Style26"/>
        <w:rPr>
          <w:rFonts w:ascii="Times New Roman" w:hAnsi="Times New Roman"/>
          <w:sz w:val="24"/>
          <w:szCs w:val="24"/>
        </w:rPr>
      </w:pPr>
      <w:r>
        <w:rPr>
          <w:sz w:val="24"/>
          <w:szCs w:val="24"/>
        </w:rPr>
        <w:t>Организатор официально размещенным Извещением приглашает лиц, указанных в подразделе </w:t>
      </w:r>
      <w:r>
        <w:rPr>
          <w:sz w:val="24"/>
          <w:szCs w:val="24"/>
        </w:rPr>
        <w:fldChar w:fldCharType="begin"/>
      </w:r>
      <w:r>
        <w:rPr>
          <w:sz w:val="24"/>
          <w:szCs w:val="24"/>
        </w:rPr>
        <w:instrText xml:space="preserve"> REF _Ref125359973 \r \h </w:instrText>
      </w:r>
      <w:r>
        <w:rPr>
          <w:sz w:val="24"/>
          <w:szCs w:val="24"/>
        </w:rPr>
        <w:fldChar w:fldCharType="separate"/>
      </w:r>
      <w:r>
        <w:rPr>
          <w:sz w:val="24"/>
          <w:szCs w:val="24"/>
        </w:rPr>
        <w:t>1.2</w:t>
      </w:r>
      <w:r>
        <w:rPr>
          <w:sz w:val="24"/>
          <w:szCs w:val="24"/>
        </w:rPr>
        <w:fldChar w:fldCharType="end"/>
      </w:r>
      <w:r>
        <w:rPr>
          <w:sz w:val="24"/>
          <w:szCs w:val="24"/>
        </w:rPr>
        <w:t>, к участию в закупке на право заключения договора, предмет которого указан в том же подразделе.</w:t>
      </w:r>
    </w:p>
    <w:p>
      <w:pPr>
        <w:pStyle w:val="Style26"/>
        <w:rPr>
          <w:rFonts w:ascii="Times New Roman" w:hAnsi="Times New Roman"/>
          <w:sz w:val="24"/>
          <w:szCs w:val="24"/>
        </w:rPr>
      </w:pPr>
      <w:r>
        <w:rPr>
          <w:sz w:val="24"/>
          <w:szCs w:val="24"/>
        </w:rPr>
        <w:t>Требования к Участникам, а также к документам, подтверждающим соответствие установленным требованиям, приведены в разделе </w:t>
      </w:r>
      <w:r>
        <w:rPr>
          <w:sz w:val="24"/>
          <w:szCs w:val="24"/>
        </w:rPr>
        <w:fldChar w:fldCharType="begin"/>
      </w:r>
      <w:r>
        <w:rPr>
          <w:sz w:val="24"/>
          <w:szCs w:val="24"/>
        </w:rPr>
        <w:instrText xml:space="preserve"> REF _Ref125361210 \r \h </w:instrText>
      </w:r>
      <w:r>
        <w:rPr>
          <w:sz w:val="24"/>
          <w:szCs w:val="24"/>
        </w:rPr>
        <w:fldChar w:fldCharType="separate"/>
      </w:r>
      <w:r>
        <w:rPr>
          <w:sz w:val="24"/>
          <w:szCs w:val="24"/>
        </w:rPr>
        <w:t>3</w:t>
      </w:r>
      <w:r>
        <w:rPr>
          <w:sz w:val="24"/>
          <w:szCs w:val="24"/>
        </w:rPr>
        <w:fldChar w:fldCharType="end"/>
      </w:r>
      <w:r>
        <w:rPr>
          <w:sz w:val="24"/>
          <w:szCs w:val="24"/>
        </w:rPr>
        <w:t xml:space="preserve"> Документации о закупке.</w:t>
      </w:r>
    </w:p>
    <w:p>
      <w:pPr>
        <w:pStyle w:val="Style26"/>
        <w:rPr/>
      </w:pPr>
      <w:r>
        <w:rPr>
          <w:sz w:val="24"/>
          <w:szCs w:val="24"/>
        </w:rPr>
        <w:t xml:space="preserve">Требования к поставляемой продукции, включая срок, объем и место поставки продукции, изложены в </w:t>
      </w:r>
      <w:hyperlink w:anchor="Прил01_ТехТребования">
        <w:r>
          <w:rPr>
            <w:rStyle w:val="Style14"/>
            <w:sz w:val="24"/>
            <w:szCs w:val="24"/>
          </w:rPr>
          <w:t>Технических требованиях (Приложение № 1)</w:t>
        </w:r>
      </w:hyperlink>
      <w:r>
        <w:rPr>
          <w:sz w:val="24"/>
          <w:szCs w:val="24"/>
        </w:rPr>
        <w:t xml:space="preserve">. </w:t>
      </w:r>
      <w:hyperlink w:anchor="Прил02_ПроектДоговора">
        <w:r>
          <w:rPr>
            <w:rStyle w:val="Style14"/>
            <w:sz w:val="24"/>
            <w:szCs w:val="24"/>
          </w:rPr>
          <w:t>Проект договора</w:t>
        </w:r>
      </w:hyperlink>
      <w:r>
        <w:rPr>
          <w:sz w:val="24"/>
          <w:szCs w:val="24"/>
        </w:rPr>
        <w:t>, который планируется заключить по результатам закупки, в том числе содержащий условия по форме, срокам и порядку оплаты, приведен в </w:t>
      </w:r>
      <w:hyperlink w:anchor="Прил02_ПроектДоговора">
        <w:r>
          <w:rPr>
            <w:rStyle w:val="Style14"/>
            <w:sz w:val="24"/>
            <w:szCs w:val="24"/>
          </w:rPr>
          <w:t>Приложении № 2</w:t>
        </w:r>
      </w:hyperlink>
      <w:r>
        <w:rPr>
          <w:sz w:val="24"/>
          <w:szCs w:val="24"/>
        </w:rPr>
        <w:t>. Если в подразделе </w:t>
      </w:r>
      <w:r>
        <w:rPr>
          <w:sz w:val="24"/>
          <w:szCs w:val="24"/>
        </w:rPr>
        <w:fldChar w:fldCharType="begin"/>
      </w:r>
      <w:r>
        <w:rPr>
          <w:sz w:val="24"/>
          <w:szCs w:val="24"/>
        </w:rPr>
        <w:instrText xml:space="preserve"> REF _Ref125359973 \r \h </w:instrText>
      </w:r>
      <w:r>
        <w:rPr>
          <w:sz w:val="24"/>
          <w:szCs w:val="24"/>
        </w:rPr>
        <w:fldChar w:fldCharType="separate"/>
      </w:r>
      <w:r>
        <w:rPr>
          <w:sz w:val="24"/>
          <w:szCs w:val="24"/>
        </w:rPr>
        <w:t>1.2</w:t>
      </w:r>
      <w:r>
        <w:rPr>
          <w:sz w:val="24"/>
          <w:szCs w:val="24"/>
        </w:rPr>
        <w:fldChar w:fldCharType="end"/>
      </w:r>
      <w:r>
        <w:rPr>
          <w:sz w:val="24"/>
          <w:szCs w:val="24"/>
        </w:rPr>
        <w:t xml:space="preserve"> установлено, что национальный режим не предоставляется, то требования к закупаемой продукции (в части страны происхождения товара) также могут быть установлены в Структуре НМЦ (в составе Коммерческого предложения (форма 3) (</w:t>
      </w:r>
      <w:hyperlink w:anchor="Прил04_ФормыЗаявки">
        <w:r>
          <w:rPr>
            <w:rStyle w:val="Style14"/>
            <w:sz w:val="24"/>
            <w:szCs w:val="24"/>
          </w:rPr>
          <w:t>Приложение № 4</w:t>
        </w:r>
      </w:hyperlink>
      <w:r>
        <w:rPr>
          <w:sz w:val="24"/>
          <w:szCs w:val="24"/>
        </w:rPr>
        <w:t>)).</w:t>
      </w:r>
    </w:p>
    <w:p>
      <w:pPr>
        <w:pStyle w:val="Style26"/>
        <w:rPr/>
      </w:pPr>
      <w:r>
        <w:rPr>
          <w:sz w:val="24"/>
          <w:szCs w:val="24"/>
        </w:rPr>
        <w:t>Подробная информация о порядке проведения закупки и участия в ней, а также о порядке заключения Договора, приведены в разделах </w:t>
      </w:r>
      <w:r>
        <w:rPr>
          <w:sz w:val="24"/>
          <w:szCs w:val="24"/>
        </w:rPr>
        <w:fldChar w:fldCharType="begin"/>
      </w:r>
      <w:r>
        <w:rPr>
          <w:sz w:val="24"/>
          <w:szCs w:val="24"/>
        </w:rPr>
        <w:instrText xml:space="preserve"> REF _Ref125361211 \r \h </w:instrText>
      </w:r>
      <w:r>
        <w:rPr>
          <w:sz w:val="24"/>
          <w:szCs w:val="24"/>
        </w:rPr>
        <w:fldChar w:fldCharType="separate"/>
      </w:r>
      <w:r>
        <w:rPr>
          <w:sz w:val="24"/>
          <w:szCs w:val="24"/>
        </w:rPr>
        <w:t>4</w:t>
      </w:r>
      <w:r>
        <w:rPr>
          <w:sz w:val="24"/>
          <w:szCs w:val="24"/>
        </w:rPr>
        <w:fldChar w:fldCharType="end"/>
      </w:r>
      <w:r>
        <w:rPr>
          <w:sz w:val="24"/>
          <w:szCs w:val="24"/>
        </w:rPr>
        <w:t xml:space="preserve">, </w:t>
      </w:r>
      <w:r>
        <w:rPr>
          <w:sz w:val="24"/>
          <w:szCs w:val="24"/>
        </w:rPr>
        <w:fldChar w:fldCharType="begin"/>
      </w:r>
      <w:r>
        <w:rPr>
          <w:sz w:val="24"/>
          <w:szCs w:val="24"/>
        </w:rPr>
        <w:instrText xml:space="preserve"> REF _Ref126142429 \r \h </w:instrText>
      </w:r>
      <w:r>
        <w:rPr>
          <w:sz w:val="24"/>
          <w:szCs w:val="24"/>
        </w:rPr>
        <w:fldChar w:fldCharType="separate"/>
      </w:r>
      <w:r>
        <w:rPr>
          <w:sz w:val="24"/>
          <w:szCs w:val="24"/>
        </w:rPr>
        <w:t>5</w:t>
      </w:r>
      <w:r>
        <w:rPr>
          <w:sz w:val="24"/>
          <w:szCs w:val="24"/>
        </w:rPr>
        <w:fldChar w:fldCharType="end"/>
      </w:r>
      <w:r>
        <w:rPr>
          <w:sz w:val="24"/>
          <w:szCs w:val="24"/>
        </w:rPr>
        <w:t xml:space="preserve">, образцы основных форм документов, включаемых в заявку или предоставляемых Победителем, приведены в Приложениях </w:t>
      </w:r>
      <w:hyperlink w:anchor="Прил04_ФормыЗаявки">
        <w:r>
          <w:rPr>
            <w:rStyle w:val="Style14"/>
            <w:sz w:val="24"/>
            <w:szCs w:val="24"/>
          </w:rPr>
          <w:t>№ 4</w:t>
        </w:r>
      </w:hyperlink>
      <w:r>
        <w:rPr>
          <w:sz w:val="24"/>
          <w:szCs w:val="24"/>
        </w:rPr>
        <w:t xml:space="preserve">, </w:t>
      </w:r>
      <w:hyperlink w:anchor="Прил05_ФормыПобедителя">
        <w:r>
          <w:rPr>
            <w:rStyle w:val="Style14"/>
            <w:sz w:val="24"/>
            <w:szCs w:val="24"/>
          </w:rPr>
          <w:t>№ 5</w:t>
        </w:r>
      </w:hyperlink>
      <w:r>
        <w:rPr>
          <w:sz w:val="24"/>
          <w:szCs w:val="24"/>
        </w:rPr>
        <w:t>.</w:t>
      </w:r>
    </w:p>
    <w:p>
      <w:pPr>
        <w:pStyle w:val="Style25"/>
        <w:rPr>
          <w:rFonts w:ascii="Times New Roman" w:hAnsi="Times New Roman"/>
          <w:sz w:val="24"/>
          <w:szCs w:val="24"/>
        </w:rPr>
      </w:pPr>
      <w:bookmarkStart w:id="64" w:name="_Toc229567033"/>
      <w:r>
        <w:rPr>
          <w:sz w:val="24"/>
          <w:szCs w:val="24"/>
        </w:rPr>
        <w:t>Правовой статус документов</w:t>
      </w:r>
      <w:bookmarkEnd w:id="64"/>
    </w:p>
    <w:p>
      <w:pPr>
        <w:pStyle w:val="Style26"/>
        <w:rPr>
          <w:rFonts w:ascii="Times New Roman" w:hAnsi="Times New Roman"/>
          <w:sz w:val="24"/>
          <w:szCs w:val="24"/>
        </w:rPr>
      </w:pPr>
      <w:r>
        <w:rPr>
          <w:sz w:val="24"/>
          <w:szCs w:val="24"/>
        </w:rPr>
        <w:t>Состязательный отбор не является конкурентной процедурой в соответствии с действующим законодательством.</w:t>
      </w:r>
    </w:p>
    <w:p>
      <w:pPr>
        <w:pStyle w:val="Style26"/>
        <w:rPr>
          <w:rFonts w:ascii="Times New Roman" w:hAnsi="Times New Roman"/>
          <w:sz w:val="24"/>
          <w:szCs w:val="24"/>
        </w:rPr>
      </w:pPr>
      <w:r>
        <w:rPr>
          <w:sz w:val="24"/>
          <w:szCs w:val="24"/>
        </w:rPr>
        <w:t>Документация о закупке вместе с Извещением, являющимся ее неотъемлемой частью, являются приглашением Организатора делать оферты и должны рассматриваться Участниками в соответствии с этим. При наличии противоречий между положениями Извещения и Документации о закупке применяются положения Извещения.</w:t>
      </w:r>
    </w:p>
    <w:p>
      <w:pPr>
        <w:pStyle w:val="Style26"/>
        <w:rPr>
          <w:rFonts w:ascii="Times New Roman" w:hAnsi="Times New Roman"/>
          <w:sz w:val="24"/>
          <w:szCs w:val="24"/>
        </w:rPr>
      </w:pPr>
      <w:r>
        <w:rPr>
          <w:sz w:val="24"/>
          <w:szCs w:val="24"/>
        </w:rPr>
        <w:t>Заявка Участника имеет правовой статус оферты и будет рассматриваться Организатором в течение указанного в ней срока ее действия.</w:t>
      </w:r>
    </w:p>
    <w:p>
      <w:pPr>
        <w:pStyle w:val="Style26"/>
        <w:keepNext w:val="true"/>
        <w:rPr>
          <w:rFonts w:ascii="Times New Roman" w:hAnsi="Times New Roman"/>
          <w:sz w:val="24"/>
          <w:szCs w:val="24"/>
        </w:rPr>
      </w:pPr>
      <w:bookmarkStart w:id="65" w:name="_Ref125366985"/>
      <w:r>
        <w:rPr>
          <w:sz w:val="24"/>
          <w:szCs w:val="24"/>
        </w:rPr>
        <w:t>При определении условий Договора по результатам закупки используется иерархия документов, установленная в пункте </w:t>
      </w:r>
      <w:r>
        <w:rPr>
          <w:sz w:val="24"/>
          <w:szCs w:val="24"/>
        </w:rPr>
        <w:fldChar w:fldCharType="begin"/>
      </w:r>
      <w:r>
        <w:rPr>
          <w:sz w:val="24"/>
          <w:szCs w:val="24"/>
        </w:rPr>
        <w:instrText xml:space="preserve"> REF _Ref132288402 \r \h </w:instrText>
      </w:r>
      <w:r>
        <w:rPr>
          <w:sz w:val="24"/>
          <w:szCs w:val="24"/>
        </w:rPr>
        <w:fldChar w:fldCharType="separate"/>
      </w:r>
      <w:r>
        <w:rPr>
          <w:sz w:val="24"/>
          <w:szCs w:val="24"/>
        </w:rPr>
        <w:t>5.2.9</w:t>
      </w:r>
      <w:r>
        <w:rPr>
          <w:sz w:val="24"/>
          <w:szCs w:val="24"/>
        </w:rPr>
        <w:fldChar w:fldCharType="end"/>
      </w:r>
      <w:bookmarkEnd w:id="65"/>
      <w:r>
        <w:rPr>
          <w:sz w:val="24"/>
          <w:szCs w:val="24"/>
        </w:rPr>
        <w:t>.</w:t>
      </w:r>
    </w:p>
    <w:p>
      <w:pPr>
        <w:pStyle w:val="Style26"/>
        <w:rPr>
          <w:rFonts w:ascii="Times New Roman" w:hAnsi="Times New Roman"/>
          <w:sz w:val="24"/>
          <w:szCs w:val="24"/>
        </w:rPr>
      </w:pPr>
      <w:r>
        <w:rPr>
          <w:sz w:val="24"/>
          <w:szCs w:val="24"/>
        </w:rPr>
        <w:t>Заключенный по результатам закупки Договор, в том числе, фиксирует все достигнутые сторонами в результате преддоговорных переговоров договоренности (при проведении таковых).</w:t>
      </w:r>
    </w:p>
    <w:p>
      <w:pPr>
        <w:pStyle w:val="Style26"/>
        <w:rPr>
          <w:rFonts w:ascii="Times New Roman" w:hAnsi="Times New Roman"/>
          <w:sz w:val="24"/>
          <w:szCs w:val="24"/>
        </w:rPr>
      </w:pPr>
      <w:r>
        <w:rPr>
          <w:sz w:val="24"/>
          <w:szCs w:val="24"/>
        </w:rPr>
        <w:t>Во всем, что не урегулировано Извещением и Документацией о закупке, стороны руководствуются Положением о закупке (в редакции, действующей на дату официального размещения Извещения).</w:t>
      </w:r>
    </w:p>
    <w:p>
      <w:pPr>
        <w:pStyle w:val="Style26"/>
        <w:rPr>
          <w:rFonts w:ascii="Times New Roman" w:hAnsi="Times New Roman"/>
          <w:sz w:val="24"/>
          <w:szCs w:val="24"/>
        </w:rPr>
      </w:pPr>
      <w:r>
        <w:rPr>
          <w:sz w:val="24"/>
          <w:szCs w:val="24"/>
        </w:rPr>
        <w:t>Если в отношении сторон Договора, заключаемого по результатам закупки, действуют также специальные нормативные правовые акты, зарегистрированные в установленном порядке, Документация о закупке и заявка Победителя будут считаться приоритетными по отношению к диспозитивным нормам указанных документов.</w:t>
      </w:r>
    </w:p>
    <w:p>
      <w:pPr>
        <w:pStyle w:val="Style26"/>
        <w:rPr>
          <w:rFonts w:ascii="Times New Roman" w:hAnsi="Times New Roman"/>
          <w:sz w:val="24"/>
          <w:szCs w:val="24"/>
        </w:rPr>
      </w:pPr>
      <w:r>
        <w:rPr>
          <w:sz w:val="24"/>
          <w:szCs w:val="24"/>
        </w:rPr>
        <w:t>Иные документы Организатора и Участников не определяют права и обязанности сторон в связи с данной закупкой.</w:t>
      </w:r>
    </w:p>
    <w:p>
      <w:pPr>
        <w:pStyle w:val="Style26"/>
        <w:rPr>
          <w:rFonts w:ascii="Times New Roman" w:hAnsi="Times New Roman"/>
          <w:sz w:val="24"/>
          <w:szCs w:val="24"/>
        </w:rPr>
      </w:pPr>
      <w:r>
        <w:rPr>
          <w:sz w:val="24"/>
          <w:szCs w:val="24"/>
        </w:rPr>
        <w:t>Любые уведомления, письма, предложения, иная переписка и действия председателя, заместителя председателя, членов, секретаря Закупочной комиссии и иных работников Заказчика и Организатора относительно условий, сроков проведения, предмета настоящей закупки (за исключением информации, представляемой Участникам в соответствии с Положением о закупке), носят исключительно информационный характер и не являются офертой либо акцептом Организатора или Заказчика.</w:t>
      </w:r>
    </w:p>
    <w:p>
      <w:pPr>
        <w:pStyle w:val="Style25"/>
        <w:rPr>
          <w:rFonts w:ascii="Times New Roman" w:hAnsi="Times New Roman"/>
          <w:sz w:val="24"/>
          <w:szCs w:val="24"/>
        </w:rPr>
      </w:pPr>
      <w:bookmarkStart w:id="66" w:name="_Ref125363536"/>
      <w:bookmarkStart w:id="67" w:name="_Toc229567034"/>
      <w:r>
        <w:rPr>
          <w:sz w:val="24"/>
          <w:szCs w:val="24"/>
        </w:rPr>
        <w:t>Обжалование</w:t>
      </w:r>
      <w:bookmarkEnd w:id="66"/>
      <w:bookmarkEnd w:id="67"/>
    </w:p>
    <w:p>
      <w:pPr>
        <w:pStyle w:val="Style26"/>
        <w:rPr>
          <w:rFonts w:ascii="Times New Roman" w:hAnsi="Times New Roman"/>
          <w:sz w:val="24"/>
          <w:szCs w:val="24"/>
        </w:rPr>
      </w:pPr>
      <w:r>
        <w:rPr>
          <w:sz w:val="24"/>
          <w:szCs w:val="24"/>
        </w:rPr>
        <w:t>Любой Участник, который заявляет, что понес или может понести убытки в результате нарушения его прав Заказчиком и (или) Организатором, отдельными членами Закупочной комиссии или Оператором ЭП, имеет право подать заявление о рассмотрении разногласий, связанных с проведением закупки.</w:t>
      </w:r>
    </w:p>
    <w:p>
      <w:pPr>
        <w:pStyle w:val="Style26"/>
        <w:rPr>
          <w:rFonts w:ascii="Times New Roman" w:hAnsi="Times New Roman"/>
          <w:sz w:val="24"/>
          <w:szCs w:val="24"/>
        </w:rPr>
      </w:pPr>
      <w:r>
        <w:rPr>
          <w:sz w:val="24"/>
          <w:szCs w:val="24"/>
        </w:rPr>
        <w:t>До заключения Договора с Победителем заявления о рассмотрении разногласий направляются Участниками через круглосуточную «Линию доверия», посредством заполнения специальной формы на корпоративном сайте ПАО «РусГидро» (вкладка «Линия доверия»), или сообщения информации по указанному на корпоративном сайте телефону. На время рассмотрения разногласий процедура проведения закупки приостанавливается до вынесения решения, если тому нет явных препятствий юридического или экономического характера.</w:t>
      </w:r>
    </w:p>
    <w:p>
      <w:pPr>
        <w:pStyle w:val="Style26"/>
        <w:keepNext w:val="true"/>
        <w:rPr>
          <w:rFonts w:ascii="Times New Roman" w:hAnsi="Times New Roman"/>
          <w:sz w:val="24"/>
          <w:szCs w:val="24"/>
        </w:rPr>
      </w:pPr>
      <w:r>
        <w:rPr>
          <w:sz w:val="24"/>
          <w:szCs w:val="24"/>
        </w:rPr>
        <w:t>Если разногласия не разрешены по взаимному согласию представившего их Участника и Заказчика, может быть принято одно из следующих решений:</w:t>
      </w:r>
    </w:p>
    <w:p>
      <w:pPr>
        <w:pStyle w:val="Style27"/>
        <w:rPr>
          <w:rFonts w:ascii="Times New Roman" w:hAnsi="Times New Roman"/>
          <w:sz w:val="24"/>
          <w:szCs w:val="24"/>
        </w:rPr>
      </w:pPr>
      <w:r>
        <w:rPr>
          <w:sz w:val="24"/>
          <w:szCs w:val="24"/>
        </w:rPr>
        <w:t>обязать Заказчика, Организатора, членов Закупочной комиссии, совершивших неправомерные действия, применивших неправомерные процедуры либо принявших незаконное решение, совершить действия, соответствующие законодательству и Положению о закупке (в том числе, но не ограничиваясь, отменить составленные в ходе закупки протоколы, повторно рассмотреть заявки Участников);</w:t>
      </w:r>
    </w:p>
    <w:p>
      <w:pPr>
        <w:pStyle w:val="Style27"/>
        <w:rPr>
          <w:rFonts w:ascii="Times New Roman" w:hAnsi="Times New Roman"/>
          <w:sz w:val="24"/>
          <w:szCs w:val="24"/>
        </w:rPr>
      </w:pPr>
      <w:r>
        <w:rPr>
          <w:sz w:val="24"/>
          <w:szCs w:val="24"/>
        </w:rPr>
        <w:t>признать заявление Участника необоснованным.</w:t>
      </w:r>
    </w:p>
    <w:p>
      <w:pPr>
        <w:pStyle w:val="Style26"/>
        <w:rPr>
          <w:rFonts w:ascii="Times New Roman" w:hAnsi="Times New Roman"/>
          <w:sz w:val="24"/>
          <w:szCs w:val="24"/>
        </w:rPr>
      </w:pPr>
      <w:r>
        <w:rPr>
          <w:sz w:val="24"/>
          <w:szCs w:val="24"/>
        </w:rPr>
        <w:t>Участник вправе обжаловать действия (бездействие) Заказчика и (или) Организатора, Закупочной комиссии, Оператора ЭП при проведении настоящей закупки в антимонопольном органе в порядке, установленном законодательством, с учетом того, что настоящая закупка не является торгами. Если обжалуемые действия (бездействие) совершены после окончания установленного срока подачи заявок (подраздел </w:t>
      </w:r>
      <w:r>
        <w:rPr>
          <w:sz w:val="24"/>
          <w:szCs w:val="24"/>
        </w:rPr>
        <w:fldChar w:fldCharType="begin"/>
      </w:r>
      <w:r>
        <w:rPr>
          <w:sz w:val="24"/>
          <w:szCs w:val="24"/>
        </w:rPr>
        <w:instrText xml:space="preserve"> REF _Ref125359973 \r \h </w:instrText>
      </w:r>
      <w:r>
        <w:rPr>
          <w:sz w:val="24"/>
          <w:szCs w:val="24"/>
        </w:rPr>
        <w:fldChar w:fldCharType="separate"/>
      </w:r>
      <w:r>
        <w:rPr>
          <w:sz w:val="24"/>
          <w:szCs w:val="24"/>
        </w:rPr>
        <w:t>1.2</w:t>
      </w:r>
      <w:r>
        <w:rPr>
          <w:sz w:val="24"/>
          <w:szCs w:val="24"/>
        </w:rPr>
        <w:fldChar w:fldCharType="end"/>
      </w:r>
      <w:r>
        <w:rPr>
          <w:sz w:val="24"/>
          <w:szCs w:val="24"/>
        </w:rPr>
        <w:t>), обжалование таких действий (бездействия) может осуществляться только Участником, подавшим заявку на участие в такой закупке.</w:t>
      </w:r>
    </w:p>
    <w:p>
      <w:pPr>
        <w:pStyle w:val="Style26"/>
        <w:rPr>
          <w:rFonts w:ascii="Times New Roman" w:hAnsi="Times New Roman"/>
          <w:sz w:val="24"/>
          <w:szCs w:val="24"/>
        </w:rPr>
      </w:pPr>
      <w:r>
        <w:rPr>
          <w:sz w:val="24"/>
          <w:szCs w:val="24"/>
        </w:rPr>
        <w:t>Все споры и разногласия, возникающие в связи с проведением закупки, касающиеся исполнения Организатором, Заказчиком и Участниками своих обязательств, в том числе не урегулированные путем обращения на «Линию доверия» и (или) антимонопольные органы, подлежат разрешению следующим образом:</w:t>
      </w:r>
    </w:p>
    <w:p>
      <w:pPr>
        <w:pStyle w:val="Style27"/>
        <w:rPr>
          <w:rFonts w:ascii="Times New Roman" w:hAnsi="Times New Roman"/>
          <w:sz w:val="24"/>
          <w:szCs w:val="24"/>
        </w:rPr>
      </w:pPr>
      <w:r>
        <w:rPr>
          <w:sz w:val="24"/>
          <w:szCs w:val="24"/>
        </w:rPr>
        <w:t>по закупкам, проводимым закупочными комиссиями 1-го уровня – в Арбитражном суде по месту нахождения Заказчика (либо соответствующего филиала Заказчика, для нужд которого проводится настоящая закупка);</w:t>
      </w:r>
    </w:p>
    <w:p>
      <w:pPr>
        <w:pStyle w:val="Style27"/>
        <w:rPr>
          <w:rFonts w:ascii="Times New Roman" w:hAnsi="Times New Roman"/>
          <w:sz w:val="24"/>
          <w:szCs w:val="24"/>
        </w:rPr>
      </w:pPr>
      <w:r>
        <w:rPr>
          <w:sz w:val="24"/>
          <w:szCs w:val="24"/>
        </w:rPr>
        <w:t xml:space="preserve">по закупкам, проводимым закупочными комиссиями 2-го уровня, специальными закупочными комиссиями, закупочными комиссиями исполнительного аппарата ПАО «РусГидро» – в Арбитражном суде </w:t>
      </w:r>
      <w:bookmarkStart w:id="68" w:name="_Hlk219296876"/>
      <w:bookmarkStart w:id="69" w:name="_Hlk219301278"/>
      <w:r>
        <w:rPr>
          <w:sz w:val="24"/>
          <w:szCs w:val="24"/>
        </w:rPr>
        <w:t>Красноярского края</w:t>
      </w:r>
      <w:bookmarkEnd w:id="68"/>
      <w:bookmarkEnd w:id="69"/>
      <w:r>
        <w:rPr>
          <w:sz w:val="24"/>
          <w:szCs w:val="24"/>
        </w:rPr>
        <w:t>.</w:t>
      </w:r>
    </w:p>
    <w:p>
      <w:pPr>
        <w:pStyle w:val="Style30"/>
        <w:ind w:hanging="0" w:left="1134"/>
        <w:rPr>
          <w:rFonts w:ascii="Times New Roman" w:hAnsi="Times New Roman"/>
          <w:sz w:val="24"/>
          <w:szCs w:val="24"/>
        </w:rPr>
      </w:pPr>
      <w:r>
        <w:rPr>
          <w:sz w:val="24"/>
          <w:szCs w:val="24"/>
        </w:rPr>
        <w:t>Закупочная комиссия определяется в соответствии с Положением о закупке.</w:t>
      </w:r>
    </w:p>
    <w:p>
      <w:pPr>
        <w:pStyle w:val="Style25"/>
        <w:rPr>
          <w:rFonts w:ascii="Times New Roman" w:hAnsi="Times New Roman"/>
          <w:sz w:val="24"/>
          <w:szCs w:val="24"/>
        </w:rPr>
      </w:pPr>
      <w:bookmarkStart w:id="70" w:name="_Ref125472658"/>
      <w:bookmarkStart w:id="71" w:name="_Toc229567035"/>
      <w:r>
        <w:rPr>
          <w:sz w:val="24"/>
          <w:szCs w:val="24"/>
        </w:rPr>
        <w:t>Особые положения при проведении закупки с использованием ЭП</w:t>
      </w:r>
      <w:bookmarkEnd w:id="70"/>
      <w:bookmarkEnd w:id="71"/>
    </w:p>
    <w:p>
      <w:pPr>
        <w:pStyle w:val="Style26"/>
        <w:rPr>
          <w:rFonts w:ascii="Times New Roman" w:hAnsi="Times New Roman"/>
          <w:sz w:val="24"/>
          <w:szCs w:val="24"/>
        </w:rPr>
      </w:pPr>
      <w:r>
        <w:rPr>
          <w:sz w:val="24"/>
          <w:szCs w:val="24"/>
        </w:rPr>
        <w:t>Наименование ЭП, посредством которой проводится закупка, указано в подразделе </w:t>
      </w:r>
      <w:r>
        <w:rPr>
          <w:sz w:val="24"/>
          <w:szCs w:val="24"/>
        </w:rPr>
        <w:fldChar w:fldCharType="begin"/>
      </w:r>
      <w:r>
        <w:rPr>
          <w:sz w:val="24"/>
          <w:szCs w:val="24"/>
        </w:rPr>
        <w:instrText xml:space="preserve"> REF _Ref125359973 \r \h </w:instrText>
      </w:r>
      <w:r>
        <w:rPr>
          <w:sz w:val="24"/>
          <w:szCs w:val="24"/>
        </w:rPr>
        <w:fldChar w:fldCharType="separate"/>
      </w:r>
      <w:r>
        <w:rPr>
          <w:sz w:val="24"/>
          <w:szCs w:val="24"/>
        </w:rPr>
        <w:t>1.2</w:t>
      </w:r>
      <w:r>
        <w:rPr>
          <w:sz w:val="24"/>
          <w:szCs w:val="24"/>
        </w:rPr>
        <w:fldChar w:fldCharType="end"/>
      </w:r>
      <w:r>
        <w:rPr>
          <w:sz w:val="24"/>
          <w:szCs w:val="24"/>
        </w:rPr>
        <w:t>. До подачи заявки Участник обязан ознакомиться с Регламентом ЭП, опубликованными на сайте соответствующей ЭП.</w:t>
      </w:r>
    </w:p>
    <w:p>
      <w:pPr>
        <w:pStyle w:val="Style26"/>
        <w:rPr>
          <w:rFonts w:ascii="Times New Roman" w:hAnsi="Times New Roman"/>
          <w:sz w:val="24"/>
          <w:szCs w:val="24"/>
        </w:rPr>
      </w:pPr>
      <w:r>
        <w:rPr>
          <w:sz w:val="24"/>
          <w:szCs w:val="24"/>
        </w:rPr>
        <w:t>Для участия в закупке Участник должен пройти процедуру регистрации на ЭП. Регистрация осуществляется Оператором ЭП, и Организатор (Заказчик) не несет ответственности за результат ее прохождения Участником, в том числе понесенные им затраты.</w:t>
      </w:r>
    </w:p>
    <w:p>
      <w:pPr>
        <w:pStyle w:val="Style26"/>
        <w:rPr>
          <w:rFonts w:ascii="Times New Roman" w:hAnsi="Times New Roman"/>
          <w:sz w:val="24"/>
          <w:szCs w:val="24"/>
        </w:rPr>
      </w:pPr>
      <w:bookmarkStart w:id="72" w:name="_Ref135748672"/>
      <w:r>
        <w:rPr>
          <w:sz w:val="24"/>
          <w:szCs w:val="24"/>
        </w:rPr>
        <w:t>Обмен всей информацией, связанной с проведением закупки (между Участником, Организатором (Заказчиком) и Оператором ЭП) осуществляется на ЭП в форме электронных документов, подписанных усиленной квалифицированной электронной подписью уполномоченного лица.</w:t>
      </w:r>
      <w:bookmarkEnd w:id="72"/>
    </w:p>
    <w:p>
      <w:pPr>
        <w:pStyle w:val="Style26"/>
        <w:rPr>
          <w:rFonts w:ascii="Times New Roman" w:hAnsi="Times New Roman"/>
          <w:sz w:val="24"/>
          <w:szCs w:val="24"/>
        </w:rPr>
      </w:pPr>
      <w:bookmarkStart w:id="73" w:name="_Ref135748741"/>
      <w:r>
        <w:rPr>
          <w:sz w:val="24"/>
          <w:szCs w:val="24"/>
        </w:rPr>
        <w:t>Стоимость заявки (цена Договора) и иные условия закупки, указанные Участниками в специальных электронных формах на ЭП, имеют преимущество перед сведениями, указанными в загруженных на ЭП электронных документах.</w:t>
      </w:r>
      <w:bookmarkEnd w:id="73"/>
    </w:p>
    <w:p>
      <w:pPr>
        <w:pStyle w:val="Style25"/>
        <w:rPr>
          <w:rFonts w:ascii="Times New Roman" w:hAnsi="Times New Roman"/>
          <w:sz w:val="24"/>
          <w:szCs w:val="24"/>
        </w:rPr>
      </w:pPr>
      <w:bookmarkStart w:id="74" w:name="_Toc229567036"/>
      <w:r>
        <w:rPr>
          <w:sz w:val="24"/>
          <w:szCs w:val="24"/>
        </w:rPr>
        <w:t>Прочие положения</w:t>
      </w:r>
      <w:bookmarkEnd w:id="74"/>
    </w:p>
    <w:p>
      <w:pPr>
        <w:pStyle w:val="Style26"/>
        <w:rPr>
          <w:rFonts w:ascii="Times New Roman" w:hAnsi="Times New Roman"/>
          <w:sz w:val="24"/>
          <w:szCs w:val="24"/>
        </w:rPr>
      </w:pPr>
      <w:r>
        <w:rPr>
          <w:sz w:val="24"/>
          <w:szCs w:val="24"/>
        </w:rPr>
        <w:t>Заказчик, Организатор и Оператор ЭП обеспечивают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законодательством или Документацией о закупке.</w:t>
      </w:r>
    </w:p>
    <w:p>
      <w:pPr>
        <w:pStyle w:val="Style26"/>
        <w:rPr>
          <w:rFonts w:ascii="Times New Roman" w:hAnsi="Times New Roman"/>
          <w:sz w:val="24"/>
          <w:szCs w:val="24"/>
        </w:rPr>
      </w:pPr>
      <w:bookmarkStart w:id="75" w:name="_Ref136257236"/>
      <w:r>
        <w:rPr>
          <w:sz w:val="24"/>
          <w:szCs w:val="24"/>
        </w:rPr>
        <w:t>Организатор (по решению Закупочной комиссии), вправе отклонить заявку, если будет установлено, что Участник каким-либо способом повлиял на рассмотрение заявок, их оценку и сопоставление, подведение итогов закупки (определение Победителя), в том числе прямо или косвенно дал, согласился дать или предложил работнику Организатора, Заказчика, члену Закупочной комиссии или эксперту, осуществлявшему экспертизу заявок, вознаграждение в любой форме: работу, услугу, какую-либо ценность в качестве стимула, и (или) оказал каким-либо иным образом давление на указанных лиц.</w:t>
      </w:r>
      <w:bookmarkEnd w:id="75"/>
    </w:p>
    <w:p>
      <w:pPr>
        <w:pStyle w:val="Style26"/>
        <w:rPr>
          <w:rFonts w:ascii="Times New Roman" w:hAnsi="Times New Roman"/>
          <w:sz w:val="24"/>
          <w:szCs w:val="24"/>
        </w:rPr>
      </w:pPr>
      <w:r>
        <w:rPr>
          <w:sz w:val="24"/>
          <w:szCs w:val="24"/>
        </w:rPr>
        <w:t>С целью предупреждения и противодействия противоправным действиям в Группе РусГидро организована круглосуточная «Линия доверия», обратиться на которую можно по телефону +7 (495) 785 09 37 (круглосуточно), или заполнив соответствующую форму на корпоративном сайте ПАО «РусГидро», вкладка «Линия доверия».</w:t>
      </w:r>
    </w:p>
    <w:p>
      <w:pPr>
        <w:pStyle w:val="Style24"/>
        <w:rPr>
          <w:rFonts w:ascii="Times New Roman" w:hAnsi="Times New Roman"/>
          <w:sz w:val="24"/>
          <w:szCs w:val="24"/>
        </w:rPr>
      </w:pPr>
      <w:bookmarkStart w:id="76" w:name="_Ref125361210"/>
      <w:bookmarkStart w:id="77" w:name="_Toc229567037"/>
      <w:r>
        <w:rPr>
          <w:sz w:val="24"/>
          <w:szCs w:val="24"/>
        </w:rPr>
        <w:t>Требования к Участникам</w:t>
      </w:r>
      <w:bookmarkEnd w:id="76"/>
      <w:bookmarkEnd w:id="77"/>
    </w:p>
    <w:p>
      <w:pPr>
        <w:pStyle w:val="Style25"/>
        <w:rPr>
          <w:rFonts w:ascii="Times New Roman" w:hAnsi="Times New Roman"/>
          <w:sz w:val="24"/>
          <w:szCs w:val="24"/>
        </w:rPr>
      </w:pPr>
      <w:bookmarkStart w:id="78" w:name="_Ref127524530"/>
      <w:bookmarkStart w:id="79" w:name="_Toc229567038"/>
      <w:r>
        <w:rPr>
          <w:sz w:val="24"/>
          <w:szCs w:val="24"/>
        </w:rPr>
        <w:t>Общие требования к Участникам</w:t>
      </w:r>
      <w:bookmarkEnd w:id="78"/>
      <w:bookmarkEnd w:id="79"/>
    </w:p>
    <w:p>
      <w:pPr>
        <w:pStyle w:val="Style26"/>
        <w:rPr>
          <w:rFonts w:ascii="Times New Roman" w:hAnsi="Times New Roman"/>
          <w:sz w:val="24"/>
          <w:szCs w:val="24"/>
        </w:rPr>
      </w:pPr>
      <w:bookmarkStart w:id="80" w:name="_Ref125361514"/>
      <w:r>
        <w:rPr>
          <w:sz w:val="24"/>
          <w:szCs w:val="24"/>
        </w:rPr>
        <w:t>Из лиц, указанных в подразделе </w:t>
      </w:r>
      <w:r>
        <w:rPr>
          <w:sz w:val="24"/>
          <w:szCs w:val="24"/>
        </w:rPr>
        <w:fldChar w:fldCharType="begin"/>
      </w:r>
      <w:r>
        <w:rPr>
          <w:sz w:val="24"/>
          <w:szCs w:val="24"/>
        </w:rPr>
        <w:instrText xml:space="preserve"> REF _Ref125359973 \r \h </w:instrText>
      </w:r>
      <w:r>
        <w:rPr>
          <w:sz w:val="24"/>
          <w:szCs w:val="24"/>
        </w:rPr>
        <w:fldChar w:fldCharType="separate"/>
      </w:r>
      <w:r>
        <w:rPr>
          <w:sz w:val="24"/>
          <w:szCs w:val="24"/>
        </w:rPr>
        <w:t>1.2</w:t>
      </w:r>
      <w:r>
        <w:rPr>
          <w:sz w:val="24"/>
          <w:szCs w:val="24"/>
        </w:rPr>
        <w:fldChar w:fldCharType="end"/>
      </w:r>
      <w:r>
        <w:rPr>
          <w:sz w:val="24"/>
          <w:szCs w:val="24"/>
        </w:rPr>
        <w:t>, участвовать в закупке может любое юридическое / физическое лицо (в том числе индивидуальный предприниматель), или несколько юридических / физических лиц, в том числе несколько индивидуальных предпринимателей, выступающих на стороне одного участника закупки, независимо от их организационно-правовой формы, формы собственности, места нахождения и места происхождения капитала. Исключение составляют юридические / физические лица, являющиеся иностранным агентом в соответствии с Законом 255-ФЗ – они не могут быть Участником, в том числе в составе группы лиц.</w:t>
      </w:r>
      <w:bookmarkEnd w:id="80"/>
    </w:p>
    <w:p>
      <w:pPr>
        <w:pStyle w:val="Style26"/>
        <w:rPr>
          <w:rFonts w:ascii="Times New Roman" w:hAnsi="Times New Roman"/>
          <w:sz w:val="24"/>
          <w:szCs w:val="24"/>
        </w:rPr>
      </w:pPr>
      <w:r>
        <w:rPr>
          <w:sz w:val="24"/>
          <w:szCs w:val="24"/>
        </w:rPr>
        <w:t>Однако, чтобы претендовать на победу в закупке Участник в целом должен отвечать требованиям, установленным в Документации о закупке.</w:t>
      </w:r>
    </w:p>
    <w:p>
      <w:pPr>
        <w:pStyle w:val="Style26"/>
        <w:rPr/>
      </w:pPr>
      <w:r>
        <w:rPr>
          <w:sz w:val="24"/>
          <w:szCs w:val="24"/>
        </w:rPr>
        <w:t xml:space="preserve">Требования к Участникам установлены с учетом предмета договора, </w:t>
      </w:r>
      <w:hyperlink w:anchor="Прил01_ТехТребования">
        <w:r>
          <w:rPr>
            <w:rStyle w:val="Style14"/>
            <w:sz w:val="24"/>
            <w:szCs w:val="24"/>
          </w:rPr>
          <w:t>Технических требований (Приложение № 1)</w:t>
        </w:r>
      </w:hyperlink>
      <w:r>
        <w:rPr>
          <w:sz w:val="24"/>
          <w:szCs w:val="24"/>
        </w:rPr>
        <w:t xml:space="preserve"> и </w:t>
      </w:r>
      <w:hyperlink w:anchor="Прил02_ПроектДоговора">
        <w:r>
          <w:rPr>
            <w:rStyle w:val="Style14"/>
            <w:sz w:val="24"/>
            <w:szCs w:val="24"/>
          </w:rPr>
          <w:t>Проекта договора (Приложение № 2)</w:t>
        </w:r>
      </w:hyperlink>
      <w:r>
        <w:rPr>
          <w:sz w:val="24"/>
          <w:szCs w:val="24"/>
        </w:rPr>
        <w:t>. Если в подразделе </w:t>
      </w:r>
      <w:r>
        <w:rPr>
          <w:sz w:val="24"/>
          <w:szCs w:val="24"/>
        </w:rPr>
        <w:fldChar w:fldCharType="begin"/>
      </w:r>
      <w:r>
        <w:rPr>
          <w:sz w:val="24"/>
          <w:szCs w:val="24"/>
        </w:rPr>
        <w:instrText xml:space="preserve"> REF _Ref125359973 \r \h </w:instrText>
      </w:r>
      <w:r>
        <w:rPr>
          <w:sz w:val="24"/>
          <w:szCs w:val="24"/>
        </w:rPr>
        <w:fldChar w:fldCharType="separate"/>
      </w:r>
      <w:r>
        <w:rPr>
          <w:sz w:val="24"/>
          <w:szCs w:val="24"/>
        </w:rPr>
        <w:t>1.2</w:t>
      </w:r>
      <w:r>
        <w:rPr>
          <w:sz w:val="24"/>
          <w:szCs w:val="24"/>
        </w:rPr>
        <w:fldChar w:fldCharType="end"/>
      </w:r>
      <w:r>
        <w:rPr>
          <w:sz w:val="24"/>
          <w:szCs w:val="24"/>
        </w:rPr>
        <w:t xml:space="preserve"> установлено, что национальный режим не предоставляется, то требования к Участникам (в части страны его регистрации) также могут быть установлены в Структуре НМЦ (в составе Коммерческого предложения (форма 3) (</w:t>
      </w:r>
      <w:hyperlink w:anchor="Прил04_ФормыЗаявки">
        <w:r>
          <w:rPr>
            <w:rStyle w:val="Style14"/>
            <w:sz w:val="24"/>
            <w:szCs w:val="24"/>
          </w:rPr>
          <w:t>Приложение № 4</w:t>
        </w:r>
      </w:hyperlink>
      <w:r>
        <w:rPr>
          <w:sz w:val="24"/>
          <w:szCs w:val="24"/>
        </w:rPr>
        <w:t>)).</w:t>
      </w:r>
    </w:p>
    <w:p>
      <w:pPr>
        <w:pStyle w:val="Style26"/>
        <w:keepNext w:val="true"/>
        <w:rPr/>
      </w:pPr>
      <w:r>
        <w:rPr>
          <w:sz w:val="24"/>
          <w:szCs w:val="24"/>
        </w:rPr>
        <w:t>Установлены следующие требования к Участникам, которые приведены в </w:t>
      </w:r>
      <w:hyperlink w:anchor="Прил03_ТребованияУчастникам">
        <w:r>
          <w:rPr>
            <w:rStyle w:val="Style14"/>
            <w:sz w:val="24"/>
            <w:szCs w:val="24"/>
          </w:rPr>
          <w:t>Приложении № 3</w:t>
        </w:r>
      </w:hyperlink>
      <w:r>
        <w:rPr>
          <w:sz w:val="24"/>
          <w:szCs w:val="24"/>
        </w:rPr>
        <w:t>:</w:t>
      </w:r>
    </w:p>
    <w:p>
      <w:pPr>
        <w:pStyle w:val="Style27"/>
        <w:rPr>
          <w:rFonts w:ascii="Times New Roman" w:hAnsi="Times New Roman"/>
          <w:sz w:val="24"/>
          <w:szCs w:val="24"/>
        </w:rPr>
      </w:pPr>
      <w:r>
        <w:rPr>
          <w:sz w:val="24"/>
          <w:szCs w:val="24"/>
        </w:rPr>
        <w:t>обязательные требования (подраздел </w:t>
      </w:r>
      <w:r>
        <w:rPr>
          <w:sz w:val="24"/>
          <w:szCs w:val="24"/>
        </w:rPr>
        <w:fldChar w:fldCharType="begin"/>
      </w:r>
      <w:r>
        <w:rPr>
          <w:sz w:val="24"/>
          <w:szCs w:val="24"/>
        </w:rPr>
        <w:instrText xml:space="preserve"> REF _Ref125361435 \r \h </w:instrText>
      </w:r>
      <w:r>
        <w:rPr>
          <w:sz w:val="24"/>
          <w:szCs w:val="24"/>
        </w:rPr>
        <w:fldChar w:fldCharType="separate"/>
      </w:r>
      <w:r>
        <w:rPr>
          <w:sz w:val="24"/>
          <w:szCs w:val="24"/>
        </w:rPr>
        <w:t>8.2</w:t>
      </w:r>
      <w:r>
        <w:rPr>
          <w:sz w:val="24"/>
          <w:szCs w:val="24"/>
        </w:rPr>
        <w:fldChar w:fldCharType="end"/>
      </w:r>
      <w:r>
        <w:rPr>
          <w:sz w:val="24"/>
          <w:szCs w:val="24"/>
        </w:rPr>
        <w:t>) – Участники должны им соответствовать;</w:t>
      </w:r>
    </w:p>
    <w:p>
      <w:pPr>
        <w:pStyle w:val="Style27"/>
        <w:rPr>
          <w:rFonts w:ascii="Times New Roman" w:hAnsi="Times New Roman"/>
          <w:sz w:val="24"/>
          <w:szCs w:val="24"/>
        </w:rPr>
      </w:pPr>
      <w:r>
        <w:rPr>
          <w:sz w:val="24"/>
          <w:szCs w:val="24"/>
        </w:rPr>
        <w:t>специальные требования – Участники должны им соответствовать, если они установлены (подраздел </w:t>
      </w:r>
      <w:r>
        <w:rPr>
          <w:sz w:val="24"/>
          <w:szCs w:val="24"/>
        </w:rPr>
        <w:fldChar w:fldCharType="begin"/>
      </w:r>
      <w:r>
        <w:rPr>
          <w:sz w:val="24"/>
          <w:szCs w:val="24"/>
        </w:rPr>
        <w:instrText xml:space="preserve"> REF _Ref125709153 \r \h </w:instrText>
      </w:r>
      <w:r>
        <w:rPr>
          <w:sz w:val="24"/>
          <w:szCs w:val="24"/>
        </w:rPr>
        <w:fldChar w:fldCharType="separate"/>
      </w:r>
      <w:r>
        <w:rPr>
          <w:sz w:val="24"/>
          <w:szCs w:val="24"/>
        </w:rPr>
        <w:t>8.3</w:t>
      </w:r>
      <w:r>
        <w:rPr>
          <w:sz w:val="24"/>
          <w:szCs w:val="24"/>
        </w:rPr>
        <w:fldChar w:fldCharType="end"/>
      </w:r>
      <w:r>
        <w:rPr>
          <w:sz w:val="24"/>
          <w:szCs w:val="24"/>
        </w:rPr>
        <w:t>);</w:t>
      </w:r>
    </w:p>
    <w:p>
      <w:pPr>
        <w:pStyle w:val="Style27"/>
        <w:rPr>
          <w:rFonts w:ascii="Times New Roman" w:hAnsi="Times New Roman"/>
          <w:sz w:val="24"/>
          <w:szCs w:val="24"/>
        </w:rPr>
      </w:pPr>
      <w:r>
        <w:rPr>
          <w:sz w:val="24"/>
          <w:szCs w:val="24"/>
        </w:rPr>
        <w:t>квалификационные требования – Участники должны им соответствовать, если они установлены (подраздел </w:t>
      </w:r>
      <w:r>
        <w:rPr>
          <w:sz w:val="24"/>
          <w:szCs w:val="24"/>
        </w:rPr>
        <w:fldChar w:fldCharType="begin"/>
      </w:r>
      <w:r>
        <w:rPr>
          <w:sz w:val="24"/>
          <w:szCs w:val="24"/>
        </w:rPr>
        <w:instrText xml:space="preserve"> REF _Ref125709154 \r \h </w:instrText>
      </w:r>
      <w:r>
        <w:rPr>
          <w:sz w:val="24"/>
          <w:szCs w:val="24"/>
        </w:rPr>
        <w:fldChar w:fldCharType="separate"/>
      </w:r>
      <w:r>
        <w:rPr>
          <w:sz w:val="24"/>
          <w:szCs w:val="24"/>
        </w:rPr>
        <w:t>8.4</w:t>
      </w:r>
      <w:r>
        <w:rPr>
          <w:sz w:val="24"/>
          <w:szCs w:val="24"/>
        </w:rPr>
        <w:fldChar w:fldCharType="end"/>
      </w:r>
      <w:r>
        <w:rPr>
          <w:sz w:val="24"/>
          <w:szCs w:val="24"/>
        </w:rPr>
        <w:t>).</w:t>
      </w:r>
    </w:p>
    <w:p>
      <w:pPr>
        <w:pStyle w:val="Style26"/>
        <w:keepNext w:val="true"/>
        <w:rPr>
          <w:rFonts w:ascii="Times New Roman" w:hAnsi="Times New Roman"/>
          <w:sz w:val="24"/>
          <w:szCs w:val="24"/>
        </w:rPr>
      </w:pPr>
      <w:r>
        <w:rPr>
          <w:sz w:val="24"/>
          <w:szCs w:val="24"/>
        </w:rPr>
        <w:t>В рамках требований к Участникам могут быть установлены дополнительные требования к Генеральным подрядчикам (подраздел </w:t>
      </w:r>
      <w:r>
        <w:rPr>
          <w:sz w:val="24"/>
          <w:szCs w:val="24"/>
        </w:rPr>
        <w:fldChar w:fldCharType="begin"/>
      </w:r>
      <w:r>
        <w:rPr>
          <w:sz w:val="24"/>
          <w:szCs w:val="24"/>
        </w:rPr>
        <w:instrText xml:space="preserve"> REF _Ref125361702 \r \h </w:instrText>
      </w:r>
      <w:r>
        <w:rPr>
          <w:sz w:val="24"/>
          <w:szCs w:val="24"/>
        </w:rPr>
        <w:fldChar w:fldCharType="separate"/>
      </w:r>
      <w:r>
        <w:rPr>
          <w:sz w:val="24"/>
          <w:szCs w:val="24"/>
        </w:rPr>
        <w:t>3.2</w:t>
      </w:r>
      <w:r>
        <w:rPr>
          <w:sz w:val="24"/>
          <w:szCs w:val="24"/>
        </w:rPr>
        <w:fldChar w:fldCharType="end"/>
      </w:r>
      <w:r>
        <w:rPr>
          <w:sz w:val="24"/>
          <w:szCs w:val="24"/>
        </w:rPr>
        <w:t>).</w:t>
      </w:r>
    </w:p>
    <w:p>
      <w:pPr>
        <w:pStyle w:val="Style26"/>
        <w:rPr/>
      </w:pPr>
      <w:bookmarkStart w:id="81" w:name="_Ref125361969"/>
      <w:bookmarkStart w:id="82" w:name="_Ref125361976"/>
      <w:bookmarkEnd w:id="81"/>
      <w:bookmarkEnd w:id="82"/>
      <w:r>
        <w:rPr>
          <w:sz w:val="24"/>
          <w:szCs w:val="24"/>
        </w:rPr>
        <w:t xml:space="preserve">Для подтверждения соответствия установленным требованиям Участник обязан приложить в составе заявки документы, перечисленные в </w:t>
      </w:r>
      <w:hyperlink w:anchor="Прил03_ТребованияУчастникам">
        <w:r>
          <w:rPr>
            <w:rStyle w:val="Style14"/>
            <w:sz w:val="24"/>
            <w:szCs w:val="24"/>
          </w:rPr>
          <w:t>Требованиях к Участникам (Приложение № 3)</w:t>
        </w:r>
      </w:hyperlink>
      <w:r>
        <w:rPr>
          <w:sz w:val="24"/>
          <w:szCs w:val="24"/>
        </w:rPr>
        <w:t>, если иное не установлено в Документации о закупке.</w:t>
      </w:r>
    </w:p>
    <w:p>
      <w:pPr>
        <w:pStyle w:val="Style25"/>
        <w:rPr>
          <w:rFonts w:ascii="Times New Roman" w:hAnsi="Times New Roman"/>
          <w:sz w:val="24"/>
          <w:szCs w:val="24"/>
        </w:rPr>
      </w:pPr>
      <w:bookmarkStart w:id="83" w:name="_Ref125361702"/>
      <w:bookmarkStart w:id="84" w:name="_Toc229567039"/>
      <w:bookmarkStart w:id="85" w:name="_Ref125361969_Копия_1"/>
      <w:bookmarkStart w:id="86" w:name="_Ref125361976_Копия_1"/>
      <w:bookmarkEnd w:id="85"/>
      <w:bookmarkEnd w:id="86"/>
      <w:r>
        <w:rPr>
          <w:sz w:val="24"/>
          <w:szCs w:val="24"/>
        </w:rPr>
        <w:t>Генеральные подрядчики</w:t>
      </w:r>
      <w:bookmarkEnd w:id="83"/>
      <w:bookmarkEnd w:id="84"/>
    </w:p>
    <w:p>
      <w:pPr>
        <w:pStyle w:val="Style26"/>
        <w:rPr>
          <w:rFonts w:ascii="Times New Roman" w:hAnsi="Times New Roman"/>
          <w:sz w:val="24"/>
          <w:szCs w:val="24"/>
        </w:rPr>
      </w:pPr>
      <w:r>
        <w:rPr>
          <w:sz w:val="24"/>
          <w:szCs w:val="24"/>
        </w:rPr>
        <w:t>Нормы настоящего подраздела применяются только, если подразделом </w:t>
      </w:r>
      <w:r>
        <w:rPr>
          <w:sz w:val="24"/>
          <w:szCs w:val="24"/>
        </w:rPr>
        <w:fldChar w:fldCharType="begin"/>
      </w:r>
      <w:r>
        <w:rPr>
          <w:sz w:val="24"/>
          <w:szCs w:val="24"/>
        </w:rPr>
        <w:instrText xml:space="preserve"> REF _Ref125359973 \r \h </w:instrText>
      </w:r>
      <w:r>
        <w:rPr>
          <w:sz w:val="24"/>
          <w:szCs w:val="24"/>
        </w:rPr>
        <w:fldChar w:fldCharType="separate"/>
      </w:r>
      <w:r>
        <w:rPr>
          <w:sz w:val="24"/>
          <w:szCs w:val="24"/>
        </w:rPr>
        <w:t>1.2</w:t>
      </w:r>
      <w:r>
        <w:rPr>
          <w:sz w:val="24"/>
          <w:szCs w:val="24"/>
        </w:rPr>
        <w:fldChar w:fldCharType="end"/>
      </w:r>
      <w:r>
        <w:rPr>
          <w:sz w:val="24"/>
          <w:szCs w:val="24"/>
        </w:rPr>
        <w:t xml:space="preserve"> предусмотрено рассмотрение и оценка заявок Участников с учетом привлекаемых субподрядчиков.</w:t>
      </w:r>
    </w:p>
    <w:p>
      <w:pPr>
        <w:pStyle w:val="Style26"/>
        <w:rPr/>
      </w:pPr>
      <w:r>
        <w:rPr>
          <w:sz w:val="24"/>
          <w:szCs w:val="24"/>
        </w:rPr>
        <w:t>Если заявка подается Участником от лица Генерального подрядчика, дополнительно должны быть выполнены требования настоящего подраздела, а также требования к дополнительным документам, предоставляемым таким Участником в составе заявки, установленные в подразделе </w:t>
      </w:r>
      <w:r>
        <w:rPr>
          <w:sz w:val="24"/>
          <w:szCs w:val="24"/>
        </w:rPr>
        <w:fldChar w:fldCharType="begin"/>
      </w:r>
      <w:r>
        <w:rPr>
          <w:sz w:val="24"/>
          <w:szCs w:val="24"/>
        </w:rPr>
        <w:instrText xml:space="preserve"> REF _Ref125709777 \r \h </w:instrText>
      </w:r>
      <w:r>
        <w:rPr>
          <w:sz w:val="24"/>
          <w:szCs w:val="24"/>
        </w:rPr>
        <w:fldChar w:fldCharType="separate"/>
      </w:r>
      <w:r>
        <w:rPr>
          <w:sz w:val="24"/>
          <w:szCs w:val="24"/>
        </w:rPr>
        <w:t>8.5</w:t>
      </w:r>
      <w:r>
        <w:rPr>
          <w:sz w:val="24"/>
          <w:szCs w:val="24"/>
        </w:rPr>
        <w:fldChar w:fldCharType="end"/>
      </w:r>
      <w:r>
        <w:rPr>
          <w:sz w:val="24"/>
          <w:szCs w:val="24"/>
        </w:rPr>
        <w:t xml:space="preserve"> </w:t>
      </w:r>
      <w:hyperlink w:anchor="Прил03_ТребованияУчастникам">
        <w:r>
          <w:rPr>
            <w:rStyle w:val="Style14"/>
            <w:sz w:val="24"/>
            <w:szCs w:val="24"/>
          </w:rPr>
          <w:t>Требований к Участникам (Приложение № 3)</w:t>
        </w:r>
      </w:hyperlink>
      <w:r>
        <w:rPr>
          <w:sz w:val="24"/>
          <w:szCs w:val="24"/>
        </w:rPr>
        <w:t>.</w:t>
      </w:r>
    </w:p>
    <w:p>
      <w:pPr>
        <w:pStyle w:val="Style26"/>
        <w:keepNext w:val="true"/>
        <w:rPr>
          <w:rFonts w:ascii="Times New Roman" w:hAnsi="Times New Roman"/>
          <w:sz w:val="24"/>
          <w:szCs w:val="24"/>
        </w:rPr>
      </w:pPr>
      <w:r>
        <w:rPr>
          <w:sz w:val="24"/>
          <w:szCs w:val="24"/>
        </w:rPr>
        <w:t>Генеральный подрядчик:</w:t>
      </w:r>
    </w:p>
    <w:p>
      <w:pPr>
        <w:pStyle w:val="Style27"/>
        <w:rPr>
          <w:rFonts w:ascii="Times New Roman" w:hAnsi="Times New Roman"/>
          <w:sz w:val="24"/>
          <w:szCs w:val="24"/>
        </w:rPr>
      </w:pPr>
      <w:r>
        <w:rPr>
          <w:sz w:val="24"/>
          <w:szCs w:val="24"/>
        </w:rPr>
        <w:t>должен самостоятельно отвечать всем обязательным требованиям к Участникам (подраздел </w:t>
      </w:r>
      <w:r>
        <w:rPr>
          <w:sz w:val="24"/>
          <w:szCs w:val="24"/>
        </w:rPr>
        <w:fldChar w:fldCharType="begin"/>
      </w:r>
      <w:r>
        <w:rPr>
          <w:sz w:val="24"/>
          <w:szCs w:val="24"/>
        </w:rPr>
        <w:instrText xml:space="preserve"> REF _Ref125361435 \r \h </w:instrText>
      </w:r>
      <w:r>
        <w:rPr>
          <w:sz w:val="24"/>
          <w:szCs w:val="24"/>
        </w:rPr>
        <w:fldChar w:fldCharType="separate"/>
      </w:r>
      <w:r>
        <w:rPr>
          <w:sz w:val="24"/>
          <w:szCs w:val="24"/>
        </w:rPr>
        <w:t>8.2</w:t>
      </w:r>
      <w:r>
        <w:rPr>
          <w:sz w:val="24"/>
          <w:szCs w:val="24"/>
        </w:rPr>
        <w:fldChar w:fldCharType="end"/>
      </w:r>
      <w:r>
        <w:rPr>
          <w:sz w:val="24"/>
          <w:szCs w:val="24"/>
        </w:rPr>
        <w:t>);</w:t>
      </w:r>
    </w:p>
    <w:p>
      <w:pPr>
        <w:pStyle w:val="Style27"/>
        <w:rPr>
          <w:rFonts w:ascii="Times New Roman" w:hAnsi="Times New Roman"/>
          <w:sz w:val="24"/>
          <w:szCs w:val="24"/>
        </w:rPr>
      </w:pPr>
      <w:r>
        <w:rPr>
          <w:sz w:val="24"/>
          <w:szCs w:val="24"/>
        </w:rPr>
        <w:t>в рамках специальных требований (подраздел </w:t>
      </w:r>
      <w:r>
        <w:rPr>
          <w:sz w:val="24"/>
          <w:szCs w:val="24"/>
        </w:rPr>
        <w:fldChar w:fldCharType="begin"/>
      </w:r>
      <w:r>
        <w:rPr>
          <w:sz w:val="24"/>
          <w:szCs w:val="24"/>
        </w:rPr>
        <w:instrText xml:space="preserve"> REF _Ref125709153 \r \h </w:instrText>
      </w:r>
      <w:r>
        <w:rPr>
          <w:sz w:val="24"/>
          <w:szCs w:val="24"/>
        </w:rPr>
        <w:fldChar w:fldCharType="separate"/>
      </w:r>
      <w:r>
        <w:rPr>
          <w:sz w:val="24"/>
          <w:szCs w:val="24"/>
        </w:rPr>
        <w:t>8.3</w:t>
      </w:r>
      <w:r>
        <w:rPr>
          <w:sz w:val="24"/>
          <w:szCs w:val="24"/>
        </w:rPr>
        <w:fldChar w:fldCharType="end"/>
      </w:r>
      <w:r>
        <w:rPr>
          <w:sz w:val="24"/>
          <w:szCs w:val="24"/>
        </w:rPr>
        <w:t>), касающихся членства в саморегулируемых организациях (в случае их установления), должен иметь соответствующее членство с учетом требований законодательства к такому членству;</w:t>
      </w:r>
    </w:p>
    <w:p>
      <w:pPr>
        <w:pStyle w:val="Style27"/>
        <w:rPr/>
      </w:pPr>
      <w:r>
        <w:rPr>
          <w:sz w:val="24"/>
          <w:szCs w:val="24"/>
        </w:rPr>
        <w:t>в рамках остальных специальных требований и квалификационных требований (подраздел </w:t>
      </w:r>
      <w:r>
        <w:rPr>
          <w:sz w:val="24"/>
          <w:szCs w:val="24"/>
        </w:rPr>
        <w:fldChar w:fldCharType="begin"/>
      </w:r>
      <w:r>
        <w:rPr>
          <w:sz w:val="24"/>
          <w:szCs w:val="24"/>
        </w:rPr>
        <w:instrText xml:space="preserve"> REF _Ref125709154 \r \h </w:instrText>
      </w:r>
      <w:r>
        <w:rPr>
          <w:sz w:val="24"/>
          <w:szCs w:val="24"/>
        </w:rPr>
        <w:fldChar w:fldCharType="separate"/>
      </w:r>
      <w:r>
        <w:rPr>
          <w:sz w:val="24"/>
          <w:szCs w:val="24"/>
        </w:rPr>
        <w:t>8.4</w:t>
      </w:r>
      <w:r>
        <w:rPr>
          <w:sz w:val="24"/>
          <w:szCs w:val="24"/>
        </w:rPr>
        <w:fldChar w:fldCharType="end"/>
      </w:r>
      <w:r>
        <w:rPr>
          <w:sz w:val="24"/>
          <w:szCs w:val="24"/>
        </w:rPr>
        <w:t>) (в случае их установления) должен отвечать им только в части объема поставки продукции, который ему предполагается поручить в соответствии с Планом распределения объемов поставки продукции (форма 10) (</w:t>
      </w:r>
      <w:hyperlink w:anchor="Прил04_ФормыЗаявки">
        <w:r>
          <w:rPr>
            <w:rStyle w:val="Style14"/>
            <w:sz w:val="24"/>
            <w:szCs w:val="24"/>
          </w:rPr>
          <w:t>Приложение № 4</w:t>
        </w:r>
      </w:hyperlink>
      <w:r>
        <w:rPr>
          <w:sz w:val="24"/>
          <w:szCs w:val="24"/>
        </w:rPr>
        <w:t>).</w:t>
      </w:r>
    </w:p>
    <w:p>
      <w:pPr>
        <w:pStyle w:val="Style26"/>
        <w:keepNext w:val="true"/>
        <w:rPr>
          <w:rFonts w:ascii="Times New Roman" w:hAnsi="Times New Roman"/>
          <w:sz w:val="24"/>
          <w:szCs w:val="24"/>
        </w:rPr>
      </w:pPr>
      <w:r>
        <w:rPr>
          <w:sz w:val="24"/>
          <w:szCs w:val="24"/>
        </w:rPr>
        <w:t>Каждый субподрядчик из привлекаемых Генеральным подрядчиком должен отвечать:</w:t>
      </w:r>
    </w:p>
    <w:p>
      <w:pPr>
        <w:pStyle w:val="Style27"/>
        <w:rPr>
          <w:rFonts w:ascii="Times New Roman" w:hAnsi="Times New Roman"/>
          <w:sz w:val="24"/>
          <w:szCs w:val="24"/>
        </w:rPr>
      </w:pPr>
      <w:r>
        <w:rPr>
          <w:sz w:val="24"/>
          <w:szCs w:val="24"/>
        </w:rPr>
        <w:t>обязательным требованиям (подраздел </w:t>
      </w:r>
      <w:r>
        <w:rPr>
          <w:sz w:val="24"/>
          <w:szCs w:val="24"/>
        </w:rPr>
        <w:fldChar w:fldCharType="begin"/>
      </w:r>
      <w:r>
        <w:rPr>
          <w:sz w:val="24"/>
          <w:szCs w:val="24"/>
        </w:rPr>
        <w:instrText xml:space="preserve"> REF _Ref125361435 \r \h </w:instrText>
      </w:r>
      <w:r>
        <w:rPr>
          <w:sz w:val="24"/>
          <w:szCs w:val="24"/>
        </w:rPr>
        <w:fldChar w:fldCharType="separate"/>
      </w:r>
      <w:r>
        <w:rPr>
          <w:sz w:val="24"/>
          <w:szCs w:val="24"/>
        </w:rPr>
        <w:t>8.2</w:t>
      </w:r>
      <w:r>
        <w:rPr>
          <w:sz w:val="24"/>
          <w:szCs w:val="24"/>
        </w:rPr>
        <w:fldChar w:fldCharType="end"/>
      </w:r>
      <w:r>
        <w:rPr>
          <w:sz w:val="24"/>
          <w:szCs w:val="24"/>
        </w:rPr>
        <w:t>);</w:t>
      </w:r>
    </w:p>
    <w:p>
      <w:pPr>
        <w:pStyle w:val="Style27"/>
        <w:rPr>
          <w:rFonts w:ascii="Times New Roman" w:hAnsi="Times New Roman"/>
          <w:sz w:val="24"/>
          <w:szCs w:val="24"/>
        </w:rPr>
      </w:pPr>
      <w:r>
        <w:rPr>
          <w:sz w:val="24"/>
          <w:szCs w:val="24"/>
        </w:rPr>
        <w:t>специальным требованиям (подраздел </w:t>
      </w:r>
      <w:r>
        <w:rPr>
          <w:sz w:val="24"/>
          <w:szCs w:val="24"/>
        </w:rPr>
        <w:fldChar w:fldCharType="begin"/>
      </w:r>
      <w:r>
        <w:rPr>
          <w:sz w:val="24"/>
          <w:szCs w:val="24"/>
        </w:rPr>
        <w:instrText xml:space="preserve"> REF _Ref125709153 \r \h </w:instrText>
      </w:r>
      <w:r>
        <w:rPr>
          <w:sz w:val="24"/>
          <w:szCs w:val="24"/>
        </w:rPr>
        <w:fldChar w:fldCharType="separate"/>
      </w:r>
      <w:r>
        <w:rPr>
          <w:sz w:val="24"/>
          <w:szCs w:val="24"/>
        </w:rPr>
        <w:t>8.3</w:t>
      </w:r>
      <w:r>
        <w:rPr>
          <w:sz w:val="24"/>
          <w:szCs w:val="24"/>
        </w:rPr>
        <w:fldChar w:fldCharType="end"/>
      </w:r>
      <w:r>
        <w:rPr>
          <w:sz w:val="24"/>
          <w:szCs w:val="24"/>
        </w:rPr>
        <w:t>) (в случае их установления), за исключением требования о наличии членства в саморегулируемых организациях;</w:t>
      </w:r>
    </w:p>
    <w:p>
      <w:pPr>
        <w:pStyle w:val="Style27"/>
        <w:rPr>
          <w:rFonts w:ascii="Times New Roman" w:hAnsi="Times New Roman"/>
          <w:sz w:val="24"/>
          <w:szCs w:val="24"/>
        </w:rPr>
      </w:pPr>
      <w:r>
        <w:rPr>
          <w:sz w:val="24"/>
          <w:szCs w:val="24"/>
        </w:rPr>
        <w:t>квалификационным требованиям (подраздел </w:t>
      </w:r>
      <w:r>
        <w:rPr>
          <w:sz w:val="24"/>
          <w:szCs w:val="24"/>
        </w:rPr>
        <w:fldChar w:fldCharType="begin"/>
      </w:r>
      <w:r>
        <w:rPr>
          <w:sz w:val="24"/>
          <w:szCs w:val="24"/>
        </w:rPr>
        <w:instrText xml:space="preserve"> REF _Ref125709154 \r \h </w:instrText>
      </w:r>
      <w:r>
        <w:rPr>
          <w:sz w:val="24"/>
          <w:szCs w:val="24"/>
        </w:rPr>
        <w:fldChar w:fldCharType="separate"/>
      </w:r>
      <w:r>
        <w:rPr>
          <w:sz w:val="24"/>
          <w:szCs w:val="24"/>
        </w:rPr>
        <w:t>8.4</w:t>
      </w:r>
      <w:r>
        <w:rPr>
          <w:sz w:val="24"/>
          <w:szCs w:val="24"/>
        </w:rPr>
        <w:fldChar w:fldCharType="end"/>
      </w:r>
      <w:r>
        <w:rPr>
          <w:sz w:val="24"/>
          <w:szCs w:val="24"/>
        </w:rPr>
        <w:t>) (в случае их установления).</w:t>
      </w:r>
    </w:p>
    <w:p>
      <w:pPr>
        <w:pStyle w:val="Style30"/>
        <w:ind w:hanging="0" w:left="1134"/>
        <w:rPr/>
      </w:pPr>
      <w:bookmarkStart w:id="87" w:name="_Ref125368863"/>
      <w:r>
        <w:rPr>
          <w:sz w:val="24"/>
          <w:szCs w:val="24"/>
        </w:rPr>
        <w:t xml:space="preserve">При этом соответствовать специальным и квалификационным требованиям субподрядчик должен только в части объема поставки продукции, который ему поручен </w:t>
      </w:r>
      <w:bookmarkEnd w:id="87"/>
      <w:r>
        <w:rPr>
          <w:sz w:val="24"/>
          <w:szCs w:val="24"/>
        </w:rPr>
        <w:t>в соответствии с Планом распределения объемов поставки продукции (форма 10) (</w:t>
      </w:r>
      <w:hyperlink w:anchor="Прил04_ФормыЗаявки">
        <w:r>
          <w:rPr>
            <w:rStyle w:val="Style14"/>
            <w:sz w:val="24"/>
            <w:szCs w:val="24"/>
          </w:rPr>
          <w:t>Приложение № 4</w:t>
        </w:r>
      </w:hyperlink>
      <w:r>
        <w:rPr>
          <w:sz w:val="24"/>
          <w:szCs w:val="24"/>
        </w:rPr>
        <w:t>).</w:t>
      </w:r>
    </w:p>
    <w:p>
      <w:pPr>
        <w:pStyle w:val="Style26"/>
        <w:rPr/>
      </w:pPr>
      <w:r>
        <w:rPr>
          <w:sz w:val="24"/>
          <w:szCs w:val="24"/>
        </w:rPr>
        <w:t xml:space="preserve">При оценке и сопоставлении заявки Генерального подрядчика по квалификационным критериям (если они установлены в </w:t>
      </w:r>
      <w:hyperlink w:anchor="Прил08_ПорядокОценки">
        <w:r>
          <w:rPr>
            <w:rStyle w:val="Style14"/>
            <w:sz w:val="24"/>
            <w:szCs w:val="24"/>
          </w:rPr>
          <w:t>Порядке и критериях оценки и сопоставления заявок (Приложение № 8)</w:t>
        </w:r>
      </w:hyperlink>
      <w:r>
        <w:rPr>
          <w:sz w:val="24"/>
          <w:szCs w:val="24"/>
        </w:rPr>
        <w:t>) количественные параметры деятельности Генерального подрядчика и субподрядчиков суммируются (наличие требуемого опыта, обеспеченность материально-техническими ресурсами и кадровыми ресурсами).</w:t>
      </w:r>
    </w:p>
    <w:p>
      <w:pPr>
        <w:pStyle w:val="Style26"/>
        <w:rPr>
          <w:rFonts w:ascii="Times New Roman" w:hAnsi="Times New Roman"/>
          <w:sz w:val="24"/>
          <w:szCs w:val="24"/>
        </w:rPr>
      </w:pPr>
      <w:bookmarkStart w:id="88" w:name="_Ref125361799"/>
      <w:r>
        <w:rPr>
          <w:sz w:val="24"/>
          <w:szCs w:val="24"/>
        </w:rPr>
        <w:t>Любое юридическое или физическое лицо (в том числе индивидуальный предприниматель) может являться субподрядчиком у произвольного числа Генеральных подрядчиков, а также имеет право самостоятельно принимать участие в закупке. Каждый Генеральный подрядчик может подать только одну заявку и не может быть субподрядчиком у других Генеральных подрядчиков. В случае невыполнения этих требований заявки с участием таких лиц будут отклонены.</w:t>
      </w:r>
      <w:bookmarkEnd w:id="88"/>
    </w:p>
    <w:p>
      <w:pPr>
        <w:sectPr>
          <w:headerReference w:type="default" r:id="rId6"/>
          <w:footerReference w:type="default" r:id="rId7"/>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6"/>
        <w:rPr/>
      </w:pPr>
      <w:r>
        <w:rPr>
          <w:sz w:val="24"/>
          <w:szCs w:val="24"/>
        </w:rPr>
        <w:t>Если подразделом </w:t>
      </w:r>
      <w:r>
        <w:rPr>
          <w:sz w:val="24"/>
          <w:szCs w:val="24"/>
        </w:rPr>
        <w:fldChar w:fldCharType="begin"/>
      </w:r>
      <w:r>
        <w:rPr>
          <w:sz w:val="24"/>
          <w:szCs w:val="24"/>
        </w:rPr>
        <w:instrText xml:space="preserve"> REF _Ref125359973 \r \h </w:instrText>
      </w:r>
      <w:r>
        <w:rPr>
          <w:sz w:val="24"/>
          <w:szCs w:val="24"/>
        </w:rPr>
        <w:fldChar w:fldCharType="separate"/>
      </w:r>
      <w:r>
        <w:rPr>
          <w:sz w:val="24"/>
          <w:szCs w:val="24"/>
        </w:rPr>
        <w:t>1.2</w:t>
      </w:r>
      <w:r>
        <w:rPr>
          <w:sz w:val="24"/>
          <w:szCs w:val="24"/>
        </w:rPr>
        <w:fldChar w:fldCharType="end"/>
      </w:r>
      <w:r>
        <w:rPr>
          <w:sz w:val="24"/>
          <w:szCs w:val="24"/>
        </w:rPr>
        <w:t xml:space="preserve"> не предусмотрены рассмотрение и оценка заявок Участников с учетом привлекаемых субподрядчиков, то при рассмотрении и оценке заявок к учету принимаются исключительно сведения о самом Участнике, в связи с чем Участник не обязан предоставлять документы на привлекаемых им субподрядчиков, указанные в подразделе </w:t>
      </w:r>
      <w:r>
        <w:rPr>
          <w:sz w:val="24"/>
          <w:szCs w:val="24"/>
        </w:rPr>
        <w:fldChar w:fldCharType="begin"/>
      </w:r>
      <w:r>
        <w:rPr>
          <w:sz w:val="24"/>
          <w:szCs w:val="24"/>
        </w:rPr>
        <w:instrText xml:space="preserve"> REF _Ref125709973 \r \h </w:instrText>
      </w:r>
      <w:r>
        <w:rPr>
          <w:sz w:val="24"/>
          <w:szCs w:val="24"/>
        </w:rPr>
        <w:fldChar w:fldCharType="separate"/>
      </w:r>
      <w:r>
        <w:rPr>
          <w:sz w:val="24"/>
          <w:szCs w:val="24"/>
        </w:rPr>
        <w:t>8.5</w:t>
      </w:r>
      <w:r>
        <w:rPr>
          <w:sz w:val="24"/>
          <w:szCs w:val="24"/>
        </w:rPr>
        <w:fldChar w:fldCharType="end"/>
      </w:r>
      <w:r>
        <w:rPr>
          <w:sz w:val="24"/>
          <w:szCs w:val="24"/>
        </w:rPr>
        <w:t xml:space="preserve"> </w:t>
      </w:r>
      <w:hyperlink w:anchor="Прил03_ТребованияУчастникам">
        <w:r>
          <w:rPr>
            <w:rStyle w:val="Style14"/>
            <w:sz w:val="24"/>
            <w:szCs w:val="24"/>
          </w:rPr>
          <w:t>Требований к Участникам (Приложение № 3)</w:t>
        </w:r>
      </w:hyperlink>
      <w:r>
        <w:rPr>
          <w:sz w:val="24"/>
          <w:szCs w:val="24"/>
        </w:rPr>
        <w:t>.Ответственность за соответствие в ходе исполнения обязательств по Договору привлекаемых субподрядчиков требованиям Документации о закупке в этом случае возлагается на самого Участника.</w:t>
      </w:r>
    </w:p>
    <w:p>
      <w:pPr>
        <w:pStyle w:val="Style24"/>
        <w:rPr>
          <w:rFonts w:ascii="Times New Roman" w:hAnsi="Times New Roman"/>
          <w:sz w:val="24"/>
          <w:szCs w:val="24"/>
        </w:rPr>
      </w:pPr>
      <w:bookmarkStart w:id="89" w:name="_Ref125367107"/>
      <w:bookmarkStart w:id="90" w:name="_Toc229567040"/>
      <w:bookmarkStart w:id="91" w:name="_Ref125367974"/>
      <w:bookmarkStart w:id="92" w:name="_Ref125367098"/>
      <w:bookmarkStart w:id="93" w:name="_Ref125361211"/>
      <w:r>
        <w:rPr>
          <w:sz w:val="24"/>
          <w:szCs w:val="24"/>
        </w:rPr>
        <w:t>Порядок проведения закупки</w:t>
      </w:r>
      <w:bookmarkEnd w:id="89"/>
      <w:bookmarkEnd w:id="90"/>
      <w:bookmarkEnd w:id="91"/>
      <w:bookmarkEnd w:id="92"/>
      <w:bookmarkEnd w:id="93"/>
    </w:p>
    <w:p>
      <w:pPr>
        <w:pStyle w:val="Style25"/>
        <w:rPr>
          <w:rFonts w:ascii="Times New Roman" w:hAnsi="Times New Roman"/>
          <w:sz w:val="24"/>
          <w:szCs w:val="24"/>
        </w:rPr>
      </w:pPr>
      <w:bookmarkStart w:id="94" w:name="_Ref126141932"/>
      <w:bookmarkStart w:id="95" w:name="_Toc229567041"/>
      <w:r>
        <w:rPr>
          <w:sz w:val="24"/>
          <w:szCs w:val="24"/>
        </w:rPr>
        <w:t>Общий порядок проведения закупки</w:t>
      </w:r>
      <w:bookmarkEnd w:id="94"/>
      <w:bookmarkEnd w:id="95"/>
    </w:p>
    <w:p>
      <w:pPr>
        <w:pStyle w:val="Style26"/>
        <w:keepNext w:val="true"/>
        <w:spacing w:before="120" w:after="120"/>
        <w:rPr>
          <w:rFonts w:ascii="Times New Roman" w:hAnsi="Times New Roman"/>
          <w:sz w:val="24"/>
          <w:szCs w:val="24"/>
        </w:rPr>
      </w:pPr>
      <w:r>
        <w:rPr>
          <w:sz w:val="24"/>
          <w:szCs w:val="24"/>
        </w:rPr>
        <w:t>Закупка проводится в следующем порядке:</w:t>
      </w:r>
    </w:p>
    <w:tbl>
      <w:tblPr>
        <w:tblStyle w:val="af6"/>
        <w:tblW w:w="14003" w:type="dxa"/>
        <w:jc w:val="left"/>
        <w:tblInd w:w="1129" w:type="dxa"/>
        <w:tblLayout w:type="fixed"/>
        <w:tblCellMar>
          <w:top w:w="0" w:type="dxa"/>
          <w:left w:w="0" w:type="dxa"/>
          <w:bottom w:w="0" w:type="dxa"/>
          <w:right w:w="5" w:type="dxa"/>
        </w:tblCellMar>
        <w:tblLook w:val="04a0" w:noHBand="0" w:noVBand="1" w:firstColumn="1" w:lastRow="0" w:lastColumn="0" w:firstRow="1"/>
      </w:tblPr>
      <w:tblGrid>
        <w:gridCol w:w="428"/>
        <w:gridCol w:w="3333"/>
        <w:gridCol w:w="1109"/>
        <w:gridCol w:w="2226"/>
        <w:gridCol w:w="2409"/>
        <w:gridCol w:w="2267"/>
        <w:gridCol w:w="2230"/>
      </w:tblGrid>
      <w:tr>
        <w:trPr>
          <w:cnfStyle w:val="100000000000" w:firstRow="1" w:lastRow="0" w:firstColumn="0" w:lastColumn="0" w:oddVBand="0" w:evenVBand="0" w:oddHBand="0" w:evenHBand="0" w:firstRowFirstColumn="0" w:firstRowLastColumn="0" w:lastRowFirstColumn="0" w:lastRowLastColumn="0"/>
        </w:trPr>
        <w:tc>
          <w:tcPr>
            <w:tcW w:w="428" w:type="dxa"/>
            <w:tcBorders>
              <w:left w:val="nil"/>
            </w:tcBorders>
            <w:vAlign w:val="bottom"/>
          </w:tcPr>
          <w:p>
            <w:pPr>
              <w:pStyle w:val="Style30"/>
              <w:keepNext w:val="true"/>
              <w:keepLines w:val="false"/>
              <w:widowControl w:val="false"/>
              <w:suppressAutoHyphens w:val="true"/>
              <w:spacing w:before="40" w:after="40"/>
              <w:jc w:val="center"/>
              <w:rPr>
                <w:rFonts w:ascii="Times New Roman" w:hAnsi="Times New Roman"/>
                <w:sz w:val="24"/>
                <w:szCs w:val="24"/>
              </w:rPr>
            </w:pPr>
            <w:r>
              <w:rPr>
                <w:rFonts w:eastAsia="Wingdings 3" w:cs="Wingdings 3"/>
                <w:b w:val="false"/>
                <w:bCs/>
                <w:kern w:val="0"/>
                <w:sz w:val="24"/>
                <w:szCs w:val="24"/>
                <w:lang w:val="ru-RU" w:eastAsia="en-US" w:bidi="ar-SA"/>
              </w:rPr>
              <w:t></w:t>
            </w:r>
          </w:p>
        </w:tc>
        <w:tc>
          <w:tcPr>
            <w:tcW w:w="13574" w:type="dxa"/>
            <w:gridSpan w:val="6"/>
            <w:tcBorders>
              <w:right w:val="nil"/>
            </w:tcBorders>
          </w:tcPr>
          <w:p>
            <w:pPr>
              <w:pStyle w:val="Style30"/>
              <w:keepNext w:val="true"/>
              <w:keepLines w:val="false"/>
              <w:widowControl w:val="false"/>
              <w:suppressAutoHyphens w:val="true"/>
              <w:spacing w:before="40" w:after="40"/>
              <w:jc w:val="center"/>
              <w:rPr>
                <w:rFonts w:ascii="Times New Roman" w:hAnsi="Times New Roman"/>
                <w:sz w:val="24"/>
                <w:szCs w:val="24"/>
              </w:rPr>
            </w:pPr>
            <w:r>
              <w:rPr>
                <w:rFonts w:eastAsia="Calibri" w:cs=""/>
                <w:b/>
                <w:bCs/>
                <w:kern w:val="0"/>
                <w:sz w:val="24"/>
                <w:szCs w:val="24"/>
                <w:lang w:val="ru-RU" w:eastAsia="en-US" w:bidi="ar-SA"/>
              </w:rPr>
              <w:t>Официальное размещение Извещения и Документации о закупке (подраздел </w:t>
            </w:r>
            <w:r>
              <w:rPr>
                <w:rFonts w:eastAsia="Calibri" w:cs=""/>
                <w:b/>
                <w:bCs/>
                <w:kern w:val="0"/>
                <w:sz w:val="24"/>
                <w:szCs w:val="24"/>
                <w:lang w:val="ru-RU" w:eastAsia="en-US" w:bidi="ar-SA"/>
              </w:rPr>
              <w:fldChar w:fldCharType="begin"/>
            </w:r>
            <w:r>
              <w:rPr>
                <w:sz w:val="24"/>
                <w:b/>
                <w:kern w:val="0"/>
                <w:szCs w:val="24"/>
                <w:bCs/>
                <w:rFonts w:eastAsia="Calibri" w:cs=""/>
                <w:lang w:val="ru-RU" w:eastAsia="en-US" w:bidi="ar-SA"/>
              </w:rPr>
              <w:instrText xml:space="preserve"> REF _Ref130286532 \r \h </w:instrText>
            </w:r>
            <w:r>
              <w:rPr>
                <w:sz w:val="24"/>
                <w:b/>
                <w:kern w:val="0"/>
                <w:szCs w:val="24"/>
                <w:bCs/>
                <w:rFonts w:eastAsia="Calibri" w:cs=""/>
                <w:lang w:val="ru-RU" w:eastAsia="en-US" w:bidi="ar-SA"/>
              </w:rPr>
              <w:fldChar w:fldCharType="separate"/>
            </w:r>
            <w:r>
              <w:rPr>
                <w:sz w:val="24"/>
                <w:b/>
                <w:kern w:val="0"/>
                <w:szCs w:val="24"/>
                <w:bCs/>
                <w:rFonts w:eastAsia="Calibri" w:cs=""/>
                <w:lang w:val="ru-RU" w:eastAsia="en-US" w:bidi="ar-SA"/>
              </w:rPr>
              <w:t>4.2</w:t>
            </w:r>
            <w:r>
              <w:rPr>
                <w:sz w:val="24"/>
                <w:b/>
                <w:kern w:val="0"/>
                <w:szCs w:val="24"/>
                <w:bCs/>
                <w:rFonts w:eastAsia="Calibri" w:cs=""/>
                <w:lang w:val="ru-RU" w:eastAsia="en-US" w:bidi="ar-SA"/>
              </w:rPr>
              <w:fldChar w:fldCharType="end"/>
            </w:r>
            <w:r>
              <w:rPr>
                <w:rFonts w:eastAsia="Calibri" w:cs=""/>
                <w:b/>
                <w:bCs/>
                <w:kern w:val="0"/>
                <w:sz w:val="24"/>
                <w:szCs w:val="24"/>
                <w:lang w:val="ru-RU" w:eastAsia="en-US" w:bidi="ar-SA"/>
              </w:rPr>
              <w:t>)</w:t>
            </w:r>
          </w:p>
        </w:tc>
      </w:tr>
      <w:tr>
        <w:trPr/>
        <w:tc>
          <w:tcPr>
            <w:tcW w:w="428" w:type="dxa"/>
            <w:tcBorders>
              <w:left w:val="nil"/>
            </w:tcBorders>
            <w:vAlign w:val="bottom"/>
          </w:tcPr>
          <w:p>
            <w:pPr>
              <w:pStyle w:val="Style30"/>
              <w:widowControl w:val="false"/>
              <w:suppressAutoHyphens w:val="true"/>
              <w:spacing w:before="40" w:after="40"/>
              <w:jc w:val="center"/>
              <w:rPr>
                <w:rFonts w:ascii="Times New Roman" w:hAnsi="Times New Roman"/>
                <w:sz w:val="24"/>
                <w:szCs w:val="24"/>
              </w:rPr>
            </w:pPr>
            <w:r>
              <w:rPr>
                <w:rFonts w:eastAsia="Wingdings 3" w:cs="Wingdings 3"/>
                <w:bCs/>
                <w:kern w:val="0"/>
                <w:sz w:val="24"/>
                <w:szCs w:val="24"/>
                <w:lang w:val="ru-RU" w:eastAsia="en-US" w:bidi="ar-SA"/>
              </w:rPr>
              <w:t></w:t>
            </w:r>
          </w:p>
        </w:tc>
        <w:tc>
          <w:tcPr>
            <w:tcW w:w="6668" w:type="dxa"/>
            <w:gridSpan w:val="3"/>
            <w:tcBorders/>
          </w:tcPr>
          <w:p>
            <w:pPr>
              <w:pStyle w:val="Style30"/>
              <w:widowControl w:val="false"/>
              <w:suppressAutoHyphens w:val="true"/>
              <w:spacing w:before="40" w:after="40"/>
              <w:jc w:val="center"/>
              <w:rPr>
                <w:rFonts w:ascii="Times New Roman" w:hAnsi="Times New Roman"/>
                <w:sz w:val="24"/>
                <w:szCs w:val="24"/>
              </w:rPr>
            </w:pPr>
            <w:r>
              <w:rPr>
                <w:rFonts w:eastAsia="Calibri" w:cs=""/>
                <w:bCs/>
                <w:kern w:val="0"/>
                <w:sz w:val="24"/>
                <w:szCs w:val="24"/>
                <w:lang w:val="ru-RU" w:eastAsia="en-US" w:bidi="ar-SA"/>
              </w:rPr>
              <w:t>Подготовка заявки (раздел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_Ref130281199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4.3</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409" w:type="dxa"/>
            <w:vMerge w:val="restart"/>
            <w:tcBorders/>
          </w:tcPr>
          <w:p>
            <w:pPr>
              <w:pStyle w:val="Style30"/>
              <w:widowControl w:val="false"/>
              <w:suppressAutoHyphens w:val="true"/>
              <w:spacing w:before="40" w:after="40"/>
              <w:jc w:val="center"/>
              <w:rPr>
                <w:rFonts w:ascii="Times New Roman" w:hAnsi="Times New Roman"/>
                <w:sz w:val="24"/>
                <w:szCs w:val="24"/>
              </w:rPr>
            </w:pPr>
            <w:r>
              <w:rPr>
                <w:rFonts w:eastAsia="Calibri" w:cs=""/>
                <w:bCs/>
                <w:kern w:val="0"/>
                <w:sz w:val="24"/>
                <w:szCs w:val="24"/>
                <w:lang w:val="ru-RU" w:eastAsia="en-US" w:bidi="ar-SA"/>
              </w:rPr>
              <w:t>Предоставление разъяснений положений Документации о закупке</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_Ref130394802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4.4</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267" w:type="dxa"/>
            <w:vMerge w:val="restart"/>
            <w:tcBorders/>
          </w:tcPr>
          <w:p>
            <w:pPr>
              <w:pStyle w:val="Style30"/>
              <w:widowControl w:val="false"/>
              <w:suppressAutoHyphens w:val="true"/>
              <w:spacing w:before="40" w:after="40"/>
              <w:jc w:val="center"/>
              <w:rPr>
                <w:rFonts w:ascii="Times New Roman" w:hAnsi="Times New Roman"/>
                <w:sz w:val="24"/>
                <w:szCs w:val="24"/>
              </w:rPr>
            </w:pPr>
            <w:r>
              <w:rPr>
                <w:rFonts w:eastAsia="Calibri" w:cs=""/>
                <w:bCs/>
                <w:kern w:val="0"/>
                <w:sz w:val="24"/>
                <w:szCs w:val="24"/>
                <w:lang w:val="ru-RU" w:eastAsia="en-US" w:bidi="ar-SA"/>
              </w:rPr>
              <w:t>Внесение изменений в Извещение и (или) Документацию о закупке</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_Ref125362076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4.5</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230" w:type="dxa"/>
            <w:vMerge w:val="restart"/>
            <w:tcBorders>
              <w:right w:val="nil"/>
            </w:tcBorders>
          </w:tcPr>
          <w:p>
            <w:pPr>
              <w:pStyle w:val="Style30"/>
              <w:widowControl w:val="false"/>
              <w:suppressAutoHyphens w:val="true"/>
              <w:spacing w:before="40" w:after="40"/>
              <w:jc w:val="center"/>
              <w:rPr>
                <w:rFonts w:ascii="Times New Roman" w:hAnsi="Times New Roman"/>
                <w:sz w:val="24"/>
                <w:szCs w:val="24"/>
              </w:rPr>
            </w:pPr>
            <w:r>
              <w:rPr>
                <w:rFonts w:eastAsia="Calibri" w:cs=""/>
                <w:bCs/>
                <w:kern w:val="0"/>
                <w:sz w:val="24"/>
                <w:szCs w:val="24"/>
                <w:lang w:val="ru-RU" w:eastAsia="en-US" w:bidi="ar-SA"/>
              </w:rPr>
              <w:t>Отказ от проведения закупки (отмена закупки)</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_Ref126141962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4.16</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r>
      <w:tr>
        <w:trPr/>
        <w:tc>
          <w:tcPr>
            <w:tcW w:w="428" w:type="dxa"/>
            <w:tcBorders>
              <w:left w:val="nil"/>
            </w:tcBorders>
            <w:vAlign w:val="bottom"/>
          </w:tcPr>
          <w:p>
            <w:pPr>
              <w:pStyle w:val="Style30"/>
              <w:widowControl w:val="false"/>
              <w:suppressAutoHyphens w:val="true"/>
              <w:spacing w:before="40" w:after="40"/>
              <w:jc w:val="center"/>
              <w:rPr>
                <w:rFonts w:ascii="Times New Roman" w:hAnsi="Times New Roman"/>
                <w:sz w:val="24"/>
                <w:szCs w:val="24"/>
              </w:rPr>
            </w:pPr>
            <w:r>
              <w:rPr>
                <w:rFonts w:eastAsia="Wingdings 3" w:cs="Wingdings 3"/>
                <w:bCs/>
                <w:kern w:val="0"/>
                <w:sz w:val="24"/>
                <w:szCs w:val="24"/>
                <w:lang w:val="ru-RU" w:eastAsia="en-US" w:bidi="ar-SA"/>
              </w:rPr>
              <w:t></w:t>
            </w:r>
          </w:p>
        </w:tc>
        <w:tc>
          <w:tcPr>
            <w:tcW w:w="3333" w:type="dxa"/>
            <w:tcBorders/>
          </w:tcPr>
          <w:p>
            <w:pPr>
              <w:pStyle w:val="Style30"/>
              <w:widowControl w:val="false"/>
              <w:suppressAutoHyphens w:val="true"/>
              <w:spacing w:before="40" w:after="40"/>
              <w:jc w:val="center"/>
              <w:rPr>
                <w:rFonts w:ascii="Times New Roman" w:hAnsi="Times New Roman"/>
                <w:sz w:val="24"/>
                <w:szCs w:val="24"/>
              </w:rPr>
            </w:pPr>
            <w:r>
              <w:rPr>
                <w:rFonts w:eastAsia="Calibri" w:cs=""/>
                <w:bCs/>
                <w:kern w:val="0"/>
                <w:sz w:val="24"/>
                <w:szCs w:val="24"/>
                <w:lang w:val="ru-RU" w:eastAsia="en-US" w:bidi="ar-SA"/>
              </w:rPr>
              <w:t>Подача заявок и их прием</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_Ref125362119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4.6</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3335" w:type="dxa"/>
            <w:gridSpan w:val="2"/>
            <w:tcBorders/>
          </w:tcPr>
          <w:p>
            <w:pPr>
              <w:pStyle w:val="Style30"/>
              <w:widowControl w:val="false"/>
              <w:suppressAutoHyphens w:val="true"/>
              <w:spacing w:before="40" w:after="40"/>
              <w:jc w:val="center"/>
              <w:rPr>
                <w:rFonts w:ascii="Times New Roman" w:hAnsi="Times New Roman"/>
                <w:sz w:val="24"/>
                <w:szCs w:val="24"/>
              </w:rPr>
            </w:pPr>
            <w:r>
              <w:rPr>
                <w:rFonts w:eastAsia="Calibri" w:cs=""/>
                <w:bCs/>
                <w:kern w:val="0"/>
                <w:sz w:val="24"/>
                <w:szCs w:val="24"/>
                <w:lang w:val="ru-RU" w:eastAsia="en-US" w:bidi="ar-SA"/>
              </w:rPr>
              <w:t>Изменение и отзыв заявок</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_Ref125362130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4.7</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409" w:type="dxa"/>
            <w:vMerge w:val="continue"/>
            <w:tcBorders/>
          </w:tcPr>
          <w:p>
            <w:pPr>
              <w:pStyle w:val="Style30"/>
              <w:widowControl w:val="false"/>
              <w:suppressAutoHyphens w:val="true"/>
              <w:spacing w:before="40" w:after="40"/>
              <w:jc w:val="center"/>
              <w:rPr>
                <w:rFonts w:ascii="Times New Roman" w:hAnsi="Times New Roman"/>
                <w:bCs/>
                <w:sz w:val="24"/>
                <w:szCs w:val="24"/>
              </w:rPr>
            </w:pPr>
            <w:r>
              <w:rPr>
                <w:bCs/>
                <w:sz w:val="24"/>
                <w:szCs w:val="24"/>
              </w:rPr>
            </w:r>
          </w:p>
        </w:tc>
        <w:tc>
          <w:tcPr>
            <w:tcW w:w="2267" w:type="dxa"/>
            <w:vMerge w:val="continue"/>
            <w:tcBorders/>
          </w:tcPr>
          <w:p>
            <w:pPr>
              <w:pStyle w:val="Style30"/>
              <w:widowControl w:val="false"/>
              <w:suppressAutoHyphens w:val="true"/>
              <w:spacing w:before="40" w:after="40"/>
              <w:jc w:val="center"/>
              <w:rPr>
                <w:rFonts w:ascii="Times New Roman" w:hAnsi="Times New Roman"/>
                <w:bCs/>
                <w:sz w:val="24"/>
                <w:szCs w:val="24"/>
              </w:rPr>
            </w:pPr>
            <w:r>
              <w:rPr>
                <w:bCs/>
                <w:sz w:val="24"/>
                <w:szCs w:val="24"/>
              </w:rPr>
            </w:r>
          </w:p>
        </w:tc>
        <w:tc>
          <w:tcPr>
            <w:tcW w:w="2230" w:type="dxa"/>
            <w:vMerge w:val="continue"/>
            <w:tcBorders>
              <w:right w:val="nil"/>
            </w:tcBorders>
            <w:vAlign w:val="bottom"/>
          </w:tcPr>
          <w:p>
            <w:pPr>
              <w:pStyle w:val="Style30"/>
              <w:widowControl w:val="false"/>
              <w:suppressAutoHyphens w:val="true"/>
              <w:spacing w:before="40" w:after="40"/>
              <w:jc w:val="center"/>
              <w:rPr>
                <w:rFonts w:ascii="Times New Roman" w:hAnsi="Times New Roman"/>
                <w:bCs/>
                <w:sz w:val="24"/>
                <w:szCs w:val="24"/>
              </w:rPr>
            </w:pPr>
            <w:r>
              <w:rPr>
                <w:bCs/>
                <w:sz w:val="24"/>
                <w:szCs w:val="24"/>
              </w:rPr>
            </w:r>
          </w:p>
        </w:tc>
      </w:tr>
      <w:tr>
        <w:trPr/>
        <w:tc>
          <w:tcPr>
            <w:tcW w:w="428" w:type="dxa"/>
            <w:tcBorders>
              <w:left w:val="nil"/>
            </w:tcBorders>
            <w:vAlign w:val="bottom"/>
          </w:tcPr>
          <w:p>
            <w:pPr>
              <w:pStyle w:val="Style30"/>
              <w:widowControl w:val="false"/>
              <w:suppressAutoHyphens w:val="true"/>
              <w:spacing w:before="40" w:after="40"/>
              <w:jc w:val="center"/>
              <w:rPr>
                <w:rFonts w:ascii="Times New Roman" w:hAnsi="Times New Roman"/>
                <w:sz w:val="24"/>
                <w:szCs w:val="24"/>
              </w:rPr>
            </w:pPr>
            <w:r>
              <w:rPr>
                <w:rFonts w:eastAsia="Wingdings 3" w:cs="Wingdings 3"/>
                <w:bCs/>
                <w:kern w:val="0"/>
                <w:sz w:val="24"/>
                <w:szCs w:val="24"/>
                <w:lang w:val="ru-RU" w:eastAsia="en-US" w:bidi="ar-SA"/>
              </w:rPr>
              <w:t></w:t>
            </w:r>
          </w:p>
        </w:tc>
        <w:tc>
          <w:tcPr>
            <w:tcW w:w="11344" w:type="dxa"/>
            <w:gridSpan w:val="5"/>
            <w:tcBorders/>
          </w:tcPr>
          <w:p>
            <w:pPr>
              <w:pStyle w:val="Style30"/>
              <w:widowControl w:val="false"/>
              <w:suppressAutoHyphens w:val="true"/>
              <w:spacing w:before="40" w:after="40"/>
              <w:jc w:val="center"/>
              <w:rPr>
                <w:rFonts w:ascii="Times New Roman" w:hAnsi="Times New Roman"/>
                <w:sz w:val="24"/>
                <w:szCs w:val="24"/>
              </w:rPr>
            </w:pPr>
            <w:r>
              <w:rPr>
                <w:rFonts w:eastAsia="Calibri" w:cs=""/>
                <w:bCs/>
                <w:kern w:val="0"/>
                <w:sz w:val="24"/>
                <w:szCs w:val="24"/>
                <w:lang w:val="ru-RU" w:eastAsia="en-US" w:bidi="ar-SA"/>
              </w:rPr>
              <w:t>Открытие доступа к заявкам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_Ref130221619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4.8</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230" w:type="dxa"/>
            <w:vMerge w:val="restart"/>
            <w:tcBorders>
              <w:right w:val="nil"/>
            </w:tcBorders>
            <w:vAlign w:val="center"/>
          </w:tcPr>
          <w:p>
            <w:pPr>
              <w:pStyle w:val="Style30"/>
              <w:widowControl w:val="false"/>
              <w:suppressAutoHyphens w:val="true"/>
              <w:spacing w:before="40" w:after="40"/>
              <w:jc w:val="center"/>
              <w:rPr>
                <w:rFonts w:ascii="Times New Roman" w:hAnsi="Times New Roman"/>
                <w:sz w:val="24"/>
                <w:szCs w:val="24"/>
              </w:rPr>
            </w:pPr>
            <w:r>
              <w:rPr>
                <w:rFonts w:eastAsia="Calibri" w:cs=""/>
                <w:bCs/>
                <w:kern w:val="0"/>
                <w:sz w:val="24"/>
                <w:szCs w:val="24"/>
                <w:lang w:val="ru-RU" w:eastAsia="en-US" w:bidi="ar-SA"/>
              </w:rPr>
              <w:t>Отказ от проведения закупки (отмена закупки) по обстоятельствам непреодолимой силы в соответствии с гражданским законодательством</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_Ref126141962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4.16</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r>
      <w:tr>
        <w:trPr/>
        <w:tc>
          <w:tcPr>
            <w:tcW w:w="428" w:type="dxa"/>
            <w:tcBorders>
              <w:left w:val="nil"/>
            </w:tcBorders>
            <w:vAlign w:val="bottom"/>
          </w:tcPr>
          <w:p>
            <w:pPr>
              <w:pStyle w:val="Style30"/>
              <w:widowControl w:val="false"/>
              <w:suppressAutoHyphens w:val="true"/>
              <w:spacing w:before="40" w:after="40"/>
              <w:jc w:val="center"/>
              <w:rPr>
                <w:rFonts w:ascii="Times New Roman" w:hAnsi="Times New Roman"/>
                <w:sz w:val="24"/>
                <w:szCs w:val="24"/>
              </w:rPr>
            </w:pPr>
            <w:r>
              <w:rPr>
                <w:rFonts w:eastAsia="Wingdings 3" w:cs="Wingdings 3"/>
                <w:bCs/>
                <w:kern w:val="0"/>
                <w:sz w:val="24"/>
                <w:szCs w:val="24"/>
                <w:lang w:val="ru-RU" w:eastAsia="en-US" w:bidi="ar-SA"/>
              </w:rPr>
              <w:t></w:t>
            </w:r>
          </w:p>
        </w:tc>
        <w:tc>
          <w:tcPr>
            <w:tcW w:w="3333" w:type="dxa"/>
            <w:tcBorders/>
          </w:tcPr>
          <w:p>
            <w:pPr>
              <w:pStyle w:val="Style30"/>
              <w:widowControl w:val="false"/>
              <w:suppressAutoHyphens w:val="true"/>
              <w:spacing w:before="40" w:after="40"/>
              <w:jc w:val="center"/>
              <w:rPr>
                <w:rFonts w:ascii="Times New Roman" w:hAnsi="Times New Roman"/>
                <w:sz w:val="24"/>
                <w:szCs w:val="24"/>
              </w:rPr>
            </w:pPr>
            <w:r>
              <w:rPr>
                <w:rFonts w:eastAsia="Calibri" w:cs=""/>
                <w:bCs/>
                <w:kern w:val="0"/>
                <w:sz w:val="24"/>
                <w:szCs w:val="24"/>
                <w:lang w:val="ru-RU" w:eastAsia="en-US" w:bidi="ar-SA"/>
              </w:rPr>
              <w:t>Рассмотрение заявок (отборочная стадия), в том числе (при необходимости) проведение аккредитации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_Ref125362364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4.9</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3335" w:type="dxa"/>
            <w:gridSpan w:val="2"/>
            <w:tcBorders/>
          </w:tcPr>
          <w:p>
            <w:pPr>
              <w:pStyle w:val="Style30"/>
              <w:widowControl w:val="false"/>
              <w:suppressAutoHyphens w:val="true"/>
              <w:spacing w:before="40" w:after="40"/>
              <w:jc w:val="center"/>
              <w:rPr>
                <w:rFonts w:ascii="Times New Roman" w:hAnsi="Times New Roman"/>
                <w:sz w:val="24"/>
                <w:szCs w:val="24"/>
              </w:rPr>
            </w:pPr>
            <w:r>
              <w:rPr>
                <w:rFonts w:eastAsia="Calibri" w:cs=""/>
                <w:bCs/>
                <w:kern w:val="0"/>
                <w:sz w:val="24"/>
                <w:szCs w:val="24"/>
                <w:lang w:val="ru-RU" w:eastAsia="en-US" w:bidi="ar-SA"/>
              </w:rPr>
              <w:t>Применение законодательства о национальном режиме</w:t>
              <w:br/>
              <w:t>(предоставление</w:t>
              <w:br/>
              <w:t>национального режима / запрета, ограничения)</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_Ref130985951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4.13</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409" w:type="dxa"/>
            <w:vMerge w:val="restart"/>
            <w:tcBorders/>
            <w:vAlign w:val="center"/>
          </w:tcPr>
          <w:p>
            <w:pPr>
              <w:pStyle w:val="Style30"/>
              <w:widowControl w:val="false"/>
              <w:suppressAutoHyphens w:val="true"/>
              <w:spacing w:before="40" w:after="40"/>
              <w:jc w:val="center"/>
              <w:rPr>
                <w:rFonts w:ascii="Times New Roman" w:hAnsi="Times New Roman"/>
                <w:sz w:val="24"/>
                <w:szCs w:val="24"/>
              </w:rPr>
            </w:pPr>
            <w:r>
              <w:rPr>
                <w:rFonts w:eastAsia="Calibri" w:cs=""/>
                <w:bCs/>
                <w:kern w:val="0"/>
                <w:sz w:val="24"/>
                <w:szCs w:val="24"/>
                <w:lang w:val="ru-RU" w:eastAsia="en-US" w:bidi="ar-SA"/>
              </w:rPr>
              <w:t>Направление дополнительных запросов разъяснений заявок</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_Ref125362381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4.10</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267" w:type="dxa"/>
            <w:vMerge w:val="restart"/>
            <w:tcBorders/>
            <w:vAlign w:val="center"/>
          </w:tcPr>
          <w:p>
            <w:pPr>
              <w:pStyle w:val="Style30"/>
              <w:widowControl w:val="false"/>
              <w:suppressAutoHyphens w:val="true"/>
              <w:spacing w:before="40" w:after="40"/>
              <w:jc w:val="center"/>
              <w:rPr>
                <w:rFonts w:ascii="Times New Roman" w:hAnsi="Times New Roman"/>
                <w:sz w:val="24"/>
                <w:szCs w:val="24"/>
              </w:rPr>
            </w:pPr>
            <w:r>
              <w:rPr>
                <w:rFonts w:eastAsia="Calibri" w:cs=""/>
                <w:bCs/>
                <w:kern w:val="0"/>
                <w:sz w:val="24"/>
                <w:szCs w:val="24"/>
                <w:lang w:val="ru-RU" w:eastAsia="en-US" w:bidi="ar-SA"/>
              </w:rPr>
              <w:t>Признание закупки</w:t>
              <w:br/>
              <w:t>несостоявшейся</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_Ref125364149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4.15</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230" w:type="dxa"/>
            <w:vMerge w:val="continue"/>
            <w:tcBorders>
              <w:right w:val="nil"/>
            </w:tcBorders>
          </w:tcPr>
          <w:p>
            <w:pPr>
              <w:pStyle w:val="Style30"/>
              <w:widowControl w:val="false"/>
              <w:suppressAutoHyphens w:val="true"/>
              <w:spacing w:before="40" w:after="40"/>
              <w:jc w:val="center"/>
              <w:rPr>
                <w:rFonts w:ascii="Times New Roman" w:hAnsi="Times New Roman"/>
                <w:bCs/>
                <w:sz w:val="24"/>
                <w:szCs w:val="24"/>
              </w:rPr>
            </w:pPr>
            <w:r>
              <w:rPr>
                <w:bCs/>
                <w:sz w:val="24"/>
                <w:szCs w:val="24"/>
              </w:rPr>
            </w:r>
          </w:p>
        </w:tc>
      </w:tr>
      <w:tr>
        <w:trPr/>
        <w:tc>
          <w:tcPr>
            <w:tcW w:w="428" w:type="dxa"/>
            <w:tcBorders>
              <w:left w:val="nil"/>
            </w:tcBorders>
            <w:vAlign w:val="bottom"/>
          </w:tcPr>
          <w:p>
            <w:pPr>
              <w:pStyle w:val="Style30"/>
              <w:widowControl w:val="false"/>
              <w:suppressAutoHyphens w:val="true"/>
              <w:spacing w:before="40" w:after="40"/>
              <w:jc w:val="center"/>
              <w:rPr>
                <w:rFonts w:ascii="Times New Roman" w:hAnsi="Times New Roman"/>
                <w:sz w:val="24"/>
                <w:szCs w:val="24"/>
              </w:rPr>
            </w:pPr>
            <w:r>
              <w:rPr>
                <w:rFonts w:eastAsia="Wingdings 3" w:cs="Wingdings 3"/>
                <w:bCs/>
                <w:kern w:val="0"/>
                <w:sz w:val="24"/>
                <w:szCs w:val="24"/>
                <w:lang w:val="ru-RU" w:eastAsia="en-US" w:bidi="ar-SA"/>
              </w:rPr>
              <w:t></w:t>
            </w:r>
          </w:p>
        </w:tc>
        <w:tc>
          <w:tcPr>
            <w:tcW w:w="6668" w:type="dxa"/>
            <w:gridSpan w:val="3"/>
            <w:tcBorders/>
          </w:tcPr>
          <w:p>
            <w:pPr>
              <w:pStyle w:val="Style30"/>
              <w:widowControl w:val="false"/>
              <w:suppressAutoHyphens w:val="true"/>
              <w:spacing w:before="40" w:after="40"/>
              <w:jc w:val="center"/>
              <w:rPr>
                <w:rFonts w:ascii="Times New Roman" w:hAnsi="Times New Roman"/>
                <w:sz w:val="24"/>
                <w:szCs w:val="24"/>
              </w:rPr>
            </w:pPr>
            <w:r>
              <w:rPr>
                <w:rFonts w:eastAsia="Calibri" w:cs=""/>
                <w:bCs/>
                <w:kern w:val="0"/>
                <w:sz w:val="24"/>
                <w:szCs w:val="24"/>
                <w:lang w:val="ru-RU" w:eastAsia="en-US" w:bidi="ar-SA"/>
              </w:rPr>
              <w:t>Переторжка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_Ref127536359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4.11</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409" w:type="dxa"/>
            <w:vMerge w:val="continue"/>
            <w:tcBorders/>
          </w:tcPr>
          <w:p>
            <w:pPr>
              <w:pStyle w:val="Style30"/>
              <w:widowControl w:val="false"/>
              <w:suppressAutoHyphens w:val="true"/>
              <w:spacing w:before="40" w:after="40"/>
              <w:jc w:val="center"/>
              <w:rPr>
                <w:rFonts w:ascii="Times New Roman" w:hAnsi="Times New Roman"/>
                <w:bCs/>
                <w:sz w:val="24"/>
                <w:szCs w:val="24"/>
              </w:rPr>
            </w:pPr>
            <w:r>
              <w:rPr>
                <w:bCs/>
                <w:sz w:val="24"/>
                <w:szCs w:val="24"/>
              </w:rPr>
            </w:r>
          </w:p>
        </w:tc>
        <w:tc>
          <w:tcPr>
            <w:tcW w:w="2267" w:type="dxa"/>
            <w:vMerge w:val="continue"/>
            <w:tcBorders/>
          </w:tcPr>
          <w:p>
            <w:pPr>
              <w:pStyle w:val="Style30"/>
              <w:widowControl w:val="false"/>
              <w:suppressAutoHyphens w:val="true"/>
              <w:spacing w:before="40" w:after="40"/>
              <w:jc w:val="center"/>
              <w:rPr>
                <w:rFonts w:ascii="Times New Roman" w:hAnsi="Times New Roman"/>
                <w:bCs/>
                <w:sz w:val="24"/>
                <w:szCs w:val="24"/>
              </w:rPr>
            </w:pPr>
            <w:r>
              <w:rPr>
                <w:bCs/>
                <w:sz w:val="24"/>
                <w:szCs w:val="24"/>
              </w:rPr>
            </w:r>
          </w:p>
        </w:tc>
        <w:tc>
          <w:tcPr>
            <w:tcW w:w="2230" w:type="dxa"/>
            <w:vMerge w:val="continue"/>
            <w:tcBorders>
              <w:right w:val="nil"/>
            </w:tcBorders>
          </w:tcPr>
          <w:p>
            <w:pPr>
              <w:pStyle w:val="Style30"/>
              <w:widowControl w:val="false"/>
              <w:suppressAutoHyphens w:val="true"/>
              <w:spacing w:before="40" w:after="40"/>
              <w:jc w:val="center"/>
              <w:rPr>
                <w:rFonts w:ascii="Times New Roman" w:hAnsi="Times New Roman"/>
                <w:bCs/>
                <w:sz w:val="24"/>
                <w:szCs w:val="24"/>
              </w:rPr>
            </w:pPr>
            <w:r>
              <w:rPr>
                <w:bCs/>
                <w:sz w:val="24"/>
                <w:szCs w:val="24"/>
              </w:rPr>
            </w:r>
          </w:p>
        </w:tc>
      </w:tr>
      <w:tr>
        <w:trPr>
          <w:trHeight w:val="881" w:hRule="atLeast"/>
        </w:trPr>
        <w:tc>
          <w:tcPr>
            <w:tcW w:w="428" w:type="dxa"/>
            <w:tcBorders>
              <w:left w:val="nil"/>
            </w:tcBorders>
            <w:vAlign w:val="bottom"/>
          </w:tcPr>
          <w:p>
            <w:pPr>
              <w:pStyle w:val="Style30"/>
              <w:widowControl w:val="false"/>
              <w:suppressAutoHyphens w:val="true"/>
              <w:spacing w:before="40" w:after="40"/>
              <w:jc w:val="center"/>
              <w:rPr>
                <w:rFonts w:ascii="Times New Roman" w:hAnsi="Times New Roman"/>
                <w:sz w:val="24"/>
                <w:szCs w:val="24"/>
              </w:rPr>
            </w:pPr>
            <w:r>
              <w:rPr>
                <w:rFonts w:eastAsia="Wingdings 3" w:cs="Wingdings 3"/>
                <w:bCs/>
                <w:kern w:val="0"/>
                <w:sz w:val="24"/>
                <w:szCs w:val="24"/>
                <w:lang w:val="ru-RU" w:eastAsia="en-US" w:bidi="ar-SA"/>
              </w:rPr>
              <w:t></w:t>
            </w:r>
          </w:p>
        </w:tc>
        <w:tc>
          <w:tcPr>
            <w:tcW w:w="3333" w:type="dxa"/>
            <w:tcBorders/>
            <w:vAlign w:val="center"/>
          </w:tcPr>
          <w:p>
            <w:pPr>
              <w:pStyle w:val="Style30"/>
              <w:widowControl w:val="false"/>
              <w:suppressAutoHyphens w:val="true"/>
              <w:spacing w:before="40" w:after="40"/>
              <w:jc w:val="center"/>
              <w:rPr>
                <w:rFonts w:ascii="Times New Roman" w:hAnsi="Times New Roman"/>
                <w:sz w:val="24"/>
                <w:szCs w:val="24"/>
              </w:rPr>
            </w:pPr>
            <w:r>
              <w:rPr>
                <w:rFonts w:eastAsia="Calibri" w:cs=""/>
                <w:bCs/>
                <w:kern w:val="0"/>
                <w:sz w:val="24"/>
                <w:szCs w:val="24"/>
                <w:lang w:val="ru-RU" w:eastAsia="en-US" w:bidi="ar-SA"/>
              </w:rPr>
              <w:t>Оценка и сопоставление заявок</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_Ref125362626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4.12</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3335" w:type="dxa"/>
            <w:gridSpan w:val="2"/>
            <w:tcBorders/>
          </w:tcPr>
          <w:p>
            <w:pPr>
              <w:pStyle w:val="Style30"/>
              <w:widowControl w:val="false"/>
              <w:suppressAutoHyphens w:val="true"/>
              <w:spacing w:before="40" w:after="40"/>
              <w:jc w:val="center"/>
              <w:rPr>
                <w:rFonts w:ascii="Times New Roman" w:hAnsi="Times New Roman"/>
                <w:sz w:val="24"/>
                <w:szCs w:val="24"/>
              </w:rPr>
            </w:pPr>
            <w:r>
              <w:rPr>
                <w:rFonts w:eastAsia="Calibri" w:cs=""/>
                <w:bCs/>
                <w:kern w:val="0"/>
                <w:sz w:val="24"/>
                <w:szCs w:val="24"/>
                <w:lang w:val="ru-RU" w:eastAsia="en-US" w:bidi="ar-SA"/>
              </w:rPr>
              <w:t>Применение законодательства о национальном режиме</w:t>
              <w:br/>
              <w:t>(в части учета установленного преимущества в цене предложения, если применимо)</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_Ref130985951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4.13</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409" w:type="dxa"/>
            <w:vMerge w:val="continue"/>
            <w:tcBorders/>
          </w:tcPr>
          <w:p>
            <w:pPr>
              <w:pStyle w:val="Style30"/>
              <w:widowControl w:val="false"/>
              <w:suppressAutoHyphens w:val="true"/>
              <w:spacing w:before="40" w:after="40"/>
              <w:jc w:val="center"/>
              <w:rPr>
                <w:rFonts w:ascii="Times New Roman" w:hAnsi="Times New Roman"/>
                <w:bCs/>
                <w:sz w:val="24"/>
                <w:szCs w:val="24"/>
              </w:rPr>
            </w:pPr>
            <w:r>
              <w:rPr>
                <w:bCs/>
                <w:sz w:val="24"/>
                <w:szCs w:val="24"/>
              </w:rPr>
            </w:r>
          </w:p>
        </w:tc>
        <w:tc>
          <w:tcPr>
            <w:tcW w:w="2267" w:type="dxa"/>
            <w:vMerge w:val="continue"/>
            <w:tcBorders/>
          </w:tcPr>
          <w:p>
            <w:pPr>
              <w:pStyle w:val="Style30"/>
              <w:widowControl w:val="false"/>
              <w:suppressAutoHyphens w:val="true"/>
              <w:spacing w:before="40" w:after="40"/>
              <w:jc w:val="center"/>
              <w:rPr>
                <w:rFonts w:ascii="Times New Roman" w:hAnsi="Times New Roman"/>
                <w:bCs/>
                <w:sz w:val="24"/>
                <w:szCs w:val="24"/>
              </w:rPr>
            </w:pPr>
            <w:r>
              <w:rPr>
                <w:bCs/>
                <w:sz w:val="24"/>
                <w:szCs w:val="24"/>
              </w:rPr>
            </w:r>
          </w:p>
        </w:tc>
        <w:tc>
          <w:tcPr>
            <w:tcW w:w="2230" w:type="dxa"/>
            <w:vMerge w:val="continue"/>
            <w:tcBorders>
              <w:right w:val="nil"/>
            </w:tcBorders>
          </w:tcPr>
          <w:p>
            <w:pPr>
              <w:pStyle w:val="Style30"/>
              <w:widowControl w:val="false"/>
              <w:suppressAutoHyphens w:val="true"/>
              <w:spacing w:before="40" w:after="40"/>
              <w:jc w:val="center"/>
              <w:rPr>
                <w:rFonts w:ascii="Times New Roman" w:hAnsi="Times New Roman"/>
                <w:bCs/>
                <w:sz w:val="24"/>
                <w:szCs w:val="24"/>
              </w:rPr>
            </w:pPr>
            <w:r>
              <w:rPr>
                <w:bCs/>
                <w:sz w:val="24"/>
                <w:szCs w:val="24"/>
              </w:rPr>
            </w:r>
          </w:p>
        </w:tc>
      </w:tr>
      <w:tr>
        <w:trPr/>
        <w:tc>
          <w:tcPr>
            <w:tcW w:w="428" w:type="dxa"/>
            <w:tcBorders>
              <w:left w:val="nil"/>
            </w:tcBorders>
            <w:vAlign w:val="bottom"/>
          </w:tcPr>
          <w:p>
            <w:pPr>
              <w:pStyle w:val="Style30"/>
              <w:widowControl w:val="false"/>
              <w:suppressAutoHyphens w:val="true"/>
              <w:spacing w:before="40" w:after="40"/>
              <w:jc w:val="center"/>
              <w:rPr>
                <w:rFonts w:ascii="Times New Roman" w:hAnsi="Times New Roman"/>
                <w:sz w:val="24"/>
                <w:szCs w:val="24"/>
              </w:rPr>
            </w:pPr>
            <w:r>
              <w:rPr>
                <w:rFonts w:eastAsia="Wingdings 3" w:cs="Wingdings 3"/>
                <w:bCs/>
                <w:kern w:val="0"/>
                <w:sz w:val="24"/>
                <w:szCs w:val="24"/>
                <w:lang w:val="ru-RU" w:eastAsia="en-US" w:bidi="ar-SA"/>
              </w:rPr>
              <w:t></w:t>
            </w:r>
          </w:p>
        </w:tc>
        <w:tc>
          <w:tcPr>
            <w:tcW w:w="9077" w:type="dxa"/>
            <w:gridSpan w:val="4"/>
            <w:tcBorders/>
          </w:tcPr>
          <w:p>
            <w:pPr>
              <w:pStyle w:val="Style30"/>
              <w:widowControl w:val="false"/>
              <w:suppressAutoHyphens w:val="true"/>
              <w:spacing w:before="40" w:after="40"/>
              <w:jc w:val="center"/>
              <w:rPr>
                <w:rFonts w:ascii="Times New Roman" w:hAnsi="Times New Roman"/>
                <w:sz w:val="24"/>
                <w:szCs w:val="24"/>
              </w:rPr>
            </w:pPr>
            <w:r>
              <w:rPr>
                <w:rFonts w:eastAsia="Calibri" w:cs=""/>
                <w:bCs/>
                <w:kern w:val="0"/>
                <w:sz w:val="24"/>
                <w:szCs w:val="24"/>
                <w:lang w:val="ru-RU" w:eastAsia="en-US" w:bidi="ar-SA"/>
              </w:rPr>
              <w:t>Подведение итогов закупки (определение Победителя)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_Ref125362658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4.14</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267" w:type="dxa"/>
            <w:vMerge w:val="continue"/>
            <w:tcBorders/>
          </w:tcPr>
          <w:p>
            <w:pPr>
              <w:pStyle w:val="Style30"/>
              <w:widowControl w:val="false"/>
              <w:suppressAutoHyphens w:val="true"/>
              <w:spacing w:before="40" w:after="40"/>
              <w:jc w:val="center"/>
              <w:rPr>
                <w:rFonts w:ascii="Times New Roman" w:hAnsi="Times New Roman"/>
                <w:bCs/>
                <w:sz w:val="24"/>
                <w:szCs w:val="24"/>
              </w:rPr>
            </w:pPr>
            <w:r>
              <w:rPr>
                <w:bCs/>
                <w:sz w:val="24"/>
                <w:szCs w:val="24"/>
              </w:rPr>
            </w:r>
          </w:p>
        </w:tc>
        <w:tc>
          <w:tcPr>
            <w:tcW w:w="2230" w:type="dxa"/>
            <w:vMerge w:val="continue"/>
            <w:tcBorders>
              <w:right w:val="nil"/>
            </w:tcBorders>
          </w:tcPr>
          <w:p>
            <w:pPr>
              <w:pStyle w:val="Style30"/>
              <w:widowControl w:val="false"/>
              <w:suppressAutoHyphens w:val="true"/>
              <w:spacing w:before="40" w:after="40"/>
              <w:jc w:val="center"/>
              <w:rPr>
                <w:rFonts w:ascii="Times New Roman" w:hAnsi="Times New Roman"/>
                <w:bCs/>
                <w:sz w:val="24"/>
                <w:szCs w:val="24"/>
              </w:rPr>
            </w:pPr>
            <w:r>
              <w:rPr>
                <w:bCs/>
                <w:sz w:val="24"/>
                <w:szCs w:val="24"/>
              </w:rPr>
            </w:r>
          </w:p>
        </w:tc>
      </w:tr>
      <w:tr>
        <w:trPr/>
        <w:tc>
          <w:tcPr>
            <w:tcW w:w="428" w:type="dxa"/>
            <w:tcBorders>
              <w:left w:val="nil"/>
            </w:tcBorders>
            <w:vAlign w:val="bottom"/>
          </w:tcPr>
          <w:p>
            <w:pPr>
              <w:pStyle w:val="Style30"/>
              <w:widowControl w:val="false"/>
              <w:suppressAutoHyphens w:val="true"/>
              <w:spacing w:before="40" w:after="40"/>
              <w:jc w:val="center"/>
              <w:rPr>
                <w:rFonts w:ascii="Times New Roman" w:hAnsi="Times New Roman"/>
                <w:sz w:val="24"/>
                <w:szCs w:val="24"/>
              </w:rPr>
            </w:pPr>
            <w:r>
              <w:rPr>
                <w:rFonts w:eastAsia="Wingdings 3" w:cs="Wingdings 3"/>
                <w:bCs/>
                <w:kern w:val="0"/>
                <w:sz w:val="24"/>
                <w:szCs w:val="24"/>
                <w:u w:val="single"/>
                <w:lang w:val="ru-RU" w:eastAsia="en-US" w:bidi="ar-SA"/>
              </w:rPr>
              <w:t></w:t>
            </w:r>
          </w:p>
        </w:tc>
        <w:tc>
          <w:tcPr>
            <w:tcW w:w="4442" w:type="dxa"/>
            <w:gridSpan w:val="2"/>
            <w:tcBorders/>
          </w:tcPr>
          <w:p>
            <w:pPr>
              <w:pStyle w:val="Style30"/>
              <w:widowControl w:val="false"/>
              <w:suppressAutoHyphens w:val="true"/>
              <w:spacing w:before="40" w:after="40"/>
              <w:jc w:val="center"/>
              <w:rPr>
                <w:rFonts w:ascii="Times New Roman" w:hAnsi="Times New Roman"/>
                <w:sz w:val="24"/>
                <w:szCs w:val="24"/>
              </w:rPr>
            </w:pPr>
            <w:r>
              <w:rPr>
                <w:rFonts w:eastAsia="Calibri" w:cs=""/>
                <w:bCs/>
                <w:kern w:val="0"/>
                <w:sz w:val="24"/>
                <w:szCs w:val="24"/>
                <w:lang w:val="ru-RU" w:eastAsia="en-US" w:bidi="ar-SA"/>
              </w:rPr>
              <w:t>Заключение Договора</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_Ref138232981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5.2</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p>
            <w:pPr>
              <w:pStyle w:val="Style30"/>
              <w:widowControl w:val="false"/>
              <w:suppressAutoHyphens w:val="true"/>
              <w:spacing w:before="40" w:after="40"/>
              <w:jc w:val="center"/>
              <w:rPr>
                <w:rFonts w:ascii="Times New Roman" w:hAnsi="Times New Roman"/>
                <w:bCs/>
                <w:sz w:val="24"/>
                <w:szCs w:val="24"/>
              </w:rPr>
            </w:pPr>
            <w:r>
              <w:rPr>
                <w:bCs/>
                <w:sz w:val="24"/>
                <w:szCs w:val="24"/>
              </w:rPr>
            </w:r>
          </w:p>
        </w:tc>
        <w:tc>
          <w:tcPr>
            <w:tcW w:w="4635" w:type="dxa"/>
            <w:gridSpan w:val="2"/>
            <w:tcBorders/>
          </w:tcPr>
          <w:p>
            <w:pPr>
              <w:pStyle w:val="Style30"/>
              <w:widowControl w:val="false"/>
              <w:suppressAutoHyphens w:val="true"/>
              <w:spacing w:before="40" w:after="40"/>
              <w:jc w:val="center"/>
              <w:rPr>
                <w:rFonts w:ascii="Times New Roman" w:hAnsi="Times New Roman"/>
                <w:sz w:val="24"/>
                <w:szCs w:val="24"/>
              </w:rPr>
            </w:pPr>
            <w:r>
              <w:rPr>
                <w:rFonts w:eastAsia="Calibri" w:cs=""/>
                <w:bCs/>
                <w:kern w:val="0"/>
                <w:sz w:val="24"/>
                <w:szCs w:val="24"/>
                <w:lang w:val="ru-RU" w:eastAsia="en-US" w:bidi="ar-SA"/>
              </w:rPr>
              <w:t>Проведение преддоговорных переговоров</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_Ref125552570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5.3</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4497" w:type="dxa"/>
            <w:gridSpan w:val="2"/>
            <w:tcBorders>
              <w:right w:val="nil"/>
            </w:tcBorders>
          </w:tcPr>
          <w:p>
            <w:pPr>
              <w:pStyle w:val="Style30"/>
              <w:widowControl w:val="false"/>
              <w:suppressAutoHyphens w:val="true"/>
              <w:spacing w:before="40" w:after="40"/>
              <w:jc w:val="center"/>
              <w:rPr>
                <w:rFonts w:ascii="Times New Roman" w:hAnsi="Times New Roman"/>
                <w:sz w:val="24"/>
                <w:szCs w:val="24"/>
              </w:rPr>
            </w:pPr>
            <w:r>
              <w:rPr>
                <w:rFonts w:eastAsia="Calibri" w:cs=""/>
                <w:bCs/>
                <w:kern w:val="0"/>
                <w:sz w:val="24"/>
                <w:szCs w:val="24"/>
                <w:lang w:val="ru-RU" w:eastAsia="en-US" w:bidi="ar-SA"/>
              </w:rPr>
              <w:t>Уклонение Победителя</w:t>
              <w:br/>
              <w:t>от заключения Договора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_Ref125367068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5.4</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r>
    </w:tbl>
    <w:p>
      <w:pPr>
        <w:sectPr>
          <w:headerReference w:type="default" r:id="rId8"/>
          <w:headerReference w:type="first" r:id="rId9"/>
          <w:footerReference w:type="default" r:id="rId10"/>
          <w:footerReference w:type="first" r:id="rId11"/>
          <w:footnotePr>
            <w:numFmt w:val="decimal"/>
          </w:footnotePr>
          <w:type w:val="nextPage"/>
          <w:pgSz w:orient="landscape" w:w="16838" w:h="11906"/>
          <w:pgMar w:left="851" w:right="851" w:gutter="0" w:header="390" w:top="957" w:footer="567" w:bottom="850"/>
          <w:pgNumType w:fmt="decimal"/>
          <w:formProt w:val="false"/>
          <w:textDirection w:val="lrTb"/>
          <w:docGrid w:type="default" w:linePitch="360" w:charSpace="0"/>
        </w:sectPr>
      </w:pPr>
    </w:p>
    <w:p>
      <w:pPr>
        <w:pStyle w:val="Style25"/>
        <w:rPr>
          <w:rFonts w:ascii="Times New Roman" w:hAnsi="Times New Roman"/>
          <w:sz w:val="24"/>
          <w:szCs w:val="24"/>
        </w:rPr>
      </w:pPr>
      <w:bookmarkStart w:id="96" w:name="_Ref130286532"/>
      <w:bookmarkStart w:id="97" w:name="_Toc229567042"/>
      <w:r>
        <w:rPr>
          <w:sz w:val="24"/>
          <w:szCs w:val="24"/>
        </w:rPr>
        <w:t>Официальное размещение Извещения и Документации о закупке</w:t>
      </w:r>
      <w:bookmarkEnd w:id="96"/>
      <w:bookmarkEnd w:id="97"/>
    </w:p>
    <w:p>
      <w:pPr>
        <w:pStyle w:val="Style26"/>
        <w:rPr>
          <w:rFonts w:ascii="Times New Roman" w:hAnsi="Times New Roman"/>
          <w:sz w:val="24"/>
          <w:szCs w:val="24"/>
        </w:rPr>
      </w:pPr>
      <w:r>
        <w:rPr>
          <w:sz w:val="24"/>
          <w:szCs w:val="24"/>
        </w:rPr>
        <w:t>Извещение и Документация о закупке официально размещены на ЭП и доступны для ознакомления без взимания платы. Иные публикации не влекут для Организатора никаких последствий.</w:t>
      </w:r>
    </w:p>
    <w:p>
      <w:pPr>
        <w:pStyle w:val="Style26"/>
        <w:rPr>
          <w:rFonts w:ascii="Times New Roman" w:hAnsi="Times New Roman"/>
          <w:sz w:val="24"/>
          <w:szCs w:val="24"/>
        </w:rPr>
      </w:pPr>
      <w:r>
        <w:rPr>
          <w:sz w:val="24"/>
          <w:szCs w:val="24"/>
        </w:rPr>
        <w:t>При возникновении технических или иных неполадок, блокирующих доступ к ЭП в течение более чем 1 (одного) рабочего дня, информация размещается на официальном сайте Заказчика с последующим размещением ее на ЭП в течение 1 (одного) рабочего дня со дня устранения указанных неполадок.</w:t>
      </w:r>
    </w:p>
    <w:p>
      <w:pPr>
        <w:pStyle w:val="Style26"/>
        <w:rPr>
          <w:rFonts w:ascii="Times New Roman" w:hAnsi="Times New Roman"/>
          <w:sz w:val="24"/>
          <w:szCs w:val="24"/>
        </w:rPr>
      </w:pPr>
      <w:bookmarkStart w:id="98" w:name="_Ref125362785"/>
      <w:r>
        <w:rPr>
          <w:sz w:val="24"/>
          <w:szCs w:val="24"/>
        </w:rPr>
        <w:t>Порядок получения информации через ЭП определяется Регламентом ЭП, с использованием которой проводится закупка.</w:t>
      </w:r>
      <w:bookmarkEnd w:id="98"/>
    </w:p>
    <w:p>
      <w:pPr>
        <w:pStyle w:val="Style26"/>
        <w:rPr>
          <w:rFonts w:ascii="Times New Roman" w:hAnsi="Times New Roman"/>
          <w:sz w:val="24"/>
          <w:szCs w:val="24"/>
        </w:rPr>
      </w:pPr>
      <w:r>
        <w:rPr>
          <w:sz w:val="24"/>
          <w:szCs w:val="24"/>
        </w:rPr>
        <w:t>Участники обязаны самостоятельно отслеживать официально размещенные разъяснения и изменения Извещения, Документации о закупке, а также информацию о принятых в ходе проведения закупки решениях.</w:t>
      </w:r>
    </w:p>
    <w:p>
      <w:pPr>
        <w:pStyle w:val="Style25"/>
        <w:rPr>
          <w:rFonts w:ascii="Times New Roman" w:hAnsi="Times New Roman"/>
          <w:sz w:val="24"/>
          <w:szCs w:val="24"/>
        </w:rPr>
      </w:pPr>
      <w:bookmarkStart w:id="99" w:name="_Ref130394681"/>
      <w:bookmarkStart w:id="100" w:name="_Toc229567043"/>
      <w:bookmarkStart w:id="101" w:name="_Ref130281199"/>
      <w:r>
        <w:rPr>
          <w:sz w:val="24"/>
          <w:szCs w:val="24"/>
        </w:rPr>
        <w:t>Подготовка заявки</w:t>
      </w:r>
      <w:bookmarkEnd w:id="99"/>
      <w:bookmarkEnd w:id="100"/>
      <w:bookmarkEnd w:id="101"/>
    </w:p>
    <w:p>
      <w:pPr>
        <w:pStyle w:val="Style26"/>
        <w:rPr>
          <w:rFonts w:ascii="Times New Roman" w:hAnsi="Times New Roman"/>
          <w:sz w:val="24"/>
          <w:szCs w:val="24"/>
        </w:rPr>
      </w:pPr>
      <w:r>
        <w:rPr>
          <w:sz w:val="24"/>
          <w:szCs w:val="24"/>
        </w:rPr>
        <w:t>Участник должен подготовить заявку с учетом требований Документации о закупке.</w:t>
      </w:r>
    </w:p>
    <w:p>
      <w:pPr>
        <w:pStyle w:val="Style26"/>
        <w:rPr>
          <w:rFonts w:ascii="Times New Roman" w:hAnsi="Times New Roman"/>
          <w:sz w:val="24"/>
          <w:szCs w:val="24"/>
        </w:rPr>
      </w:pPr>
      <w:r>
        <w:rPr>
          <w:sz w:val="24"/>
          <w:szCs w:val="24"/>
        </w:rPr>
        <w:t>Участник самостоятельно несет все расходы, связанные с подготовкой и подачей заявки (подраздел </w:t>
      </w:r>
      <w:r>
        <w:rPr>
          <w:sz w:val="24"/>
          <w:szCs w:val="24"/>
        </w:rPr>
        <w:fldChar w:fldCharType="begin"/>
      </w:r>
      <w:r>
        <w:rPr>
          <w:sz w:val="24"/>
          <w:szCs w:val="24"/>
        </w:rPr>
        <w:instrText xml:space="preserve"> REF _Ref125362119 \r \h </w:instrText>
      </w:r>
      <w:r>
        <w:rPr>
          <w:sz w:val="24"/>
          <w:szCs w:val="24"/>
        </w:rPr>
        <w:fldChar w:fldCharType="separate"/>
      </w:r>
      <w:r>
        <w:rPr>
          <w:sz w:val="24"/>
          <w:szCs w:val="24"/>
        </w:rPr>
        <w:t>4.6</w:t>
      </w:r>
      <w:r>
        <w:rPr>
          <w:sz w:val="24"/>
          <w:szCs w:val="24"/>
        </w:rPr>
        <w:fldChar w:fldCharType="end"/>
      </w:r>
      <w:r>
        <w:rPr>
          <w:sz w:val="24"/>
          <w:szCs w:val="24"/>
        </w:rPr>
        <w:t>), а Организатор (Заказчик) по этим расходам не отвечает и не имеет обязательств (в том числе по возврату Участнику материалов и документов, входящих в состав его заявки), независимо от хода и результатов закупки, за исключением случаев, прямо предусмотренных Положением о закупке или Документацией о закупке.</w:t>
      </w:r>
    </w:p>
    <w:p>
      <w:pPr>
        <w:pStyle w:val="Style26"/>
        <w:rPr/>
      </w:pPr>
      <w:r>
        <w:rPr>
          <w:sz w:val="24"/>
          <w:szCs w:val="24"/>
        </w:rPr>
        <w:t xml:space="preserve">Участник должен подготовить заявку, включающую в себя полный комплект документов согласно перечню, определенному </w:t>
      </w:r>
      <w:hyperlink w:anchor="Прил06_СоставЗаявки">
        <w:r>
          <w:rPr>
            <w:rStyle w:val="Style14"/>
            <w:sz w:val="24"/>
            <w:szCs w:val="24"/>
          </w:rPr>
          <w:t>Приложением № 6 – Состав заявки</w:t>
        </w:r>
      </w:hyperlink>
      <w:r>
        <w:rPr>
          <w:sz w:val="24"/>
          <w:szCs w:val="24"/>
        </w:rPr>
        <w:t xml:space="preserve">. Образцы форм документов, включаемых в состав заявки, а также инструкции по их подготовке, приведены в </w:t>
      </w:r>
      <w:hyperlink w:anchor="Прил04_ФормыЗаявки">
        <w:r>
          <w:rPr>
            <w:rStyle w:val="Style14"/>
            <w:sz w:val="24"/>
            <w:szCs w:val="24"/>
          </w:rPr>
          <w:t>Приложение № 4</w:t>
        </w:r>
      </w:hyperlink>
      <w:r>
        <w:rPr>
          <w:sz w:val="24"/>
          <w:szCs w:val="24"/>
        </w:rPr>
        <w:t>.</w:t>
      </w:r>
    </w:p>
    <w:p>
      <w:pPr>
        <w:pStyle w:val="Style26"/>
        <w:rPr>
          <w:rFonts w:ascii="Times New Roman" w:hAnsi="Times New Roman"/>
          <w:sz w:val="24"/>
          <w:szCs w:val="24"/>
        </w:rPr>
      </w:pPr>
      <w:bookmarkStart w:id="102" w:name="_Ref125365866"/>
      <w:bookmarkStart w:id="103" w:name="_Ref130394854"/>
      <w:r>
        <w:rPr>
          <w:sz w:val="24"/>
          <w:szCs w:val="24"/>
        </w:rPr>
        <w:t>Участник имеет право подать только одну заявку. При этом не допускается подача заявки на часть лота по отдельным видам или объемам продукции. В случае нарушения этого требования (при получении заявки на часть лота и (или) при получении двух и более заявок от одного Участника в рамках одного лота) все поданные им заявки подлежат отклонению.</w:t>
      </w:r>
      <w:bookmarkEnd w:id="102"/>
      <w:bookmarkEnd w:id="103"/>
    </w:p>
    <w:p>
      <w:pPr>
        <w:pStyle w:val="Style26"/>
        <w:rPr/>
      </w:pPr>
      <w:r>
        <w:rPr>
          <w:sz w:val="24"/>
          <w:szCs w:val="24"/>
        </w:rPr>
        <w:t>Заявка должна быть действительна в течение срока проведения закупки и до истечения срока, отведенного на заключение Договора (пункт </w:t>
      </w:r>
      <w:r>
        <w:rPr>
          <w:sz w:val="24"/>
          <w:szCs w:val="24"/>
        </w:rPr>
        <w:fldChar w:fldCharType="begin"/>
      </w:r>
      <w:r>
        <w:rPr>
          <w:sz w:val="24"/>
          <w:szCs w:val="24"/>
        </w:rPr>
        <w:instrText xml:space="preserve"> REF _Ref130293821 \r \h </w:instrText>
      </w:r>
      <w:r>
        <w:rPr>
          <w:sz w:val="24"/>
          <w:szCs w:val="24"/>
        </w:rPr>
        <w:fldChar w:fldCharType="separate"/>
      </w:r>
      <w:r>
        <w:rPr>
          <w:sz w:val="24"/>
          <w:szCs w:val="24"/>
        </w:rPr>
        <w:t>5.2.1</w:t>
      </w:r>
      <w:r>
        <w:rPr>
          <w:sz w:val="24"/>
          <w:szCs w:val="24"/>
        </w:rPr>
        <w:fldChar w:fldCharType="end"/>
      </w:r>
      <w:r>
        <w:rPr>
          <w:sz w:val="24"/>
          <w:szCs w:val="24"/>
        </w:rPr>
        <w:t>). В любом случае этот срок должен быть не менее чем 90 (девяносто) календарных дней с даты окончания срока подачи заявок (подраздел </w:t>
      </w:r>
      <w:r>
        <w:rPr>
          <w:sz w:val="24"/>
          <w:szCs w:val="24"/>
        </w:rPr>
        <w:fldChar w:fldCharType="begin"/>
      </w:r>
      <w:r>
        <w:rPr>
          <w:sz w:val="24"/>
          <w:szCs w:val="24"/>
        </w:rPr>
        <w:instrText xml:space="preserve"> REF _Ref125359973 \r \h </w:instrText>
      </w:r>
      <w:r>
        <w:rPr>
          <w:sz w:val="24"/>
          <w:szCs w:val="24"/>
        </w:rPr>
        <w:fldChar w:fldCharType="separate"/>
      </w:r>
      <w:r>
        <w:rPr>
          <w:sz w:val="24"/>
          <w:szCs w:val="24"/>
        </w:rPr>
        <w:t>1.2</w:t>
      </w:r>
      <w:r>
        <w:rPr>
          <w:sz w:val="24"/>
          <w:szCs w:val="24"/>
        </w:rPr>
        <w:fldChar w:fldCharType="end"/>
      </w:r>
      <w:r>
        <w:rPr>
          <w:sz w:val="24"/>
          <w:szCs w:val="24"/>
        </w:rPr>
        <w:t>). Указание меньшего срока действия заявки в Письме о подаче оферты (форма 2) (</w:t>
      </w:r>
      <w:hyperlink w:anchor="Прил04_ФормыЗаявки">
        <w:r>
          <w:rPr>
            <w:rStyle w:val="Style14"/>
            <w:sz w:val="24"/>
            <w:szCs w:val="24"/>
          </w:rPr>
          <w:t>Приложение № 4</w:t>
        </w:r>
      </w:hyperlink>
      <w:r>
        <w:rPr>
          <w:sz w:val="24"/>
          <w:szCs w:val="24"/>
        </w:rPr>
        <w:t>) может служить основанием для отклонения заявки.</w:t>
      </w:r>
    </w:p>
    <w:p>
      <w:pPr>
        <w:pStyle w:val="Style26"/>
        <w:rPr>
          <w:rFonts w:ascii="Times New Roman" w:hAnsi="Times New Roman"/>
          <w:sz w:val="24"/>
          <w:szCs w:val="24"/>
        </w:rPr>
      </w:pPr>
      <w:r>
        <w:rPr>
          <w:sz w:val="24"/>
          <w:szCs w:val="24"/>
        </w:rPr>
        <w:t>Все документы, входящие в состав заявки, должны быть подготовлены на русском языке. Исключение составляют документы, оригиналы которых выданы Участнику третьими лицами на ином языке: они могут быть представлены на языке оригинала при условии, что к ним приложен перевод этих документов на русский язык (в специально оговоренных случаях – с апостилем согласно Гаагской конвенции 1961 года). Наличие противоречий между оригиналом документа и его переводом, которые искажают содержание представленного документа, будет расцениваться Организатором как предоставление недостоверных сведений. Организатор вправе не рассматривать документы, не переведенные на русский язык.</w:t>
      </w:r>
    </w:p>
    <w:p>
      <w:pPr>
        <w:pStyle w:val="Style26"/>
        <w:rPr>
          <w:rFonts w:ascii="Times New Roman" w:hAnsi="Times New Roman"/>
          <w:sz w:val="24"/>
          <w:szCs w:val="24"/>
        </w:rPr>
      </w:pPr>
      <w:r>
        <w:rPr>
          <w:sz w:val="24"/>
          <w:szCs w:val="24"/>
        </w:rPr>
        <w:t>Все суммы денежных средств в документах, входящих в состав заявки, должны быть выражены в российских рублях. Исключение составляют документы, оригиналы которых выданы Участнику третьими лицами с выражением сумм денежных средств в иных валютах: они могут быть представлены в валюте оригинала при условии, что к ним будут приложены комментарии с переводом этих сумм в российские рубли (по официальному курсу валюты, установленному Центральным банком Российской Федерации на дату выдачи документа, с указанием такого курса).</w:t>
      </w:r>
    </w:p>
    <w:p>
      <w:pPr>
        <w:pStyle w:val="Style26"/>
        <w:rPr>
          <w:rFonts w:ascii="Times New Roman" w:hAnsi="Times New Roman"/>
          <w:sz w:val="24"/>
          <w:szCs w:val="24"/>
        </w:rPr>
      </w:pPr>
      <w:bookmarkStart w:id="104" w:name="_Ref125370700"/>
      <w:bookmarkStart w:id="105" w:name="_Ref125370708"/>
      <w:r>
        <w:rPr>
          <w:sz w:val="24"/>
          <w:szCs w:val="24"/>
        </w:rPr>
        <w:t>Итоговая стоимость заявки (цена Договора) без учета НДС не должна превышать установленную Заказчиком НМЦ (подраздел </w:t>
      </w:r>
      <w:r>
        <w:rPr>
          <w:sz w:val="24"/>
          <w:szCs w:val="24"/>
        </w:rPr>
        <w:fldChar w:fldCharType="begin"/>
      </w:r>
      <w:r>
        <w:rPr>
          <w:sz w:val="24"/>
          <w:szCs w:val="24"/>
        </w:rPr>
        <w:instrText xml:space="preserve"> REF _Ref125359973 \r \h </w:instrText>
      </w:r>
      <w:r>
        <w:rPr>
          <w:sz w:val="24"/>
          <w:szCs w:val="24"/>
        </w:rPr>
        <w:fldChar w:fldCharType="separate"/>
      </w:r>
      <w:r>
        <w:rPr>
          <w:sz w:val="24"/>
          <w:szCs w:val="24"/>
        </w:rPr>
        <w:t>1.2</w:t>
      </w:r>
      <w:r>
        <w:rPr>
          <w:sz w:val="24"/>
          <w:szCs w:val="24"/>
        </w:rPr>
        <w:fldChar w:fldCharType="end"/>
      </w:r>
      <w:r>
        <w:rPr>
          <w:sz w:val="24"/>
          <w:szCs w:val="24"/>
        </w:rPr>
        <w:t>), в противном случае заявка будет отклонена.</w:t>
      </w:r>
    </w:p>
    <w:p>
      <w:pPr>
        <w:pStyle w:val="Style26"/>
        <w:rPr/>
      </w:pPr>
      <w:r>
        <w:rPr>
          <w:sz w:val="24"/>
          <w:szCs w:val="24"/>
        </w:rPr>
        <w:t xml:space="preserve">Итоговая стоимость заявки (цена Договора) должна включать в себя сумму всех расходов, предусмотренных </w:t>
      </w:r>
      <w:hyperlink w:anchor="Прил01_ТехТребования">
        <w:r>
          <w:rPr>
            <w:rStyle w:val="Style14"/>
            <w:sz w:val="24"/>
            <w:szCs w:val="24"/>
          </w:rPr>
          <w:t>Техническими требованиями (Приложение № 1)</w:t>
        </w:r>
      </w:hyperlink>
      <w:r>
        <w:rPr>
          <w:sz w:val="24"/>
          <w:szCs w:val="24"/>
        </w:rPr>
        <w:t xml:space="preserve"> и </w:t>
      </w:r>
      <w:hyperlink w:anchor="Прил02_ПроектДоговора">
        <w:r>
          <w:rPr>
            <w:rStyle w:val="Style14"/>
            <w:sz w:val="24"/>
            <w:szCs w:val="24"/>
          </w:rPr>
          <w:t>Проектом договора (Приложение № 2)</w:t>
        </w:r>
      </w:hyperlink>
      <w:r>
        <w:rPr>
          <w:sz w:val="24"/>
          <w:szCs w:val="24"/>
        </w:rPr>
        <w:t>, а также сумму налогов (</w:t>
      </w:r>
      <w:r>
        <w:rPr>
          <w:rFonts w:cs="Times New Roman"/>
          <w:sz w:val="24"/>
          <w:szCs w:val="24"/>
        </w:rPr>
        <w:t>за исключением НДС, в случае его уплаты)</w:t>
      </w:r>
      <w:r>
        <w:rPr>
          <w:sz w:val="24"/>
          <w:szCs w:val="24"/>
        </w:rPr>
        <w:t xml:space="preserve"> и других обязательных платежей, подлежащих уплате в соответствии с нормами законодательства (если иное не установлено Документацией о закупке). При этом сумма НДС (в случае его уплаты) выделяется отдельно и не входит в итоговую стоимость заявки Участника, являющегося плательщиком НДС.</w:t>
      </w:r>
      <w:bookmarkEnd w:id="104"/>
      <w:bookmarkEnd w:id="105"/>
    </w:p>
    <w:p>
      <w:pPr>
        <w:pStyle w:val="Style33"/>
        <w:keepNext w:val="true"/>
        <w:rPr>
          <w:rFonts w:ascii="Times New Roman" w:hAnsi="Times New Roman"/>
          <w:sz w:val="24"/>
          <w:szCs w:val="24"/>
        </w:rPr>
      </w:pPr>
      <w:r>
        <w:rPr>
          <w:sz w:val="24"/>
          <w:szCs w:val="24"/>
        </w:rPr>
        <w:t>[Альтернатива</w:t>
      </w:r>
      <w:r>
        <w:rPr>
          <w:sz w:val="24"/>
          <w:szCs w:val="24"/>
          <w:lang w:val="en-US"/>
        </w:rPr>
        <w:t> </w:t>
      </w:r>
      <w:r>
        <w:rPr>
          <w:sz w:val="24"/>
          <w:szCs w:val="24"/>
        </w:rPr>
        <w:t>1 (в случае закупки простой, стандартной, серийно выпускаемой продукции с указанием конкретной торговой марки (в случаях, установленных в Законе 223-ФЗ), а также в случае закупки работ / услуг по исчерпывающим неизменным исходным требованиям Заказчика):]</w:t>
      </w:r>
    </w:p>
    <w:p>
      <w:pPr>
        <w:pStyle w:val="Style26"/>
        <w:rPr/>
      </w:pPr>
      <w:r>
        <w:rPr>
          <w:sz w:val="24"/>
          <w:szCs w:val="24"/>
        </w:rPr>
        <w:t xml:space="preserve">В качестве Технического предложения Участник в составе заявки предоставляет по установленной форме (форма 4; </w:t>
      </w:r>
      <w:hyperlink w:anchor="Прил04_ФормыЗаявки">
        <w:r>
          <w:rPr>
            <w:rStyle w:val="Style14"/>
            <w:sz w:val="24"/>
            <w:szCs w:val="24"/>
          </w:rPr>
          <w:t>Приложение № 4</w:t>
        </w:r>
      </w:hyperlink>
      <w:r>
        <w:rPr>
          <w:sz w:val="24"/>
          <w:szCs w:val="24"/>
        </w:rPr>
        <w:t xml:space="preserve">) согласие (декларацию) на поставку продукции на условиях, указанных в Документации о закупке, в том числе в </w:t>
      </w:r>
      <w:hyperlink w:anchor="Прил01_ТехТребования">
        <w:r>
          <w:rPr>
            <w:rStyle w:val="Style14"/>
            <w:sz w:val="24"/>
            <w:szCs w:val="24"/>
          </w:rPr>
          <w:t>Технических требованиях (Приложение № 1)</w:t>
        </w:r>
      </w:hyperlink>
      <w:r>
        <w:rPr>
          <w:sz w:val="24"/>
          <w:szCs w:val="24"/>
        </w:rPr>
        <w:t>, и не подлежащих изменению по результатам проведения закупки (без подробных предложений). В случае нарушения Участником требований к описанию продукции Организатор вправе отклонить заявку такого Участника от дальнейшего участия в закупке.</w:t>
      </w:r>
    </w:p>
    <w:p>
      <w:pPr>
        <w:pStyle w:val="Style33"/>
        <w:rPr>
          <w:rFonts w:ascii="Times New Roman" w:hAnsi="Times New Roman"/>
          <w:sz w:val="24"/>
          <w:szCs w:val="24"/>
        </w:rPr>
      </w:pPr>
      <w:r>
        <w:rPr>
          <w:sz w:val="24"/>
          <w:szCs w:val="24"/>
        </w:rPr>
        <w:t>[Альтернатива</w:t>
      </w:r>
      <w:r>
        <w:rPr>
          <w:sz w:val="24"/>
          <w:szCs w:val="24"/>
          <w:lang w:val="en-US"/>
        </w:rPr>
        <w:t> </w:t>
      </w:r>
      <w:r>
        <w:rPr>
          <w:sz w:val="24"/>
          <w:szCs w:val="24"/>
        </w:rPr>
        <w:t>2 (в случае закупки сложной продукции, требующей указания со стороны Участника конкретных технических, функциональных, эксплуатационных характеристик такой продукции и (или) предусматривающей возможность поставки эквивалентной продукции, а также в случае закупки работ / услуг, требующих в соответствии с разработанными техническими требованиями со стороны Участника описания своего подробного предложения в отношении технологии выполнения таких работ, объема оказания услуг и т.п.):]</w:t>
      </w:r>
    </w:p>
    <w:p>
      <w:pPr>
        <w:pStyle w:val="Style26"/>
        <w:rPr/>
      </w:pPr>
      <w:bookmarkStart w:id="106" w:name="_Ref130379863"/>
      <w:r>
        <w:rPr>
          <w:sz w:val="24"/>
          <w:szCs w:val="24"/>
        </w:rPr>
        <w:t xml:space="preserve">Участник в составе заявки предоставляет по установленной форме Технического предложения (форма 4; </w:t>
      </w:r>
      <w:hyperlink w:anchor="Прил04_ФормыЗаявки">
        <w:r>
          <w:rPr>
            <w:rStyle w:val="Style14"/>
            <w:sz w:val="24"/>
            <w:szCs w:val="24"/>
          </w:rPr>
          <w:t>Приложение № 4</w:t>
        </w:r>
      </w:hyperlink>
      <w:r>
        <w:rPr>
          <w:sz w:val="24"/>
          <w:szCs w:val="24"/>
        </w:rPr>
        <w:t xml:space="preserve">) подробное предложение в отношении поставляемой продукции на условиях, указанных в Документации о закупке, в том числе в </w:t>
      </w:r>
      <w:hyperlink w:anchor="Прил01_ТехТребования">
        <w:r>
          <w:rPr>
            <w:rStyle w:val="Style14"/>
            <w:sz w:val="24"/>
            <w:szCs w:val="24"/>
          </w:rPr>
          <w:t>Технических требованиях (Приложение № 1)</w:t>
        </w:r>
      </w:hyperlink>
      <w:r>
        <w:rPr>
          <w:sz w:val="24"/>
          <w:szCs w:val="24"/>
        </w:rPr>
        <w:t>.</w:t>
      </w:r>
      <w:bookmarkEnd w:id="106"/>
    </w:p>
    <w:p>
      <w:pPr>
        <w:pStyle w:val="Style26"/>
        <w:rPr/>
      </w:pPr>
      <w:r>
        <w:rPr>
          <w:sz w:val="24"/>
          <w:szCs w:val="24"/>
        </w:rPr>
        <w:t xml:space="preserve">При описании продукции Участник обязан подтвердить соответствие поставляемой продукции требованиям Документации о закупке, в том числе требованиям, установленным в </w:t>
      </w:r>
      <w:hyperlink w:anchor="Прил01_ТехТребования">
        <w:r>
          <w:rPr>
            <w:rStyle w:val="Style14"/>
            <w:sz w:val="24"/>
            <w:szCs w:val="24"/>
          </w:rPr>
          <w:t>Технических требованиях (Приложение № 1)</w:t>
        </w:r>
      </w:hyperlink>
      <w:r>
        <w:rPr>
          <w:sz w:val="24"/>
          <w:szCs w:val="24"/>
        </w:rPr>
        <w:t>, в отношении всех показателей, которые в ней установлены. При этом должны указываться точные и не допускающие двусмысленного толкования показатели.</w:t>
      </w:r>
    </w:p>
    <w:p>
      <w:pPr>
        <w:pStyle w:val="Style26"/>
        <w:rPr/>
      </w:pPr>
      <w:r>
        <w:rPr>
          <w:sz w:val="24"/>
          <w:szCs w:val="24"/>
        </w:rPr>
        <w:t xml:space="preserve">Если в </w:t>
      </w:r>
      <w:hyperlink w:anchor="Прил01_ТехТребования">
        <w:r>
          <w:rPr>
            <w:rStyle w:val="Style14"/>
            <w:sz w:val="24"/>
            <w:szCs w:val="24"/>
          </w:rPr>
          <w:t>Технических требованиях (Приложение № 1)</w:t>
        </w:r>
      </w:hyperlink>
      <w:r>
        <w:rPr>
          <w:sz w:val="24"/>
          <w:szCs w:val="24"/>
        </w:rPr>
        <w:t xml:space="preserve"> указаны товарные знаки, знаки обслуживания, фирменные наименования, патенты, полезные модели, промышленные образцы, наименование страны происхождения товара или наименование производителя, сопровождаемые словами «или эквивалент», и Участник предлагает продукцию, являющуюся эквивалентом требуемой, то он при описании продукции обязан подтвердить соответствие предлагаемой продукции показателям эквивалентности, установленным в </w:t>
      </w:r>
      <w:hyperlink w:anchor="Прил01_ТехТребования">
        <w:r>
          <w:rPr>
            <w:rStyle w:val="Style14"/>
            <w:sz w:val="24"/>
            <w:szCs w:val="24"/>
          </w:rPr>
          <w:t>Технических требованиях (Приложение № 1)</w:t>
        </w:r>
      </w:hyperlink>
      <w:r>
        <w:rPr>
          <w:sz w:val="24"/>
          <w:szCs w:val="24"/>
        </w:rPr>
        <w:t>.</w:t>
      </w:r>
    </w:p>
    <w:p>
      <w:pPr>
        <w:pStyle w:val="Style26"/>
        <w:rPr/>
      </w:pPr>
      <w:bookmarkStart w:id="107" w:name="_Ref130379876"/>
      <w:r>
        <w:rPr>
          <w:sz w:val="24"/>
          <w:szCs w:val="24"/>
        </w:rPr>
        <w:t xml:space="preserve">При описании продукции Участник должен использовать общеизвестные (стандартные) показатели, термины и сокращения в соответствии с законодательством и </w:t>
      </w:r>
      <w:hyperlink w:anchor="Прил01_ТехТребования">
        <w:r>
          <w:rPr>
            <w:rStyle w:val="Style14"/>
            <w:sz w:val="24"/>
            <w:szCs w:val="24"/>
          </w:rPr>
          <w:t>Техническими требованиями (Приложение № 1)</w:t>
        </w:r>
      </w:hyperlink>
      <w:r>
        <w:rPr>
          <w:sz w:val="24"/>
          <w:szCs w:val="24"/>
        </w:rPr>
        <w:t>.</w:t>
      </w:r>
      <w:bookmarkEnd w:id="107"/>
    </w:p>
    <w:p>
      <w:pPr>
        <w:pStyle w:val="Style26"/>
        <w:rPr>
          <w:rFonts w:ascii="Times New Roman" w:hAnsi="Times New Roman"/>
          <w:sz w:val="24"/>
          <w:szCs w:val="24"/>
        </w:rPr>
      </w:pPr>
      <w:bookmarkStart w:id="108" w:name="_Ref130455500"/>
      <w:r>
        <w:rPr>
          <w:sz w:val="24"/>
          <w:szCs w:val="24"/>
        </w:rPr>
        <w:t>В случае нарушения Участником требований к описанию продукции (пункты </w:t>
      </w:r>
      <w:r>
        <w:rPr>
          <w:sz w:val="24"/>
          <w:szCs w:val="24"/>
        </w:rPr>
        <w:fldChar w:fldCharType="begin"/>
      </w:r>
      <w:r>
        <w:rPr>
          <w:sz w:val="24"/>
          <w:szCs w:val="24"/>
        </w:rPr>
        <w:instrText xml:space="preserve"> REF _Ref130379863 \r \h </w:instrText>
      </w:r>
      <w:r>
        <w:rPr>
          <w:sz w:val="24"/>
          <w:szCs w:val="24"/>
        </w:rPr>
        <w:fldChar w:fldCharType="separate"/>
      </w:r>
      <w:r>
        <w:rPr>
          <w:sz w:val="24"/>
          <w:szCs w:val="24"/>
        </w:rPr>
        <w:t>4.3.11</w:t>
      </w:r>
      <w:r>
        <w:rPr>
          <w:sz w:val="24"/>
          <w:szCs w:val="24"/>
        </w:rPr>
        <w:fldChar w:fldCharType="end"/>
      </w:r>
      <w:r>
        <w:rPr>
          <w:sz w:val="24"/>
          <w:szCs w:val="24"/>
        </w:rPr>
        <w:t xml:space="preserve"> – </w:t>
      </w:r>
      <w:r>
        <w:rPr>
          <w:sz w:val="24"/>
          <w:szCs w:val="24"/>
        </w:rPr>
        <w:fldChar w:fldCharType="begin"/>
      </w:r>
      <w:r>
        <w:rPr>
          <w:sz w:val="24"/>
          <w:szCs w:val="24"/>
        </w:rPr>
        <w:instrText xml:space="preserve"> REF _Ref130379876 \r \h </w:instrText>
      </w:r>
      <w:r>
        <w:rPr>
          <w:sz w:val="24"/>
          <w:szCs w:val="24"/>
        </w:rPr>
        <w:fldChar w:fldCharType="separate"/>
      </w:r>
      <w:r>
        <w:rPr>
          <w:sz w:val="24"/>
          <w:szCs w:val="24"/>
        </w:rPr>
        <w:t>4.3.14</w:t>
      </w:r>
      <w:r>
        <w:rPr>
          <w:sz w:val="24"/>
          <w:szCs w:val="24"/>
        </w:rPr>
        <w:fldChar w:fldCharType="end"/>
      </w:r>
      <w:r>
        <w:rPr>
          <w:sz w:val="24"/>
          <w:szCs w:val="24"/>
        </w:rPr>
        <w:t>) Организатор вправе отклонить заявку такого Участника от дальнейшего участия в закупке.</w:t>
      </w:r>
      <w:bookmarkEnd w:id="108"/>
    </w:p>
    <w:p>
      <w:pPr>
        <w:pStyle w:val="Style33"/>
        <w:rPr>
          <w:rFonts w:ascii="Times New Roman" w:hAnsi="Times New Roman"/>
          <w:sz w:val="24"/>
          <w:szCs w:val="24"/>
        </w:rPr>
      </w:pPr>
      <w:r>
        <w:rPr>
          <w:sz w:val="24"/>
          <w:szCs w:val="24"/>
          <w:lang w:val="en-US"/>
        </w:rPr>
        <w:t>[</w:t>
      </w:r>
      <w:r>
        <w:rPr>
          <w:sz w:val="24"/>
          <w:szCs w:val="24"/>
        </w:rPr>
        <w:t>Окончание выбора альтернатив</w:t>
      </w:r>
      <w:r>
        <w:rPr>
          <w:sz w:val="24"/>
          <w:szCs w:val="24"/>
          <w:lang w:val="en-US"/>
        </w:rPr>
        <w:t>]</w:t>
      </w:r>
    </w:p>
    <w:p>
      <w:pPr>
        <w:pStyle w:val="Style26"/>
        <w:keepNext w:val="true"/>
        <w:rPr>
          <w:rFonts w:ascii="Times New Roman" w:hAnsi="Times New Roman"/>
          <w:sz w:val="24"/>
          <w:szCs w:val="24"/>
        </w:rPr>
      </w:pPr>
      <w:r>
        <w:rPr>
          <w:sz w:val="24"/>
          <w:szCs w:val="24"/>
        </w:rPr>
        <w:t>При подготовке заявки необходимо также учитывать требования в отношении применения законодательства о национальном режиме (подраздел </w:t>
      </w:r>
      <w:r>
        <w:rPr>
          <w:sz w:val="24"/>
          <w:szCs w:val="24"/>
        </w:rPr>
        <w:fldChar w:fldCharType="begin"/>
      </w:r>
      <w:r>
        <w:rPr>
          <w:sz w:val="24"/>
          <w:szCs w:val="24"/>
        </w:rPr>
        <w:instrText xml:space="preserve"> REF _Ref125359973 \r \h </w:instrText>
      </w:r>
      <w:r>
        <w:rPr>
          <w:sz w:val="24"/>
          <w:szCs w:val="24"/>
        </w:rPr>
        <w:fldChar w:fldCharType="separate"/>
      </w:r>
      <w:r>
        <w:rPr>
          <w:sz w:val="24"/>
          <w:szCs w:val="24"/>
        </w:rPr>
        <w:t>1.2</w:t>
      </w:r>
      <w:r>
        <w:rPr>
          <w:sz w:val="24"/>
          <w:szCs w:val="24"/>
        </w:rPr>
        <w:fldChar w:fldCharType="end"/>
      </w:r>
      <w:r>
        <w:rPr>
          <w:sz w:val="24"/>
          <w:szCs w:val="24"/>
        </w:rPr>
        <w:t>).</w:t>
      </w:r>
    </w:p>
    <w:p>
      <w:pPr>
        <w:pStyle w:val="Style26"/>
        <w:keepNext w:val="true"/>
        <w:rPr>
          <w:rFonts w:ascii="Times New Roman" w:hAnsi="Times New Roman"/>
          <w:sz w:val="24"/>
          <w:szCs w:val="24"/>
        </w:rPr>
      </w:pPr>
      <w:r>
        <w:rPr>
          <w:sz w:val="24"/>
          <w:szCs w:val="24"/>
        </w:rPr>
        <w:t>Документы, входящие в заявку, не должны содержать недостоверные сведения или намеренно искаженную информацию. Также должны отсутствовать:</w:t>
      </w:r>
    </w:p>
    <w:p>
      <w:pPr>
        <w:pStyle w:val="Style27"/>
        <w:rPr>
          <w:rFonts w:ascii="Times New Roman" w:hAnsi="Times New Roman"/>
          <w:sz w:val="24"/>
          <w:szCs w:val="24"/>
        </w:rPr>
      </w:pPr>
      <w:r>
        <w:rPr>
          <w:sz w:val="24"/>
          <w:szCs w:val="24"/>
        </w:rPr>
        <w:t>внутренние противоречия между различными частями и (или) документами заявки, в том числе по тексту внутри одного документа;</w:t>
      </w:r>
    </w:p>
    <w:p>
      <w:pPr>
        <w:pStyle w:val="Style27"/>
        <w:rPr>
          <w:rFonts w:ascii="Times New Roman" w:hAnsi="Times New Roman"/>
          <w:sz w:val="24"/>
          <w:szCs w:val="24"/>
        </w:rPr>
      </w:pPr>
      <w:bookmarkStart w:id="109" w:name="_Ref125370398"/>
      <w:bookmarkStart w:id="110" w:name="_Ref125714384"/>
      <w:r>
        <w:rPr>
          <w:sz w:val="24"/>
          <w:szCs w:val="24"/>
        </w:rPr>
        <w:t>противоречия между документами заявки и сведениями, указанными Участником в структурированных формах на ЭП.</w:t>
      </w:r>
      <w:bookmarkEnd w:id="109"/>
      <w:bookmarkEnd w:id="110"/>
    </w:p>
    <w:p>
      <w:pPr>
        <w:pStyle w:val="Style26"/>
        <w:rPr>
          <w:rFonts w:ascii="Times New Roman" w:hAnsi="Times New Roman"/>
          <w:sz w:val="24"/>
          <w:szCs w:val="24"/>
        </w:rPr>
      </w:pPr>
      <w:r>
        <w:rPr>
          <w:sz w:val="24"/>
          <w:szCs w:val="24"/>
        </w:rPr>
        <w:t>Представленные в составе заявки документы, оформленные / выданные государственными, лицензирующими, сертификационными, аккредитационными органами и (или) саморегулируемыми организациями, должны соответствовать императивным требованиям (при наличии) законодательства в отношении:</w:t>
      </w:r>
    </w:p>
    <w:p>
      <w:pPr>
        <w:pStyle w:val="Style27"/>
        <w:rPr>
          <w:rFonts w:ascii="Times New Roman" w:hAnsi="Times New Roman"/>
          <w:sz w:val="24"/>
          <w:szCs w:val="24"/>
        </w:rPr>
      </w:pPr>
      <w:r>
        <w:rPr>
          <w:sz w:val="24"/>
          <w:szCs w:val="24"/>
        </w:rPr>
        <w:t>полномочий таких органов / лиц на оформление этих документов;</w:t>
      </w:r>
    </w:p>
    <w:p>
      <w:pPr>
        <w:pStyle w:val="Style27"/>
        <w:rPr>
          <w:rFonts w:ascii="Times New Roman" w:hAnsi="Times New Roman"/>
          <w:sz w:val="24"/>
          <w:szCs w:val="24"/>
        </w:rPr>
      </w:pPr>
      <w:r>
        <w:rPr>
          <w:sz w:val="24"/>
          <w:szCs w:val="24"/>
        </w:rPr>
        <w:t>формы, объема и содержания этих документов.</w:t>
      </w:r>
    </w:p>
    <w:p>
      <w:pPr>
        <w:pStyle w:val="Style26"/>
        <w:keepNext w:val="true"/>
        <w:rPr>
          <w:rFonts w:ascii="Times New Roman" w:hAnsi="Times New Roman"/>
          <w:sz w:val="24"/>
          <w:szCs w:val="24"/>
        </w:rPr>
      </w:pPr>
      <w:r>
        <w:rPr>
          <w:sz w:val="24"/>
          <w:szCs w:val="24"/>
        </w:rPr>
        <w:t>Участник должен подготовить заявку с соблюдением следующих условий:</w:t>
      </w:r>
    </w:p>
    <w:p>
      <w:pPr>
        <w:pStyle w:val="Style27"/>
        <w:rPr>
          <w:rFonts w:ascii="Times New Roman" w:hAnsi="Times New Roman"/>
          <w:sz w:val="24"/>
          <w:szCs w:val="24"/>
        </w:rPr>
      </w:pPr>
      <w:r>
        <w:rPr>
          <w:sz w:val="24"/>
          <w:szCs w:val="24"/>
        </w:rPr>
        <w:t>документы заявки могут предоставляться как в графическом виде (в том числе в виде скан-копии; рекомендуемый формат: Portable Document Format (*.</w:t>
      </w:r>
      <w:r>
        <w:rPr>
          <w:sz w:val="24"/>
          <w:szCs w:val="24"/>
          <w:lang w:val="en-US"/>
        </w:rPr>
        <w:t>pdf</w:t>
      </w:r>
      <w:r>
        <w:rPr>
          <w:sz w:val="24"/>
          <w:szCs w:val="24"/>
        </w:rPr>
        <w:t>)), так и в электронном виде (в формате Microsoft Word (*.doc</w:t>
      </w:r>
      <w:r>
        <w:rPr>
          <w:sz w:val="24"/>
          <w:szCs w:val="24"/>
          <w:lang w:val="en-US"/>
        </w:rPr>
        <w:t>x</w:t>
      </w:r>
      <w:r>
        <w:rPr>
          <w:sz w:val="24"/>
          <w:szCs w:val="24"/>
        </w:rPr>
        <w:t>), Microsoft Excel (*.xls</w:t>
      </w:r>
      <w:r>
        <w:rPr>
          <w:sz w:val="24"/>
          <w:szCs w:val="24"/>
          <w:lang w:val="en-US"/>
        </w:rPr>
        <w:t>x</w:t>
      </w:r>
      <w:r>
        <w:rPr>
          <w:sz w:val="24"/>
          <w:szCs w:val="24"/>
        </w:rPr>
        <w:t>), и других). Исключение составляют Письмо о подаче оферты, а также документы, выданные Участнику третьими лицами (в том числе, бухгалтерская (финансовая) отчетность и т.п.), которые должны быть предоставлены только в графическом виде (в том числе в виде скан-копии; рекомендуемый формат: Portable Document Format (*.</w:t>
      </w:r>
      <w:r>
        <w:rPr>
          <w:sz w:val="24"/>
          <w:szCs w:val="24"/>
          <w:lang w:val="en-US"/>
        </w:rPr>
        <w:t>pdf</w:t>
      </w:r>
      <w:r>
        <w:rPr>
          <w:sz w:val="24"/>
          <w:szCs w:val="24"/>
        </w:rPr>
        <w:t>));</w:t>
      </w:r>
    </w:p>
    <w:p>
      <w:pPr>
        <w:pStyle w:val="Style27"/>
        <w:rPr>
          <w:rFonts w:ascii="Times New Roman" w:hAnsi="Times New Roman"/>
          <w:sz w:val="24"/>
          <w:szCs w:val="24"/>
        </w:rPr>
      </w:pPr>
      <w:r>
        <w:rPr>
          <w:sz w:val="24"/>
          <w:szCs w:val="24"/>
        </w:rPr>
        <w:t>электронные копии документов, заверенные третьей стороной, должны включать в себя, в том числе, страницы с требуемой отметкой по форме заверения документа (электронная подпись / отметка ИФНС / отметка нотариуса и т.п.);</w:t>
      </w:r>
    </w:p>
    <w:p>
      <w:pPr>
        <w:pStyle w:val="Style27"/>
        <w:rPr>
          <w:rFonts w:ascii="Times New Roman" w:hAnsi="Times New Roman"/>
          <w:sz w:val="24"/>
          <w:szCs w:val="24"/>
        </w:rPr>
      </w:pPr>
      <w:r>
        <w:rPr>
          <w:sz w:val="24"/>
          <w:szCs w:val="24"/>
        </w:rPr>
        <w:t>все файлы не должны иметь защиты от их открытия, изменения, копирования их содержимого или их печати;</w:t>
      </w:r>
    </w:p>
    <w:p>
      <w:pPr>
        <w:pStyle w:val="Style27"/>
        <w:rPr>
          <w:rFonts w:ascii="Times New Roman" w:hAnsi="Times New Roman"/>
          <w:sz w:val="24"/>
          <w:szCs w:val="24"/>
        </w:rPr>
      </w:pPr>
      <w:r>
        <w:rPr>
          <w:sz w:val="24"/>
          <w:szCs w:val="24"/>
        </w:rPr>
        <w:t>файлы электронной заявки рекомендуется именовать так, чтобы было можно идентифицировать содержание данного файла заявки (указать в названии файла содержащийся в нем документ). Каждый документ рекомендуется размещать в отдельном файле;</w:t>
      </w:r>
    </w:p>
    <w:p>
      <w:pPr>
        <w:pStyle w:val="Style27"/>
        <w:rPr>
          <w:rFonts w:ascii="Times New Roman" w:hAnsi="Times New Roman"/>
          <w:sz w:val="24"/>
          <w:szCs w:val="24"/>
        </w:rPr>
      </w:pPr>
      <w:r>
        <w:rPr>
          <w:sz w:val="24"/>
          <w:szCs w:val="24"/>
        </w:rPr>
        <w:t>если какой-либо документ представлен в нечитаемом виде, данный документ считается непредставленным.</w:t>
      </w:r>
    </w:p>
    <w:p>
      <w:pPr>
        <w:pStyle w:val="Style26"/>
        <w:rPr>
          <w:rFonts w:ascii="Times New Roman" w:hAnsi="Times New Roman"/>
          <w:sz w:val="24"/>
          <w:szCs w:val="24"/>
        </w:rPr>
      </w:pPr>
      <w:r>
        <w:rPr>
          <w:sz w:val="24"/>
          <w:szCs w:val="24"/>
        </w:rPr>
        <w:t>Никакие исправления в документах заявки не имеют силу, за исключением тех случаев, когда эти исправления заверены надписью «исправленному верить» и собственноручной подписью уполномоченного лица Участника, расположенной рядом с каждым исправлением.</w:t>
      </w:r>
    </w:p>
    <w:p>
      <w:pPr>
        <w:pStyle w:val="Style25"/>
        <w:rPr>
          <w:rFonts w:ascii="Times New Roman" w:hAnsi="Times New Roman"/>
          <w:sz w:val="24"/>
          <w:szCs w:val="24"/>
        </w:rPr>
      </w:pPr>
      <w:bookmarkStart w:id="111" w:name="_Ref130394802"/>
      <w:bookmarkStart w:id="112" w:name="_Ref125366672"/>
      <w:bookmarkStart w:id="113" w:name="_Ref125362071"/>
      <w:bookmarkStart w:id="114" w:name="_Ref125361260"/>
      <w:bookmarkStart w:id="115" w:name="_Toc229567044"/>
      <w:bookmarkStart w:id="116" w:name="_Ref130394785"/>
      <w:bookmarkStart w:id="117" w:name="_Ref130394205"/>
      <w:r>
        <w:rPr>
          <w:sz w:val="24"/>
          <w:szCs w:val="24"/>
        </w:rPr>
        <w:t>Разъяснение Документации о закупке</w:t>
      </w:r>
      <w:bookmarkEnd w:id="111"/>
      <w:bookmarkEnd w:id="112"/>
      <w:bookmarkEnd w:id="113"/>
      <w:bookmarkEnd w:id="114"/>
      <w:bookmarkEnd w:id="115"/>
      <w:bookmarkEnd w:id="116"/>
      <w:bookmarkEnd w:id="117"/>
    </w:p>
    <w:p>
      <w:pPr>
        <w:pStyle w:val="Style26"/>
        <w:rPr>
          <w:rFonts w:ascii="Times New Roman" w:hAnsi="Times New Roman"/>
          <w:sz w:val="24"/>
          <w:szCs w:val="24"/>
        </w:rPr>
      </w:pPr>
      <w:r>
        <w:rPr>
          <w:sz w:val="24"/>
          <w:szCs w:val="24"/>
        </w:rPr>
        <w:t>Участники вправе обратиться к Организатору за разъяснениями Документации о закупке.</w:t>
      </w:r>
    </w:p>
    <w:p>
      <w:pPr>
        <w:pStyle w:val="Style26"/>
        <w:rPr>
          <w:rFonts w:ascii="Times New Roman" w:hAnsi="Times New Roman"/>
          <w:sz w:val="24"/>
          <w:szCs w:val="24"/>
        </w:rPr>
      </w:pPr>
      <w:r>
        <w:rPr>
          <w:sz w:val="24"/>
          <w:szCs w:val="24"/>
        </w:rPr>
        <w:t>Запросы подаются в соответствии с Регламентами и инструкциями Оператора ЭП, опубликованными на сайте соответствующей ЭП.</w:t>
      </w:r>
    </w:p>
    <w:p>
      <w:pPr>
        <w:pStyle w:val="Style26"/>
        <w:rPr>
          <w:rFonts w:ascii="Times New Roman" w:hAnsi="Times New Roman"/>
          <w:sz w:val="24"/>
          <w:szCs w:val="24"/>
        </w:rPr>
      </w:pPr>
      <w:r>
        <w:rPr>
          <w:sz w:val="24"/>
          <w:szCs w:val="24"/>
        </w:rPr>
        <w:t>Организатор обязуется ответить на любой вопрос, поступивший не позднее чем за 3 (три) рабочих дня до даты окончания срока подачи заявок. В случае поступления вопросов с нарушением установленного срока Организатор вправе не предоставлять разъяснения.</w:t>
      </w:r>
    </w:p>
    <w:p>
      <w:pPr>
        <w:pStyle w:val="Style26"/>
        <w:rPr>
          <w:rFonts w:ascii="Times New Roman" w:hAnsi="Times New Roman"/>
          <w:sz w:val="24"/>
          <w:szCs w:val="24"/>
        </w:rPr>
      </w:pPr>
      <w:r>
        <w:rPr>
          <w:sz w:val="24"/>
          <w:szCs w:val="24"/>
        </w:rPr>
        <w:t>Ответы на поступившие вопросы официально размещаются (с указанием предмета запроса, но без указания Участника, от которого поступил вопрос) в сроки, установленные подразделом </w:t>
      </w:r>
      <w:r>
        <w:rPr>
          <w:sz w:val="24"/>
          <w:szCs w:val="24"/>
        </w:rPr>
        <w:fldChar w:fldCharType="begin"/>
      </w:r>
      <w:r>
        <w:rPr>
          <w:sz w:val="24"/>
          <w:szCs w:val="24"/>
        </w:rPr>
        <w:instrText xml:space="preserve"> REF _Ref125359973 \r \h </w:instrText>
      </w:r>
      <w:r>
        <w:rPr>
          <w:sz w:val="24"/>
          <w:szCs w:val="24"/>
        </w:rPr>
        <w:fldChar w:fldCharType="separate"/>
      </w:r>
      <w:r>
        <w:rPr>
          <w:sz w:val="24"/>
          <w:szCs w:val="24"/>
        </w:rPr>
        <w:t>1.2</w:t>
      </w:r>
      <w:r>
        <w:rPr>
          <w:sz w:val="24"/>
          <w:szCs w:val="24"/>
        </w:rPr>
        <w:fldChar w:fldCharType="end"/>
      </w:r>
      <w:r>
        <w:rPr>
          <w:sz w:val="24"/>
          <w:szCs w:val="24"/>
        </w:rPr>
        <w:t>, но в любом случае не позднее чем в течение 3 (трех) рабочих дней с даты поступления такого запроса. Копия ответа размещается Организатором на ЭП.</w:t>
      </w:r>
    </w:p>
    <w:p>
      <w:pPr>
        <w:pStyle w:val="Style26"/>
        <w:rPr>
          <w:rFonts w:ascii="Times New Roman" w:hAnsi="Times New Roman"/>
          <w:sz w:val="24"/>
          <w:szCs w:val="24"/>
        </w:rPr>
      </w:pPr>
      <w:r>
        <w:rPr>
          <w:sz w:val="24"/>
          <w:szCs w:val="24"/>
        </w:rPr>
        <w:t>Организатор также вправе по собственной инициативе (без получения запросов от Участников) официально разместить разъяснения Документации о закупке.</w:t>
      </w:r>
    </w:p>
    <w:p>
      <w:pPr>
        <w:pStyle w:val="Style26"/>
        <w:rPr/>
      </w:pPr>
      <w:r>
        <w:rPr>
          <w:sz w:val="24"/>
          <w:szCs w:val="24"/>
        </w:rPr>
        <w:t xml:space="preserve">Разъяснения Документации о закупке носят справочный характер и не могут изменять предмет закупки и условия </w:t>
      </w:r>
      <w:hyperlink w:anchor="Прил02_ПроектДоговора">
        <w:r>
          <w:rPr>
            <w:rStyle w:val="Style14"/>
            <w:sz w:val="24"/>
            <w:szCs w:val="24"/>
          </w:rPr>
          <w:t>Проекта договора (Приложения № 2)</w:t>
        </w:r>
      </w:hyperlink>
      <w:r>
        <w:rPr>
          <w:rStyle w:val="Style14"/>
          <w:sz w:val="24"/>
          <w:szCs w:val="24"/>
        </w:rPr>
        <w:t>,</w:t>
      </w:r>
      <w:r>
        <w:rPr>
          <w:sz w:val="24"/>
          <w:szCs w:val="24"/>
        </w:rPr>
        <w:t xml:space="preserve"> в противном случае вносятся изменения в Документацию о закупке. При этом Участники обязаны учитывать разъяснения Организатора при подготовке своих заявок. Все риски и последствия за подачу заявки без учета официально размещенных разъяснений несет Участник.</w:t>
      </w:r>
    </w:p>
    <w:p>
      <w:pPr>
        <w:pStyle w:val="Style26"/>
        <w:rPr>
          <w:rFonts w:ascii="Times New Roman" w:hAnsi="Times New Roman"/>
          <w:sz w:val="24"/>
          <w:szCs w:val="24"/>
        </w:rPr>
      </w:pPr>
      <w:r>
        <w:rPr>
          <w:sz w:val="24"/>
          <w:szCs w:val="24"/>
        </w:rPr>
        <w:t>В случае получения Участником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не вправе на нее ссылаться.</w:t>
      </w:r>
    </w:p>
    <w:p>
      <w:pPr>
        <w:pStyle w:val="Style25"/>
        <w:rPr>
          <w:rFonts w:ascii="Times New Roman" w:hAnsi="Times New Roman"/>
          <w:sz w:val="24"/>
          <w:szCs w:val="24"/>
        </w:rPr>
      </w:pPr>
      <w:bookmarkStart w:id="118" w:name="_Ref125362076"/>
      <w:bookmarkStart w:id="119" w:name="_Ref125363891"/>
      <w:bookmarkStart w:id="120" w:name="_Ref125364404"/>
      <w:bookmarkStart w:id="121" w:name="_Toc229567045"/>
      <w:r>
        <w:rPr>
          <w:sz w:val="24"/>
          <w:szCs w:val="24"/>
        </w:rPr>
        <w:t>Изменения Извещения и (или) Документации о закупке</w:t>
      </w:r>
      <w:bookmarkEnd w:id="118"/>
      <w:bookmarkEnd w:id="119"/>
      <w:bookmarkEnd w:id="120"/>
      <w:bookmarkEnd w:id="121"/>
    </w:p>
    <w:p>
      <w:pPr>
        <w:pStyle w:val="Style26"/>
        <w:rPr>
          <w:rFonts w:ascii="Times New Roman" w:hAnsi="Times New Roman"/>
          <w:sz w:val="24"/>
          <w:szCs w:val="24"/>
        </w:rPr>
      </w:pPr>
      <w:r>
        <w:rPr>
          <w:sz w:val="24"/>
          <w:szCs w:val="24"/>
        </w:rPr>
        <w:t>Организатор в любой момент до окончания срока подачи заявок (подраздел </w:t>
      </w:r>
      <w:r>
        <w:rPr>
          <w:sz w:val="24"/>
          <w:szCs w:val="24"/>
        </w:rPr>
        <w:fldChar w:fldCharType="begin"/>
      </w:r>
      <w:r>
        <w:rPr>
          <w:sz w:val="24"/>
          <w:szCs w:val="24"/>
        </w:rPr>
        <w:instrText xml:space="preserve"> REF _Ref125359973 \r \h </w:instrText>
      </w:r>
      <w:r>
        <w:rPr>
          <w:sz w:val="24"/>
          <w:szCs w:val="24"/>
        </w:rPr>
        <w:fldChar w:fldCharType="separate"/>
      </w:r>
      <w:r>
        <w:rPr>
          <w:sz w:val="24"/>
          <w:szCs w:val="24"/>
        </w:rPr>
        <w:t>1.2</w:t>
      </w:r>
      <w:r>
        <w:rPr>
          <w:sz w:val="24"/>
          <w:szCs w:val="24"/>
        </w:rPr>
        <w:fldChar w:fldCharType="end"/>
      </w:r>
      <w:r>
        <w:rPr>
          <w:sz w:val="24"/>
          <w:szCs w:val="24"/>
        </w:rPr>
        <w:t>) вправе внести изменения в Извещение и (или) Документацию о закупке. При этом официальному размещению подлежит обновленная редакция Извещения и (или) Документации о закупке, а также перечень внесенных изменений в них.</w:t>
      </w:r>
    </w:p>
    <w:p>
      <w:pPr>
        <w:pStyle w:val="Style26"/>
        <w:rPr>
          <w:rFonts w:ascii="Times New Roman" w:hAnsi="Times New Roman"/>
          <w:sz w:val="24"/>
          <w:szCs w:val="24"/>
        </w:rPr>
      </w:pPr>
      <w:bookmarkStart w:id="122" w:name="_Ref125550844"/>
      <w:r>
        <w:rPr>
          <w:sz w:val="24"/>
          <w:szCs w:val="24"/>
        </w:rPr>
        <w:t>После окончания срока подачи заявок допускается изменение только в части установленных Документацией о закупке дат рассмотрения заявок и подведения итогов закупки (подраздел </w:t>
      </w:r>
      <w:r>
        <w:rPr>
          <w:sz w:val="24"/>
          <w:szCs w:val="24"/>
        </w:rPr>
        <w:fldChar w:fldCharType="begin"/>
      </w:r>
      <w:r>
        <w:rPr>
          <w:sz w:val="24"/>
          <w:szCs w:val="24"/>
        </w:rPr>
        <w:instrText xml:space="preserve"> REF _Ref125359973 \r \h </w:instrText>
      </w:r>
      <w:r>
        <w:rPr>
          <w:sz w:val="24"/>
          <w:szCs w:val="24"/>
        </w:rPr>
        <w:fldChar w:fldCharType="separate"/>
      </w:r>
      <w:r>
        <w:rPr>
          <w:sz w:val="24"/>
          <w:szCs w:val="24"/>
        </w:rPr>
        <w:t>1.2</w:t>
      </w:r>
      <w:r>
        <w:rPr>
          <w:sz w:val="24"/>
          <w:szCs w:val="24"/>
        </w:rPr>
        <w:fldChar w:fldCharType="end"/>
      </w:r>
      <w:r>
        <w:rPr>
          <w:sz w:val="24"/>
          <w:szCs w:val="24"/>
        </w:rPr>
        <w:t>) в пределах срока действия заявок и с уведомлением Участников, подавших заявки.</w:t>
      </w:r>
      <w:bookmarkEnd w:id="122"/>
    </w:p>
    <w:p>
      <w:pPr>
        <w:pStyle w:val="Style26"/>
        <w:rPr>
          <w:rFonts w:ascii="Times New Roman" w:hAnsi="Times New Roman"/>
          <w:sz w:val="24"/>
          <w:szCs w:val="24"/>
        </w:rPr>
      </w:pPr>
      <w:r>
        <w:rPr>
          <w:sz w:val="24"/>
          <w:szCs w:val="24"/>
        </w:rPr>
        <w:t>Текст изменений официально размещается в течение 3 (трех) календарных дней со дня принятия решения о внесении указанных изменений. Все Участники, официально получившие Документацию о закупке через ЭП, получат соответствующие уведомления в порядке, установленном Регламентом ЭП.</w:t>
      </w:r>
    </w:p>
    <w:p>
      <w:pPr>
        <w:pStyle w:val="Style26"/>
        <w:rPr>
          <w:rFonts w:ascii="Times New Roman" w:hAnsi="Times New Roman"/>
          <w:sz w:val="24"/>
          <w:szCs w:val="24"/>
        </w:rPr>
      </w:pPr>
      <w:bookmarkStart w:id="123" w:name="_Hlk135643673"/>
      <w:r>
        <w:rPr>
          <w:sz w:val="24"/>
          <w:szCs w:val="24"/>
        </w:rPr>
        <w:t>При внесении изменений в Документацию о закупке (за исключением указанного в пункте </w:t>
      </w:r>
      <w:r>
        <w:rPr>
          <w:sz w:val="24"/>
          <w:szCs w:val="24"/>
        </w:rPr>
        <w:fldChar w:fldCharType="begin"/>
      </w:r>
      <w:r>
        <w:rPr>
          <w:sz w:val="24"/>
          <w:szCs w:val="24"/>
        </w:rPr>
        <w:instrText xml:space="preserve"> REF _Ref125550844 \r \h </w:instrText>
      </w:r>
      <w:r>
        <w:rPr>
          <w:sz w:val="24"/>
          <w:szCs w:val="24"/>
        </w:rPr>
        <w:fldChar w:fldCharType="separate"/>
      </w:r>
      <w:r>
        <w:rPr>
          <w:sz w:val="24"/>
          <w:szCs w:val="24"/>
        </w:rPr>
        <w:t>4.5.2</w:t>
      </w:r>
      <w:r>
        <w:rPr>
          <w:sz w:val="24"/>
          <w:szCs w:val="24"/>
        </w:rPr>
        <w:fldChar w:fldCharType="end"/>
      </w:r>
      <w:r>
        <w:rPr>
          <w:sz w:val="24"/>
          <w:szCs w:val="24"/>
        </w:rPr>
        <w:t>), срок подачи заявок будет продлен таким образом, чтобы со дня официального размещения таких изменений до даты окончания подачи заявок оставалось не менее половины от минимального срока подачи заявок, установленного в Положении о закупке для данного способа, а именно не менее</w:t>
      </w:r>
      <w:bookmarkEnd w:id="123"/>
      <w:r>
        <w:rPr>
          <w:sz w:val="24"/>
          <w:szCs w:val="24"/>
        </w:rPr>
        <w:t xml:space="preserve"> 4 (четырех) рабочих дней.</w:t>
      </w:r>
    </w:p>
    <w:p>
      <w:pPr>
        <w:pStyle w:val="Style26"/>
        <w:rPr>
          <w:rFonts w:ascii="Times New Roman" w:hAnsi="Times New Roman"/>
          <w:sz w:val="24"/>
          <w:szCs w:val="24"/>
        </w:rPr>
      </w:pPr>
      <w:r>
        <w:rPr>
          <w:sz w:val="24"/>
          <w:szCs w:val="24"/>
        </w:rPr>
        <w:t>Участники обязаны учитывать внесенные изменения при подготовке своих заявок. Все риски и последствия за подачу заявки без учета официально размещенных изменений несет Участник.</w:t>
      </w:r>
    </w:p>
    <w:p>
      <w:pPr>
        <w:pStyle w:val="Style25"/>
        <w:rPr>
          <w:rFonts w:ascii="Times New Roman" w:hAnsi="Times New Roman"/>
          <w:sz w:val="24"/>
          <w:szCs w:val="24"/>
        </w:rPr>
      </w:pPr>
      <w:bookmarkStart w:id="124" w:name="_Toc229567046"/>
      <w:bookmarkStart w:id="125" w:name="_Ref125362119"/>
      <w:r>
        <w:rPr>
          <w:sz w:val="24"/>
          <w:szCs w:val="24"/>
        </w:rPr>
        <w:t>Подача заявок и их прием</w:t>
      </w:r>
      <w:bookmarkEnd w:id="124"/>
      <w:bookmarkEnd w:id="125"/>
    </w:p>
    <w:p>
      <w:pPr>
        <w:pStyle w:val="Style26"/>
        <w:rPr>
          <w:rFonts w:ascii="Times New Roman" w:hAnsi="Times New Roman"/>
          <w:sz w:val="24"/>
          <w:szCs w:val="24"/>
        </w:rPr>
      </w:pPr>
      <w:r>
        <w:rPr>
          <w:sz w:val="24"/>
          <w:szCs w:val="24"/>
        </w:rPr>
        <w:t>Участник вправе подать одну подготовленную заявку на участие в закупке в любое время начиная с даты официального размещения Извещения и до окончания срока подачи заявок (подраздел </w:t>
      </w:r>
      <w:r>
        <w:rPr>
          <w:sz w:val="24"/>
          <w:szCs w:val="24"/>
        </w:rPr>
        <w:fldChar w:fldCharType="begin"/>
      </w:r>
      <w:r>
        <w:rPr>
          <w:sz w:val="24"/>
          <w:szCs w:val="24"/>
        </w:rPr>
        <w:instrText xml:space="preserve"> REF _Ref125359973 \r \h </w:instrText>
      </w:r>
      <w:r>
        <w:rPr>
          <w:sz w:val="24"/>
          <w:szCs w:val="24"/>
        </w:rPr>
        <w:fldChar w:fldCharType="separate"/>
      </w:r>
      <w:r>
        <w:rPr>
          <w:sz w:val="24"/>
          <w:szCs w:val="24"/>
        </w:rPr>
        <w:t>1.2</w:t>
      </w:r>
      <w:r>
        <w:rPr>
          <w:sz w:val="24"/>
          <w:szCs w:val="24"/>
        </w:rPr>
        <w:fldChar w:fldCharType="end"/>
      </w:r>
      <w:r>
        <w:rPr>
          <w:sz w:val="24"/>
          <w:szCs w:val="24"/>
        </w:rPr>
        <w:t>). Заявки, поданные позднее установленного срока, не могут быть приняты Организатором, независимо от причин опоздания.</w:t>
      </w:r>
    </w:p>
    <w:p>
      <w:pPr>
        <w:pStyle w:val="Style26"/>
        <w:rPr>
          <w:rFonts w:ascii="Times New Roman" w:hAnsi="Times New Roman"/>
          <w:sz w:val="24"/>
          <w:szCs w:val="24"/>
        </w:rPr>
      </w:pPr>
      <w:r>
        <w:rPr>
          <w:sz w:val="24"/>
          <w:szCs w:val="24"/>
        </w:rPr>
        <w:t>Подача Участником заявки означает его безоговорочное согласие с условиями участия в закупке, содержащимися в Документации о закупке, а также изучение им Положения о закупке Заказчика и Документации о закупке (включая все приложения к ней).</w:t>
      </w:r>
    </w:p>
    <w:p>
      <w:pPr>
        <w:pStyle w:val="Style26"/>
        <w:rPr>
          <w:rFonts w:ascii="Times New Roman" w:hAnsi="Times New Roman"/>
          <w:sz w:val="24"/>
          <w:szCs w:val="24"/>
        </w:rPr>
      </w:pPr>
      <w:r>
        <w:rPr>
          <w:sz w:val="24"/>
          <w:szCs w:val="24"/>
        </w:rPr>
        <w:t>Заявка должна быть подготовлена в форме электронного документа и подана с использованием функционала ЭП в доступном для прочтения формате. При этом Участник должен сканировать документы после того, как они будут оформлены в соответствии с требованиями Документации о закупке.</w:t>
      </w:r>
    </w:p>
    <w:p>
      <w:pPr>
        <w:pStyle w:val="Style26"/>
        <w:rPr>
          <w:rFonts w:ascii="Times New Roman" w:hAnsi="Times New Roman"/>
          <w:sz w:val="24"/>
          <w:szCs w:val="24"/>
        </w:rPr>
      </w:pPr>
      <w:r>
        <w:rPr>
          <w:sz w:val="24"/>
          <w:szCs w:val="24"/>
        </w:rPr>
        <w:t xml:space="preserve">Заявка должна быть подписана </w:t>
      </w:r>
      <w:bookmarkStart w:id="126" w:name="_Hlk219296949"/>
      <w:r>
        <w:rPr>
          <w:sz w:val="24"/>
          <w:szCs w:val="24"/>
        </w:rPr>
        <w:t xml:space="preserve">усиленной квалифицированной </w:t>
      </w:r>
      <w:bookmarkEnd w:id="126"/>
      <w:r>
        <w:rPr>
          <w:sz w:val="24"/>
          <w:szCs w:val="24"/>
        </w:rPr>
        <w:t>электронной подписью лица, которое является уполномоченным представителем Участника.</w:t>
      </w:r>
    </w:p>
    <w:p>
      <w:pPr>
        <w:pStyle w:val="Style26"/>
        <w:rPr>
          <w:rFonts w:ascii="Times New Roman" w:hAnsi="Times New Roman"/>
          <w:sz w:val="24"/>
          <w:szCs w:val="24"/>
        </w:rPr>
      </w:pPr>
      <w:r>
        <w:rPr>
          <w:sz w:val="24"/>
          <w:szCs w:val="24"/>
        </w:rPr>
        <w:t>Правила подачи заявок также определяются Регламентом ЭП. Заявки, поданные через ЭП, дублировать в адрес Организатора по почте, электронной почте и другими способами не требуется. Заявки, полученные Организатором не через ЭП, не рассматриваются.</w:t>
      </w:r>
    </w:p>
    <w:p>
      <w:pPr>
        <w:pStyle w:val="Style26"/>
        <w:rPr>
          <w:rFonts w:ascii="Times New Roman" w:hAnsi="Times New Roman"/>
          <w:sz w:val="24"/>
          <w:szCs w:val="24"/>
        </w:rPr>
      </w:pPr>
      <w:r>
        <w:rPr>
          <w:sz w:val="24"/>
          <w:szCs w:val="24"/>
        </w:rPr>
        <w:t>Если Регламентом ЭП предусмотрено направление в составе заявки документов, представленных в момент аккредитации Участника на ЭП, Участник обязан обеспечить актуальность направляемых вместе с заявкой сведений.</w:t>
      </w:r>
    </w:p>
    <w:p>
      <w:pPr>
        <w:pStyle w:val="Style26"/>
        <w:rPr>
          <w:rFonts w:ascii="Times New Roman" w:hAnsi="Times New Roman"/>
          <w:sz w:val="24"/>
          <w:szCs w:val="24"/>
        </w:rPr>
      </w:pPr>
      <w:r>
        <w:rPr>
          <w:sz w:val="24"/>
          <w:szCs w:val="24"/>
        </w:rPr>
        <w:t>Оператор ЭП до окончания срока подачи заявок обеспечивает конфиденциальность информации, содержащейся в поданных заявках.</w:t>
      </w:r>
    </w:p>
    <w:p>
      <w:pPr>
        <w:pStyle w:val="Style25"/>
        <w:rPr>
          <w:rFonts w:ascii="Times New Roman" w:hAnsi="Times New Roman"/>
          <w:sz w:val="24"/>
          <w:szCs w:val="24"/>
        </w:rPr>
      </w:pPr>
      <w:bookmarkStart w:id="127" w:name="_Ref125363819"/>
      <w:bookmarkStart w:id="128" w:name="_Toc229567047"/>
      <w:bookmarkStart w:id="129" w:name="_Ref125362130"/>
      <w:bookmarkStart w:id="130" w:name="_Ref125365136"/>
      <w:bookmarkStart w:id="131" w:name="_Ref125362192"/>
      <w:r>
        <w:rPr>
          <w:sz w:val="24"/>
          <w:szCs w:val="24"/>
        </w:rPr>
        <w:t>Изменение и отзыв заявок</w:t>
      </w:r>
      <w:bookmarkEnd w:id="127"/>
      <w:bookmarkEnd w:id="128"/>
      <w:bookmarkEnd w:id="129"/>
      <w:bookmarkEnd w:id="130"/>
      <w:bookmarkEnd w:id="131"/>
    </w:p>
    <w:p>
      <w:pPr>
        <w:pStyle w:val="Style26"/>
        <w:rPr>
          <w:rFonts w:ascii="Times New Roman" w:hAnsi="Times New Roman"/>
          <w:sz w:val="24"/>
          <w:szCs w:val="24"/>
        </w:rPr>
      </w:pPr>
      <w:r>
        <w:rPr>
          <w:sz w:val="24"/>
          <w:szCs w:val="24"/>
        </w:rPr>
        <w:t>Участник вправе изменить или отозвать поданную им ранее заявку до момента окончания срока подачи заявок. Внесение изменений в заявку, отзыв заявки после этого времени не допускаются, кроме случаев, прямо предусмотренных Документацией о закупке.</w:t>
      </w:r>
    </w:p>
    <w:p>
      <w:pPr>
        <w:pStyle w:val="Style26"/>
        <w:rPr>
          <w:rFonts w:ascii="Times New Roman" w:hAnsi="Times New Roman"/>
          <w:sz w:val="24"/>
          <w:szCs w:val="24"/>
        </w:rPr>
      </w:pPr>
      <w:r>
        <w:rPr>
          <w:sz w:val="24"/>
          <w:szCs w:val="24"/>
        </w:rPr>
        <w:t>Отзыв Участником ранее поданной заявки является отказом от участия в закупке, отозванные заявки не рассматриваются Организатором по существу.</w:t>
      </w:r>
    </w:p>
    <w:p>
      <w:pPr>
        <w:pStyle w:val="Style26"/>
        <w:rPr>
          <w:rFonts w:ascii="Times New Roman" w:hAnsi="Times New Roman"/>
          <w:sz w:val="24"/>
          <w:szCs w:val="24"/>
        </w:rPr>
      </w:pPr>
      <w:r>
        <w:rPr>
          <w:sz w:val="24"/>
          <w:szCs w:val="24"/>
        </w:rPr>
        <w:t>Изменение и отзыв Участником ранее поданной заявки осуществляется в порядке, аналогичном порядку подачи и приема заявок, установленному в подразделе </w:t>
      </w:r>
      <w:r>
        <w:rPr>
          <w:sz w:val="24"/>
          <w:szCs w:val="24"/>
        </w:rPr>
        <w:fldChar w:fldCharType="begin"/>
      </w:r>
      <w:r>
        <w:rPr>
          <w:sz w:val="24"/>
          <w:szCs w:val="24"/>
        </w:rPr>
        <w:instrText xml:space="preserve"> REF _Ref125362119 \w \h </w:instrText>
      </w:r>
      <w:r>
        <w:rPr>
          <w:sz w:val="24"/>
          <w:szCs w:val="24"/>
        </w:rPr>
        <w:fldChar w:fldCharType="separate"/>
      </w:r>
      <w:r>
        <w:rPr>
          <w:sz w:val="24"/>
          <w:szCs w:val="24"/>
        </w:rPr>
        <w:t>4.6</w:t>
      </w:r>
      <w:r>
        <w:rPr>
          <w:sz w:val="24"/>
          <w:szCs w:val="24"/>
        </w:rPr>
        <w:fldChar w:fldCharType="end"/>
      </w:r>
      <w:r>
        <w:rPr>
          <w:sz w:val="24"/>
          <w:szCs w:val="24"/>
        </w:rPr>
        <w:t>.</w:t>
      </w:r>
    </w:p>
    <w:p>
      <w:pPr>
        <w:pStyle w:val="Style26"/>
        <w:rPr>
          <w:rFonts w:ascii="Times New Roman" w:hAnsi="Times New Roman"/>
          <w:sz w:val="24"/>
          <w:szCs w:val="24"/>
        </w:rPr>
      </w:pPr>
      <w:r>
        <w:rPr>
          <w:sz w:val="24"/>
          <w:szCs w:val="24"/>
        </w:rPr>
        <w:t>Изменения и отзыв заявки осуществляется посредством функционала ЭП (подробный порядок определяется Регламентом ЭП).</w:t>
      </w:r>
    </w:p>
    <w:p>
      <w:pPr>
        <w:pStyle w:val="Style25"/>
        <w:rPr>
          <w:rFonts w:ascii="Times New Roman" w:hAnsi="Times New Roman"/>
          <w:sz w:val="24"/>
          <w:szCs w:val="24"/>
        </w:rPr>
      </w:pPr>
      <w:bookmarkStart w:id="132" w:name="_Ref130221619"/>
      <w:bookmarkStart w:id="133" w:name="_Toc229567048"/>
      <w:bookmarkStart w:id="134" w:name="_Ref125364340"/>
      <w:bookmarkEnd w:id="134"/>
      <w:r>
        <w:rPr>
          <w:sz w:val="24"/>
          <w:szCs w:val="24"/>
        </w:rPr>
        <w:t>Открытие доступа к заявкам</w:t>
      </w:r>
      <w:bookmarkEnd w:id="132"/>
      <w:bookmarkEnd w:id="133"/>
    </w:p>
    <w:p>
      <w:pPr>
        <w:pStyle w:val="Style26"/>
        <w:rPr>
          <w:rFonts w:ascii="Times New Roman" w:hAnsi="Times New Roman"/>
          <w:sz w:val="24"/>
          <w:szCs w:val="24"/>
        </w:rPr>
      </w:pPr>
      <w:r>
        <w:rPr>
          <w:sz w:val="24"/>
          <w:szCs w:val="24"/>
        </w:rPr>
        <w:t>Открытие доступа к заявкам («вскрытие» поступивших электронных конвертов с заявками) не является публичным и происходит автоматически в порядке, предусмотренном Регламентом ЭП, сразу после окончания срока подачи заявок (подраздел </w:t>
      </w:r>
      <w:r>
        <w:rPr>
          <w:sz w:val="24"/>
          <w:szCs w:val="24"/>
        </w:rPr>
        <w:fldChar w:fldCharType="begin"/>
      </w:r>
      <w:r>
        <w:rPr>
          <w:sz w:val="24"/>
          <w:szCs w:val="24"/>
        </w:rPr>
        <w:instrText xml:space="preserve"> REF _Ref125359973 \r \h </w:instrText>
      </w:r>
      <w:r>
        <w:rPr>
          <w:sz w:val="24"/>
          <w:szCs w:val="24"/>
        </w:rPr>
        <w:fldChar w:fldCharType="separate"/>
      </w:r>
      <w:r>
        <w:rPr>
          <w:sz w:val="24"/>
          <w:szCs w:val="24"/>
        </w:rPr>
        <w:t>1.2</w:t>
      </w:r>
      <w:r>
        <w:rPr>
          <w:sz w:val="24"/>
          <w:szCs w:val="24"/>
        </w:rPr>
        <w:fldChar w:fldCharType="end"/>
      </w:r>
      <w:r>
        <w:rPr>
          <w:sz w:val="24"/>
          <w:szCs w:val="24"/>
        </w:rPr>
        <w:t>).</w:t>
      </w:r>
    </w:p>
    <w:p>
      <w:pPr>
        <w:pStyle w:val="Style26"/>
        <w:rPr>
          <w:rFonts w:ascii="Times New Roman" w:hAnsi="Times New Roman"/>
          <w:sz w:val="24"/>
          <w:szCs w:val="24"/>
        </w:rPr>
      </w:pPr>
      <w:r>
        <w:rPr>
          <w:sz w:val="24"/>
          <w:szCs w:val="24"/>
        </w:rPr>
        <w:t>Оператор ЭП предоставляет Организатору доступ одновременно ко всем поданным заявкам в полном объеме.</w:t>
      </w:r>
    </w:p>
    <w:p>
      <w:pPr>
        <w:pStyle w:val="Style26"/>
        <w:keepNext w:val="true"/>
        <w:rPr>
          <w:rFonts w:ascii="Times New Roman" w:hAnsi="Times New Roman"/>
          <w:sz w:val="24"/>
          <w:szCs w:val="24"/>
        </w:rPr>
      </w:pPr>
      <w:r>
        <w:rPr>
          <w:sz w:val="24"/>
          <w:szCs w:val="24"/>
        </w:rPr>
        <w:t>Организатор по результатам открытия доступа к заявкам формирует соответствующий протокол с указанием в нем, как минимум, следующей информации</w:t>
      </w:r>
      <w:r>
        <w:rPr>
          <w:rStyle w:val="FootnoteReference"/>
          <w:sz w:val="24"/>
          <w:szCs w:val="24"/>
        </w:rPr>
        <w:footnoteReference w:id="4"/>
      </w:r>
      <w:r>
        <w:rPr>
          <w:sz w:val="24"/>
          <w:szCs w:val="24"/>
        </w:rPr>
        <w:t>:</w:t>
      </w:r>
    </w:p>
    <w:p>
      <w:pPr>
        <w:pStyle w:val="Style27"/>
        <w:rPr>
          <w:rFonts w:ascii="Times New Roman" w:hAnsi="Times New Roman"/>
          <w:sz w:val="24"/>
          <w:szCs w:val="24"/>
        </w:rPr>
      </w:pPr>
      <w:r>
        <w:rPr>
          <w:sz w:val="24"/>
          <w:szCs w:val="24"/>
        </w:rPr>
        <w:t>дата подписания протокола;</w:t>
      </w:r>
    </w:p>
    <w:p>
      <w:pPr>
        <w:pStyle w:val="Style27"/>
        <w:rPr>
          <w:rFonts w:ascii="Times New Roman" w:hAnsi="Times New Roman"/>
          <w:sz w:val="24"/>
          <w:szCs w:val="24"/>
        </w:rPr>
      </w:pPr>
      <w:r>
        <w:rPr>
          <w:sz w:val="24"/>
          <w:szCs w:val="24"/>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27"/>
        <w:rPr>
          <w:rFonts w:ascii="Times New Roman" w:hAnsi="Times New Roman"/>
          <w:sz w:val="24"/>
          <w:szCs w:val="24"/>
        </w:rPr>
      </w:pPr>
      <w:r>
        <w:rPr>
          <w:sz w:val="24"/>
          <w:szCs w:val="24"/>
        </w:rPr>
        <w:t>идентификационные номера заявок Участников, присваиваемые Оператором ЭП;</w:t>
      </w:r>
    </w:p>
    <w:p>
      <w:pPr>
        <w:pStyle w:val="Style27"/>
        <w:rPr>
          <w:rFonts w:ascii="Times New Roman" w:hAnsi="Times New Roman"/>
          <w:sz w:val="24"/>
          <w:szCs w:val="24"/>
        </w:rPr>
      </w:pPr>
      <w:r>
        <w:rPr>
          <w:sz w:val="24"/>
          <w:szCs w:val="24"/>
        </w:rPr>
        <w:t>стоимости заявок (или иное указание на общую стоимость заявки);</w:t>
      </w:r>
    </w:p>
    <w:p>
      <w:pPr>
        <w:pStyle w:val="Style27"/>
        <w:rPr>
          <w:rFonts w:ascii="Times New Roman" w:hAnsi="Times New Roman"/>
          <w:sz w:val="24"/>
          <w:szCs w:val="24"/>
        </w:rPr>
      </w:pPr>
      <w:r>
        <w:rPr>
          <w:sz w:val="24"/>
          <w:szCs w:val="24"/>
        </w:rPr>
        <w:t>причины, по которым закупка признана несостоявшейся в соответствии с подразделом </w:t>
      </w:r>
      <w:r>
        <w:rPr>
          <w:sz w:val="24"/>
          <w:szCs w:val="24"/>
        </w:rPr>
        <w:fldChar w:fldCharType="begin"/>
      </w:r>
      <w:r>
        <w:rPr>
          <w:sz w:val="24"/>
          <w:szCs w:val="24"/>
        </w:rPr>
        <w:instrText xml:space="preserve"> REF _Ref125364149 \w \h </w:instrText>
      </w:r>
      <w:r>
        <w:rPr>
          <w:sz w:val="24"/>
          <w:szCs w:val="24"/>
        </w:rPr>
        <w:fldChar w:fldCharType="separate"/>
      </w:r>
      <w:r>
        <w:rPr>
          <w:sz w:val="24"/>
          <w:szCs w:val="24"/>
        </w:rPr>
        <w:t>4.15</w:t>
      </w:r>
      <w:r>
        <w:rPr>
          <w:sz w:val="24"/>
          <w:szCs w:val="24"/>
        </w:rPr>
        <w:fldChar w:fldCharType="end"/>
      </w:r>
      <w:r>
        <w:rPr>
          <w:sz w:val="24"/>
          <w:szCs w:val="24"/>
        </w:rPr>
        <w:t xml:space="preserve"> (в случае ее признания таковой),</w:t>
      </w:r>
    </w:p>
    <w:p>
      <w:pPr>
        <w:pStyle w:val="Style30"/>
        <w:ind w:hanging="0" w:left="1134"/>
        <w:rPr>
          <w:rFonts w:ascii="Times New Roman" w:hAnsi="Times New Roman"/>
          <w:sz w:val="24"/>
          <w:szCs w:val="24"/>
        </w:rPr>
      </w:pPr>
      <w:r>
        <w:rPr>
          <w:sz w:val="24"/>
          <w:szCs w:val="24"/>
        </w:rPr>
        <w:t>после чего официально размещает его в течение 3 (трех) календарных дней с даты подписания такого протокола. Заседание Закупочной комиссии при этом не проводится.</w:t>
      </w:r>
    </w:p>
    <w:p>
      <w:pPr>
        <w:pStyle w:val="Style26"/>
        <w:rPr>
          <w:rFonts w:ascii="Times New Roman" w:hAnsi="Times New Roman"/>
          <w:sz w:val="24"/>
          <w:szCs w:val="24"/>
        </w:rPr>
      </w:pPr>
      <w:r>
        <w:rPr>
          <w:sz w:val="24"/>
          <w:szCs w:val="24"/>
        </w:rPr>
        <w:t>Протокол открытия доступа к заявкам может формироваться автоматически Оператором ЭП, после чего официально размещаться в установленном порядке. В этом случае протокол считается подписанным уполномоченным лицом Организатора.</w:t>
      </w:r>
    </w:p>
    <w:p>
      <w:pPr>
        <w:pStyle w:val="Style26"/>
        <w:rPr>
          <w:rFonts w:ascii="Times New Roman" w:hAnsi="Times New Roman"/>
          <w:sz w:val="24"/>
          <w:szCs w:val="24"/>
        </w:rPr>
      </w:pPr>
      <w:r>
        <w:rPr>
          <w:sz w:val="24"/>
          <w:szCs w:val="24"/>
        </w:rPr>
        <w:t>Порядок получения Участниками информации о поступивших заявках через ЭП определяется Регламентом ЭП.</w:t>
      </w:r>
    </w:p>
    <w:p>
      <w:pPr>
        <w:pStyle w:val="Style25"/>
        <w:rPr>
          <w:rFonts w:ascii="Times New Roman" w:hAnsi="Times New Roman"/>
          <w:sz w:val="24"/>
          <w:szCs w:val="24"/>
        </w:rPr>
      </w:pPr>
      <w:bookmarkStart w:id="135" w:name="_Toc229567049"/>
      <w:bookmarkStart w:id="136" w:name="_Ref135749133"/>
      <w:bookmarkStart w:id="137" w:name="_Ref125366689"/>
      <w:bookmarkStart w:id="138" w:name="_Ref125362364"/>
      <w:bookmarkStart w:id="139" w:name="_Ref125364340_Копия_1"/>
      <w:bookmarkEnd w:id="139"/>
      <w:r>
        <w:rPr>
          <w:sz w:val="24"/>
          <w:szCs w:val="24"/>
        </w:rPr>
        <w:t>Рассмотрение заявок (отборочная стадия)</w:t>
      </w:r>
      <w:bookmarkEnd w:id="137"/>
      <w:bookmarkEnd w:id="138"/>
      <w:r>
        <w:rPr>
          <w:sz w:val="24"/>
          <w:szCs w:val="24"/>
        </w:rPr>
        <w:t>, в том числе (при необходимости) проведение аккредитации</w:t>
      </w:r>
      <w:bookmarkEnd w:id="135"/>
      <w:bookmarkEnd w:id="136"/>
    </w:p>
    <w:p>
      <w:pPr>
        <w:pStyle w:val="Style26"/>
        <w:rPr>
          <w:rFonts w:ascii="Times New Roman" w:hAnsi="Times New Roman"/>
          <w:sz w:val="24"/>
          <w:szCs w:val="24"/>
        </w:rPr>
      </w:pPr>
      <w:r>
        <w:rPr>
          <w:sz w:val="24"/>
          <w:szCs w:val="24"/>
        </w:rPr>
        <w:t>Дата окончания срока рассмотрения заявок установлена в подразделе </w:t>
      </w:r>
      <w:r>
        <w:rPr>
          <w:sz w:val="24"/>
          <w:szCs w:val="24"/>
        </w:rPr>
        <w:fldChar w:fldCharType="begin"/>
      </w:r>
      <w:r>
        <w:rPr>
          <w:sz w:val="24"/>
          <w:szCs w:val="24"/>
        </w:rPr>
        <w:instrText xml:space="preserve"> REF _Ref125359973 \r \h </w:instrText>
      </w:r>
      <w:r>
        <w:rPr>
          <w:sz w:val="24"/>
          <w:szCs w:val="24"/>
        </w:rPr>
        <w:fldChar w:fldCharType="separate"/>
      </w:r>
      <w:r>
        <w:rPr>
          <w:sz w:val="24"/>
          <w:szCs w:val="24"/>
        </w:rPr>
        <w:t>1.2</w:t>
      </w:r>
      <w:r>
        <w:rPr>
          <w:sz w:val="24"/>
          <w:szCs w:val="24"/>
        </w:rPr>
        <w:fldChar w:fldCharType="end"/>
      </w:r>
      <w:r>
        <w:rPr>
          <w:sz w:val="24"/>
          <w:szCs w:val="24"/>
        </w:rPr>
        <w:t>. Организатор по согласованию с Заказчиком вправе, при необходимости, изменить ее, официально разместив информацию об этом.</w:t>
      </w:r>
    </w:p>
    <w:p>
      <w:pPr>
        <w:pStyle w:val="Style26"/>
        <w:rPr/>
      </w:pPr>
      <w:r>
        <w:rPr>
          <w:sz w:val="24"/>
          <w:szCs w:val="24"/>
        </w:rPr>
        <w:t xml:space="preserve">В рамках рассмотрения заявок (отборочной стадии) осуществляется проверка каждой заявки на предмет соответствия </w:t>
      </w:r>
      <w:hyperlink w:anchor="Прил07_ОтборочныеКритерии">
        <w:r>
          <w:rPr>
            <w:rStyle w:val="Style14"/>
            <w:sz w:val="24"/>
            <w:szCs w:val="24"/>
          </w:rPr>
          <w:t>Отборочным критериям рассмотрения заявок (Приложение № 7)</w:t>
        </w:r>
      </w:hyperlink>
      <w:r>
        <w:rPr>
          <w:sz w:val="24"/>
          <w:szCs w:val="24"/>
        </w:rPr>
        <w:t>, в том числе проводится процедура аккредитации Участников (при необходимости).</w:t>
      </w:r>
    </w:p>
    <w:p>
      <w:pPr>
        <w:pStyle w:val="Style26"/>
        <w:rPr>
          <w:rFonts w:ascii="Times New Roman" w:hAnsi="Times New Roman"/>
          <w:sz w:val="24"/>
          <w:szCs w:val="24"/>
        </w:rPr>
      </w:pPr>
      <w:r>
        <w:rPr>
          <w:sz w:val="24"/>
          <w:szCs w:val="24"/>
        </w:rPr>
        <w:t>Рассмотрение заявок проводится на основании представленных в составе заявки документов и сведений.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или иным законным способом.</w:t>
      </w:r>
    </w:p>
    <w:p>
      <w:pPr>
        <w:pStyle w:val="Style26"/>
        <w:keepNext w:val="true"/>
        <w:rPr>
          <w:rFonts w:ascii="Times New Roman" w:hAnsi="Times New Roman"/>
          <w:sz w:val="24"/>
          <w:szCs w:val="24"/>
        </w:rPr>
      </w:pPr>
      <w:bookmarkStart w:id="140" w:name="_Ref224839089"/>
      <w:r>
        <w:rPr>
          <w:sz w:val="24"/>
          <w:szCs w:val="24"/>
        </w:rPr>
        <w:t>При выявлении в рамках рассмотрения заявок наличия арифметических ошибок, в том числе:</w:t>
      </w:r>
      <w:bookmarkEnd w:id="140"/>
    </w:p>
    <w:p>
      <w:pPr>
        <w:pStyle w:val="Style27"/>
        <w:rPr>
          <w:rFonts w:ascii="Times New Roman" w:hAnsi="Times New Roman"/>
          <w:sz w:val="24"/>
          <w:szCs w:val="24"/>
        </w:rPr>
      </w:pPr>
      <w:r>
        <w:rPr>
          <w:sz w:val="24"/>
          <w:szCs w:val="24"/>
        </w:rPr>
        <w:t>в результате суммирования единичных расценок;</w:t>
      </w:r>
    </w:p>
    <w:p>
      <w:pPr>
        <w:pStyle w:val="Style27"/>
        <w:rPr>
          <w:rFonts w:ascii="Times New Roman" w:hAnsi="Times New Roman"/>
          <w:sz w:val="24"/>
          <w:szCs w:val="24"/>
        </w:rPr>
      </w:pPr>
      <w:r>
        <w:rPr>
          <w:sz w:val="24"/>
          <w:szCs w:val="24"/>
        </w:rPr>
        <w:t>в итогах умножения единичных расценок на объем продукции;</w:t>
      </w:r>
    </w:p>
    <w:p>
      <w:pPr>
        <w:pStyle w:val="Style27"/>
        <w:rPr>
          <w:rFonts w:ascii="Times New Roman" w:hAnsi="Times New Roman"/>
          <w:sz w:val="24"/>
          <w:szCs w:val="24"/>
        </w:rPr>
      </w:pPr>
      <w:r>
        <w:rPr>
          <w:sz w:val="24"/>
          <w:szCs w:val="24"/>
        </w:rPr>
        <w:t>в вычислении суммы НДС и итоговой стоимости заявки с учетом НДС;</w:t>
      </w:r>
    </w:p>
    <w:p>
      <w:pPr>
        <w:pStyle w:val="Style27"/>
        <w:rPr>
          <w:rFonts w:ascii="Times New Roman" w:hAnsi="Times New Roman"/>
          <w:sz w:val="24"/>
          <w:szCs w:val="24"/>
        </w:rPr>
      </w:pPr>
      <w:r>
        <w:rPr>
          <w:sz w:val="24"/>
          <w:szCs w:val="24"/>
        </w:rPr>
        <w:t>иных внутренних противоречий в составе заявки,</w:t>
      </w:r>
    </w:p>
    <w:p>
      <w:pPr>
        <w:pStyle w:val="Style30"/>
        <w:ind w:hanging="0" w:left="1134"/>
        <w:rPr>
          <w:rFonts w:ascii="Times New Roman" w:hAnsi="Times New Roman"/>
          <w:sz w:val="24"/>
          <w:szCs w:val="24"/>
        </w:rPr>
      </w:pPr>
      <w:r>
        <w:rPr>
          <w:sz w:val="24"/>
          <w:szCs w:val="24"/>
        </w:rPr>
        <w:t>Организатор исходит из преимущества общей итоговой стоимости (без учета НДС), указанной в структурированных формах на ЭП (последней по времени подачи) и подписанной усиленной квалифицированной электронной подписью уполномоченного лица Участника. При уклонении Участника от заключения договора на вышеуказанных условиях заявка такого Участника подлежит отклонению решением Закупочной комиссии.</w:t>
      </w:r>
    </w:p>
    <w:p>
      <w:pPr>
        <w:pStyle w:val="Style26"/>
        <w:keepNext w:val="true"/>
        <w:rPr>
          <w:rFonts w:ascii="Times New Roman" w:hAnsi="Times New Roman"/>
          <w:sz w:val="24"/>
          <w:szCs w:val="24"/>
        </w:rPr>
      </w:pPr>
      <w:bookmarkStart w:id="141" w:name="_Ref125551456"/>
      <w:r>
        <w:rPr>
          <w:sz w:val="24"/>
          <w:szCs w:val="24"/>
        </w:rPr>
        <w:t>По результатам рассмотрения заявок (проведения отборочной стадии) Закупочная комиссия отклоняет заявки по следующим основаниям:</w:t>
      </w:r>
      <w:bookmarkEnd w:id="141"/>
    </w:p>
    <w:p>
      <w:pPr>
        <w:pStyle w:val="Style27"/>
        <w:rPr>
          <w:rFonts w:ascii="Times New Roman" w:hAnsi="Times New Roman"/>
          <w:sz w:val="24"/>
          <w:szCs w:val="24"/>
        </w:rPr>
      </w:pPr>
      <w:r>
        <w:rPr>
          <w:sz w:val="24"/>
          <w:szCs w:val="24"/>
        </w:rPr>
        <w:t>несоответствие по составу</w:t>
      </w:r>
      <w:r>
        <w:rPr>
          <w:rStyle w:val="FootnoteReference"/>
          <w:sz w:val="24"/>
          <w:szCs w:val="24"/>
        </w:rPr>
        <w:footnoteReference w:id="5"/>
      </w:r>
      <w:r>
        <w:rPr>
          <w:sz w:val="24"/>
          <w:szCs w:val="24"/>
        </w:rPr>
        <w:t>, содержанию и соблюдению требований Документации о закупке к подготовке (оформлению) заявки, в том числе наличие:</w:t>
      </w:r>
    </w:p>
    <w:p>
      <w:pPr>
        <w:pStyle w:val="Style28"/>
        <w:rPr>
          <w:rFonts w:ascii="Times New Roman" w:hAnsi="Times New Roman"/>
          <w:sz w:val="24"/>
          <w:szCs w:val="24"/>
        </w:rPr>
      </w:pPr>
      <w:r>
        <w:rPr>
          <w:sz w:val="24"/>
          <w:szCs w:val="24"/>
        </w:rPr>
        <w:t>недостоверных сведений</w:t>
      </w:r>
      <w:r>
        <w:rPr>
          <w:rStyle w:val="FootnoteReference"/>
          <w:sz w:val="24"/>
          <w:szCs w:val="24"/>
        </w:rPr>
        <w:footnoteReference w:id="6"/>
      </w:r>
      <w:r>
        <w:rPr>
          <w:sz w:val="24"/>
          <w:szCs w:val="24"/>
        </w:rPr>
        <w:t xml:space="preserve"> или намеренно искаженной информации или документов;</w:t>
      </w:r>
    </w:p>
    <w:p>
      <w:pPr>
        <w:pStyle w:val="Style28"/>
        <w:rPr>
          <w:rFonts w:ascii="Times New Roman" w:hAnsi="Times New Roman"/>
          <w:sz w:val="24"/>
          <w:szCs w:val="24"/>
        </w:rPr>
      </w:pPr>
      <w:r>
        <w:rPr>
          <w:sz w:val="24"/>
          <w:szCs w:val="24"/>
        </w:rPr>
        <w:t xml:space="preserve">внутренних противоречий между различными частями и (или) документами заявки, в том числе по тексту внутри одного документа (за исключением ошибок, предусмотренных пунктом </w:t>
      </w:r>
      <w:r>
        <w:rPr>
          <w:sz w:val="24"/>
          <w:szCs w:val="24"/>
        </w:rPr>
        <w:fldChar w:fldCharType="begin"/>
      </w:r>
      <w:r>
        <w:rPr>
          <w:sz w:val="24"/>
          <w:szCs w:val="24"/>
        </w:rPr>
        <w:instrText xml:space="preserve"> REF _Ref224839089 \r \h </w:instrText>
      </w:r>
      <w:r>
        <w:rPr>
          <w:sz w:val="24"/>
          <w:szCs w:val="24"/>
        </w:rPr>
        <w:fldChar w:fldCharType="separate"/>
      </w:r>
      <w:r>
        <w:rPr>
          <w:sz w:val="24"/>
          <w:szCs w:val="24"/>
        </w:rPr>
        <w:t>4.9.4</w:t>
      </w:r>
      <w:r>
        <w:rPr>
          <w:sz w:val="24"/>
          <w:szCs w:val="24"/>
        </w:rPr>
        <w:fldChar w:fldCharType="end"/>
      </w:r>
      <w:r>
        <w:rPr>
          <w:sz w:val="24"/>
          <w:szCs w:val="24"/>
        </w:rPr>
        <w:t>);</w:t>
      </w:r>
    </w:p>
    <w:p>
      <w:pPr>
        <w:pStyle w:val="Style27"/>
        <w:rPr>
          <w:rFonts w:ascii="Times New Roman" w:hAnsi="Times New Roman"/>
          <w:sz w:val="24"/>
          <w:szCs w:val="24"/>
        </w:rPr>
      </w:pPr>
      <w:r>
        <w:rPr>
          <w:sz w:val="24"/>
          <w:szCs w:val="24"/>
        </w:rPr>
        <w:t>несоответствие Участников требованиям Документации о закупке;</w:t>
      </w:r>
    </w:p>
    <w:p>
      <w:pPr>
        <w:pStyle w:val="Style27"/>
        <w:rPr>
          <w:rFonts w:ascii="Times New Roman" w:hAnsi="Times New Roman"/>
          <w:sz w:val="24"/>
          <w:szCs w:val="24"/>
        </w:rPr>
      </w:pPr>
      <w:r>
        <w:rPr>
          <w:sz w:val="24"/>
          <w:szCs w:val="24"/>
        </w:rPr>
        <w:t>несоответствие привлекаемых субподрядчиков (соисполнителей) требованиям Документации о закупке;</w:t>
      </w:r>
    </w:p>
    <w:p>
      <w:pPr>
        <w:pStyle w:val="Style27"/>
        <w:rPr>
          <w:rFonts w:ascii="Times New Roman" w:hAnsi="Times New Roman"/>
          <w:sz w:val="24"/>
          <w:szCs w:val="24"/>
        </w:rPr>
      </w:pPr>
      <w:r>
        <w:rPr>
          <w:sz w:val="24"/>
          <w:szCs w:val="24"/>
        </w:rPr>
        <w:t>несоответствие предлагаемой продукции требованиям Документации о закупке, в том числе порядка описания такой продукции;</w:t>
      </w:r>
    </w:p>
    <w:p>
      <w:pPr>
        <w:pStyle w:val="Style27"/>
        <w:rPr>
          <w:rFonts w:ascii="Times New Roman" w:hAnsi="Times New Roman"/>
          <w:sz w:val="24"/>
          <w:szCs w:val="24"/>
        </w:rPr>
      </w:pPr>
      <w:r>
        <w:rPr>
          <w:sz w:val="24"/>
          <w:szCs w:val="24"/>
        </w:rPr>
        <w:t>несоответствие предлагаемых договорных условий требованиям Документации о закупке, в том числе превышение стоимости заявки (цены Договора) над установленным размером НМЦ;</w:t>
      </w:r>
    </w:p>
    <w:p>
      <w:pPr>
        <w:pStyle w:val="Style27"/>
        <w:rPr>
          <w:rFonts w:ascii="Times New Roman" w:hAnsi="Times New Roman"/>
          <w:sz w:val="24"/>
          <w:szCs w:val="24"/>
        </w:rPr>
      </w:pPr>
      <w:r>
        <w:rPr>
          <w:sz w:val="24"/>
          <w:szCs w:val="24"/>
        </w:rPr>
        <w:t>несоответствие размера, формы, условий и порядка предоставления обеспечения заявки.</w:t>
      </w:r>
    </w:p>
    <w:p>
      <w:pPr>
        <w:pStyle w:val="Style26"/>
        <w:rPr>
          <w:rFonts w:ascii="Times New Roman" w:hAnsi="Times New Roman"/>
          <w:sz w:val="24"/>
          <w:szCs w:val="24"/>
        </w:rPr>
      </w:pPr>
      <w:r>
        <w:rPr>
          <w:sz w:val="24"/>
          <w:szCs w:val="24"/>
        </w:rPr>
        <w:t>По результатам рассмотрения заявок также может осуществляться предварительная оценка и сопоставление допущенных заявок, если после отборочной стадии планируется проведение переторжки (подраздел </w:t>
      </w:r>
      <w:r>
        <w:rPr>
          <w:sz w:val="24"/>
          <w:szCs w:val="24"/>
        </w:rPr>
        <w:fldChar w:fldCharType="begin"/>
      </w:r>
      <w:r>
        <w:rPr>
          <w:sz w:val="24"/>
          <w:szCs w:val="24"/>
        </w:rPr>
        <w:instrText xml:space="preserve"> REF _Ref125362430 \r \h </w:instrText>
      </w:r>
      <w:r>
        <w:rPr>
          <w:sz w:val="24"/>
          <w:szCs w:val="24"/>
        </w:rPr>
        <w:fldChar w:fldCharType="separate"/>
      </w:r>
      <w:r>
        <w:rPr>
          <w:sz w:val="24"/>
          <w:szCs w:val="24"/>
        </w:rPr>
        <w:t>4.11</w:t>
      </w:r>
      <w:r>
        <w:rPr>
          <w:sz w:val="24"/>
          <w:szCs w:val="24"/>
        </w:rPr>
        <w:fldChar w:fldCharType="end"/>
      </w:r>
      <w:r>
        <w:rPr>
          <w:sz w:val="24"/>
          <w:szCs w:val="24"/>
        </w:rPr>
        <w:t>). В данном случае оценка и сопоставление заявок, а также их предварительная ранжировка осуществляются в соответствии с подразделами </w:t>
      </w:r>
      <w:r>
        <w:rPr>
          <w:sz w:val="24"/>
          <w:szCs w:val="24"/>
        </w:rPr>
        <w:fldChar w:fldCharType="begin"/>
      </w:r>
      <w:r>
        <w:rPr>
          <w:sz w:val="24"/>
          <w:szCs w:val="24"/>
        </w:rPr>
        <w:instrText xml:space="preserve"> REF _Ref125362626 \w \h </w:instrText>
      </w:r>
      <w:r>
        <w:rPr>
          <w:sz w:val="24"/>
          <w:szCs w:val="24"/>
        </w:rPr>
        <w:fldChar w:fldCharType="separate"/>
      </w:r>
      <w:r>
        <w:rPr>
          <w:sz w:val="24"/>
          <w:szCs w:val="24"/>
        </w:rPr>
        <w:t>4.12</w:t>
      </w:r>
      <w:r>
        <w:rPr>
          <w:sz w:val="24"/>
          <w:szCs w:val="24"/>
        </w:rPr>
        <w:fldChar w:fldCharType="end"/>
      </w:r>
      <w:r>
        <w:rPr>
          <w:sz w:val="24"/>
          <w:szCs w:val="24"/>
        </w:rPr>
        <w:t xml:space="preserve">, </w:t>
      </w:r>
      <w:r>
        <w:rPr>
          <w:sz w:val="24"/>
          <w:szCs w:val="24"/>
        </w:rPr>
        <w:fldChar w:fldCharType="begin"/>
      </w:r>
      <w:r>
        <w:rPr>
          <w:sz w:val="24"/>
          <w:szCs w:val="24"/>
        </w:rPr>
        <w:instrText xml:space="preserve"> REF _Ref130985951 \r \h </w:instrText>
      </w:r>
      <w:r>
        <w:rPr>
          <w:sz w:val="24"/>
          <w:szCs w:val="24"/>
        </w:rPr>
        <w:fldChar w:fldCharType="separate"/>
      </w:r>
      <w:r>
        <w:rPr>
          <w:sz w:val="24"/>
          <w:szCs w:val="24"/>
        </w:rPr>
        <w:t>4.13</w:t>
      </w:r>
      <w:r>
        <w:rPr>
          <w:sz w:val="24"/>
          <w:szCs w:val="24"/>
        </w:rPr>
        <w:fldChar w:fldCharType="end"/>
      </w:r>
      <w:r>
        <w:rPr>
          <w:sz w:val="24"/>
          <w:szCs w:val="24"/>
        </w:rPr>
        <w:t>, на основании представленных в составе заявки документов и сведений (включая стоимость заявки (цену Договора)).</w:t>
      </w:r>
    </w:p>
    <w:p>
      <w:pPr>
        <w:pStyle w:val="Style26"/>
        <w:keepNext w:val="true"/>
        <w:rPr>
          <w:rFonts w:ascii="Times New Roman" w:hAnsi="Times New Roman"/>
          <w:sz w:val="24"/>
          <w:szCs w:val="24"/>
        </w:rPr>
      </w:pPr>
      <w:r>
        <w:rPr>
          <w:sz w:val="24"/>
          <w:szCs w:val="24"/>
        </w:rPr>
        <w:t>Решение Закупочной комиссии по рассмотрению заявок оформляется протоколом, в котором, как минимум, указываются</w:t>
      </w:r>
      <w:r>
        <w:rPr>
          <w:rStyle w:val="FootnoteReference"/>
          <w:sz w:val="24"/>
          <w:szCs w:val="24"/>
        </w:rPr>
        <w:footnoteReference w:id="7"/>
      </w:r>
      <w:r>
        <w:rPr>
          <w:sz w:val="24"/>
          <w:szCs w:val="24"/>
        </w:rPr>
        <w:t>:</w:t>
      </w:r>
    </w:p>
    <w:p>
      <w:pPr>
        <w:pStyle w:val="Style27"/>
        <w:rPr>
          <w:rFonts w:ascii="Times New Roman" w:hAnsi="Times New Roman"/>
          <w:sz w:val="24"/>
          <w:szCs w:val="24"/>
        </w:rPr>
      </w:pPr>
      <w:r>
        <w:rPr>
          <w:sz w:val="24"/>
          <w:szCs w:val="24"/>
        </w:rPr>
        <w:t>дата подписания протокола;</w:t>
      </w:r>
    </w:p>
    <w:p>
      <w:pPr>
        <w:pStyle w:val="Style27"/>
        <w:rPr>
          <w:rFonts w:ascii="Times New Roman" w:hAnsi="Times New Roman"/>
          <w:sz w:val="24"/>
          <w:szCs w:val="24"/>
        </w:rPr>
      </w:pPr>
      <w:r>
        <w:rPr>
          <w:sz w:val="24"/>
          <w:szCs w:val="24"/>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27"/>
        <w:rPr>
          <w:rFonts w:ascii="Times New Roman" w:hAnsi="Times New Roman"/>
          <w:sz w:val="24"/>
          <w:szCs w:val="24"/>
        </w:rPr>
      </w:pPr>
      <w:r>
        <w:rPr>
          <w:sz w:val="24"/>
          <w:szCs w:val="24"/>
        </w:rPr>
        <w:t>идентификационные номера заявок Участников, присваиваемые Оператором ЭП;</w:t>
      </w:r>
    </w:p>
    <w:p>
      <w:pPr>
        <w:pStyle w:val="Style27"/>
        <w:keepNext w:val="true"/>
        <w:rPr>
          <w:rFonts w:ascii="Times New Roman" w:hAnsi="Times New Roman"/>
          <w:sz w:val="24"/>
          <w:szCs w:val="24"/>
        </w:rPr>
      </w:pPr>
      <w:r>
        <w:rPr>
          <w:sz w:val="24"/>
          <w:szCs w:val="24"/>
        </w:rPr>
        <w:t>результаты рассмотрения заявок с указанием, в том числе:</w:t>
      </w:r>
    </w:p>
    <w:p>
      <w:pPr>
        <w:pStyle w:val="Style28"/>
        <w:rPr>
          <w:rFonts w:ascii="Times New Roman" w:hAnsi="Times New Roman"/>
          <w:sz w:val="24"/>
          <w:szCs w:val="24"/>
        </w:rPr>
      </w:pPr>
      <w:r>
        <w:rPr>
          <w:sz w:val="24"/>
          <w:szCs w:val="24"/>
        </w:rPr>
        <w:t>количества заявок, которые были отклонены;</w:t>
      </w:r>
    </w:p>
    <w:p>
      <w:pPr>
        <w:pStyle w:val="Style28"/>
        <w:rPr>
          <w:rFonts w:ascii="Times New Roman" w:hAnsi="Times New Roman"/>
          <w:sz w:val="24"/>
          <w:szCs w:val="24"/>
        </w:rPr>
      </w:pPr>
      <w:r>
        <w:rPr>
          <w:sz w:val="24"/>
          <w:szCs w:val="24"/>
        </w:rPr>
        <w:t>оснований отклонения каждой заявки с указанием положений Документации о закупке, которым не соответствует такая заявка;</w:t>
      </w:r>
    </w:p>
    <w:p>
      <w:pPr>
        <w:pStyle w:val="Style27"/>
        <w:rPr>
          <w:rFonts w:ascii="Times New Roman" w:hAnsi="Times New Roman"/>
          <w:sz w:val="24"/>
          <w:szCs w:val="24"/>
        </w:rPr>
      </w:pPr>
      <w:r>
        <w:rPr>
          <w:sz w:val="24"/>
          <w:szCs w:val="24"/>
        </w:rPr>
        <w:t>причины, по которым закупка признана несостоявшейся в соответствии с подразделом </w:t>
      </w:r>
      <w:r>
        <w:rPr>
          <w:sz w:val="24"/>
          <w:szCs w:val="24"/>
        </w:rPr>
        <w:fldChar w:fldCharType="begin"/>
      </w:r>
      <w:r>
        <w:rPr>
          <w:sz w:val="24"/>
          <w:szCs w:val="24"/>
        </w:rPr>
        <w:instrText xml:space="preserve"> REF _Ref125364149 \w \h </w:instrText>
      </w:r>
      <w:r>
        <w:rPr>
          <w:sz w:val="24"/>
          <w:szCs w:val="24"/>
        </w:rPr>
        <w:fldChar w:fldCharType="separate"/>
      </w:r>
      <w:r>
        <w:rPr>
          <w:sz w:val="24"/>
          <w:szCs w:val="24"/>
        </w:rPr>
        <w:t>4.15</w:t>
      </w:r>
      <w:r>
        <w:rPr>
          <w:sz w:val="24"/>
          <w:szCs w:val="24"/>
        </w:rPr>
        <w:fldChar w:fldCharType="end"/>
      </w:r>
      <w:r>
        <w:rPr>
          <w:sz w:val="24"/>
          <w:szCs w:val="24"/>
        </w:rPr>
        <w:t xml:space="preserve"> (в случае ее признания таковой);</w:t>
      </w:r>
    </w:p>
    <w:p>
      <w:pPr>
        <w:pStyle w:val="Style27"/>
        <w:keepNext w:val="true"/>
        <w:rPr>
          <w:rFonts w:ascii="Times New Roman" w:hAnsi="Times New Roman"/>
          <w:sz w:val="24"/>
          <w:szCs w:val="24"/>
        </w:rPr>
      </w:pPr>
      <w:r>
        <w:rPr>
          <w:sz w:val="24"/>
          <w:szCs w:val="24"/>
        </w:rPr>
        <w:t>результаты предварительной оценки и сопоставления допущенных заявок – в случае принятия решения о проведении переторжки, с указанием, в том числе:</w:t>
      </w:r>
    </w:p>
    <w:p>
      <w:pPr>
        <w:pStyle w:val="Style28"/>
        <w:rPr>
          <w:rFonts w:ascii="Times New Roman" w:hAnsi="Times New Roman"/>
          <w:sz w:val="24"/>
          <w:szCs w:val="24"/>
        </w:rPr>
      </w:pPr>
      <w:r>
        <w:rPr>
          <w:sz w:val="24"/>
          <w:szCs w:val="24"/>
        </w:rPr>
        <w:t>значения (в баллах), присвоенного каждой заявке по каждому из предусмотренных критериев оценки, установленных в Документации о закупке;</w:t>
      </w:r>
    </w:p>
    <w:p>
      <w:pPr>
        <w:pStyle w:val="Style28"/>
        <w:rPr>
          <w:rFonts w:ascii="Times New Roman" w:hAnsi="Times New Roman"/>
          <w:sz w:val="24"/>
          <w:szCs w:val="24"/>
        </w:rPr>
      </w:pPr>
      <w:r>
        <w:rPr>
          <w:sz w:val="24"/>
          <w:szCs w:val="24"/>
        </w:rPr>
        <w:t>порядкового номера каждой допущенной заявки в предварительной ранжировке заявок, включая стоимость заявки (цену Договора);</w:t>
      </w:r>
    </w:p>
    <w:p>
      <w:pPr>
        <w:pStyle w:val="Style27"/>
        <w:rPr>
          <w:rFonts w:ascii="Times New Roman" w:hAnsi="Times New Roman"/>
          <w:sz w:val="24"/>
          <w:szCs w:val="24"/>
        </w:rPr>
      </w:pPr>
      <w:bookmarkStart w:id="142" w:name="_Ref125551524"/>
      <w:r>
        <w:rPr>
          <w:sz w:val="24"/>
          <w:szCs w:val="24"/>
        </w:rPr>
        <w:t>решение о проведении или непроведении переторжки,</w:t>
      </w:r>
      <w:bookmarkEnd w:id="142"/>
    </w:p>
    <w:p>
      <w:pPr>
        <w:pStyle w:val="Style30"/>
        <w:ind w:hanging="0" w:left="1134"/>
        <w:rPr>
          <w:rFonts w:ascii="Times New Roman" w:hAnsi="Times New Roman"/>
          <w:sz w:val="24"/>
          <w:szCs w:val="24"/>
        </w:rPr>
      </w:pPr>
      <w:r>
        <w:rPr>
          <w:sz w:val="24"/>
          <w:szCs w:val="24"/>
        </w:rPr>
        <w:t>после чего Организатор официально размещает его в течение 3 (трех) календарных дней с даты подписания такого протокола.</w:t>
      </w:r>
    </w:p>
    <w:p>
      <w:pPr>
        <w:pStyle w:val="Style26"/>
        <w:rPr>
          <w:rFonts w:ascii="Times New Roman" w:hAnsi="Times New Roman"/>
          <w:sz w:val="24"/>
          <w:szCs w:val="24"/>
        </w:rPr>
      </w:pPr>
      <w:r>
        <w:rPr>
          <w:sz w:val="24"/>
          <w:szCs w:val="24"/>
        </w:rPr>
        <w:t>Любой Участник после официального размещения протокола рассмотрения заявок вправе направить Организатору запрос о разъяснении результатов рассмотрения и (или) оценки и сопоставления своей заявки в порядке, аналогичном порядку направления запросов на разъяснение Документации о закупке (подраздел </w:t>
      </w:r>
      <w:r>
        <w:rPr>
          <w:sz w:val="24"/>
          <w:szCs w:val="24"/>
        </w:rPr>
        <w:fldChar w:fldCharType="begin"/>
      </w:r>
      <w:r>
        <w:rPr>
          <w:sz w:val="24"/>
          <w:szCs w:val="24"/>
        </w:rPr>
        <w:instrText xml:space="preserve"> REF _Ref130394785 \r \h </w:instrText>
      </w:r>
      <w:r>
        <w:rPr>
          <w:sz w:val="24"/>
          <w:szCs w:val="24"/>
        </w:rPr>
        <w:fldChar w:fldCharType="separate"/>
      </w:r>
      <w:r>
        <w:rPr>
          <w:sz w:val="24"/>
          <w:szCs w:val="24"/>
        </w:rPr>
        <w:t>4.4</w:t>
      </w:r>
      <w:r>
        <w:rPr>
          <w:sz w:val="24"/>
          <w:szCs w:val="24"/>
        </w:rPr>
        <w:fldChar w:fldCharType="end"/>
      </w:r>
      <w:r>
        <w:rPr>
          <w:sz w:val="24"/>
          <w:szCs w:val="24"/>
        </w:rPr>
        <w:t>). Организатор в течение 10 (десяти) рабочих дней со дня поступления такого запроса обязан предоставить такому Участнику соответствующие разъяснения. При этом в отношении иных Участников разъяснения не предоставляются.</w:t>
      </w:r>
    </w:p>
    <w:p>
      <w:pPr>
        <w:pStyle w:val="Style26"/>
        <w:rPr>
          <w:rFonts w:ascii="Times New Roman" w:hAnsi="Times New Roman"/>
          <w:sz w:val="24"/>
          <w:szCs w:val="24"/>
        </w:rPr>
      </w:pPr>
      <w:r>
        <w:rPr>
          <w:sz w:val="24"/>
          <w:szCs w:val="24"/>
        </w:rPr>
        <w:t>Если рассмотрение заявок, оценка и сопоставление заявок, а также подведение итогов закупки осуществляются одновременно, отдельный протокол по результатам рассмотрения заявок может не оформляться, а соответствующая информация подлежит обязательному включению в итоговый протокол по результатам закупки.</w:t>
      </w:r>
    </w:p>
    <w:p>
      <w:pPr>
        <w:pStyle w:val="Style26"/>
        <w:rPr>
          <w:rFonts w:ascii="Times New Roman" w:hAnsi="Times New Roman"/>
          <w:sz w:val="24"/>
          <w:szCs w:val="24"/>
        </w:rPr>
      </w:pPr>
      <w:r>
        <w:rPr>
          <w:sz w:val="24"/>
          <w:szCs w:val="24"/>
        </w:rPr>
        <w:t>Если основания для отклонения заявки, указанные в пункте </w:t>
      </w:r>
      <w:r>
        <w:rPr>
          <w:sz w:val="24"/>
          <w:szCs w:val="24"/>
        </w:rPr>
        <w:fldChar w:fldCharType="begin"/>
      </w:r>
      <w:r>
        <w:rPr>
          <w:sz w:val="24"/>
          <w:szCs w:val="24"/>
        </w:rPr>
        <w:instrText xml:space="preserve"> REF _Ref125551456 \w \h </w:instrText>
      </w:r>
      <w:r>
        <w:rPr>
          <w:sz w:val="24"/>
          <w:szCs w:val="24"/>
        </w:rPr>
        <w:fldChar w:fldCharType="separate"/>
      </w:r>
      <w:r>
        <w:rPr>
          <w:sz w:val="24"/>
          <w:szCs w:val="24"/>
        </w:rPr>
        <w:t>4.9.5</w:t>
      </w:r>
      <w:r>
        <w:rPr>
          <w:sz w:val="24"/>
          <w:szCs w:val="24"/>
        </w:rPr>
        <w:fldChar w:fldCharType="end"/>
      </w:r>
      <w:r>
        <w:rPr>
          <w:sz w:val="24"/>
          <w:szCs w:val="24"/>
        </w:rPr>
        <w:t>, обнаружены позже даты проведения рассмотрения заявок, Организатор осуществляет отклонение такой заявки с внесением соответствующей информации в отдельный или ближайший ко времени события протокол закупки.</w:t>
      </w:r>
    </w:p>
    <w:p>
      <w:pPr>
        <w:pStyle w:val="Style25"/>
        <w:rPr>
          <w:rFonts w:ascii="Times New Roman" w:hAnsi="Times New Roman"/>
          <w:sz w:val="24"/>
          <w:szCs w:val="24"/>
        </w:rPr>
      </w:pPr>
      <w:bookmarkStart w:id="143" w:name="_Ref125362381"/>
      <w:bookmarkStart w:id="144" w:name="_Ref125362425"/>
      <w:bookmarkStart w:id="145" w:name="_Ref125362464"/>
      <w:bookmarkStart w:id="146" w:name="_Ref125362610"/>
      <w:bookmarkStart w:id="147" w:name="_Toc229567050"/>
      <w:r>
        <w:rPr>
          <w:sz w:val="24"/>
          <w:szCs w:val="24"/>
        </w:rPr>
        <w:t>Дополнительные запросы разъяснений заявок</w:t>
      </w:r>
      <w:bookmarkEnd w:id="143"/>
      <w:bookmarkEnd w:id="144"/>
      <w:bookmarkEnd w:id="145"/>
      <w:bookmarkEnd w:id="146"/>
      <w:bookmarkEnd w:id="147"/>
    </w:p>
    <w:p>
      <w:pPr>
        <w:pStyle w:val="Style26"/>
        <w:rPr>
          <w:rFonts w:ascii="Times New Roman" w:hAnsi="Times New Roman"/>
          <w:sz w:val="24"/>
          <w:szCs w:val="24"/>
        </w:rPr>
      </w:pPr>
      <w:bookmarkStart w:id="148" w:name="_Ref125365611"/>
      <w:r>
        <w:rPr>
          <w:sz w:val="24"/>
          <w:szCs w:val="24"/>
        </w:rPr>
        <w:t>В рамках процедуры рассмотрения заявок, оценки и сопоставления заявок Организатор вправе направить в адрес Участника дополнительный запрос разъяснений и (или) дополнений его заявки, влияющих на отклонение или оценку и сопоставление его заявки, в следующих случаях:</w:t>
      </w:r>
      <w:bookmarkEnd w:id="148"/>
    </w:p>
    <w:p>
      <w:pPr>
        <w:pStyle w:val="Style27"/>
        <w:keepNext w:val="true"/>
        <w:rPr>
          <w:rFonts w:ascii="Times New Roman" w:hAnsi="Times New Roman"/>
          <w:sz w:val="24"/>
          <w:szCs w:val="24"/>
        </w:rPr>
      </w:pPr>
      <w:r>
        <w:rPr>
          <w:sz w:val="24"/>
          <w:szCs w:val="24"/>
        </w:rPr>
        <w:t>в составе заявки отсутствуют, представлены не в полном объеме или в нечитаемом виде документы или сведения, необходимые для определения:</w:t>
      </w:r>
    </w:p>
    <w:p>
      <w:pPr>
        <w:pStyle w:val="Style28"/>
        <w:rPr>
          <w:rFonts w:ascii="Times New Roman" w:hAnsi="Times New Roman"/>
          <w:sz w:val="24"/>
          <w:szCs w:val="24"/>
        </w:rPr>
      </w:pPr>
      <w:r>
        <w:rPr>
          <w:sz w:val="24"/>
          <w:szCs w:val="24"/>
        </w:rPr>
        <w:t>соответствия Участника требованиям Документации о закупке;</w:t>
      </w:r>
    </w:p>
    <w:p>
      <w:pPr>
        <w:pStyle w:val="Style28"/>
        <w:rPr>
          <w:rFonts w:ascii="Times New Roman" w:hAnsi="Times New Roman"/>
          <w:sz w:val="24"/>
          <w:szCs w:val="24"/>
        </w:rPr>
      </w:pPr>
      <w:r>
        <w:rPr>
          <w:sz w:val="24"/>
          <w:szCs w:val="24"/>
        </w:rPr>
        <w:t>наличия соответствующих полномочий на подписание заявки от имени Участника у лица, подписавшего заявку;</w:t>
      </w:r>
    </w:p>
    <w:p>
      <w:pPr>
        <w:pStyle w:val="Style28"/>
        <w:rPr>
          <w:rFonts w:ascii="Times New Roman" w:hAnsi="Times New Roman"/>
          <w:sz w:val="24"/>
          <w:szCs w:val="24"/>
        </w:rPr>
      </w:pPr>
      <w:r>
        <w:rPr>
          <w:sz w:val="24"/>
          <w:szCs w:val="24"/>
        </w:rPr>
        <w:t>соответствия заявки требованиям Документации о закупке в части характеристик предлагаемой продукции, страны происхождения товара и (или) страны регистрации Участника (в целях исполнения требований законодательства о национальном режиме (подраздел </w:t>
      </w:r>
      <w:r>
        <w:rPr>
          <w:sz w:val="24"/>
          <w:szCs w:val="24"/>
        </w:rPr>
        <w:fldChar w:fldCharType="begin"/>
      </w:r>
      <w:r>
        <w:rPr>
          <w:sz w:val="24"/>
          <w:szCs w:val="24"/>
        </w:rPr>
        <w:instrText xml:space="preserve"> REF _Ref186128193 \r \h </w:instrText>
      </w:r>
      <w:r>
        <w:rPr>
          <w:sz w:val="24"/>
          <w:szCs w:val="24"/>
        </w:rPr>
        <w:fldChar w:fldCharType="separate"/>
      </w:r>
      <w:r>
        <w:rPr>
          <w:sz w:val="24"/>
          <w:szCs w:val="24"/>
        </w:rPr>
        <w:t>4.13</w:t>
      </w:r>
      <w:r>
        <w:rPr>
          <w:sz w:val="24"/>
          <w:szCs w:val="24"/>
        </w:rPr>
        <w:fldChar w:fldCharType="end"/>
      </w:r>
      <w:r>
        <w:rPr>
          <w:sz w:val="24"/>
          <w:szCs w:val="24"/>
        </w:rPr>
        <w:t>)), договорных условий и расчета цены Договора;</w:t>
      </w:r>
    </w:p>
    <w:p>
      <w:pPr>
        <w:pStyle w:val="Style27"/>
        <w:rPr>
          <w:rFonts w:ascii="Times New Roman" w:hAnsi="Times New Roman"/>
          <w:sz w:val="24"/>
          <w:szCs w:val="24"/>
        </w:rPr>
      </w:pPr>
      <w:bookmarkStart w:id="149" w:name="_Ref134702259"/>
      <w:r>
        <w:rPr>
          <w:sz w:val="24"/>
          <w:szCs w:val="24"/>
        </w:rPr>
        <w:t>в составе заявки отсутствуют, представлены не в полном объеме или в нечитаемом виде документы или сведения, необходимые для прохождения Участником в рамках рассмотрения заявок процедуры аккредитации (при необходимости);</w:t>
      </w:r>
    </w:p>
    <w:p>
      <w:pPr>
        <w:pStyle w:val="Style27"/>
        <w:rPr>
          <w:rFonts w:ascii="Times New Roman" w:hAnsi="Times New Roman"/>
          <w:sz w:val="24"/>
          <w:szCs w:val="24"/>
        </w:rPr>
      </w:pPr>
      <w:r>
        <w:rPr>
          <w:sz w:val="24"/>
          <w:szCs w:val="24"/>
        </w:rPr>
        <w:t>в заявке имеются разночтения или положения, допускающие неоднозначное толкование, не позволяющие определить соответствие заявки или Участника (в том числе не позволяющие провести в отношении него процедуру аккредитации (при необходимости)</w:t>
      </w:r>
      <w:r>
        <w:rPr>
          <w:rStyle w:val="FootnoteReference"/>
          <w:sz w:val="24"/>
          <w:szCs w:val="24"/>
        </w:rPr>
        <w:footnoteReference w:id="8"/>
      </w:r>
      <w:r>
        <w:rPr>
          <w:sz w:val="24"/>
          <w:szCs w:val="24"/>
        </w:rPr>
        <w:t>) требованиям Документации о закупке или осуществить оценку и сопоставление заявок.</w:t>
      </w:r>
      <w:bookmarkEnd w:id="149"/>
    </w:p>
    <w:p>
      <w:pPr>
        <w:pStyle w:val="Style26"/>
        <w:rPr>
          <w:rFonts w:ascii="Times New Roman" w:hAnsi="Times New Roman"/>
          <w:sz w:val="24"/>
          <w:szCs w:val="24"/>
        </w:rPr>
      </w:pPr>
      <w:r>
        <w:rPr>
          <w:sz w:val="24"/>
          <w:szCs w:val="24"/>
        </w:rPr>
        <w:t>Если в рамках рассмотрения заявок проводится процедура аккредитации, Организатор вправе направить в адрес Участника дополнительный запрос разъяснений и (или) дополнений его заявки, влияющих на прохождение аккредитации таким Участником (в том числе в случае, указанном в подпункте </w:t>
      </w:r>
      <w:r>
        <w:rPr>
          <w:sz w:val="24"/>
          <w:szCs w:val="24"/>
        </w:rPr>
        <w:fldChar w:fldCharType="begin"/>
      </w:r>
      <w:r>
        <w:rPr>
          <w:sz w:val="24"/>
          <w:szCs w:val="24"/>
        </w:rPr>
        <w:instrText xml:space="preserve"> REF _Ref134702259 \r \h </w:instrText>
      </w:r>
      <w:r>
        <w:rPr>
          <w:sz w:val="24"/>
          <w:szCs w:val="24"/>
        </w:rPr>
        <w:fldChar w:fldCharType="separate"/>
      </w:r>
      <w:r>
        <w:rPr>
          <w:sz w:val="24"/>
          <w:szCs w:val="24"/>
        </w:rPr>
        <w:t>4.10.1б)</w:t>
      </w:r>
      <w:r>
        <w:rPr>
          <w:sz w:val="24"/>
          <w:szCs w:val="24"/>
        </w:rPr>
        <w:fldChar w:fldCharType="end"/>
      </w:r>
      <w:r>
        <w:rPr>
          <w:sz w:val="24"/>
          <w:szCs w:val="24"/>
        </w:rPr>
        <w:t>).</w:t>
      </w:r>
    </w:p>
    <w:p>
      <w:pPr>
        <w:pStyle w:val="Style26"/>
        <w:rPr>
          <w:rFonts w:ascii="Times New Roman" w:hAnsi="Times New Roman"/>
          <w:sz w:val="24"/>
          <w:szCs w:val="24"/>
        </w:rPr>
      </w:pPr>
      <w:r>
        <w:rPr>
          <w:sz w:val="24"/>
          <w:szCs w:val="24"/>
        </w:rPr>
        <w:t>Не допускаются запросы со стороны Организатора, а также ответы со стороны Участников, изменяющие суть заявки (предмет, объем, цена, номенклатура предлагаемой Участником продукции).</w:t>
      </w:r>
    </w:p>
    <w:p>
      <w:pPr>
        <w:pStyle w:val="Style26"/>
        <w:rPr>
          <w:rFonts w:ascii="Times New Roman" w:hAnsi="Times New Roman"/>
          <w:sz w:val="24"/>
          <w:szCs w:val="24"/>
        </w:rPr>
      </w:pPr>
      <w:r>
        <w:rPr>
          <w:sz w:val="24"/>
          <w:szCs w:val="24"/>
        </w:rPr>
        <w:t>При направлении дополнительных запросов разъяснений заявок не допускается создание преимущественных условий Участнику или нескольким Участникам закупки.</w:t>
      </w:r>
    </w:p>
    <w:p>
      <w:pPr>
        <w:pStyle w:val="Style26"/>
        <w:rPr>
          <w:rFonts w:ascii="Times New Roman" w:hAnsi="Times New Roman"/>
          <w:sz w:val="24"/>
          <w:szCs w:val="24"/>
        </w:rPr>
      </w:pPr>
      <w:r>
        <w:rPr>
          <w:sz w:val="24"/>
          <w:szCs w:val="24"/>
        </w:rPr>
        <w:t>Дополнительные запросы направляются одновременно (в один день) всем Участникам, у которых был выявлен факт несоответствий, за исключением следующего – дополнительные запросы не направляются Участнику если в соответствии с пунктом </w:t>
      </w:r>
      <w:r>
        <w:rPr>
          <w:sz w:val="24"/>
          <w:szCs w:val="24"/>
        </w:rPr>
        <w:fldChar w:fldCharType="begin"/>
      </w:r>
      <w:r>
        <w:rPr>
          <w:sz w:val="24"/>
          <w:szCs w:val="24"/>
        </w:rPr>
        <w:instrText xml:space="preserve"> REF _Ref125551456 \w \h </w:instrText>
      </w:r>
      <w:r>
        <w:rPr>
          <w:sz w:val="24"/>
          <w:szCs w:val="24"/>
        </w:rPr>
        <w:fldChar w:fldCharType="separate"/>
      </w:r>
      <w:r>
        <w:rPr>
          <w:sz w:val="24"/>
          <w:szCs w:val="24"/>
        </w:rPr>
        <w:t>4.9.5</w:t>
      </w:r>
      <w:r>
        <w:rPr>
          <w:sz w:val="24"/>
          <w:szCs w:val="24"/>
        </w:rPr>
        <w:fldChar w:fldCharType="end"/>
      </w:r>
      <w:r>
        <w:rPr>
          <w:sz w:val="24"/>
          <w:szCs w:val="24"/>
        </w:rPr>
        <w:t xml:space="preserve"> имеются прямые основания для отклонения заявки такого Участника, не относящиеся к случаям, перечисленным в пункте </w:t>
      </w:r>
      <w:r>
        <w:rPr>
          <w:sz w:val="24"/>
          <w:szCs w:val="24"/>
        </w:rPr>
        <w:fldChar w:fldCharType="begin"/>
      </w:r>
      <w:r>
        <w:rPr>
          <w:sz w:val="24"/>
          <w:szCs w:val="24"/>
        </w:rPr>
        <w:instrText xml:space="preserve"> REF _Ref125365611 \w \h </w:instrText>
      </w:r>
      <w:r>
        <w:rPr>
          <w:sz w:val="24"/>
          <w:szCs w:val="24"/>
        </w:rPr>
        <w:fldChar w:fldCharType="separate"/>
      </w:r>
      <w:r>
        <w:rPr>
          <w:sz w:val="24"/>
          <w:szCs w:val="24"/>
        </w:rPr>
        <w:t>4.10.1</w:t>
      </w:r>
      <w:r>
        <w:rPr>
          <w:sz w:val="24"/>
          <w:szCs w:val="24"/>
        </w:rPr>
        <w:fldChar w:fldCharType="end"/>
      </w:r>
      <w:r>
        <w:rPr>
          <w:sz w:val="24"/>
          <w:szCs w:val="24"/>
        </w:rPr>
        <w:t>.</w:t>
      </w:r>
    </w:p>
    <w:p>
      <w:pPr>
        <w:pStyle w:val="Style26"/>
        <w:rPr>
          <w:rFonts w:ascii="Times New Roman" w:hAnsi="Times New Roman"/>
          <w:sz w:val="24"/>
          <w:szCs w:val="24"/>
        </w:rPr>
      </w:pPr>
      <w:r>
        <w:rPr>
          <w:sz w:val="24"/>
          <w:szCs w:val="24"/>
        </w:rPr>
        <w:t>Срок предоставления Участниками разъяснений своих заявок устанавливается одинаковый для всех и составляет не менее 2 (двух) рабочих дней с момента направления запроса в адрес Участника.</w:t>
      </w:r>
    </w:p>
    <w:p>
      <w:pPr>
        <w:pStyle w:val="Style26"/>
        <w:rPr>
          <w:rFonts w:ascii="Times New Roman" w:hAnsi="Times New Roman"/>
          <w:sz w:val="24"/>
          <w:szCs w:val="24"/>
        </w:rPr>
      </w:pPr>
      <w:r>
        <w:rPr>
          <w:sz w:val="24"/>
          <w:szCs w:val="24"/>
        </w:rPr>
        <w:t>Направление Организатором дополнительных запросов и ответов Участников на данные запросы осуществляется с помощью программных и технических средств ЭП в порядке, предусмотренном Регламентом ЭП (ответы Участников, поступившие не через ЭП, к рассмотрению не принимаются).</w:t>
      </w:r>
    </w:p>
    <w:p>
      <w:pPr>
        <w:pStyle w:val="Style26"/>
        <w:rPr>
          <w:rFonts w:ascii="Times New Roman" w:hAnsi="Times New Roman"/>
          <w:sz w:val="24"/>
          <w:szCs w:val="24"/>
        </w:rPr>
      </w:pPr>
      <w:r>
        <w:rPr>
          <w:sz w:val="24"/>
          <w:szCs w:val="24"/>
        </w:rPr>
        <w:t>Непредставление или представление не в полном объеме запрашиваемых документов и (или) разъяснений в установленный в запросе срок служит основанием для отклонения заявки такого Участника по условиям пункта </w:t>
      </w:r>
      <w:r>
        <w:rPr>
          <w:sz w:val="24"/>
          <w:szCs w:val="24"/>
        </w:rPr>
        <w:fldChar w:fldCharType="begin"/>
      </w:r>
      <w:r>
        <w:rPr>
          <w:sz w:val="24"/>
          <w:szCs w:val="24"/>
        </w:rPr>
        <w:instrText xml:space="preserve"> REF _Ref125551456 \w \h </w:instrText>
      </w:r>
      <w:r>
        <w:rPr>
          <w:sz w:val="24"/>
          <w:szCs w:val="24"/>
        </w:rPr>
        <w:fldChar w:fldCharType="separate"/>
      </w:r>
      <w:r>
        <w:rPr>
          <w:sz w:val="24"/>
          <w:szCs w:val="24"/>
        </w:rPr>
        <w:t>4.9.5</w:t>
      </w:r>
      <w:r>
        <w:rPr>
          <w:sz w:val="24"/>
          <w:szCs w:val="24"/>
        </w:rPr>
        <w:fldChar w:fldCharType="end"/>
      </w:r>
      <w:r>
        <w:rPr>
          <w:sz w:val="24"/>
          <w:szCs w:val="24"/>
        </w:rPr>
        <w:t>.</w:t>
      </w:r>
    </w:p>
    <w:p>
      <w:pPr>
        <w:pStyle w:val="Style25"/>
        <w:rPr>
          <w:rFonts w:ascii="Times New Roman" w:hAnsi="Times New Roman"/>
          <w:sz w:val="24"/>
          <w:szCs w:val="24"/>
        </w:rPr>
      </w:pPr>
      <w:bookmarkStart w:id="150" w:name="_Toc229567051"/>
      <w:bookmarkStart w:id="151" w:name="_Ref127536359"/>
      <w:bookmarkStart w:id="152" w:name="_Ref125362537"/>
      <w:bookmarkStart w:id="153" w:name="_Ref125362430"/>
      <w:r>
        <w:rPr>
          <w:sz w:val="24"/>
          <w:szCs w:val="24"/>
        </w:rPr>
        <w:t>Переторжка</w:t>
      </w:r>
      <w:bookmarkEnd w:id="150"/>
      <w:bookmarkEnd w:id="151"/>
      <w:bookmarkEnd w:id="152"/>
      <w:bookmarkEnd w:id="153"/>
    </w:p>
    <w:p>
      <w:pPr>
        <w:pStyle w:val="Style26"/>
        <w:rPr>
          <w:rFonts w:ascii="Times New Roman" w:hAnsi="Times New Roman"/>
          <w:sz w:val="24"/>
          <w:szCs w:val="24"/>
        </w:rPr>
      </w:pPr>
      <w:r>
        <w:rPr>
          <w:sz w:val="24"/>
          <w:szCs w:val="24"/>
        </w:rPr>
        <w:t>Нормы настоящего подраздела применяются, если подразделом </w:t>
      </w:r>
      <w:r>
        <w:rPr>
          <w:sz w:val="24"/>
          <w:szCs w:val="24"/>
        </w:rPr>
        <w:fldChar w:fldCharType="begin"/>
      </w:r>
      <w:r>
        <w:rPr>
          <w:sz w:val="24"/>
          <w:szCs w:val="24"/>
        </w:rPr>
        <w:instrText xml:space="preserve"> REF _Ref125359973 \r \h </w:instrText>
      </w:r>
      <w:r>
        <w:rPr>
          <w:sz w:val="24"/>
          <w:szCs w:val="24"/>
        </w:rPr>
        <w:fldChar w:fldCharType="separate"/>
      </w:r>
      <w:r>
        <w:rPr>
          <w:sz w:val="24"/>
          <w:szCs w:val="24"/>
        </w:rPr>
        <w:t>1.2</w:t>
      </w:r>
      <w:r>
        <w:rPr>
          <w:sz w:val="24"/>
          <w:szCs w:val="24"/>
        </w:rPr>
        <w:fldChar w:fldCharType="end"/>
      </w:r>
      <w:r>
        <w:rPr>
          <w:sz w:val="24"/>
          <w:szCs w:val="24"/>
        </w:rPr>
        <w:t xml:space="preserve"> предусмотрено проведение процедуры переторжки и соответствующие решение о проведении процедуры переторжки принято Закупочной комиссией.</w:t>
      </w:r>
    </w:p>
    <w:p>
      <w:pPr>
        <w:pStyle w:val="Style26"/>
        <w:rPr>
          <w:rFonts w:ascii="Times New Roman" w:hAnsi="Times New Roman"/>
          <w:sz w:val="24"/>
          <w:szCs w:val="24"/>
        </w:rPr>
      </w:pPr>
      <w:r>
        <w:rPr>
          <w:sz w:val="24"/>
          <w:szCs w:val="24"/>
        </w:rPr>
        <w:t>Решение о проведении процедуры переторжки, а также ее предмете, сроках и форме ее проведения принимает Закупочная комиссия (и фиксирует в протоколе рассмотрения заявок). Переторжка может проводиться один или несколько раз (далее – многократная переторжка). Каждая процедура переторжки проводится на основании отдельного решения Закупочной комиссии, оформляемого соответствующим протоколом.</w:t>
      </w:r>
    </w:p>
    <w:p>
      <w:pPr>
        <w:pStyle w:val="Style26"/>
        <w:keepNext w:val="true"/>
        <w:rPr>
          <w:rFonts w:ascii="Times New Roman" w:hAnsi="Times New Roman"/>
          <w:sz w:val="24"/>
          <w:szCs w:val="24"/>
        </w:rPr>
      </w:pPr>
      <w:r>
        <w:rPr>
          <w:sz w:val="24"/>
          <w:szCs w:val="24"/>
        </w:rPr>
        <w:t>Предметом переторжки могут являться следующие условия (или их сочетания), позволяющие повысить предпочтительность поданных заявок:</w:t>
      </w:r>
    </w:p>
    <w:p>
      <w:pPr>
        <w:pStyle w:val="Style27"/>
        <w:rPr>
          <w:rFonts w:ascii="Times New Roman" w:hAnsi="Times New Roman"/>
          <w:sz w:val="24"/>
          <w:szCs w:val="24"/>
        </w:rPr>
      </w:pPr>
      <w:r>
        <w:rPr>
          <w:sz w:val="24"/>
          <w:szCs w:val="24"/>
        </w:rPr>
        <w:t>стоимость заявки (цена Договора) / цена за единицу продукции;</w:t>
      </w:r>
    </w:p>
    <w:p>
      <w:pPr>
        <w:pStyle w:val="Style27"/>
        <w:rPr>
          <w:rFonts w:ascii="Times New Roman" w:hAnsi="Times New Roman"/>
          <w:sz w:val="24"/>
          <w:szCs w:val="24"/>
        </w:rPr>
      </w:pPr>
      <w:r>
        <w:rPr>
          <w:sz w:val="24"/>
          <w:szCs w:val="24"/>
        </w:rPr>
        <w:t>сроки поставки продукции;</w:t>
      </w:r>
    </w:p>
    <w:p>
      <w:pPr>
        <w:pStyle w:val="Style27"/>
        <w:rPr>
          <w:rFonts w:ascii="Times New Roman" w:hAnsi="Times New Roman"/>
          <w:sz w:val="24"/>
          <w:szCs w:val="24"/>
        </w:rPr>
      </w:pPr>
      <w:r>
        <w:rPr>
          <w:sz w:val="24"/>
          <w:szCs w:val="24"/>
        </w:rPr>
        <w:t>условия оплаты;</w:t>
      </w:r>
    </w:p>
    <w:p>
      <w:pPr>
        <w:pStyle w:val="Style27"/>
        <w:rPr>
          <w:rFonts w:ascii="Times New Roman" w:hAnsi="Times New Roman"/>
          <w:sz w:val="24"/>
          <w:szCs w:val="24"/>
        </w:rPr>
      </w:pPr>
      <w:r>
        <w:rPr>
          <w:sz w:val="24"/>
          <w:szCs w:val="24"/>
        </w:rPr>
        <w:t>иные условия, которые являются критериями оценки заявок.</w:t>
      </w:r>
    </w:p>
    <w:p>
      <w:pPr>
        <w:pStyle w:val="Style30"/>
        <w:ind w:hanging="0" w:left="1134"/>
        <w:rPr>
          <w:rFonts w:ascii="Times New Roman" w:hAnsi="Times New Roman"/>
          <w:sz w:val="24"/>
          <w:szCs w:val="24"/>
        </w:rPr>
      </w:pPr>
      <w:r>
        <w:rPr>
          <w:sz w:val="24"/>
          <w:szCs w:val="24"/>
        </w:rPr>
        <w:t>При этом предметом переторжки не могут быть условия, которые не входят в состав критериев оценки в соответствии с Документацией о закупке.</w:t>
      </w:r>
    </w:p>
    <w:p>
      <w:pPr>
        <w:pStyle w:val="Style26"/>
        <w:rPr>
          <w:rFonts w:ascii="Times New Roman" w:hAnsi="Times New Roman"/>
          <w:sz w:val="24"/>
          <w:szCs w:val="24"/>
        </w:rPr>
      </w:pPr>
      <w:r>
        <w:rPr>
          <w:sz w:val="24"/>
          <w:szCs w:val="24"/>
        </w:rPr>
        <w:t>При проведении переторжки по цене у Участника отсутствует обязанность предложить цену обязательно ниже цен иных Участников (т.е. данная процедура не является аукционом или его аналогом, поскольку каждый снижает свою собственную цену независимо от цен, заявленных другими Участниками).</w:t>
      </w:r>
    </w:p>
    <w:p>
      <w:pPr>
        <w:pStyle w:val="Style26"/>
        <w:rPr>
          <w:rFonts w:ascii="Times New Roman" w:hAnsi="Times New Roman"/>
          <w:sz w:val="24"/>
          <w:szCs w:val="24"/>
        </w:rPr>
      </w:pPr>
      <w:r>
        <w:rPr>
          <w:sz w:val="24"/>
          <w:szCs w:val="24"/>
        </w:rPr>
        <w:t>В переторжке может принять участие любой Участник, заявка которого не была отклонена по результатам рассмотрения заявок.</w:t>
      </w:r>
    </w:p>
    <w:p>
      <w:pPr>
        <w:pStyle w:val="Style26"/>
        <w:rPr/>
      </w:pPr>
      <w:r>
        <w:rPr>
          <w:sz w:val="24"/>
          <w:szCs w:val="24"/>
        </w:rPr>
        <w:t>Участник, допущенный к переторжке, вправе не принимать в ней участия, при этом его заявка не отклоняется и действует на предложенных в ней условиях в течение срока, указанного в Письме о подаче оферты (форма 2) (</w:t>
      </w:r>
      <w:hyperlink w:anchor="Прил04_ФормыЗаявки">
        <w:r>
          <w:rPr>
            <w:rStyle w:val="Style14"/>
            <w:sz w:val="24"/>
            <w:szCs w:val="24"/>
          </w:rPr>
          <w:t>Приложение № 4</w:t>
        </w:r>
      </w:hyperlink>
      <w:r>
        <w:rPr>
          <w:sz w:val="24"/>
          <w:szCs w:val="24"/>
        </w:rPr>
        <w:t>).</w:t>
      </w:r>
    </w:p>
    <w:p>
      <w:pPr>
        <w:pStyle w:val="Style26"/>
        <w:rPr>
          <w:rFonts w:ascii="Times New Roman" w:hAnsi="Times New Roman"/>
          <w:sz w:val="24"/>
          <w:szCs w:val="24"/>
        </w:rPr>
      </w:pPr>
      <w:r>
        <w:rPr>
          <w:sz w:val="24"/>
          <w:szCs w:val="24"/>
        </w:rPr>
        <w:t>Предложения Участника по снижению предпочтительности заявки по соответствующему предмету переторжки, в том числе по повышению цены, не рассматриваются, такой Участник считается не участвовавшим в переторжке.</w:t>
      </w:r>
    </w:p>
    <w:p>
      <w:pPr>
        <w:pStyle w:val="Style26"/>
        <w:rPr>
          <w:rFonts w:ascii="Times New Roman" w:hAnsi="Times New Roman"/>
          <w:sz w:val="24"/>
          <w:szCs w:val="24"/>
        </w:rPr>
      </w:pPr>
      <w:r>
        <w:rPr>
          <w:sz w:val="24"/>
          <w:szCs w:val="24"/>
        </w:rPr>
        <w:t>Изменение цены в сторону снижения, а также изменение иных условий заявки по соответствующему предмету переторжки, не должно повлечь за собой отклонения (в сторону ухудшения) от требований, условий Заказчика, описанных в Документации о закупке, коммерческих интересов Заказчика. При наличии таких отклонений заявка Участника рассматривается с ранее заявленными условиями.</w:t>
      </w:r>
    </w:p>
    <w:p>
      <w:pPr>
        <w:pStyle w:val="Style26"/>
        <w:rPr>
          <w:rFonts w:ascii="Times New Roman" w:hAnsi="Times New Roman"/>
          <w:sz w:val="24"/>
          <w:szCs w:val="24"/>
        </w:rPr>
      </w:pPr>
      <w:r>
        <w:rPr>
          <w:sz w:val="24"/>
          <w:szCs w:val="24"/>
        </w:rPr>
        <w:t>Участник не вправе изменять и (или) отзывать поданные предложения на переторжку после окончания ее проведения.</w:t>
      </w:r>
    </w:p>
    <w:p>
      <w:pPr>
        <w:pStyle w:val="Style26"/>
        <w:rPr>
          <w:rFonts w:ascii="Times New Roman" w:hAnsi="Times New Roman"/>
          <w:sz w:val="24"/>
          <w:szCs w:val="24"/>
        </w:rPr>
      </w:pPr>
      <w:r>
        <w:rPr>
          <w:sz w:val="24"/>
          <w:szCs w:val="24"/>
        </w:rPr>
        <w:t>Участие в переторжке не расценивается Организатором как нарушение требований о праве подачи Участником не более одной заявки. Предложения, заявленные Участниками в ходе переторжки, имеют статус разрешенных изменений в ранее поданную заявку.</w:t>
      </w:r>
    </w:p>
    <w:p>
      <w:pPr>
        <w:pStyle w:val="Style26"/>
        <w:rPr>
          <w:rFonts w:ascii="Times New Roman" w:hAnsi="Times New Roman"/>
          <w:sz w:val="24"/>
          <w:szCs w:val="24"/>
        </w:rPr>
      </w:pPr>
      <w:r>
        <w:rPr>
          <w:sz w:val="24"/>
          <w:szCs w:val="24"/>
        </w:rPr>
        <w:t>Процедура переторжки проводится на ЭП в порядке, предусмотренном настоящим подразделом и Регламентом ЭП.</w:t>
      </w:r>
    </w:p>
    <w:p>
      <w:pPr>
        <w:pStyle w:val="Style26"/>
        <w:keepNext w:val="true"/>
        <w:rPr>
          <w:rFonts w:ascii="Times New Roman" w:hAnsi="Times New Roman"/>
          <w:sz w:val="24"/>
          <w:szCs w:val="24"/>
        </w:rPr>
      </w:pPr>
      <w:r>
        <w:rPr>
          <w:sz w:val="24"/>
          <w:szCs w:val="24"/>
        </w:rPr>
        <w:t>В зависимости от правил, предусмотренных Регламентом ЭП, переторжка может проводиться:</w:t>
      </w:r>
    </w:p>
    <w:p>
      <w:pPr>
        <w:pStyle w:val="Style27"/>
        <w:rPr>
          <w:rFonts w:ascii="Times New Roman" w:hAnsi="Times New Roman"/>
          <w:sz w:val="24"/>
          <w:szCs w:val="24"/>
        </w:rPr>
      </w:pPr>
      <w:r>
        <w:rPr>
          <w:sz w:val="24"/>
          <w:szCs w:val="24"/>
        </w:rPr>
        <w:t>в заочной форме путем однократной подачи предложения на переторжку к установленному сроку;</w:t>
      </w:r>
    </w:p>
    <w:p>
      <w:pPr>
        <w:pStyle w:val="Style27"/>
        <w:rPr>
          <w:rFonts w:ascii="Times New Roman" w:hAnsi="Times New Roman"/>
          <w:sz w:val="24"/>
          <w:szCs w:val="24"/>
        </w:rPr>
      </w:pPr>
      <w:r>
        <w:rPr>
          <w:sz w:val="24"/>
          <w:szCs w:val="24"/>
        </w:rPr>
        <w:t>в очной форме путем неоднократного снижения стоимости заявки (цены Договора) или улучшения других показателей, в том числе с установлением «шага» переторжки.</w:t>
      </w:r>
    </w:p>
    <w:p>
      <w:pPr>
        <w:pStyle w:val="Style26"/>
        <w:rPr>
          <w:rFonts w:ascii="Times New Roman" w:hAnsi="Times New Roman"/>
          <w:sz w:val="24"/>
          <w:szCs w:val="24"/>
        </w:rPr>
      </w:pPr>
      <w:r>
        <w:rPr>
          <w:sz w:val="24"/>
          <w:szCs w:val="24"/>
        </w:rPr>
        <w:t>Приглашение Участников к процедуре переторжки осуществляется посредством одновременного (в один день) направления им соответствующих уведомлений посредством ЭП. В уведомлении указывается срок окончания подачи Участниками предложений на переторжку.</w:t>
      </w:r>
    </w:p>
    <w:p>
      <w:pPr>
        <w:pStyle w:val="Style26"/>
        <w:rPr>
          <w:rFonts w:ascii="Times New Roman" w:hAnsi="Times New Roman"/>
          <w:sz w:val="24"/>
          <w:szCs w:val="24"/>
        </w:rPr>
      </w:pPr>
      <w:r>
        <w:rPr>
          <w:sz w:val="24"/>
          <w:szCs w:val="24"/>
        </w:rPr>
        <w:t>Участник, желающий принять участие в переторжке, должен в срок, установленный Закупочной комиссией, предоставить свои предложения на переторжку.</w:t>
      </w:r>
    </w:p>
    <w:p>
      <w:pPr>
        <w:pStyle w:val="Style26"/>
        <w:rPr>
          <w:rFonts w:ascii="Times New Roman" w:hAnsi="Times New Roman"/>
          <w:sz w:val="24"/>
          <w:szCs w:val="24"/>
        </w:rPr>
      </w:pPr>
      <w:bookmarkStart w:id="154" w:name="_Ref136245191"/>
      <w:r>
        <w:rPr>
          <w:sz w:val="24"/>
          <w:szCs w:val="24"/>
        </w:rPr>
        <w:t>При заочной форме переторжки Участник вместе с предложением на переторжку размещает на ЭП документы своей заявки, указанные в пункте </w:t>
      </w:r>
      <w:r>
        <w:rPr>
          <w:sz w:val="24"/>
          <w:szCs w:val="24"/>
        </w:rPr>
        <w:fldChar w:fldCharType="begin"/>
      </w:r>
      <w:r>
        <w:rPr>
          <w:sz w:val="24"/>
          <w:szCs w:val="24"/>
        </w:rPr>
        <w:instrText xml:space="preserve"> REF _Ref136244167 \r \h </w:instrText>
      </w:r>
      <w:r>
        <w:rPr>
          <w:sz w:val="24"/>
          <w:szCs w:val="24"/>
        </w:rPr>
        <w:fldChar w:fldCharType="separate"/>
      </w:r>
      <w:r>
        <w:rPr>
          <w:sz w:val="24"/>
          <w:szCs w:val="24"/>
        </w:rPr>
        <w:t>4.11.17</w:t>
      </w:r>
      <w:r>
        <w:rPr>
          <w:sz w:val="24"/>
          <w:szCs w:val="24"/>
        </w:rPr>
        <w:fldChar w:fldCharType="end"/>
      </w:r>
      <w:r>
        <w:rPr>
          <w:sz w:val="24"/>
          <w:szCs w:val="24"/>
        </w:rPr>
        <w:t>, подлежащие корректировке в строгом соответствии с предложением, заявленным им в ходе проведения переторжки.</w:t>
      </w:r>
      <w:bookmarkEnd w:id="154"/>
    </w:p>
    <w:p>
      <w:pPr>
        <w:pStyle w:val="Style26"/>
        <w:rPr>
          <w:rFonts w:ascii="Times New Roman" w:hAnsi="Times New Roman"/>
          <w:sz w:val="24"/>
          <w:szCs w:val="24"/>
        </w:rPr>
      </w:pPr>
      <w:r>
        <w:rPr>
          <w:sz w:val="24"/>
          <w:szCs w:val="24"/>
        </w:rPr>
        <w:t>При очной форме переторжки Участник, признанный Победителем, при условии, что он принимал участие в переторжке, обязан предоставить Заказчику в сроки, определенные подразделом </w:t>
      </w:r>
      <w:r>
        <w:rPr>
          <w:sz w:val="24"/>
          <w:szCs w:val="24"/>
        </w:rPr>
        <w:fldChar w:fldCharType="begin"/>
      </w:r>
      <w:r>
        <w:rPr>
          <w:sz w:val="24"/>
          <w:szCs w:val="24"/>
        </w:rPr>
        <w:instrText xml:space="preserve"> REF _Ref138232981 \r \h </w:instrText>
      </w:r>
      <w:r>
        <w:rPr>
          <w:sz w:val="24"/>
          <w:szCs w:val="24"/>
        </w:rPr>
        <w:fldChar w:fldCharType="separate"/>
      </w:r>
      <w:r>
        <w:rPr>
          <w:sz w:val="24"/>
          <w:szCs w:val="24"/>
        </w:rPr>
        <w:t>5.2</w:t>
      </w:r>
      <w:r>
        <w:rPr>
          <w:sz w:val="24"/>
          <w:szCs w:val="24"/>
        </w:rPr>
        <w:fldChar w:fldCharType="end"/>
      </w:r>
      <w:r>
        <w:rPr>
          <w:sz w:val="24"/>
          <w:szCs w:val="24"/>
        </w:rPr>
        <w:t>, документы своей заявки, указанные в пункте </w:t>
      </w:r>
      <w:r>
        <w:rPr>
          <w:sz w:val="24"/>
          <w:szCs w:val="24"/>
        </w:rPr>
        <w:fldChar w:fldCharType="begin"/>
      </w:r>
      <w:r>
        <w:rPr>
          <w:sz w:val="24"/>
          <w:szCs w:val="24"/>
        </w:rPr>
        <w:instrText xml:space="preserve"> REF _Ref136244167 \r \h </w:instrText>
      </w:r>
      <w:r>
        <w:rPr>
          <w:sz w:val="24"/>
          <w:szCs w:val="24"/>
        </w:rPr>
        <w:fldChar w:fldCharType="separate"/>
      </w:r>
      <w:r>
        <w:rPr>
          <w:sz w:val="24"/>
          <w:szCs w:val="24"/>
        </w:rPr>
        <w:t>4.11.17</w:t>
      </w:r>
      <w:r>
        <w:rPr>
          <w:sz w:val="24"/>
          <w:szCs w:val="24"/>
        </w:rPr>
        <w:fldChar w:fldCharType="end"/>
      </w:r>
      <w:r>
        <w:rPr>
          <w:sz w:val="24"/>
          <w:szCs w:val="24"/>
        </w:rPr>
        <w:t>, подлежащие корректировке в строгом соответствии с предложением, заявленным им в ходе проведения переторжки (в том числе, последним по времени стоимостным предложением, заявленным в ходе проведения переторжки).</w:t>
      </w:r>
    </w:p>
    <w:p>
      <w:pPr>
        <w:pStyle w:val="Style26"/>
        <w:keepNext w:val="true"/>
        <w:rPr>
          <w:rFonts w:ascii="Times New Roman" w:hAnsi="Times New Roman"/>
          <w:sz w:val="24"/>
          <w:szCs w:val="24"/>
        </w:rPr>
      </w:pPr>
      <w:bookmarkStart w:id="155" w:name="_Ref136244167"/>
      <w:r>
        <w:rPr>
          <w:sz w:val="24"/>
          <w:szCs w:val="24"/>
        </w:rPr>
        <w:t>Документы заявки, подлежащие корректировке по результатам переторжки:</w:t>
      </w:r>
      <w:bookmarkEnd w:id="155"/>
    </w:p>
    <w:p>
      <w:pPr>
        <w:pStyle w:val="Style27"/>
        <w:rPr/>
      </w:pPr>
      <w:r>
        <w:rPr>
          <w:sz w:val="24"/>
          <w:szCs w:val="24"/>
        </w:rPr>
        <w:t>Письмо о подаче оферты (форма 2) (</w:t>
      </w:r>
      <w:hyperlink w:anchor="Прил04_ФормыЗаявки">
        <w:r>
          <w:rPr>
            <w:rStyle w:val="Style14"/>
            <w:sz w:val="24"/>
            <w:szCs w:val="24"/>
          </w:rPr>
          <w:t>Приложение № 4</w:t>
        </w:r>
      </w:hyperlink>
      <w:r>
        <w:rPr>
          <w:sz w:val="24"/>
          <w:szCs w:val="24"/>
        </w:rPr>
        <w:t>);</w:t>
      </w:r>
    </w:p>
    <w:p>
      <w:pPr>
        <w:pStyle w:val="Style27"/>
        <w:rPr/>
      </w:pPr>
      <w:r>
        <w:rPr>
          <w:sz w:val="24"/>
          <w:szCs w:val="24"/>
        </w:rPr>
        <w:t>Коммерческое предложение (форма 3) (</w:t>
      </w:r>
      <w:hyperlink w:anchor="Прил04_ФормыЗаявки">
        <w:r>
          <w:rPr>
            <w:rStyle w:val="Style14"/>
            <w:sz w:val="24"/>
            <w:szCs w:val="24"/>
          </w:rPr>
          <w:t>Приложение № 4</w:t>
        </w:r>
      </w:hyperlink>
      <w:r>
        <w:rPr>
          <w:sz w:val="24"/>
          <w:szCs w:val="24"/>
        </w:rPr>
        <w:t xml:space="preserve">); также дополнительно предоставляется подтверждающая документация, составленная в соответствии с </w:t>
      </w:r>
      <w:hyperlink w:anchor="Прил01_ТехТребования">
        <w:r>
          <w:rPr>
            <w:rStyle w:val="Style14"/>
            <w:sz w:val="24"/>
            <w:szCs w:val="24"/>
          </w:rPr>
          <w:t>Техническими требованиями (Приложение № 1)</w:t>
        </w:r>
      </w:hyperlink>
      <w:r>
        <w:rPr>
          <w:sz w:val="24"/>
          <w:szCs w:val="24"/>
        </w:rPr>
        <w:t xml:space="preserve"> – только если в Технических требованиях установлены требования к документации по ценообразованию (подраздел «Требования к документации по ценообразованию на этапе закупки»), либо аналогичные по смыслу;</w:t>
      </w:r>
    </w:p>
    <w:p>
      <w:pPr>
        <w:pStyle w:val="Style27"/>
        <w:rPr/>
      </w:pPr>
      <w:r>
        <w:rPr>
          <w:sz w:val="24"/>
          <w:szCs w:val="24"/>
        </w:rPr>
        <w:t>План распределения объемов поставки продукции (форма 10) (</w:t>
      </w:r>
      <w:hyperlink w:anchor="Прил04_ФормыЗаявки">
        <w:r>
          <w:rPr>
            <w:rStyle w:val="Style14"/>
            <w:sz w:val="24"/>
            <w:szCs w:val="24"/>
          </w:rPr>
          <w:t>Приложение № 4</w:t>
        </w:r>
      </w:hyperlink>
      <w:r>
        <w:rPr>
          <w:sz w:val="24"/>
          <w:szCs w:val="24"/>
        </w:rPr>
        <w:t>) – только если заявка подана Генеральным подрядчиком;</w:t>
      </w:r>
    </w:p>
    <w:p>
      <w:pPr>
        <w:pStyle w:val="Style27"/>
        <w:rPr>
          <w:rFonts w:ascii="Times New Roman" w:hAnsi="Times New Roman"/>
          <w:sz w:val="24"/>
          <w:szCs w:val="24"/>
        </w:rPr>
      </w:pPr>
      <w:bookmarkStart w:id="156" w:name="_Ref130376111"/>
      <w:r>
        <w:rPr>
          <w:sz w:val="24"/>
          <w:szCs w:val="24"/>
        </w:rPr>
        <w:t>иной документ, указанный в протоколе закупки (которым назначена переторжка), связанный с предметом проводимой переторжки.</w:t>
      </w:r>
      <w:bookmarkEnd w:id="156"/>
    </w:p>
    <w:p>
      <w:pPr>
        <w:pStyle w:val="Style26"/>
        <w:rPr>
          <w:rFonts w:ascii="Times New Roman" w:hAnsi="Times New Roman"/>
          <w:sz w:val="24"/>
          <w:szCs w:val="24"/>
        </w:rPr>
      </w:pPr>
      <w:r>
        <w:rPr>
          <w:sz w:val="24"/>
          <w:szCs w:val="24"/>
        </w:rPr>
        <w:t>Если Участник, принявший участие в переторжке в заочной форме, не предоставил документы, в соответствии с пунктом </w:t>
      </w:r>
      <w:r>
        <w:rPr>
          <w:sz w:val="24"/>
          <w:szCs w:val="24"/>
        </w:rPr>
        <w:fldChar w:fldCharType="begin"/>
      </w:r>
      <w:r>
        <w:rPr>
          <w:sz w:val="24"/>
          <w:szCs w:val="24"/>
        </w:rPr>
        <w:instrText xml:space="preserve"> REF _Ref136245191 \r \h </w:instrText>
      </w:r>
      <w:r>
        <w:rPr>
          <w:sz w:val="24"/>
          <w:szCs w:val="24"/>
        </w:rPr>
        <w:fldChar w:fldCharType="separate"/>
      </w:r>
      <w:r>
        <w:rPr>
          <w:sz w:val="24"/>
          <w:szCs w:val="24"/>
        </w:rPr>
        <w:t>4.11.15</w:t>
      </w:r>
      <w:r>
        <w:rPr>
          <w:sz w:val="24"/>
          <w:szCs w:val="24"/>
        </w:rPr>
        <w:fldChar w:fldCharType="end"/>
      </w:r>
      <w:r>
        <w:rPr>
          <w:sz w:val="24"/>
          <w:szCs w:val="24"/>
        </w:rPr>
        <w:t>, либо не предоставил их в ответ на дополнительный запрос Организатора, он считается не участвовавшим в переторжке, и его заявка остается действующей с ранее (первоначально) заявленными условиями.</w:t>
      </w:r>
    </w:p>
    <w:p>
      <w:pPr>
        <w:pStyle w:val="Style26"/>
        <w:rPr>
          <w:rFonts w:ascii="Times New Roman" w:hAnsi="Times New Roman"/>
          <w:sz w:val="24"/>
          <w:szCs w:val="24"/>
        </w:rPr>
      </w:pPr>
      <w:r>
        <w:rPr>
          <w:sz w:val="24"/>
          <w:szCs w:val="24"/>
        </w:rPr>
        <w:t>При наличии соответствующего решения Закупочной комиссии о допуске Участника к переторжке в заочной форме с отлагательным условием (например, при условии представления им недостающих ранее или уточняющих документов) и неисполнения Участником этого условия, Закупочная комиссия отклоняет заявку такого Участника после переторжки.</w:t>
      </w:r>
    </w:p>
    <w:p>
      <w:pPr>
        <w:pStyle w:val="Style26"/>
        <w:rPr>
          <w:rFonts w:ascii="Times New Roman" w:hAnsi="Times New Roman"/>
          <w:sz w:val="24"/>
          <w:szCs w:val="24"/>
        </w:rPr>
      </w:pPr>
      <w:r>
        <w:rPr>
          <w:sz w:val="24"/>
          <w:szCs w:val="24"/>
        </w:rPr>
        <w:t>Результаты переторжки оформляются протоколом, который Организатор официально размещает в течение 3 (трех) календарных дней с даты проведения переторжки.</w:t>
      </w:r>
    </w:p>
    <w:p>
      <w:pPr>
        <w:pStyle w:val="Style25"/>
        <w:rPr>
          <w:rFonts w:ascii="Times New Roman" w:hAnsi="Times New Roman"/>
          <w:sz w:val="24"/>
          <w:szCs w:val="24"/>
        </w:rPr>
      </w:pPr>
      <w:bookmarkStart w:id="157" w:name="_Ref125362626"/>
      <w:bookmarkStart w:id="158" w:name="_Ref125365335"/>
      <w:bookmarkStart w:id="159" w:name="_Ref125365519"/>
      <w:bookmarkStart w:id="160" w:name="_Ref125366534"/>
      <w:bookmarkStart w:id="161" w:name="_Ref125369041"/>
      <w:bookmarkStart w:id="162" w:name="_Ref125369308"/>
      <w:bookmarkStart w:id="163" w:name="_Toc229567052"/>
      <w:r>
        <w:rPr>
          <w:sz w:val="24"/>
          <w:szCs w:val="24"/>
        </w:rPr>
        <w:t>Оценка и сопоставление заявок</w:t>
      </w:r>
      <w:bookmarkEnd w:id="157"/>
      <w:bookmarkEnd w:id="158"/>
      <w:bookmarkEnd w:id="159"/>
      <w:bookmarkEnd w:id="160"/>
      <w:bookmarkEnd w:id="161"/>
      <w:bookmarkEnd w:id="162"/>
      <w:bookmarkEnd w:id="163"/>
    </w:p>
    <w:p>
      <w:pPr>
        <w:pStyle w:val="Style26"/>
        <w:rPr/>
      </w:pPr>
      <w:r>
        <w:rPr>
          <w:sz w:val="24"/>
          <w:szCs w:val="24"/>
        </w:rPr>
        <w:t>Оценка и сопоставление заявок, признанных Закупочной комиссией соответствующими по результатам рассмотрения заявок (подраздел </w:t>
      </w:r>
      <w:r>
        <w:rPr>
          <w:sz w:val="24"/>
          <w:szCs w:val="24"/>
        </w:rPr>
        <w:fldChar w:fldCharType="begin"/>
      </w:r>
      <w:r>
        <w:rPr>
          <w:sz w:val="24"/>
          <w:szCs w:val="24"/>
        </w:rPr>
        <w:instrText xml:space="preserve"> REF _Ref125362364 \w \h </w:instrText>
      </w:r>
      <w:r>
        <w:rPr>
          <w:sz w:val="24"/>
          <w:szCs w:val="24"/>
        </w:rPr>
        <w:fldChar w:fldCharType="separate"/>
      </w:r>
      <w:r>
        <w:rPr>
          <w:sz w:val="24"/>
          <w:szCs w:val="24"/>
        </w:rPr>
        <w:t>4.9</w:t>
      </w:r>
      <w:r>
        <w:rPr>
          <w:sz w:val="24"/>
          <w:szCs w:val="24"/>
        </w:rPr>
        <w:fldChar w:fldCharType="end"/>
      </w:r>
      <w:r>
        <w:rPr>
          <w:sz w:val="24"/>
          <w:szCs w:val="24"/>
        </w:rPr>
        <w:t xml:space="preserve">), осуществляется в соответствии с </w:t>
      </w:r>
      <w:hyperlink w:anchor="Прил08_ПорядокОценки">
        <w:r>
          <w:rPr>
            <w:rStyle w:val="Style14"/>
            <w:sz w:val="24"/>
            <w:szCs w:val="24"/>
          </w:rPr>
          <w:t>Порядком и критериями оценки и сопоставления заявок (Приложение № 8)</w:t>
        </w:r>
      </w:hyperlink>
      <w:r>
        <w:rPr>
          <w:sz w:val="24"/>
          <w:szCs w:val="24"/>
        </w:rPr>
        <w:t>. Их результатом является формирование ранжировки заявок по степени предпочтительности на основании полученного итогового балла (по мере уменьшения). При этом первое место в ранжировке присваивается заявке, получившей наибольший итоговый балл. Если по результатам оценки нескольким заявкам присвоен одинаковый итоговый балл, то меньший порядковый номер (более высокое место в ранжировке) присваивается заявке, которая поступила ранее других заявок (по дате и времени последнего изменения заявки на ЭП до окончания срока подачи заявок, а также если проводилась переторжка (подраздел </w:t>
      </w:r>
      <w:r>
        <w:rPr>
          <w:sz w:val="24"/>
          <w:szCs w:val="24"/>
        </w:rPr>
        <w:fldChar w:fldCharType="begin"/>
      </w:r>
      <w:r>
        <w:rPr>
          <w:sz w:val="24"/>
          <w:szCs w:val="24"/>
        </w:rPr>
        <w:instrText xml:space="preserve"> REF _Ref125362430 \r \h </w:instrText>
      </w:r>
      <w:r>
        <w:rPr>
          <w:sz w:val="24"/>
          <w:szCs w:val="24"/>
        </w:rPr>
        <w:fldChar w:fldCharType="separate"/>
      </w:r>
      <w:r>
        <w:rPr>
          <w:sz w:val="24"/>
          <w:szCs w:val="24"/>
        </w:rPr>
        <w:t>4.11</w:t>
      </w:r>
      <w:r>
        <w:rPr>
          <w:sz w:val="24"/>
          <w:szCs w:val="24"/>
        </w:rPr>
        <w:fldChar w:fldCharType="end"/>
      </w:r>
      <w:r>
        <w:rPr>
          <w:sz w:val="24"/>
          <w:szCs w:val="24"/>
        </w:rPr>
        <w:t>), с учетом даты и времени последнего изменения заявки на ЭП, обусловленного переторжкой).</w:t>
      </w:r>
    </w:p>
    <w:p>
      <w:pPr>
        <w:pStyle w:val="Style26"/>
        <w:rPr/>
      </w:pPr>
      <w:r>
        <w:rPr>
          <w:sz w:val="24"/>
          <w:szCs w:val="24"/>
        </w:rPr>
        <w:t xml:space="preserve">Если в соответствии с </w:t>
      </w:r>
      <w:hyperlink w:anchor="Прил08_ПорядокОценки">
        <w:r>
          <w:rPr>
            <w:rStyle w:val="Style14"/>
            <w:sz w:val="24"/>
            <w:szCs w:val="24"/>
          </w:rPr>
          <w:t>Порядком и критериями оценки и сопоставления заявок (Приложение № 8)</w:t>
        </w:r>
      </w:hyperlink>
      <w:r>
        <w:rPr>
          <w:sz w:val="24"/>
          <w:szCs w:val="24"/>
        </w:rPr>
        <w:t xml:space="preserve"> предусмотрен единственный ценовой критерий оценки (иные критерии оценки не предусмотрены), оценка и сопоставление заявок, признанных Закупочной комиссией соответствующими по результатам рассмотрения заявок (подраздел </w:t>
      </w:r>
      <w:r>
        <w:rPr>
          <w:sz w:val="24"/>
          <w:szCs w:val="24"/>
        </w:rPr>
        <w:fldChar w:fldCharType="begin"/>
      </w:r>
      <w:r>
        <w:rPr>
          <w:sz w:val="24"/>
          <w:szCs w:val="24"/>
        </w:rPr>
        <w:instrText xml:space="preserve"> REF _Ref135749133 \r \h </w:instrText>
      </w:r>
      <w:r>
        <w:rPr>
          <w:sz w:val="24"/>
          <w:szCs w:val="24"/>
        </w:rPr>
        <w:fldChar w:fldCharType="separate"/>
      </w:r>
      <w:r>
        <w:rPr>
          <w:sz w:val="24"/>
          <w:szCs w:val="24"/>
        </w:rPr>
        <w:t>4.9</w:t>
      </w:r>
      <w:r>
        <w:rPr>
          <w:sz w:val="24"/>
          <w:szCs w:val="24"/>
        </w:rPr>
        <w:fldChar w:fldCharType="end"/>
      </w:r>
      <w:r>
        <w:rPr>
          <w:sz w:val="24"/>
          <w:szCs w:val="24"/>
        </w:rPr>
        <w:t>), осуществляется:</w:t>
      </w:r>
    </w:p>
    <w:p>
      <w:pPr>
        <w:pStyle w:val="Style27"/>
        <w:rPr>
          <w:rFonts w:ascii="Times New Roman" w:hAnsi="Times New Roman"/>
          <w:sz w:val="24"/>
          <w:szCs w:val="24"/>
        </w:rPr>
      </w:pPr>
      <w:r>
        <w:rPr>
          <w:sz w:val="24"/>
          <w:szCs w:val="24"/>
        </w:rPr>
        <w:t>в соответствии с единственным ценовым критерием оценки (критерием выбора Победителя) – стоимость заявки (цена Договора);</w:t>
      </w:r>
    </w:p>
    <w:p>
      <w:pPr>
        <w:pStyle w:val="Style27"/>
        <w:rPr>
          <w:rFonts w:ascii="Times New Roman" w:hAnsi="Times New Roman"/>
          <w:sz w:val="24"/>
          <w:szCs w:val="24"/>
        </w:rPr>
      </w:pPr>
      <w:r>
        <w:rPr>
          <w:sz w:val="24"/>
          <w:szCs w:val="24"/>
        </w:rPr>
        <w:t>в едином базисе без учета НДС;</w:t>
      </w:r>
    </w:p>
    <w:p>
      <w:pPr>
        <w:pStyle w:val="Style27"/>
        <w:rPr>
          <w:rFonts w:ascii="Times New Roman" w:hAnsi="Times New Roman"/>
          <w:sz w:val="24"/>
          <w:szCs w:val="24"/>
        </w:rPr>
      </w:pPr>
      <w:r>
        <w:rPr>
          <w:sz w:val="24"/>
          <w:szCs w:val="24"/>
        </w:rPr>
        <w:t>с последующим формированием по итогам этого ранжировки заявок по мере повышения стоимости заявки (цены Договора). При этом первое место в ранжировке присваивается заявке с наименьшей стоимостью заявки. Если несколько заявок имеют одинаковую стоимость, меньший порядковый номер (более высокое место в ранжировке) присваивается заявке, которая поступила ранее других заявок (по дате и времени последнего изменения заявки на ЭП до окончания срока подачи заявок).</w:t>
      </w:r>
    </w:p>
    <w:p>
      <w:pPr>
        <w:pStyle w:val="Style26"/>
        <w:rPr>
          <w:rFonts w:ascii="Times New Roman" w:hAnsi="Times New Roman"/>
          <w:sz w:val="24"/>
          <w:szCs w:val="24"/>
        </w:rPr>
      </w:pPr>
      <w:r>
        <w:rPr>
          <w:sz w:val="24"/>
          <w:szCs w:val="24"/>
        </w:rPr>
        <w:t>Оценка и сопоставление заявок проводится только на основании представленных в составе заявки документов и сведений. Применение иного порядка и (или) критериев оценки и сопоставления заявок, кроме предусмотренных Документацией о закупке, не допускается.</w:t>
      </w:r>
    </w:p>
    <w:p>
      <w:pPr>
        <w:pStyle w:val="Style26"/>
        <w:rPr>
          <w:rFonts w:ascii="Times New Roman" w:hAnsi="Times New Roman"/>
          <w:sz w:val="24"/>
          <w:szCs w:val="24"/>
        </w:rPr>
      </w:pPr>
      <w:r>
        <w:rPr>
          <w:sz w:val="24"/>
          <w:szCs w:val="24"/>
        </w:rPr>
        <w:t>Если проводилась переторжка, оценка и сопоставление заявок, а также их ранжировка осуществляются с учетом предложений, полученных по результатам переторжки (последней переторжки – если она проводилась многократно). Заявки Участников, не принявших участие в переторжке, учитываются при построении ранжировки заявок с первоначальными, указанными в их заявках предложениями (или с предложениями, принятыми Организатором в рамках последней прошедшей переторжки – если она проводилась многократно).</w:t>
      </w:r>
    </w:p>
    <w:p>
      <w:pPr>
        <w:pStyle w:val="Style26"/>
        <w:rPr>
          <w:rFonts w:ascii="Times New Roman" w:hAnsi="Times New Roman"/>
          <w:sz w:val="24"/>
          <w:szCs w:val="24"/>
        </w:rPr>
      </w:pPr>
      <w:r>
        <w:rPr>
          <w:sz w:val="24"/>
          <w:szCs w:val="24"/>
        </w:rPr>
        <w:t>Оценка и сопоставление заявок, а также их ранжировка, осуществляется с учетом применения законодательства о национальном режиме, в т.ч. ПП 1875 (подраздел </w:t>
      </w:r>
      <w:r>
        <w:rPr>
          <w:sz w:val="24"/>
          <w:szCs w:val="24"/>
        </w:rPr>
        <w:fldChar w:fldCharType="begin"/>
      </w:r>
      <w:r>
        <w:rPr>
          <w:sz w:val="24"/>
          <w:szCs w:val="24"/>
        </w:rPr>
        <w:instrText xml:space="preserve"> REF _Ref130985951 \r \h </w:instrText>
      </w:r>
      <w:r>
        <w:rPr>
          <w:sz w:val="24"/>
          <w:szCs w:val="24"/>
        </w:rPr>
        <w:fldChar w:fldCharType="separate"/>
      </w:r>
      <w:r>
        <w:rPr>
          <w:sz w:val="24"/>
          <w:szCs w:val="24"/>
        </w:rPr>
        <w:t>4.13</w:t>
      </w:r>
      <w:r>
        <w:rPr>
          <w:sz w:val="24"/>
          <w:szCs w:val="24"/>
        </w:rPr>
        <w:fldChar w:fldCharType="end"/>
      </w:r>
      <w:r>
        <w:rPr>
          <w:sz w:val="24"/>
          <w:szCs w:val="24"/>
        </w:rPr>
        <w:t>).</w:t>
      </w:r>
    </w:p>
    <w:p>
      <w:pPr>
        <w:pStyle w:val="Style26"/>
        <w:rPr>
          <w:rFonts w:ascii="Times New Roman" w:hAnsi="Times New Roman"/>
          <w:sz w:val="24"/>
          <w:szCs w:val="24"/>
        </w:rPr>
      </w:pPr>
      <w:r>
        <w:rPr>
          <w:sz w:val="24"/>
          <w:szCs w:val="24"/>
        </w:rPr>
        <w:t>Результаты оценки и сопоставления заявок вносятся в итоговый протокол по результатам закупки.</w:t>
      </w:r>
    </w:p>
    <w:p>
      <w:pPr>
        <w:pStyle w:val="Style25"/>
        <w:rPr>
          <w:rFonts w:ascii="Times New Roman" w:hAnsi="Times New Roman"/>
          <w:sz w:val="24"/>
          <w:szCs w:val="24"/>
        </w:rPr>
      </w:pPr>
      <w:bookmarkStart w:id="164" w:name="_Ref125366064"/>
      <w:bookmarkStart w:id="165" w:name="_Ref125369991"/>
      <w:bookmarkStart w:id="166" w:name="_Ref186128193"/>
      <w:bookmarkStart w:id="167" w:name="_Ref130985951"/>
      <w:bookmarkStart w:id="168" w:name="_Ref132894106"/>
      <w:bookmarkStart w:id="169" w:name="_Ref132894111"/>
      <w:bookmarkStart w:id="170" w:name="_Toc229567053"/>
      <w:bookmarkStart w:id="171" w:name="_Ref125370507"/>
      <w:bookmarkStart w:id="172" w:name="_Ref130458671"/>
      <w:r>
        <w:rPr>
          <w:sz w:val="24"/>
          <w:szCs w:val="24"/>
        </w:rPr>
        <w:t>Применение законодательства о национальном режиме</w:t>
      </w:r>
      <w:bookmarkEnd w:id="164"/>
      <w:bookmarkEnd w:id="165"/>
      <w:bookmarkEnd w:id="166"/>
      <w:bookmarkEnd w:id="167"/>
      <w:bookmarkEnd w:id="168"/>
      <w:bookmarkEnd w:id="169"/>
      <w:bookmarkEnd w:id="170"/>
      <w:bookmarkEnd w:id="171"/>
      <w:bookmarkEnd w:id="172"/>
    </w:p>
    <w:p>
      <w:pPr>
        <w:pStyle w:val="Style26"/>
        <w:rPr>
          <w:rFonts w:ascii="Times New Roman" w:hAnsi="Times New Roman"/>
          <w:sz w:val="24"/>
          <w:szCs w:val="24"/>
        </w:rPr>
      </w:pPr>
      <w:r>
        <w:rPr>
          <w:sz w:val="24"/>
          <w:szCs w:val="24"/>
        </w:rPr>
        <w:t>Настоящий подраздел применяется исходя из информации, установленной в подразделе </w:t>
      </w:r>
      <w:r>
        <w:rPr>
          <w:sz w:val="24"/>
          <w:szCs w:val="24"/>
        </w:rPr>
        <w:fldChar w:fldCharType="begin"/>
      </w:r>
      <w:r>
        <w:rPr>
          <w:sz w:val="24"/>
          <w:szCs w:val="24"/>
        </w:rPr>
        <w:instrText xml:space="preserve"> REF _Ref125359973 \r \h </w:instrText>
      </w:r>
      <w:r>
        <w:rPr>
          <w:sz w:val="24"/>
          <w:szCs w:val="24"/>
        </w:rPr>
        <w:fldChar w:fldCharType="separate"/>
      </w:r>
      <w:r>
        <w:rPr>
          <w:sz w:val="24"/>
          <w:szCs w:val="24"/>
        </w:rPr>
        <w:t>1.2</w:t>
      </w:r>
      <w:r>
        <w:rPr>
          <w:sz w:val="24"/>
          <w:szCs w:val="24"/>
        </w:rPr>
        <w:fldChar w:fldCharType="end"/>
      </w:r>
      <w:r>
        <w:rPr>
          <w:sz w:val="24"/>
          <w:szCs w:val="24"/>
        </w:rPr>
        <w:t>.</w:t>
      </w:r>
    </w:p>
    <w:p>
      <w:pPr>
        <w:pStyle w:val="Style26"/>
        <w:rPr>
          <w:rFonts w:ascii="Times New Roman" w:hAnsi="Times New Roman"/>
          <w:sz w:val="24"/>
          <w:szCs w:val="24"/>
        </w:rPr>
      </w:pPr>
      <w:bookmarkStart w:id="173" w:name="_Ref208480786"/>
      <w:r>
        <w:rPr>
          <w:sz w:val="24"/>
          <w:szCs w:val="24"/>
        </w:rPr>
        <w:t>Если в подразделе </w:t>
      </w:r>
      <w:r>
        <w:rPr>
          <w:sz w:val="24"/>
          <w:szCs w:val="24"/>
        </w:rPr>
        <w:fldChar w:fldCharType="begin"/>
      </w:r>
      <w:r>
        <w:rPr>
          <w:sz w:val="24"/>
          <w:szCs w:val="24"/>
        </w:rPr>
        <w:instrText xml:space="preserve"> REF _Ref125359973 \r \h </w:instrText>
      </w:r>
      <w:r>
        <w:rPr>
          <w:sz w:val="24"/>
          <w:szCs w:val="24"/>
        </w:rPr>
        <w:fldChar w:fldCharType="separate"/>
      </w:r>
      <w:r>
        <w:rPr>
          <w:sz w:val="24"/>
          <w:szCs w:val="24"/>
        </w:rPr>
        <w:t>1.2</w:t>
      </w:r>
      <w:r>
        <w:rPr>
          <w:sz w:val="24"/>
          <w:szCs w:val="24"/>
        </w:rPr>
        <w:fldChar w:fldCharType="end"/>
      </w:r>
      <w:r>
        <w:rPr>
          <w:sz w:val="24"/>
          <w:szCs w:val="24"/>
        </w:rPr>
        <w:t xml:space="preserve"> установлен режим запрета закупки иностранной продукции, то не допускается заключение Договора на поставку такой 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 (подраздел </w:t>
      </w:r>
      <w:r>
        <w:rPr>
          <w:sz w:val="24"/>
          <w:szCs w:val="24"/>
        </w:rPr>
        <w:fldChar w:fldCharType="begin"/>
      </w:r>
      <w:r>
        <w:rPr>
          <w:sz w:val="24"/>
          <w:szCs w:val="24"/>
        </w:rPr>
        <w:instrText xml:space="preserve"> REF _Ref135749133 \r \h </w:instrText>
      </w:r>
      <w:r>
        <w:rPr>
          <w:sz w:val="24"/>
          <w:szCs w:val="24"/>
        </w:rPr>
        <w:fldChar w:fldCharType="separate"/>
      </w:r>
      <w:r>
        <w:rPr>
          <w:sz w:val="24"/>
          <w:szCs w:val="24"/>
        </w:rPr>
        <w:t>4.9</w:t>
      </w:r>
      <w:r>
        <w:rPr>
          <w:sz w:val="24"/>
          <w:szCs w:val="24"/>
        </w:rPr>
        <w:fldChar w:fldCharType="end"/>
      </w:r>
      <w:r>
        <w:rPr>
          <w:sz w:val="24"/>
          <w:szCs w:val="24"/>
        </w:rPr>
        <w:t>).</w:t>
      </w:r>
      <w:bookmarkEnd w:id="173"/>
    </w:p>
    <w:p>
      <w:pPr>
        <w:pStyle w:val="Style26"/>
        <w:rPr>
          <w:rFonts w:ascii="Times New Roman" w:hAnsi="Times New Roman"/>
          <w:sz w:val="24"/>
          <w:szCs w:val="24"/>
        </w:rPr>
      </w:pPr>
      <w:r>
        <w:rPr>
          <w:sz w:val="24"/>
          <w:szCs w:val="24"/>
        </w:rPr>
        <w:t>Если в подразделе </w:t>
      </w:r>
      <w:r>
        <w:rPr>
          <w:sz w:val="24"/>
          <w:szCs w:val="24"/>
        </w:rPr>
        <w:fldChar w:fldCharType="begin"/>
      </w:r>
      <w:r>
        <w:rPr>
          <w:sz w:val="24"/>
          <w:szCs w:val="24"/>
        </w:rPr>
        <w:instrText xml:space="preserve"> REF _Ref125359973 \r \h </w:instrText>
      </w:r>
      <w:r>
        <w:rPr>
          <w:sz w:val="24"/>
          <w:szCs w:val="24"/>
        </w:rPr>
        <w:fldChar w:fldCharType="separate"/>
      </w:r>
      <w:r>
        <w:rPr>
          <w:sz w:val="24"/>
          <w:szCs w:val="24"/>
        </w:rPr>
        <w:t>1.2</w:t>
      </w:r>
      <w:r>
        <w:rPr>
          <w:sz w:val="24"/>
          <w:szCs w:val="24"/>
        </w:rPr>
        <w:fldChar w:fldCharType="end"/>
      </w:r>
      <w:r>
        <w:rPr>
          <w:sz w:val="24"/>
          <w:szCs w:val="24"/>
        </w:rPr>
        <w:t xml:space="preserve"> установлен режим ограничения закупки иностранной продукции, то не допускается заключение Договора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(подраздел 4.9).</w:t>
      </w:r>
    </w:p>
    <w:p>
      <w:pPr>
        <w:pStyle w:val="Style26"/>
        <w:rPr>
          <w:rFonts w:ascii="Times New Roman" w:hAnsi="Times New Roman"/>
          <w:sz w:val="24"/>
          <w:szCs w:val="24"/>
        </w:rPr>
      </w:pPr>
      <w:bookmarkStart w:id="174" w:name="_Ref192101097"/>
      <w:r>
        <w:rPr>
          <w:sz w:val="24"/>
          <w:szCs w:val="24"/>
        </w:rPr>
        <w:t>Если в подразделе </w:t>
      </w:r>
      <w:r>
        <w:rPr>
          <w:sz w:val="24"/>
          <w:szCs w:val="24"/>
        </w:rPr>
        <w:fldChar w:fldCharType="begin"/>
      </w:r>
      <w:r>
        <w:rPr>
          <w:sz w:val="24"/>
          <w:szCs w:val="24"/>
        </w:rPr>
        <w:instrText xml:space="preserve"> REF _Ref125359973 \r \h </w:instrText>
      </w:r>
      <w:r>
        <w:rPr>
          <w:sz w:val="24"/>
          <w:szCs w:val="24"/>
        </w:rPr>
        <w:fldChar w:fldCharType="separate"/>
      </w:r>
      <w:r>
        <w:rPr>
          <w:sz w:val="24"/>
          <w:szCs w:val="24"/>
        </w:rPr>
        <w:t>1.2</w:t>
      </w:r>
      <w:r>
        <w:rPr>
          <w:sz w:val="24"/>
          <w:szCs w:val="24"/>
        </w:rPr>
        <w:fldChar w:fldCharType="end"/>
      </w:r>
      <w:r>
        <w:rPr>
          <w:sz w:val="24"/>
          <w:szCs w:val="24"/>
        </w:rPr>
        <w:t xml:space="preserve"> установлен режим преимущества российской продукции, то </w:t>
      </w:r>
      <w:bookmarkStart w:id="175" w:name="_Hlk198907172"/>
      <w:r>
        <w:rPr>
          <w:sz w:val="24"/>
          <w:szCs w:val="24"/>
        </w:rPr>
        <w:t>при оценке и сопоставлении заявок, а также их ранжировке (подраздел </w:t>
      </w:r>
      <w:r>
        <w:rPr>
          <w:sz w:val="24"/>
          <w:szCs w:val="24"/>
        </w:rPr>
        <w:fldChar w:fldCharType="begin"/>
      </w:r>
      <w:r>
        <w:rPr>
          <w:sz w:val="24"/>
          <w:szCs w:val="24"/>
        </w:rPr>
        <w:instrText xml:space="preserve"> REF _Ref125362626 \r \h </w:instrText>
      </w:r>
      <w:r>
        <w:rPr>
          <w:sz w:val="24"/>
          <w:szCs w:val="24"/>
        </w:rPr>
        <w:fldChar w:fldCharType="separate"/>
      </w:r>
      <w:r>
        <w:rPr>
          <w:sz w:val="24"/>
          <w:szCs w:val="24"/>
        </w:rPr>
        <w:t>4.12</w:t>
      </w:r>
      <w:r>
        <w:rPr>
          <w:sz w:val="24"/>
          <w:szCs w:val="24"/>
        </w:rPr>
        <w:fldChar w:fldCharType="end"/>
      </w:r>
      <w:r>
        <w:rPr>
          <w:sz w:val="24"/>
          <w:szCs w:val="24"/>
        </w:rPr>
        <w:t>), осуществляется снижение</w:t>
      </w:r>
      <w:r>
        <w:rPr>
          <w:rStyle w:val="FootnoteReference"/>
          <w:sz w:val="24"/>
          <w:szCs w:val="24"/>
        </w:rPr>
        <w:footnoteReference w:id="9"/>
      </w:r>
      <w:r>
        <w:rPr>
          <w:sz w:val="24"/>
          <w:szCs w:val="24"/>
        </w:rPr>
        <w:t xml:space="preserve"> на 15% (пятнадцать процентов) итоговой стоимости (цены Договора) поданной и допущенной заявки с российской продукцией (на поставку товара российского происхождения </w:t>
      </w:r>
      <w:bookmarkStart w:id="176" w:name="_Hlk198901350"/>
      <w:r>
        <w:rPr>
          <w:sz w:val="24"/>
          <w:szCs w:val="24"/>
        </w:rPr>
        <w:t>(в том числе поставляемых при выполнении закупаемых работ, оказании закупаемых услуг))</w:t>
      </w:r>
      <w:bookmarkEnd w:id="176"/>
      <w:r>
        <w:rPr>
          <w:sz w:val="24"/>
          <w:szCs w:val="24"/>
        </w:rPr>
        <w:t>, при условии наличия допущенной заявки с иностранной продукцией (на поставку товара иностранного происхождения)</w:t>
      </w:r>
      <w:bookmarkEnd w:id="175"/>
      <w:r>
        <w:rPr>
          <w:sz w:val="24"/>
          <w:szCs w:val="24"/>
        </w:rPr>
        <w:t>.</w:t>
      </w:r>
      <w:bookmarkEnd w:id="174"/>
    </w:p>
    <w:p>
      <w:pPr>
        <w:pStyle w:val="Style26"/>
        <w:rPr>
          <w:rFonts w:ascii="Times New Roman" w:hAnsi="Times New Roman"/>
          <w:sz w:val="24"/>
          <w:szCs w:val="24"/>
        </w:rPr>
      </w:pPr>
      <w:bookmarkStart w:id="177" w:name="_Ref192700787"/>
      <w:bookmarkStart w:id="178" w:name="_Ref196303561"/>
      <w:r>
        <w:rPr>
          <w:sz w:val="24"/>
          <w:szCs w:val="24"/>
        </w:rPr>
        <w:t>Если в подразделе </w:t>
      </w:r>
      <w:r>
        <w:rPr>
          <w:sz w:val="24"/>
          <w:szCs w:val="24"/>
        </w:rPr>
        <w:fldChar w:fldCharType="begin"/>
      </w:r>
      <w:r>
        <w:rPr>
          <w:sz w:val="24"/>
          <w:szCs w:val="24"/>
        </w:rPr>
        <w:instrText xml:space="preserve"> REF _Ref125359973 \r \h </w:instrText>
      </w:r>
      <w:r>
        <w:rPr>
          <w:sz w:val="24"/>
          <w:szCs w:val="24"/>
        </w:rPr>
        <w:fldChar w:fldCharType="separate"/>
      </w:r>
      <w:r>
        <w:rPr>
          <w:sz w:val="24"/>
          <w:szCs w:val="24"/>
        </w:rPr>
        <w:t>1.2</w:t>
      </w:r>
      <w:r>
        <w:rPr>
          <w:sz w:val="24"/>
          <w:szCs w:val="24"/>
        </w:rPr>
        <w:fldChar w:fldCharType="end"/>
      </w:r>
      <w:r>
        <w:rPr>
          <w:sz w:val="24"/>
          <w:szCs w:val="24"/>
        </w:rPr>
        <w:t xml:space="preserve"> установлено, что Заказчик исполняет нормы в части минимальной обязательной доли закупок товаров российского происхождения, то не допускается заключение Договора на поставку товара иностранного происхождения, – соответствующая заявка отклоняется при рассмотрении заявок (подраздел </w:t>
      </w:r>
      <w:r>
        <w:rPr>
          <w:sz w:val="24"/>
          <w:szCs w:val="24"/>
        </w:rPr>
        <w:fldChar w:fldCharType="begin"/>
      </w:r>
      <w:r>
        <w:rPr>
          <w:sz w:val="24"/>
          <w:szCs w:val="24"/>
        </w:rPr>
        <w:instrText xml:space="preserve"> REF _Ref135749133 \r \h </w:instrText>
      </w:r>
      <w:r>
        <w:rPr>
          <w:sz w:val="24"/>
          <w:szCs w:val="24"/>
        </w:rPr>
        <w:fldChar w:fldCharType="separate"/>
      </w:r>
      <w:r>
        <w:rPr>
          <w:sz w:val="24"/>
          <w:szCs w:val="24"/>
        </w:rPr>
        <w:t>4.9</w:t>
      </w:r>
      <w:r>
        <w:rPr>
          <w:sz w:val="24"/>
          <w:szCs w:val="24"/>
        </w:rPr>
        <w:fldChar w:fldCharType="end"/>
      </w:r>
      <w:r>
        <w:rPr>
          <w:sz w:val="24"/>
          <w:szCs w:val="24"/>
        </w:rPr>
        <w:t>).</w:t>
      </w:r>
      <w:bookmarkEnd w:id="177"/>
      <w:bookmarkEnd w:id="178"/>
    </w:p>
    <w:p>
      <w:pPr>
        <w:pStyle w:val="Style26"/>
        <w:rPr/>
      </w:pPr>
      <w:r>
        <w:rPr>
          <w:sz w:val="24"/>
          <w:szCs w:val="24"/>
        </w:rPr>
        <w:t>Состав и требования к сведениям и (или) перечню документов (их предоставлению Участником), которые подтверждают страну происхождения товара (страны ЕАЭС, включая Россию), в целях выполнения требований законодательства о национальном режиме (пункты </w:t>
      </w:r>
      <w:r>
        <w:rPr>
          <w:sz w:val="24"/>
          <w:szCs w:val="24"/>
        </w:rPr>
        <w:fldChar w:fldCharType="begin"/>
      </w:r>
      <w:r>
        <w:rPr>
          <w:sz w:val="24"/>
          <w:szCs w:val="24"/>
        </w:rPr>
        <w:instrText xml:space="preserve"> REF _Ref208480786 \r \h </w:instrText>
      </w:r>
      <w:r>
        <w:rPr>
          <w:sz w:val="24"/>
          <w:szCs w:val="24"/>
        </w:rPr>
        <w:fldChar w:fldCharType="separate"/>
      </w:r>
      <w:r>
        <w:rPr>
          <w:sz w:val="24"/>
          <w:szCs w:val="24"/>
        </w:rPr>
        <w:t>4.13.2</w:t>
      </w:r>
      <w:r>
        <w:rPr>
          <w:sz w:val="24"/>
          <w:szCs w:val="24"/>
        </w:rPr>
        <w:fldChar w:fldCharType="end"/>
      </w:r>
      <w:r>
        <w:rPr>
          <w:sz w:val="24"/>
          <w:szCs w:val="24"/>
        </w:rPr>
        <w:t> – </w:t>
      </w:r>
      <w:r>
        <w:rPr>
          <w:sz w:val="24"/>
          <w:szCs w:val="24"/>
        </w:rPr>
        <w:fldChar w:fldCharType="begin"/>
      </w:r>
      <w:r>
        <w:rPr>
          <w:sz w:val="24"/>
          <w:szCs w:val="24"/>
        </w:rPr>
        <w:instrText xml:space="preserve"> REF _Ref192700787 \r \h </w:instrText>
      </w:r>
      <w:r>
        <w:rPr>
          <w:sz w:val="24"/>
          <w:szCs w:val="24"/>
        </w:rPr>
        <w:fldChar w:fldCharType="separate"/>
      </w:r>
      <w:r>
        <w:rPr>
          <w:sz w:val="24"/>
          <w:szCs w:val="24"/>
        </w:rPr>
        <w:t>4.13.5</w:t>
      </w:r>
      <w:r>
        <w:rPr>
          <w:sz w:val="24"/>
          <w:szCs w:val="24"/>
        </w:rPr>
        <w:fldChar w:fldCharType="end"/>
      </w:r>
      <w:r>
        <w:rPr>
          <w:sz w:val="24"/>
          <w:szCs w:val="24"/>
        </w:rPr>
        <w:t>), установлены в Структуре НМЦ (в составе Коммерческого предложения (форма 3) (</w:t>
      </w:r>
      <w:hyperlink w:anchor="Прил04_ФормыЗаявки">
        <w:r>
          <w:rPr>
            <w:rStyle w:val="Style14"/>
            <w:sz w:val="24"/>
            <w:szCs w:val="24"/>
          </w:rPr>
          <w:t>Приложение № 4</w:t>
        </w:r>
      </w:hyperlink>
      <w:r>
        <w:rPr>
          <w:sz w:val="24"/>
          <w:szCs w:val="24"/>
        </w:rPr>
        <w:t xml:space="preserve">), </w:t>
      </w:r>
      <w:bookmarkStart w:id="179" w:name="_Hlk207281039"/>
      <w:r>
        <w:rPr>
          <w:sz w:val="24"/>
          <w:szCs w:val="24"/>
        </w:rPr>
        <w:t>а также в Технических требованиях (Приложение №1) в части установления требований к подтверждающим документам</w:t>
      </w:r>
      <w:bookmarkEnd w:id="179"/>
      <w:r>
        <w:rPr>
          <w:sz w:val="24"/>
          <w:szCs w:val="24"/>
        </w:rPr>
        <w:t>.</w:t>
      </w:r>
    </w:p>
    <w:p>
      <w:pPr>
        <w:pStyle w:val="Style26"/>
        <w:keepNext w:val="true"/>
        <w:rPr>
          <w:rFonts w:ascii="Times New Roman" w:hAnsi="Times New Roman"/>
          <w:sz w:val="24"/>
          <w:szCs w:val="24"/>
        </w:rPr>
      </w:pPr>
      <w:r>
        <w:rPr>
          <w:sz w:val="24"/>
          <w:szCs w:val="24"/>
        </w:rPr>
        <w:t>Товар приравнивается к товарам, происходящим из иностранного государства (не являющегося государством – членом ЕАЭС), если:</w:t>
      </w:r>
    </w:p>
    <w:p>
      <w:pPr>
        <w:pStyle w:val="Style27"/>
        <w:rPr>
          <w:rFonts w:ascii="Times New Roman" w:hAnsi="Times New Roman"/>
          <w:sz w:val="24"/>
          <w:szCs w:val="24"/>
        </w:rPr>
      </w:pPr>
      <w:r>
        <w:rPr>
          <w:sz w:val="24"/>
          <w:szCs w:val="24"/>
        </w:rPr>
        <w:t>в отношении такого товара Участником не предоставлены в составе заявки требуемые Документацией о закупке подтверждающие сведения и (или) документы;</w:t>
      </w:r>
    </w:p>
    <w:p>
      <w:pPr>
        <w:pStyle w:val="Style27"/>
        <w:rPr>
          <w:rFonts w:ascii="Times New Roman" w:hAnsi="Times New Roman"/>
          <w:sz w:val="24"/>
          <w:szCs w:val="24"/>
        </w:rPr>
      </w:pPr>
      <w:r>
        <w:rPr>
          <w:sz w:val="24"/>
          <w:szCs w:val="24"/>
        </w:rPr>
        <w:t>в соответствии с реестровой записью из реестра российской промышленной продукции количество указанных баллов за выполнение (освоение) на территории Российской Федерации соответствующих операций (условий) составляет меньшее значение по отношению к количеству баллов, определенных ПП 719 (в случае, если для такого товара ПП 719 установлены требования о совокупном количестве баллов).</w:t>
      </w:r>
    </w:p>
    <w:p>
      <w:pPr>
        <w:pStyle w:val="Style26"/>
        <w:rPr>
          <w:rFonts w:ascii="Times New Roman" w:hAnsi="Times New Roman"/>
          <w:sz w:val="24"/>
          <w:szCs w:val="24"/>
        </w:rPr>
      </w:pPr>
      <w:r>
        <w:rPr>
          <w:sz w:val="24"/>
          <w:szCs w:val="24"/>
        </w:rPr>
        <w:t>Если в подразделе </w:t>
      </w:r>
      <w:r>
        <w:rPr>
          <w:sz w:val="24"/>
          <w:szCs w:val="24"/>
        </w:rPr>
        <w:fldChar w:fldCharType="begin"/>
      </w:r>
      <w:r>
        <w:rPr>
          <w:sz w:val="24"/>
          <w:szCs w:val="24"/>
        </w:rPr>
        <w:instrText xml:space="preserve"> REF _Ref125359973 \r \h </w:instrText>
      </w:r>
      <w:r>
        <w:rPr>
          <w:sz w:val="24"/>
          <w:szCs w:val="24"/>
        </w:rPr>
        <w:fldChar w:fldCharType="separate"/>
      </w:r>
      <w:r>
        <w:rPr>
          <w:sz w:val="24"/>
          <w:szCs w:val="24"/>
        </w:rPr>
        <w:t>1.2</w:t>
      </w:r>
      <w:r>
        <w:rPr>
          <w:sz w:val="24"/>
          <w:szCs w:val="24"/>
        </w:rPr>
        <w:fldChar w:fldCharType="end"/>
      </w:r>
      <w:r>
        <w:rPr>
          <w:sz w:val="24"/>
          <w:szCs w:val="24"/>
        </w:rPr>
        <w:t xml:space="preserve"> установлен режим запрета закупки иностранной продукции (в отношении позиции № 146 приложения № 1 к ПП 1875), то заявка, содержащая предложение о поставке российского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 приравнивается к заявке, содержащей предложение о поставке программного обеспечения, происходящего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w:t>
      </w:r>
    </w:p>
    <w:p>
      <w:pPr>
        <w:pStyle w:val="Style26"/>
        <w:rPr>
          <w:rFonts w:ascii="Times New Roman" w:hAnsi="Times New Roman"/>
          <w:sz w:val="24"/>
          <w:szCs w:val="24"/>
        </w:rPr>
      </w:pPr>
      <w:r>
        <w:rPr>
          <w:sz w:val="24"/>
          <w:szCs w:val="24"/>
        </w:rPr>
        <w:t>Если в подразделе </w:t>
      </w:r>
      <w:r>
        <w:rPr>
          <w:sz w:val="24"/>
          <w:szCs w:val="24"/>
        </w:rPr>
        <w:fldChar w:fldCharType="begin"/>
      </w:r>
      <w:r>
        <w:rPr>
          <w:sz w:val="24"/>
          <w:szCs w:val="24"/>
        </w:rPr>
        <w:instrText xml:space="preserve"> REF _Ref125359973 \r \h </w:instrText>
      </w:r>
      <w:r>
        <w:rPr>
          <w:sz w:val="24"/>
          <w:szCs w:val="24"/>
        </w:rPr>
        <w:fldChar w:fldCharType="separate"/>
      </w:r>
      <w:r>
        <w:rPr>
          <w:sz w:val="24"/>
          <w:szCs w:val="24"/>
        </w:rPr>
        <w:t>1.2</w:t>
      </w:r>
      <w:r>
        <w:rPr>
          <w:sz w:val="24"/>
          <w:szCs w:val="24"/>
        </w:rPr>
        <w:fldChar w:fldCharType="end"/>
      </w:r>
      <w:r>
        <w:rPr>
          <w:sz w:val="24"/>
          <w:szCs w:val="24"/>
        </w:rPr>
        <w:t xml:space="preserve"> установлен режим ограничения закупки иностранной продукции (в отношении позиций №№ 195, 197 – 199, 203 приложения № 2 к ПП 1875), то заявка, содержащая предложение о поставке российской радиоэлектронной продукции, но не являющейся в соответствии с ПП 719 радиоэлектронной продукцией первого уровня, приравнивается к заявке, содержащей предложение о поставке радиоэлектронной продукции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радиоэлектронной продукции российского происхождения, являющейся в соответствии с ПП 719 радиоэлектронной продукцией первого уровня.</w:t>
      </w:r>
    </w:p>
    <w:p>
      <w:pPr>
        <w:pStyle w:val="Style26"/>
        <w:rPr>
          <w:rFonts w:ascii="Times New Roman" w:hAnsi="Times New Roman"/>
          <w:sz w:val="24"/>
          <w:szCs w:val="24"/>
        </w:rPr>
      </w:pPr>
      <w:bookmarkStart w:id="180" w:name="_Hlk191561456"/>
      <w:r>
        <w:rPr>
          <w:sz w:val="24"/>
          <w:szCs w:val="24"/>
        </w:rPr>
        <w:t>Если Договор был заключен по результатам закупки, в которой был установлен режим запрета закупки иностранных товаров, выполнения работ и (или) оказания услуг иностранным лицом,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 установлен запрет;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bookmarkEnd w:id="180"/>
      <w:r>
        <w:rPr>
          <w:sz w:val="24"/>
          <w:szCs w:val="24"/>
        </w:rPr>
        <w:t>.</w:t>
      </w:r>
    </w:p>
    <w:p>
      <w:pPr>
        <w:pStyle w:val="Style26"/>
        <w:rPr>
          <w:rFonts w:ascii="Times New Roman" w:hAnsi="Times New Roman"/>
          <w:sz w:val="24"/>
          <w:szCs w:val="24"/>
        </w:rPr>
      </w:pPr>
      <w:r>
        <w:rPr>
          <w:sz w:val="24"/>
          <w:szCs w:val="24"/>
        </w:rPr>
        <w:t>Если Договор был заключен по результатам закупки, в которой был установлен режим ограничения закупки иностранных товаров,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ограничение, если Договор предусматривает поставку товара российского происхождения.</w:t>
      </w:r>
    </w:p>
    <w:p>
      <w:pPr>
        <w:pStyle w:val="Style26"/>
        <w:rPr>
          <w:rFonts w:ascii="Times New Roman" w:hAnsi="Times New Roman"/>
          <w:sz w:val="24"/>
          <w:szCs w:val="24"/>
        </w:rPr>
      </w:pPr>
      <w:r>
        <w:rPr>
          <w:sz w:val="24"/>
          <w:szCs w:val="24"/>
        </w:rPr>
        <w:t>Если Договор был заключен по результатам закупки, в которой был установлен режим преимущество в отношении товара российского происхождения,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преимущество, если Договор предусматривает поставку товара российского происхождения.</w:t>
      </w:r>
    </w:p>
    <w:p>
      <w:pPr>
        <w:pStyle w:val="Style26"/>
        <w:numPr>
          <w:ilvl w:val="0"/>
          <w:numId w:val="0"/>
        </w:numPr>
        <w:ind w:hanging="0" w:left="0"/>
        <w:outlineLvl w:val="9"/>
        <w:rPr>
          <w:rFonts w:ascii="Times New Roman" w:hAnsi="Times New Roman"/>
          <w:sz w:val="24"/>
          <w:szCs w:val="24"/>
        </w:rPr>
      </w:pPr>
      <w:r>
        <w:rPr>
          <w:sz w:val="24"/>
          <w:szCs w:val="24"/>
        </w:rPr>
      </w:r>
    </w:p>
    <w:p>
      <w:pPr>
        <w:pStyle w:val="Style25"/>
        <w:rPr>
          <w:rFonts w:ascii="Times New Roman" w:hAnsi="Times New Roman"/>
          <w:sz w:val="24"/>
          <w:szCs w:val="24"/>
        </w:rPr>
      </w:pPr>
      <w:bookmarkStart w:id="181" w:name="_Ref125362658"/>
      <w:bookmarkStart w:id="182" w:name="_Ref125366091"/>
      <w:bookmarkStart w:id="183" w:name="_Ref125367242"/>
      <w:bookmarkStart w:id="184" w:name="_Toc229567054"/>
      <w:r>
        <w:rPr>
          <w:sz w:val="24"/>
          <w:szCs w:val="24"/>
        </w:rPr>
        <w:t>Подведение итогов закупки (определение Победителя)</w:t>
      </w:r>
      <w:bookmarkEnd w:id="181"/>
      <w:bookmarkEnd w:id="182"/>
      <w:bookmarkEnd w:id="183"/>
      <w:bookmarkEnd w:id="184"/>
    </w:p>
    <w:p>
      <w:pPr>
        <w:pStyle w:val="Style26"/>
        <w:rPr>
          <w:rFonts w:ascii="Times New Roman" w:hAnsi="Times New Roman"/>
          <w:sz w:val="24"/>
          <w:szCs w:val="24"/>
        </w:rPr>
      </w:pPr>
      <w:r>
        <w:rPr>
          <w:sz w:val="24"/>
          <w:szCs w:val="24"/>
        </w:rPr>
        <w:t>Дата окончания срока подведения итогов закупки указана в подразделе </w:t>
      </w:r>
      <w:r>
        <w:rPr>
          <w:sz w:val="24"/>
          <w:szCs w:val="24"/>
        </w:rPr>
        <w:fldChar w:fldCharType="begin"/>
      </w:r>
      <w:r>
        <w:rPr>
          <w:sz w:val="24"/>
          <w:szCs w:val="24"/>
        </w:rPr>
        <w:instrText xml:space="preserve"> REF _Ref125359973 \r \h </w:instrText>
      </w:r>
      <w:r>
        <w:rPr>
          <w:sz w:val="24"/>
          <w:szCs w:val="24"/>
        </w:rPr>
        <w:fldChar w:fldCharType="separate"/>
      </w:r>
      <w:r>
        <w:rPr>
          <w:sz w:val="24"/>
          <w:szCs w:val="24"/>
        </w:rPr>
        <w:t>1.2</w:t>
      </w:r>
      <w:r>
        <w:rPr>
          <w:sz w:val="24"/>
          <w:szCs w:val="24"/>
        </w:rPr>
        <w:fldChar w:fldCharType="end"/>
      </w:r>
      <w:r>
        <w:rPr>
          <w:sz w:val="24"/>
          <w:szCs w:val="24"/>
        </w:rPr>
        <w:t>. Организатор по согласованию с Заказчиком вправе, при необходимости, изменить данный срок, официально разместив информацию об этом.</w:t>
      </w:r>
    </w:p>
    <w:p>
      <w:pPr>
        <w:pStyle w:val="Style26"/>
        <w:rPr>
          <w:rFonts w:ascii="Times New Roman" w:hAnsi="Times New Roman"/>
          <w:sz w:val="24"/>
          <w:szCs w:val="24"/>
        </w:rPr>
      </w:pPr>
      <w:r>
        <w:rPr>
          <w:sz w:val="24"/>
          <w:szCs w:val="24"/>
        </w:rPr>
        <w:t>На основании полученных результатов оценки и сопоставления заявок Организатор подводит итоги закупки. Победителем закупки признается Участник, заявка которого заняла 1 (первое) место в ранжировке заявок по итогам рассмотрения, оценки и сопоставления заявок.</w:t>
      </w:r>
    </w:p>
    <w:p>
      <w:pPr>
        <w:pStyle w:val="Style26"/>
        <w:rPr/>
      </w:pPr>
      <w:r>
        <w:rPr>
          <w:sz w:val="24"/>
          <w:szCs w:val="24"/>
        </w:rPr>
        <w:t>Перед окончательным определением Победителя Организатор вправе потребовать от Участника, занявшего верхнее место в ранжировке, прохождения процедуры постквалификации. В рамках постквалификации Организатор вправе запросить у Участника предоставление документов и (или) информации, подтверждающих представленные в заявке сведения, а также провести дополнительную проверку достоверности представленных документов и информации. Постквалификация проводится по отборочным критериям (</w:t>
      </w:r>
      <w:hyperlink w:anchor="Прил07_ОтборочныеКритерии">
        <w:r>
          <w:rPr>
            <w:rStyle w:val="Style14"/>
            <w:sz w:val="24"/>
            <w:szCs w:val="24"/>
          </w:rPr>
          <w:t>Приложение № 7</w:t>
        </w:r>
      </w:hyperlink>
      <w:r>
        <w:rPr>
          <w:sz w:val="24"/>
          <w:szCs w:val="24"/>
        </w:rPr>
        <w:t>), относящимся к соответствию Участника установленным требованиям Документации о закупке. Заявка Участника, не отвечающего необходимым требованиям, отклоняется, при этом Организатор вправе продолжить процедуру проверки в отношении Участника, занявшего следующее место в ранжировке.</w:t>
      </w:r>
    </w:p>
    <w:p>
      <w:pPr>
        <w:pStyle w:val="Style26"/>
        <w:rPr>
          <w:rFonts w:ascii="Times New Roman" w:hAnsi="Times New Roman"/>
          <w:sz w:val="24"/>
          <w:szCs w:val="24"/>
        </w:rPr>
      </w:pPr>
      <w:r>
        <w:rPr>
          <w:sz w:val="24"/>
          <w:szCs w:val="24"/>
        </w:rPr>
        <w:t>Если к моменту подведения итогов закупки с выбором в качестве Победителя ранее аккредитованного Участника прошло более 6 (шести) календарных месяцев с даты присвоения ему статуса «аккредитован» / «аккредитация не требуется», перед окончательным определением Победителя проводится процедура актуализации статуса аккредитации данного Участника. Если по результатам такой проверки Участнику присвоен статус «не аккредитован», его заявка отклоняется, а Закупочная комиссия имеет право выбрать в качестве Победителя иного Участника, занявшего следующее после него место в ранжировке заявок, из числа остальных действующих заявок (при наличии у него актуального статуса аккредитации).</w:t>
      </w:r>
    </w:p>
    <w:p>
      <w:pPr>
        <w:pStyle w:val="Style26"/>
        <w:keepNext w:val="true"/>
        <w:rPr>
          <w:rFonts w:ascii="Times New Roman" w:hAnsi="Times New Roman"/>
          <w:sz w:val="24"/>
          <w:szCs w:val="24"/>
        </w:rPr>
      </w:pPr>
      <w:bookmarkStart w:id="185" w:name="_Ref125365974"/>
      <w:r>
        <w:rPr>
          <w:sz w:val="24"/>
          <w:szCs w:val="24"/>
        </w:rPr>
        <w:t>Решение Закупочной комиссии по определению Победителя оформляется итоговым протоколом по результатам закупки, в котором, как минимум, указываются</w:t>
      </w:r>
      <w:r>
        <w:rPr>
          <w:rStyle w:val="FootnoteReference"/>
          <w:sz w:val="24"/>
          <w:szCs w:val="24"/>
        </w:rPr>
        <w:footnoteReference w:id="10"/>
      </w:r>
      <w:r>
        <w:rPr>
          <w:sz w:val="24"/>
          <w:szCs w:val="24"/>
        </w:rPr>
        <w:t>:</w:t>
      </w:r>
      <w:bookmarkEnd w:id="185"/>
    </w:p>
    <w:p>
      <w:pPr>
        <w:pStyle w:val="Style27"/>
        <w:rPr>
          <w:rFonts w:ascii="Times New Roman" w:hAnsi="Times New Roman"/>
          <w:sz w:val="24"/>
          <w:szCs w:val="24"/>
        </w:rPr>
      </w:pPr>
      <w:r>
        <w:rPr>
          <w:sz w:val="24"/>
          <w:szCs w:val="24"/>
        </w:rPr>
        <w:t>дата подписания протокола;</w:t>
      </w:r>
    </w:p>
    <w:p>
      <w:pPr>
        <w:pStyle w:val="Style27"/>
        <w:rPr>
          <w:rFonts w:ascii="Times New Roman" w:hAnsi="Times New Roman"/>
          <w:sz w:val="24"/>
          <w:szCs w:val="24"/>
        </w:rPr>
      </w:pPr>
      <w:r>
        <w:rPr>
          <w:sz w:val="24"/>
          <w:szCs w:val="24"/>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27"/>
        <w:rPr>
          <w:rFonts w:ascii="Times New Roman" w:hAnsi="Times New Roman"/>
          <w:sz w:val="24"/>
          <w:szCs w:val="24"/>
        </w:rPr>
      </w:pPr>
      <w:r>
        <w:rPr>
          <w:sz w:val="24"/>
          <w:szCs w:val="24"/>
        </w:rPr>
        <w:t>идентификационные номера заявок Участников, допущенных по результатам рассмотрения заявок, присваиваемые Оператором ЭП;</w:t>
      </w:r>
    </w:p>
    <w:p>
      <w:pPr>
        <w:pStyle w:val="Style27"/>
        <w:keepNext w:val="true"/>
        <w:rPr>
          <w:rFonts w:ascii="Times New Roman" w:hAnsi="Times New Roman"/>
          <w:sz w:val="24"/>
          <w:szCs w:val="24"/>
        </w:rPr>
      </w:pPr>
      <w:r>
        <w:rPr>
          <w:sz w:val="24"/>
          <w:szCs w:val="24"/>
        </w:rPr>
        <w:t>результаты дополнительного рассмотрения заявок (при возникновении оснований для отклонения заявок по результатам проведения постквалификации или актуализации статуса аккредитации, если такие процедуры проводились) с указанием, в том числе:</w:t>
      </w:r>
    </w:p>
    <w:p>
      <w:pPr>
        <w:pStyle w:val="Style28"/>
        <w:rPr>
          <w:rFonts w:ascii="Times New Roman" w:hAnsi="Times New Roman"/>
          <w:sz w:val="24"/>
          <w:szCs w:val="24"/>
        </w:rPr>
      </w:pPr>
      <w:r>
        <w:rPr>
          <w:sz w:val="24"/>
          <w:szCs w:val="24"/>
        </w:rPr>
        <w:t>количества заявок, которые были отклонены;</w:t>
      </w:r>
    </w:p>
    <w:p>
      <w:pPr>
        <w:pStyle w:val="Style28"/>
        <w:rPr>
          <w:rFonts w:ascii="Times New Roman" w:hAnsi="Times New Roman"/>
          <w:sz w:val="24"/>
          <w:szCs w:val="24"/>
        </w:rPr>
      </w:pPr>
      <w:r>
        <w:rPr>
          <w:sz w:val="24"/>
          <w:szCs w:val="24"/>
        </w:rPr>
        <w:t>оснований отклонения каждой заявки с указанием положений Документации о закупке, которым не соответствует такая заявка;</w:t>
      </w:r>
    </w:p>
    <w:p>
      <w:pPr>
        <w:pStyle w:val="Style27"/>
        <w:rPr/>
      </w:pPr>
      <w:r>
        <w:rPr>
          <w:sz w:val="24"/>
          <w:szCs w:val="24"/>
        </w:rPr>
        <w:t xml:space="preserve">результаты оценки и сопоставления заявок с указанием, в том числе, если в соответствии с </w:t>
      </w:r>
      <w:hyperlink w:anchor="Прил08_ПорядокОценки">
        <w:r>
          <w:rPr>
            <w:rStyle w:val="Style14"/>
            <w:sz w:val="24"/>
            <w:szCs w:val="24"/>
          </w:rPr>
          <w:t>Порядком и критериями оценки и сопоставления заявок (Приложение № 8)</w:t>
        </w:r>
      </w:hyperlink>
      <w:r>
        <w:rPr>
          <w:sz w:val="24"/>
          <w:szCs w:val="24"/>
        </w:rPr>
        <w:t xml:space="preserve"> был предусмотрен многокритериальный порядок оценки, значения (в баллах), присвоенного каждой заявке по каждому из предусмотренных критериев оценки, установленных в Документации о закупке;</w:t>
      </w:r>
    </w:p>
    <w:p>
      <w:pPr>
        <w:pStyle w:val="Style27"/>
        <w:rPr>
          <w:rFonts w:ascii="Times New Roman" w:hAnsi="Times New Roman"/>
          <w:sz w:val="24"/>
          <w:szCs w:val="24"/>
        </w:rPr>
      </w:pPr>
      <w:r>
        <w:rPr>
          <w:sz w:val="24"/>
          <w:szCs w:val="24"/>
        </w:rPr>
        <w:t>порядковые номера каждой заявки (с указанием стоимостей заявок (цен Договоров), допущенной по результатам рассмотрения заявок, в том числе с учетом результатов актуализации статуса аккредитации и проведения переторжки (если указанные процедуры проводились), в ранжировке заявок;</w:t>
      </w:r>
    </w:p>
    <w:p>
      <w:pPr>
        <w:pStyle w:val="Style27"/>
        <w:rPr>
          <w:rFonts w:ascii="Times New Roman" w:hAnsi="Times New Roman"/>
          <w:sz w:val="24"/>
          <w:szCs w:val="24"/>
        </w:rPr>
      </w:pPr>
      <w:r>
        <w:rPr>
          <w:sz w:val="24"/>
          <w:szCs w:val="24"/>
        </w:rPr>
        <w:t>идентификационный номер заявки Победителя закупки или Единственного участника несостоявшейся закупки, с которым планируется заключить Договор;</w:t>
      </w:r>
    </w:p>
    <w:p>
      <w:pPr>
        <w:pStyle w:val="Style27"/>
        <w:rPr>
          <w:rFonts w:ascii="Times New Roman" w:hAnsi="Times New Roman"/>
          <w:sz w:val="24"/>
          <w:szCs w:val="24"/>
        </w:rPr>
      </w:pPr>
      <w:r>
        <w:rPr>
          <w:sz w:val="24"/>
          <w:szCs w:val="24"/>
        </w:rPr>
        <w:t>причины, по которым закупка признана несостоявшейся (в случае ее признания таковой),</w:t>
      </w:r>
    </w:p>
    <w:p>
      <w:pPr>
        <w:pStyle w:val="Style30"/>
        <w:ind w:hanging="0" w:left="1134"/>
        <w:rPr>
          <w:rFonts w:ascii="Times New Roman" w:hAnsi="Times New Roman"/>
          <w:sz w:val="24"/>
          <w:szCs w:val="24"/>
        </w:rPr>
      </w:pPr>
      <w:r>
        <w:rPr>
          <w:sz w:val="24"/>
          <w:szCs w:val="24"/>
        </w:rPr>
        <w:t>после чего Организатор официально размещает его в течение 3 (трех) календарных дней с даты подписания такого протокола.</w:t>
      </w:r>
    </w:p>
    <w:p>
      <w:pPr>
        <w:pStyle w:val="Style26"/>
        <w:rPr>
          <w:rFonts w:ascii="Times New Roman" w:hAnsi="Times New Roman"/>
          <w:sz w:val="24"/>
          <w:szCs w:val="24"/>
        </w:rPr>
      </w:pPr>
      <w:r>
        <w:rPr>
          <w:sz w:val="24"/>
          <w:szCs w:val="24"/>
        </w:rPr>
        <w:t>Победитель дополнительно уведомляется о результатах проводимой закупки с использованием ЭП – уведомление направляется Оператором ЭП согласно Регламенту ЭП.</w:t>
      </w:r>
    </w:p>
    <w:p>
      <w:pPr>
        <w:pStyle w:val="Style26"/>
        <w:rPr>
          <w:rFonts w:ascii="Times New Roman" w:hAnsi="Times New Roman"/>
          <w:sz w:val="24"/>
          <w:szCs w:val="24"/>
        </w:rPr>
      </w:pPr>
      <w:r>
        <w:rPr>
          <w:sz w:val="24"/>
          <w:szCs w:val="24"/>
        </w:rPr>
        <w:t>Если между официальным размещением итогового протокола по результатам закупки и подписанием Договора изменится Победитель (например, вследствие уклонения Победителя или потери им статуса), информация о новом Победителе официально размещается Организатором в том же порядке.</w:t>
      </w:r>
    </w:p>
    <w:p>
      <w:pPr>
        <w:pStyle w:val="Style25"/>
        <w:rPr>
          <w:rFonts w:ascii="Times New Roman" w:hAnsi="Times New Roman"/>
          <w:sz w:val="24"/>
          <w:szCs w:val="24"/>
        </w:rPr>
      </w:pPr>
      <w:bookmarkStart w:id="186" w:name="_Ref125365305"/>
      <w:bookmarkStart w:id="187" w:name="_Toc229567055"/>
      <w:bookmarkStart w:id="188" w:name="_Ref125366796"/>
      <w:bookmarkStart w:id="189" w:name="_Ref125366631"/>
      <w:bookmarkStart w:id="190" w:name="_Ref125365570"/>
      <w:bookmarkStart w:id="191" w:name="_Ref125364187"/>
      <w:bookmarkStart w:id="192" w:name="_Ref125364149"/>
      <w:r>
        <w:rPr>
          <w:sz w:val="24"/>
          <w:szCs w:val="24"/>
        </w:rPr>
        <w:t>Признание закупки несостоявшейся</w:t>
      </w:r>
      <w:bookmarkEnd w:id="186"/>
      <w:bookmarkEnd w:id="187"/>
      <w:bookmarkEnd w:id="188"/>
      <w:bookmarkEnd w:id="189"/>
      <w:bookmarkEnd w:id="190"/>
      <w:bookmarkEnd w:id="191"/>
      <w:bookmarkEnd w:id="192"/>
    </w:p>
    <w:p>
      <w:pPr>
        <w:pStyle w:val="Style26"/>
        <w:keepNext w:val="true"/>
        <w:rPr>
          <w:rFonts w:ascii="Times New Roman" w:hAnsi="Times New Roman"/>
          <w:sz w:val="24"/>
          <w:szCs w:val="24"/>
        </w:rPr>
      </w:pPr>
      <w:r>
        <w:rPr>
          <w:sz w:val="24"/>
          <w:szCs w:val="24"/>
        </w:rPr>
        <w:t>Закупка признается несостоявшейся в следующих случаях:</w:t>
      </w:r>
    </w:p>
    <w:p>
      <w:pPr>
        <w:pStyle w:val="Style27"/>
        <w:rPr>
          <w:rFonts w:ascii="Times New Roman" w:hAnsi="Times New Roman"/>
          <w:sz w:val="24"/>
          <w:szCs w:val="24"/>
        </w:rPr>
      </w:pPr>
      <w:r>
        <w:rPr>
          <w:sz w:val="24"/>
          <w:szCs w:val="24"/>
        </w:rPr>
        <w:t>если по окончанию срока подачи заявок поступило менее 2 (двух) заявок (с учетом возможных отзывов заявок);</w:t>
      </w:r>
    </w:p>
    <w:p>
      <w:pPr>
        <w:pStyle w:val="Style27"/>
        <w:rPr>
          <w:rFonts w:ascii="Times New Roman" w:hAnsi="Times New Roman"/>
          <w:sz w:val="24"/>
          <w:szCs w:val="24"/>
        </w:rPr>
      </w:pPr>
      <w:r>
        <w:rPr>
          <w:sz w:val="24"/>
          <w:szCs w:val="24"/>
        </w:rPr>
        <w:t>по результатам рассмотрения заявок Закупочной комиссией принято решение о признании менее 2 (двух) заявок соответствующими требованиям Документации о закупки;</w:t>
      </w:r>
    </w:p>
    <w:p>
      <w:pPr>
        <w:pStyle w:val="Style27"/>
        <w:rPr>
          <w:rFonts w:ascii="Times New Roman" w:hAnsi="Times New Roman"/>
          <w:sz w:val="24"/>
          <w:szCs w:val="24"/>
        </w:rPr>
      </w:pPr>
      <w:bookmarkStart w:id="193" w:name="_Hlk219297033"/>
      <w:r>
        <w:rPr>
          <w:sz w:val="24"/>
          <w:szCs w:val="24"/>
        </w:rPr>
        <w:t xml:space="preserve">по результатам проведения закупки от заключения договора уклонились все допущенные Участники (подраздел </w:t>
      </w:r>
      <w:r>
        <w:rPr>
          <w:sz w:val="24"/>
          <w:szCs w:val="24"/>
        </w:rPr>
        <w:fldChar w:fldCharType="begin"/>
      </w:r>
      <w:r>
        <w:rPr>
          <w:sz w:val="24"/>
          <w:szCs w:val="24"/>
        </w:rPr>
        <w:instrText xml:space="preserve"> REF _Ref125367068 \r \h </w:instrText>
      </w:r>
      <w:r>
        <w:rPr>
          <w:sz w:val="24"/>
          <w:szCs w:val="24"/>
        </w:rPr>
        <w:fldChar w:fldCharType="separate"/>
      </w:r>
      <w:r>
        <w:rPr>
          <w:sz w:val="24"/>
          <w:szCs w:val="24"/>
        </w:rPr>
        <w:t>5.4</w:t>
      </w:r>
      <w:r>
        <w:rPr>
          <w:sz w:val="24"/>
          <w:szCs w:val="24"/>
        </w:rPr>
        <w:fldChar w:fldCharType="end"/>
      </w:r>
      <w:bookmarkEnd w:id="193"/>
      <w:r>
        <w:rPr>
          <w:sz w:val="24"/>
          <w:szCs w:val="24"/>
        </w:rPr>
        <w:t>).</w:t>
      </w:r>
    </w:p>
    <w:p>
      <w:pPr>
        <w:pStyle w:val="Style26"/>
        <w:rPr>
          <w:rFonts w:ascii="Times New Roman" w:hAnsi="Times New Roman"/>
          <w:sz w:val="24"/>
          <w:szCs w:val="24"/>
        </w:rPr>
      </w:pPr>
      <w:r>
        <w:rPr>
          <w:sz w:val="24"/>
          <w:szCs w:val="24"/>
        </w:rPr>
        <w:t>Указанные обстоятельства в случае их наступления фиксируются в соответствующем протоколе, оформляемом по результатам проведения закупки (или ее этапа).</w:t>
      </w:r>
    </w:p>
    <w:p>
      <w:pPr>
        <w:pStyle w:val="Style26"/>
        <w:keepNext w:val="true"/>
        <w:rPr>
          <w:rFonts w:ascii="Times New Roman" w:hAnsi="Times New Roman"/>
          <w:sz w:val="24"/>
          <w:szCs w:val="24"/>
        </w:rPr>
      </w:pPr>
      <w:r>
        <w:rPr>
          <w:sz w:val="24"/>
          <w:szCs w:val="24"/>
        </w:rPr>
        <w:t>В случае признания закупки несостоявшейся (с учетом условий, предусмотренных Положением о закупке):</w:t>
      </w:r>
    </w:p>
    <w:p>
      <w:pPr>
        <w:pStyle w:val="Style27"/>
        <w:rPr>
          <w:rFonts w:ascii="Times New Roman" w:hAnsi="Times New Roman"/>
          <w:sz w:val="24"/>
          <w:szCs w:val="24"/>
        </w:rPr>
      </w:pPr>
      <w:r>
        <w:rPr>
          <w:sz w:val="24"/>
          <w:szCs w:val="24"/>
        </w:rPr>
        <w:t>если поступила только 1 (одна) заявка от одного Участника (с учетом отозванных Участниками заявок), либо по результатам рассмотрения заявок (или постквалификации, если проводилась), принято решение о признании только 1 (одной) заявки соответствующей требованиям Документации о закупке – Заказчик заключает договор с Единственным участником несостоявшейся закупки (раздел </w:t>
      </w:r>
      <w:r>
        <w:rPr>
          <w:sz w:val="24"/>
          <w:szCs w:val="24"/>
        </w:rPr>
        <w:fldChar w:fldCharType="begin"/>
      </w:r>
      <w:r>
        <w:rPr>
          <w:sz w:val="24"/>
          <w:szCs w:val="24"/>
        </w:rPr>
        <w:instrText xml:space="preserve"> REF _Ref126142429 \r \h </w:instrText>
      </w:r>
      <w:r>
        <w:rPr>
          <w:sz w:val="24"/>
          <w:szCs w:val="24"/>
        </w:rPr>
        <w:fldChar w:fldCharType="separate"/>
      </w:r>
      <w:r>
        <w:rPr>
          <w:sz w:val="24"/>
          <w:szCs w:val="24"/>
        </w:rPr>
        <w:t>5</w:t>
      </w:r>
      <w:r>
        <w:rPr>
          <w:sz w:val="24"/>
          <w:szCs w:val="24"/>
        </w:rPr>
        <w:fldChar w:fldCharType="end"/>
      </w:r>
      <w:r>
        <w:rPr>
          <w:sz w:val="24"/>
          <w:szCs w:val="24"/>
        </w:rPr>
        <w:t>) (при наличии экономической целесообразности и/или при условии отсутствия времени на повторное проведение закупки).</w:t>
      </w:r>
    </w:p>
    <w:p>
      <w:pPr>
        <w:pStyle w:val="Style34"/>
        <w:numPr>
          <w:ilvl w:val="0"/>
          <w:numId w:val="0"/>
        </w:numPr>
        <w:ind w:hanging="0" w:left="1701"/>
        <w:rPr>
          <w:rFonts w:ascii="Times New Roman" w:hAnsi="Times New Roman"/>
          <w:sz w:val="24"/>
          <w:szCs w:val="24"/>
        </w:rPr>
      </w:pPr>
      <w:r>
        <w:rPr>
          <w:sz w:val="24"/>
          <w:szCs w:val="24"/>
        </w:rPr>
        <w:t>В случае отсутствия экономической целесообразности и/или при наличии времени на повторное проведение закупки, Заказчик принимает одно из следующих решений в порядке приоритета:</w:t>
      </w:r>
    </w:p>
    <w:p>
      <w:pPr>
        <w:pStyle w:val="-1"/>
        <w:numPr>
          <w:ilvl w:val="0"/>
          <w:numId w:val="16"/>
        </w:numPr>
        <w:tabs>
          <w:tab w:val="clear" w:pos="2552"/>
        </w:tabs>
        <w:ind w:hanging="426" w:left="2127"/>
        <w:rPr>
          <w:rFonts w:ascii="Times New Roman" w:hAnsi="Times New Roman"/>
          <w:sz w:val="24"/>
          <w:szCs w:val="24"/>
        </w:rPr>
      </w:pPr>
      <w:r>
        <w:rPr>
          <w:sz w:val="24"/>
          <w:szCs w:val="24"/>
        </w:rPr>
        <w:t>повторное проведение закупки;</w:t>
      </w:r>
    </w:p>
    <w:p>
      <w:pPr>
        <w:pStyle w:val="-1"/>
        <w:numPr>
          <w:ilvl w:val="0"/>
          <w:numId w:val="16"/>
        </w:numPr>
        <w:tabs>
          <w:tab w:val="clear" w:pos="2552"/>
        </w:tabs>
        <w:ind w:hanging="0" w:left="1701"/>
        <w:rPr>
          <w:rFonts w:ascii="Times New Roman" w:hAnsi="Times New Roman"/>
          <w:sz w:val="24"/>
          <w:szCs w:val="24"/>
        </w:rPr>
      </w:pPr>
      <w:r>
        <w:rPr>
          <w:sz w:val="24"/>
          <w:szCs w:val="24"/>
        </w:rPr>
        <w:t>отказ от заключения договора по следующим основаниям:</w:t>
      </w:r>
    </w:p>
    <w:p>
      <w:pPr>
        <w:pStyle w:val="-1"/>
        <w:numPr>
          <w:ilvl w:val="0"/>
          <w:numId w:val="17"/>
        </w:numPr>
        <w:tabs>
          <w:tab w:val="clear" w:pos="2552"/>
        </w:tabs>
        <w:ind w:hanging="283" w:left="2410"/>
        <w:rPr>
          <w:rFonts w:ascii="Times New Roman" w:hAnsi="Times New Roman"/>
          <w:sz w:val="24"/>
          <w:szCs w:val="24"/>
        </w:rPr>
      </w:pPr>
      <w:r>
        <w:rPr>
          <w:sz w:val="24"/>
          <w:szCs w:val="24"/>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17"/>
        </w:numPr>
        <w:tabs>
          <w:tab w:val="clear" w:pos="2552"/>
        </w:tabs>
        <w:ind w:hanging="283" w:left="2410"/>
        <w:rPr>
          <w:rFonts w:ascii="Times New Roman" w:hAnsi="Times New Roman"/>
          <w:sz w:val="24"/>
          <w:szCs w:val="24"/>
        </w:rPr>
      </w:pPr>
      <w:r>
        <w:rPr>
          <w:sz w:val="24"/>
          <w:szCs w:val="24"/>
        </w:rPr>
        <w:t>изменение потребности в продукции, в том числе изменение характеристик продукции, при наличии утверждения таких изменений;</w:t>
      </w:r>
    </w:p>
    <w:p>
      <w:pPr>
        <w:pStyle w:val="-1"/>
        <w:numPr>
          <w:ilvl w:val="0"/>
          <w:numId w:val="17"/>
        </w:numPr>
        <w:tabs>
          <w:tab w:val="clear" w:pos="2552"/>
        </w:tabs>
        <w:ind w:hanging="283" w:left="2410"/>
        <w:rPr>
          <w:rFonts w:ascii="Times New Roman" w:hAnsi="Times New Roman"/>
          <w:sz w:val="24"/>
          <w:szCs w:val="24"/>
        </w:rPr>
      </w:pPr>
      <w:r>
        <w:rPr>
          <w:sz w:val="24"/>
          <w:szCs w:val="24"/>
        </w:rPr>
        <w:t>необходимость исполнения предписаний антимонопольного органа;</w:t>
      </w:r>
    </w:p>
    <w:p>
      <w:pPr>
        <w:pStyle w:val="-1"/>
        <w:numPr>
          <w:ilvl w:val="0"/>
          <w:numId w:val="16"/>
        </w:numPr>
        <w:tabs>
          <w:tab w:val="clear" w:pos="2552"/>
        </w:tabs>
        <w:ind w:hanging="426" w:left="2127"/>
        <w:rPr>
          <w:rFonts w:ascii="Times New Roman" w:hAnsi="Times New Roman"/>
          <w:sz w:val="24"/>
          <w:szCs w:val="24"/>
        </w:rPr>
      </w:pPr>
      <w:bookmarkStart w:id="194" w:name="_Hlk214281841"/>
      <w:r>
        <w:rPr>
          <w:sz w:val="24"/>
          <w:szCs w:val="24"/>
        </w:rPr>
        <w:t>отказ от дополнительного повторного проведения закупки (при отсутствии заявок, соответствующих установленным требованиям, по результатам повторного проведения закупки);</w:t>
      </w:r>
      <w:bookmarkEnd w:id="194"/>
    </w:p>
    <w:p>
      <w:pPr>
        <w:pStyle w:val="Style27"/>
        <w:rPr>
          <w:rFonts w:ascii="Times New Roman" w:hAnsi="Times New Roman"/>
          <w:sz w:val="24"/>
          <w:szCs w:val="24"/>
        </w:rPr>
      </w:pPr>
      <w:r>
        <w:rPr>
          <w:sz w:val="24"/>
          <w:szCs w:val="24"/>
        </w:rPr>
        <w:t xml:space="preserve">если не поступило ни одной заявки, либо по результатам рассмотрения заявок (или постквалификации, если проводилась), принято решение о признании их не соответствующими требованиям Документации о закупке, </w:t>
      </w:r>
      <w:bookmarkStart w:id="195" w:name="_Hlk219297054"/>
      <w:bookmarkStart w:id="196" w:name="_Hlk219301655"/>
      <w:r>
        <w:rPr>
          <w:sz w:val="24"/>
          <w:szCs w:val="24"/>
        </w:rPr>
        <w:t>либо по результатам проведения закупки от заключения договора уклонились все допущенные Участники</w:t>
      </w:r>
      <w:bookmarkEnd w:id="195"/>
      <w:bookmarkEnd w:id="196"/>
      <w:r>
        <w:rPr>
          <w:sz w:val="24"/>
          <w:szCs w:val="24"/>
        </w:rPr>
        <w:t xml:space="preserve"> – Заказчик проводит повторную закупку.</w:t>
      </w:r>
    </w:p>
    <w:p>
      <w:pPr>
        <w:pStyle w:val="Style34"/>
        <w:numPr>
          <w:ilvl w:val="0"/>
          <w:numId w:val="0"/>
        </w:numPr>
        <w:ind w:hanging="0" w:left="1701"/>
        <w:rPr>
          <w:rFonts w:ascii="Times New Roman" w:hAnsi="Times New Roman"/>
          <w:sz w:val="24"/>
          <w:szCs w:val="24"/>
        </w:rPr>
      </w:pPr>
      <w:r>
        <w:rPr>
          <w:sz w:val="24"/>
          <w:szCs w:val="24"/>
        </w:rPr>
        <w:t>Заказчик вправе отказаться от проведения повторной закупки по следующим основаниям:</w:t>
      </w:r>
    </w:p>
    <w:p>
      <w:pPr>
        <w:pStyle w:val="-1"/>
        <w:numPr>
          <w:ilvl w:val="0"/>
          <w:numId w:val="17"/>
        </w:numPr>
        <w:tabs>
          <w:tab w:val="clear" w:pos="2552"/>
        </w:tabs>
        <w:ind w:hanging="426" w:left="2127"/>
        <w:rPr>
          <w:rFonts w:ascii="Times New Roman" w:hAnsi="Times New Roman"/>
          <w:sz w:val="24"/>
          <w:szCs w:val="24"/>
        </w:rPr>
      </w:pPr>
      <w:r>
        <w:rPr>
          <w:sz w:val="24"/>
          <w:szCs w:val="24"/>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17"/>
        </w:numPr>
        <w:tabs>
          <w:tab w:val="clear" w:pos="2552"/>
        </w:tabs>
        <w:ind w:hanging="426" w:left="2127"/>
        <w:rPr>
          <w:rFonts w:ascii="Times New Roman" w:hAnsi="Times New Roman"/>
          <w:sz w:val="24"/>
          <w:szCs w:val="24"/>
        </w:rPr>
      </w:pPr>
      <w:r>
        <w:rPr>
          <w:sz w:val="24"/>
          <w:szCs w:val="24"/>
        </w:rPr>
        <w:t>изменение потребности в продукции, в том числе изменение характеристик продукции;</w:t>
      </w:r>
    </w:p>
    <w:p>
      <w:pPr>
        <w:pStyle w:val="-1"/>
        <w:numPr>
          <w:ilvl w:val="0"/>
          <w:numId w:val="17"/>
        </w:numPr>
        <w:tabs>
          <w:tab w:val="clear" w:pos="2552"/>
        </w:tabs>
        <w:ind w:hanging="426" w:left="2127"/>
        <w:rPr>
          <w:rFonts w:ascii="Times New Roman" w:hAnsi="Times New Roman"/>
          <w:sz w:val="24"/>
          <w:szCs w:val="24"/>
        </w:rPr>
      </w:pPr>
      <w:r>
        <w:rPr>
          <w:sz w:val="24"/>
          <w:szCs w:val="24"/>
        </w:rPr>
        <w:t>при отсутствии заявок, соответствующих установленным требованиям, по результатам повторного проведения закупки.</w:t>
      </w:r>
    </w:p>
    <w:p>
      <w:pPr>
        <w:pStyle w:val="Style25"/>
        <w:rPr>
          <w:rFonts w:ascii="Times New Roman" w:hAnsi="Times New Roman"/>
          <w:sz w:val="24"/>
          <w:szCs w:val="24"/>
        </w:rPr>
      </w:pPr>
      <w:bookmarkStart w:id="197" w:name="_Toc229567056"/>
      <w:bookmarkStart w:id="198" w:name="_Ref126141962"/>
      <w:r>
        <w:rPr>
          <w:sz w:val="24"/>
          <w:szCs w:val="24"/>
        </w:rPr>
        <w:t>Отказ от проведения закупки</w:t>
      </w:r>
      <w:bookmarkEnd w:id="198"/>
      <w:r>
        <w:rPr>
          <w:sz w:val="24"/>
          <w:szCs w:val="24"/>
        </w:rPr>
        <w:t xml:space="preserve"> (отмена закупки)</w:t>
      </w:r>
      <w:bookmarkEnd w:id="197"/>
    </w:p>
    <w:p>
      <w:pPr>
        <w:pStyle w:val="Style26"/>
        <w:rPr>
          <w:rFonts w:ascii="Times New Roman" w:hAnsi="Times New Roman"/>
          <w:sz w:val="24"/>
          <w:szCs w:val="24"/>
        </w:rPr>
      </w:pPr>
      <w:r>
        <w:rPr>
          <w:sz w:val="24"/>
          <w:szCs w:val="24"/>
        </w:rPr>
        <w:t>Организатор имеет право отказаться от проведения закупки не позднее окончания срока подачи заявок, не неся никакой ответственности перед Участниками или третьими лицами, которым такое действие может принести убытки.</w:t>
      </w:r>
    </w:p>
    <w:p>
      <w:pPr>
        <w:pStyle w:val="Style26"/>
        <w:rPr>
          <w:rFonts w:ascii="Times New Roman" w:hAnsi="Times New Roman"/>
          <w:sz w:val="24"/>
          <w:szCs w:val="24"/>
        </w:rPr>
      </w:pPr>
      <w:r>
        <w:rPr>
          <w:sz w:val="24"/>
          <w:szCs w:val="24"/>
        </w:rPr>
        <w:t>Организатор уведомляет всех Участников об отмене закупки посредством официального размещения информации в день принятия соответствующего решения об отмене.</w:t>
      </w:r>
    </w:p>
    <w:p>
      <w:pPr>
        <w:pStyle w:val="Style26"/>
        <w:rPr>
          <w:rFonts w:ascii="Times New Roman" w:hAnsi="Times New Roman"/>
          <w:sz w:val="24"/>
          <w:szCs w:val="24"/>
        </w:rPr>
      </w:pPr>
      <w:r>
        <w:rPr>
          <w:sz w:val="24"/>
          <w:szCs w:val="24"/>
        </w:rPr>
        <w:t>Дополнительно организатор уведомляет всех Участников об отмене закупки посредством ЭП.</w:t>
      </w:r>
    </w:p>
    <w:p>
      <w:pPr>
        <w:pStyle w:val="Style26"/>
        <w:rPr>
          <w:rFonts w:ascii="Times New Roman" w:hAnsi="Times New Roman"/>
          <w:sz w:val="24"/>
          <w:szCs w:val="24"/>
        </w:rPr>
      </w:pPr>
      <w:r>
        <w:rPr>
          <w:sz w:val="24"/>
          <w:szCs w:val="24"/>
        </w:rPr>
        <w:t>По истечении указанного срока отмены закупки Заказчик вправе отменить закупку и заключение договора по ее результатам только в случае возникновения обстоятельств непреодолимой силы в соответствии с гражданским законодательством.</w:t>
      </w:r>
    </w:p>
    <w:p>
      <w:pPr>
        <w:pStyle w:val="Style25"/>
        <w:rPr>
          <w:rFonts w:ascii="Times New Roman" w:hAnsi="Times New Roman"/>
          <w:sz w:val="24"/>
          <w:szCs w:val="24"/>
        </w:rPr>
      </w:pPr>
      <w:bookmarkStart w:id="199" w:name="_Ref130455226"/>
      <w:bookmarkStart w:id="200" w:name="_Toc229567057"/>
      <w:r>
        <w:rPr>
          <w:sz w:val="24"/>
          <w:szCs w:val="24"/>
        </w:rPr>
        <w:t>Особенности проведения закупки с необходимостью обеспечения заявки</w:t>
      </w:r>
      <w:bookmarkEnd w:id="199"/>
      <w:bookmarkEnd w:id="200"/>
    </w:p>
    <w:p>
      <w:pPr>
        <w:pStyle w:val="Style26"/>
        <w:rPr>
          <w:rFonts w:ascii="Times New Roman" w:hAnsi="Times New Roman"/>
          <w:sz w:val="24"/>
          <w:szCs w:val="24"/>
        </w:rPr>
      </w:pPr>
      <w:r>
        <w:rPr>
          <w:sz w:val="24"/>
          <w:szCs w:val="24"/>
        </w:rPr>
        <w:t>Нормы настоящего подраздела применяются, если подразделом </w:t>
      </w:r>
      <w:r>
        <w:rPr>
          <w:sz w:val="24"/>
          <w:szCs w:val="24"/>
        </w:rPr>
        <w:fldChar w:fldCharType="begin"/>
      </w:r>
      <w:r>
        <w:rPr>
          <w:sz w:val="24"/>
          <w:szCs w:val="24"/>
        </w:rPr>
        <w:instrText xml:space="preserve"> REF _Ref125359973 \r \h </w:instrText>
      </w:r>
      <w:r>
        <w:rPr>
          <w:sz w:val="24"/>
          <w:szCs w:val="24"/>
        </w:rPr>
        <w:fldChar w:fldCharType="separate"/>
      </w:r>
      <w:r>
        <w:rPr>
          <w:sz w:val="24"/>
          <w:szCs w:val="24"/>
        </w:rPr>
        <w:t>1.2</w:t>
      </w:r>
      <w:r>
        <w:rPr>
          <w:sz w:val="24"/>
          <w:szCs w:val="24"/>
        </w:rPr>
        <w:fldChar w:fldCharType="end"/>
      </w:r>
      <w:r>
        <w:rPr>
          <w:sz w:val="24"/>
          <w:szCs w:val="24"/>
        </w:rPr>
        <w:t xml:space="preserve"> предусмотрена обязанность Участников предоставить обеспечение заявки на участие в закупке.</w:t>
      </w:r>
    </w:p>
    <w:p>
      <w:pPr>
        <w:pStyle w:val="Style26"/>
        <w:rPr>
          <w:rFonts w:ascii="Times New Roman" w:hAnsi="Times New Roman"/>
          <w:sz w:val="24"/>
          <w:szCs w:val="24"/>
        </w:rPr>
      </w:pPr>
      <w:r>
        <w:rPr>
          <w:sz w:val="24"/>
          <w:szCs w:val="24"/>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26"/>
        <w:rPr>
          <w:rFonts w:ascii="Times New Roman" w:hAnsi="Times New Roman"/>
          <w:sz w:val="24"/>
          <w:szCs w:val="24"/>
        </w:rPr>
      </w:pPr>
      <w:r>
        <w:rPr>
          <w:sz w:val="24"/>
          <w:szCs w:val="24"/>
        </w:rPr>
        <w:t>Обязательства Участников, связанные с подачей заявок, обеспечиваются в форме, порядке и размере в соответствии с подразделом </w:t>
      </w:r>
      <w:r>
        <w:rPr>
          <w:sz w:val="24"/>
          <w:szCs w:val="24"/>
        </w:rPr>
        <w:fldChar w:fldCharType="begin"/>
      </w:r>
      <w:r>
        <w:rPr>
          <w:sz w:val="24"/>
          <w:szCs w:val="24"/>
        </w:rPr>
        <w:instrText xml:space="preserve"> REF _Ref125359973 \r \h </w:instrText>
      </w:r>
      <w:r>
        <w:rPr>
          <w:sz w:val="24"/>
          <w:szCs w:val="24"/>
        </w:rPr>
        <w:fldChar w:fldCharType="separate"/>
      </w:r>
      <w:r>
        <w:rPr>
          <w:sz w:val="24"/>
          <w:szCs w:val="24"/>
        </w:rPr>
        <w:t>1.2</w:t>
      </w:r>
      <w:r>
        <w:rPr>
          <w:sz w:val="24"/>
          <w:szCs w:val="24"/>
        </w:rPr>
        <w:fldChar w:fldCharType="end"/>
      </w:r>
      <w:r>
        <w:rPr>
          <w:sz w:val="24"/>
          <w:szCs w:val="24"/>
        </w:rPr>
        <w:t>. Выбор формы (способа) обеспечения из числа предусмотренных осуществляется Участниками самостоятельно.</w:t>
      </w:r>
    </w:p>
    <w:p>
      <w:pPr>
        <w:pStyle w:val="Style26"/>
        <w:rPr>
          <w:rFonts w:ascii="Times New Roman" w:hAnsi="Times New Roman"/>
          <w:sz w:val="24"/>
          <w:szCs w:val="24"/>
        </w:rPr>
      </w:pPr>
      <w:r>
        <w:rPr>
          <w:sz w:val="24"/>
          <w:szCs w:val="24"/>
        </w:rPr>
        <w:t>В случае выбора Участником обеспечения заявки в виде денежных средств, такие денежные средства в требуемом размере должны быть внесены до момента окончания срока подачи заявок (подраздел </w:t>
      </w:r>
      <w:r>
        <w:rPr>
          <w:sz w:val="24"/>
          <w:szCs w:val="24"/>
        </w:rPr>
        <w:fldChar w:fldCharType="begin"/>
      </w:r>
      <w:r>
        <w:rPr>
          <w:sz w:val="24"/>
          <w:szCs w:val="24"/>
        </w:rPr>
        <w:instrText xml:space="preserve"> REF _Ref125359973 \r \h </w:instrText>
      </w:r>
      <w:r>
        <w:rPr>
          <w:sz w:val="24"/>
          <w:szCs w:val="24"/>
        </w:rPr>
        <w:fldChar w:fldCharType="separate"/>
      </w:r>
      <w:r>
        <w:rPr>
          <w:sz w:val="24"/>
          <w:szCs w:val="24"/>
        </w:rPr>
        <w:t>1.2</w:t>
      </w:r>
      <w:r>
        <w:rPr>
          <w:sz w:val="24"/>
          <w:szCs w:val="24"/>
        </w:rPr>
        <w:fldChar w:fldCharType="end"/>
      </w:r>
      <w:r>
        <w:rPr>
          <w:sz w:val="24"/>
          <w:szCs w:val="24"/>
        </w:rPr>
        <w:t>) на индивидуальный счет, открытый Участнику Оператором ЭП в соответствии с Регламентом ЭП. В противном случае обеспечение заявки считается невнесенным, и Организатор обязан отклонить заявку такого Участника.</w:t>
      </w:r>
    </w:p>
    <w:p>
      <w:pPr>
        <w:pStyle w:val="Style26"/>
        <w:rPr>
          <w:rFonts w:ascii="Times New Roman" w:hAnsi="Times New Roman"/>
          <w:sz w:val="24"/>
          <w:szCs w:val="24"/>
        </w:rPr>
      </w:pPr>
      <w:r>
        <w:rPr>
          <w:sz w:val="24"/>
          <w:szCs w:val="24"/>
        </w:rPr>
        <w:t>В случае выбора Участником обеспечения заявки путем предоставления банковской гарантии (в том числе электронной банковской гарантии, выданной посредством функционала ЭП), такая банковская гарантия составляется с учетом требований статей 368 – 378 ГК РФ, а также следующих условий:</w:t>
      </w:r>
    </w:p>
    <w:p>
      <w:pPr>
        <w:pStyle w:val="Style27"/>
        <w:rPr>
          <w:rFonts w:ascii="Times New Roman" w:hAnsi="Times New Roman"/>
          <w:sz w:val="24"/>
          <w:szCs w:val="24"/>
        </w:rPr>
      </w:pPr>
      <w:r>
        <w:rPr>
          <w:sz w:val="24"/>
          <w:szCs w:val="24"/>
        </w:rPr>
        <w:t>банковская гарантия должна быть безотзывной и безусловной (гарантия по первому требованию);</w:t>
      </w:r>
    </w:p>
    <w:p>
      <w:pPr>
        <w:pStyle w:val="Style27"/>
        <w:rPr>
          <w:rFonts w:ascii="Times New Roman" w:hAnsi="Times New Roman"/>
          <w:sz w:val="24"/>
          <w:szCs w:val="24"/>
        </w:rPr>
      </w:pPr>
      <w:r>
        <w:rPr>
          <w:sz w:val="24"/>
          <w:szCs w:val="24"/>
        </w:rPr>
        <w:t>сумма банковской гарантии должна быть выражена в российских рублях и составлять не менее суммы в размере, указанном в подразделе </w:t>
      </w:r>
      <w:r>
        <w:rPr>
          <w:sz w:val="24"/>
          <w:szCs w:val="24"/>
        </w:rPr>
        <w:fldChar w:fldCharType="begin"/>
      </w:r>
      <w:r>
        <w:rPr>
          <w:sz w:val="24"/>
          <w:szCs w:val="24"/>
        </w:rPr>
        <w:instrText xml:space="preserve"> REF _Ref125359973 \r \h </w:instrText>
      </w:r>
      <w:r>
        <w:rPr>
          <w:sz w:val="24"/>
          <w:szCs w:val="24"/>
        </w:rPr>
        <w:fldChar w:fldCharType="separate"/>
      </w:r>
      <w:r>
        <w:rPr>
          <w:sz w:val="24"/>
          <w:szCs w:val="24"/>
        </w:rPr>
        <w:t>1.2</w:t>
      </w:r>
      <w:r>
        <w:rPr>
          <w:sz w:val="24"/>
          <w:szCs w:val="24"/>
        </w:rPr>
        <w:fldChar w:fldCharType="end"/>
      </w:r>
      <w:r>
        <w:rPr>
          <w:sz w:val="24"/>
          <w:szCs w:val="24"/>
        </w:rPr>
        <w:t>;</w:t>
      </w:r>
    </w:p>
    <w:p>
      <w:pPr>
        <w:pStyle w:val="Style27"/>
        <w:rPr>
          <w:rFonts w:ascii="Times New Roman" w:hAnsi="Times New Roman"/>
          <w:sz w:val="24"/>
          <w:szCs w:val="24"/>
        </w:rPr>
      </w:pPr>
      <w:r>
        <w:rPr>
          <w:sz w:val="24"/>
          <w:szCs w:val="24"/>
        </w:rPr>
        <w:t>банковская гарантия должна действовать не менее 120 (ста двадцати) календарных дней с даты окончания срока подачи заявок (подраздел </w:t>
      </w:r>
      <w:r>
        <w:rPr>
          <w:sz w:val="24"/>
          <w:szCs w:val="24"/>
        </w:rPr>
        <w:fldChar w:fldCharType="begin"/>
      </w:r>
      <w:r>
        <w:rPr>
          <w:sz w:val="24"/>
          <w:szCs w:val="24"/>
        </w:rPr>
        <w:instrText xml:space="preserve"> REF _Ref125359973 \r \h </w:instrText>
      </w:r>
      <w:r>
        <w:rPr>
          <w:sz w:val="24"/>
          <w:szCs w:val="24"/>
        </w:rPr>
        <w:fldChar w:fldCharType="separate"/>
      </w:r>
      <w:r>
        <w:rPr>
          <w:sz w:val="24"/>
          <w:szCs w:val="24"/>
        </w:rPr>
        <w:t>1.2</w:t>
      </w:r>
      <w:r>
        <w:rPr>
          <w:sz w:val="24"/>
          <w:szCs w:val="24"/>
        </w:rPr>
        <w:fldChar w:fldCharType="end"/>
      </w:r>
      <w:r>
        <w:rPr>
          <w:sz w:val="24"/>
          <w:szCs w:val="24"/>
        </w:rPr>
        <w:t>);</w:t>
      </w:r>
    </w:p>
    <w:p>
      <w:pPr>
        <w:pStyle w:val="Style27"/>
        <w:rPr>
          <w:rFonts w:ascii="Times New Roman" w:hAnsi="Times New Roman"/>
          <w:sz w:val="24"/>
          <w:szCs w:val="24"/>
        </w:rPr>
      </w:pPr>
      <w:r>
        <w:rPr>
          <w:sz w:val="24"/>
          <w:szCs w:val="24"/>
        </w:rPr>
        <w:t>бенефициаром в банковской гарантии должен быть указан Заказчик, принципалом – Участник, гарантом – банк, выдавший банковскую гарантию;</w:t>
      </w:r>
    </w:p>
    <w:p>
      <w:pPr>
        <w:pStyle w:val="Style27"/>
        <w:rPr>
          <w:rFonts w:ascii="Times New Roman" w:hAnsi="Times New Roman"/>
          <w:sz w:val="24"/>
          <w:szCs w:val="24"/>
        </w:rPr>
      </w:pPr>
      <w:r>
        <w:rPr>
          <w:sz w:val="24"/>
          <w:szCs w:val="24"/>
        </w:rPr>
        <w:t>в банковской гарантии должно быть предусмотрено безусловное право Заказчика на истребование суммы банковской гарантии полностью или частично, в случае нарушения Участником закупки своих обязательств, указанных в пункте </w:t>
      </w:r>
      <w:r>
        <w:rPr>
          <w:sz w:val="24"/>
          <w:szCs w:val="24"/>
        </w:rPr>
        <w:fldChar w:fldCharType="begin"/>
      </w:r>
      <w:r>
        <w:rPr>
          <w:sz w:val="24"/>
          <w:szCs w:val="24"/>
        </w:rPr>
        <w:instrText xml:space="preserve"> REF _Ref149576299 \r \h </w:instrText>
      </w:r>
      <w:r>
        <w:rPr>
          <w:sz w:val="24"/>
          <w:szCs w:val="24"/>
        </w:rPr>
        <w:fldChar w:fldCharType="separate"/>
      </w:r>
      <w:r>
        <w:rPr>
          <w:sz w:val="24"/>
          <w:szCs w:val="24"/>
        </w:rPr>
        <w:t>4.17.11</w:t>
      </w:r>
      <w:r>
        <w:rPr>
          <w:sz w:val="24"/>
          <w:szCs w:val="24"/>
        </w:rPr>
        <w:fldChar w:fldCharType="end"/>
      </w:r>
      <w:r>
        <w:rPr>
          <w:sz w:val="24"/>
          <w:szCs w:val="24"/>
        </w:rPr>
        <w:t>;</w:t>
      </w:r>
    </w:p>
    <w:p>
      <w:pPr>
        <w:pStyle w:val="Style27"/>
        <w:rPr>
          <w:rFonts w:ascii="Times New Roman" w:hAnsi="Times New Roman"/>
          <w:sz w:val="24"/>
          <w:szCs w:val="24"/>
        </w:rPr>
      </w:pPr>
      <w:r>
        <w:rPr>
          <w:sz w:val="24"/>
          <w:szCs w:val="24"/>
        </w:rPr>
        <w:t>в банковской гарантии должно быть предусмотрено, что для истребования суммы обеспечения Заказчик направляет гаранту только письменное требование с приложением документов, подтверждающих полномочия лица, подписавшего указанное требование (доверенность – в случае если требование подписано лицом, не указанным в ЕГРЮЛ в качестве лица, имеющего право без доверенности действовать от имени бенефициара), с указанием на существо допущенных Участником нарушений;</w:t>
      </w:r>
    </w:p>
    <w:p>
      <w:pPr>
        <w:pStyle w:val="Style27"/>
        <w:rPr>
          <w:rFonts w:ascii="Times New Roman" w:hAnsi="Times New Roman"/>
          <w:sz w:val="24"/>
          <w:szCs w:val="24"/>
        </w:rPr>
      </w:pPr>
      <w:r>
        <w:rPr>
          <w:sz w:val="24"/>
          <w:szCs w:val="24"/>
        </w:rPr>
        <w:t>платеж по банковской гарантии должен быть осуществлен в течение 10 (десяти) рабочих дней после обращения бенефициара;</w:t>
      </w:r>
    </w:p>
    <w:p>
      <w:pPr>
        <w:pStyle w:val="Style27"/>
        <w:rPr>
          <w:rFonts w:ascii="Times New Roman" w:hAnsi="Times New Roman"/>
          <w:sz w:val="24"/>
          <w:szCs w:val="24"/>
        </w:rPr>
      </w:pPr>
      <w:r>
        <w:rPr>
          <w:sz w:val="24"/>
          <w:szCs w:val="24"/>
        </w:rPr>
        <w:t>в банковской гарантии не должно быть условий или требований, противоречащих вышеизложенному или делающих вышеизложенное неисполнимым;</w:t>
      </w:r>
    </w:p>
    <w:p>
      <w:pPr>
        <w:pStyle w:val="Style27"/>
        <w:rPr>
          <w:rFonts w:ascii="Times New Roman" w:hAnsi="Times New Roman"/>
          <w:sz w:val="24"/>
          <w:szCs w:val="24"/>
        </w:rPr>
      </w:pPr>
      <w:r>
        <w:rPr>
          <w:sz w:val="24"/>
          <w:szCs w:val="24"/>
        </w:rPr>
        <w:t>банковская гарантия должна быть выдана банком, включенным в перечень, определенный Правительством Российской Федерации в соответствии с Законом 44-ФЗ и размещенный на официальном сайте Министерства финансов Российской Федерации</w:t>
      </w:r>
      <w:r>
        <w:rPr>
          <w:rStyle w:val="FootnoteReference"/>
          <w:sz w:val="24"/>
          <w:szCs w:val="24"/>
        </w:rPr>
        <w:footnoteReference w:id="11"/>
      </w:r>
      <w:r>
        <w:rPr>
          <w:sz w:val="24"/>
          <w:szCs w:val="24"/>
        </w:rPr>
        <w:t>, при условии соответствия банка требованиям к финансовой устойчивости (в том числе в части собственных средств (капитала), активов, доходности, ликвидности, структуры собственности), устанавливаемым Правительством Российской Федерации;</w:t>
      </w:r>
    </w:p>
    <w:p>
      <w:pPr>
        <w:pStyle w:val="Style27"/>
        <w:rPr>
          <w:rFonts w:ascii="Times New Roman" w:hAnsi="Times New Roman"/>
          <w:sz w:val="24"/>
          <w:szCs w:val="24"/>
        </w:rPr>
      </w:pPr>
      <w:r>
        <w:rPr>
          <w:sz w:val="24"/>
          <w:szCs w:val="24"/>
        </w:rPr>
        <w:t>банковская гарантия должна быть подчинена материальному праву Российской Федерации и регулироваться «Унифицированными правилами для гарантий по требованию, включая типовые формы (URDG 758) (Публикация Международной торговой палаты № 758). Редакция 2010 года» в той мере, в какой указанные правила не противоречат императивным нормам законодательства, а также предусматривать Арбитражный суд по месту нахождения Заказчика в качестве органа, компетентного разрешать споры из банковской гарантии.</w:t>
      </w:r>
    </w:p>
    <w:p>
      <w:pPr>
        <w:pStyle w:val="Style26"/>
        <w:rPr>
          <w:rFonts w:ascii="Times New Roman" w:hAnsi="Times New Roman"/>
          <w:sz w:val="24"/>
          <w:szCs w:val="24"/>
        </w:rPr>
      </w:pPr>
      <w:r>
        <w:rPr>
          <w:sz w:val="24"/>
          <w:szCs w:val="24"/>
        </w:rPr>
        <w:t>В случае выбора Участником обеспечения заявки путем предоставления банковской гарантии, он должен предоставить в составе своей заявки копию такой гарантии (либо электронную банковскую гарантию, выданную банком посредством функционала ЭП), подтверждающую наличие обеспечения заявки в требуемом размере и соответствующую требованиям к условиям такой гарантии. В противном случае обеспечение заявки считается невнесенным, и Организатор обязан отклонить заявку такого Участника.</w:t>
      </w:r>
    </w:p>
    <w:p>
      <w:pPr>
        <w:pStyle w:val="Style26"/>
        <w:rPr>
          <w:rFonts w:ascii="Times New Roman" w:hAnsi="Times New Roman"/>
          <w:sz w:val="24"/>
          <w:szCs w:val="24"/>
        </w:rPr>
      </w:pPr>
      <w:r>
        <w:rPr>
          <w:sz w:val="24"/>
          <w:szCs w:val="24"/>
        </w:rPr>
        <w:t>При многолотовой закупке (подраздел </w:t>
      </w:r>
      <w:r>
        <w:rPr>
          <w:sz w:val="24"/>
          <w:szCs w:val="24"/>
        </w:rPr>
        <w:fldChar w:fldCharType="begin"/>
      </w:r>
      <w:r>
        <w:rPr>
          <w:sz w:val="24"/>
          <w:szCs w:val="24"/>
        </w:rPr>
        <w:instrText xml:space="preserve"> REF _Ref149317414 \n \h </w:instrText>
      </w:r>
      <w:r>
        <w:rPr>
          <w:sz w:val="24"/>
          <w:szCs w:val="24"/>
        </w:rPr>
        <w:fldChar w:fldCharType="separate"/>
      </w:r>
      <w:r>
        <w:rPr>
          <w:sz w:val="24"/>
          <w:szCs w:val="24"/>
        </w:rPr>
        <w:t>4.18</w:t>
      </w:r>
      <w:r>
        <w:rPr>
          <w:sz w:val="24"/>
          <w:szCs w:val="24"/>
        </w:rPr>
        <w:fldChar w:fldCharType="end"/>
      </w:r>
      <w:r>
        <w:rPr>
          <w:sz w:val="24"/>
          <w:szCs w:val="24"/>
        </w:rPr>
        <w:t>) обеспечение исполнения обязательств Участника оформляется на сумму, равную суммарной стоимости обеспечения по всем лотам, на которые Участник подает заявку; также допускается внесение обеспечения отдельно по каждому из лотов. Удержание Организатором обеспечения может производиться только по тем лотам, на которые Участник подал заявку и по которым он был признан Победителем.</w:t>
      </w:r>
    </w:p>
    <w:p>
      <w:pPr>
        <w:pStyle w:val="Style26"/>
        <w:rPr>
          <w:rFonts w:ascii="Times New Roman" w:hAnsi="Times New Roman"/>
          <w:sz w:val="24"/>
          <w:szCs w:val="24"/>
        </w:rPr>
      </w:pPr>
      <w:r>
        <w:rPr>
          <w:sz w:val="24"/>
          <w:szCs w:val="24"/>
        </w:rPr>
        <w:t>При подаче заявки с альтернативными предложениями (подраздел </w:t>
      </w:r>
      <w:r>
        <w:rPr>
          <w:sz w:val="24"/>
          <w:szCs w:val="24"/>
        </w:rPr>
        <w:fldChar w:fldCharType="begin"/>
      </w:r>
      <w:r>
        <w:rPr>
          <w:sz w:val="24"/>
          <w:szCs w:val="24"/>
        </w:rPr>
        <w:instrText xml:space="preserve"> REF _Ref125550863 \r \h </w:instrText>
      </w:r>
      <w:r>
        <w:rPr>
          <w:sz w:val="24"/>
          <w:szCs w:val="24"/>
        </w:rPr>
        <w:fldChar w:fldCharType="separate"/>
      </w:r>
      <w:r>
        <w:rPr>
          <w:sz w:val="24"/>
          <w:szCs w:val="24"/>
        </w:rPr>
        <w:t>4.19</w:t>
      </w:r>
      <w:r>
        <w:rPr>
          <w:sz w:val="24"/>
          <w:szCs w:val="24"/>
        </w:rPr>
        <w:fldChar w:fldCharType="end"/>
      </w:r>
      <w:r>
        <w:rPr>
          <w:sz w:val="24"/>
          <w:szCs w:val="24"/>
        </w:rPr>
        <w:t>) размер обеспечения заявки не увеличивается, а сумма обеспечения покрывает обязательства Участника как в отношении основного предложения, так и всех альтернативных предложений.</w:t>
      </w:r>
    </w:p>
    <w:p>
      <w:pPr>
        <w:pStyle w:val="Style26"/>
        <w:rPr>
          <w:rFonts w:ascii="Times New Roman" w:hAnsi="Times New Roman"/>
          <w:sz w:val="24"/>
          <w:szCs w:val="24"/>
        </w:rPr>
      </w:pPr>
      <w:r>
        <w:rPr>
          <w:sz w:val="24"/>
          <w:szCs w:val="24"/>
        </w:rPr>
        <w:t>Подать заявку (принять участие в закупке) могут только Участники, предоставившие надлежащее обеспечение их заявок.</w:t>
      </w:r>
    </w:p>
    <w:p>
      <w:pPr>
        <w:pStyle w:val="Style26"/>
        <w:rPr>
          <w:rFonts w:ascii="Times New Roman" w:hAnsi="Times New Roman"/>
          <w:sz w:val="24"/>
          <w:szCs w:val="24"/>
        </w:rPr>
      </w:pPr>
      <w:r>
        <w:rPr>
          <w:sz w:val="24"/>
          <w:szCs w:val="24"/>
        </w:rPr>
        <w:t>Требование об обеспечении заявки в равной мере распространяется на всех Участников.</w:t>
      </w:r>
    </w:p>
    <w:p>
      <w:pPr>
        <w:pStyle w:val="Style26"/>
        <w:keepNext w:val="true"/>
        <w:rPr>
          <w:rFonts w:ascii="Times New Roman" w:hAnsi="Times New Roman"/>
          <w:sz w:val="24"/>
          <w:szCs w:val="24"/>
        </w:rPr>
      </w:pPr>
      <w:bookmarkStart w:id="201" w:name="_Ref149576299"/>
      <w:r>
        <w:rPr>
          <w:sz w:val="24"/>
          <w:szCs w:val="24"/>
        </w:rPr>
        <w:t>В случае признания Участника Победителем или принятия Заказчиком решения о заключении с ним Договора по итогам несостоявшейся закупки обеспечение заявки распространяется на следующие обязательства Участника:</w:t>
      </w:r>
      <w:bookmarkEnd w:id="201"/>
    </w:p>
    <w:p>
      <w:pPr>
        <w:pStyle w:val="Style27"/>
        <w:rPr/>
      </w:pPr>
      <w:r>
        <w:rPr>
          <w:sz w:val="24"/>
          <w:szCs w:val="24"/>
        </w:rPr>
        <w:t>обязательство заключить Договор в установленном Документацией о закупке порядке (раздел </w:t>
      </w:r>
      <w:r>
        <w:rPr>
          <w:sz w:val="24"/>
          <w:szCs w:val="24"/>
        </w:rPr>
        <w:fldChar w:fldCharType="begin"/>
      </w:r>
      <w:r>
        <w:rPr>
          <w:sz w:val="24"/>
          <w:szCs w:val="24"/>
        </w:rPr>
        <w:instrText xml:space="preserve"> REF _Ref130224037 \r \h </w:instrText>
      </w:r>
      <w:r>
        <w:rPr>
          <w:sz w:val="24"/>
          <w:szCs w:val="24"/>
        </w:rPr>
        <w:fldChar w:fldCharType="separate"/>
      </w:r>
      <w:r>
        <w:rPr>
          <w:sz w:val="24"/>
          <w:szCs w:val="24"/>
        </w:rPr>
        <w:t>5</w:t>
      </w:r>
      <w:r>
        <w:rPr>
          <w:sz w:val="24"/>
          <w:szCs w:val="24"/>
        </w:rPr>
        <w:fldChar w:fldCharType="end"/>
      </w:r>
      <w:r>
        <w:rPr>
          <w:sz w:val="24"/>
          <w:szCs w:val="24"/>
        </w:rPr>
        <w:t>), в том числе предоставить Сведения о цепочке собственников, включая бенефициаров (в том числе конечных) (</w:t>
      </w:r>
      <w:hyperlink w:anchor="Прил05_ФормыПобедителя">
        <w:r>
          <w:rPr>
            <w:rStyle w:val="Style14"/>
            <w:sz w:val="24"/>
            <w:szCs w:val="24"/>
          </w:rPr>
          <w:t>Приложение № 5</w:t>
        </w:r>
      </w:hyperlink>
      <w:r>
        <w:rPr>
          <w:sz w:val="24"/>
          <w:szCs w:val="24"/>
        </w:rPr>
        <w:t>), а также предоставить иные документы в соответствии с условиями подраздела </w:t>
      </w:r>
      <w:r>
        <w:rPr>
          <w:sz w:val="24"/>
          <w:szCs w:val="24"/>
        </w:rPr>
        <w:fldChar w:fldCharType="begin"/>
      </w:r>
      <w:r>
        <w:rPr>
          <w:sz w:val="24"/>
          <w:szCs w:val="24"/>
        </w:rPr>
        <w:instrText xml:space="preserve"> REF _Ref138232981 \r \h </w:instrText>
      </w:r>
      <w:r>
        <w:rPr>
          <w:sz w:val="24"/>
          <w:szCs w:val="24"/>
        </w:rPr>
        <w:fldChar w:fldCharType="separate"/>
      </w:r>
      <w:r>
        <w:rPr>
          <w:sz w:val="24"/>
          <w:szCs w:val="24"/>
        </w:rPr>
        <w:t>5.2</w:t>
      </w:r>
      <w:r>
        <w:rPr>
          <w:sz w:val="24"/>
          <w:szCs w:val="24"/>
        </w:rPr>
        <w:fldChar w:fldCharType="end"/>
      </w:r>
      <w:r>
        <w:rPr>
          <w:sz w:val="24"/>
          <w:szCs w:val="24"/>
        </w:rPr>
        <w:t>;</w:t>
      </w:r>
    </w:p>
    <w:p>
      <w:pPr>
        <w:pStyle w:val="Style27"/>
        <w:rPr/>
      </w:pPr>
      <w:r>
        <w:rPr>
          <w:sz w:val="24"/>
          <w:szCs w:val="24"/>
        </w:rPr>
        <w:t xml:space="preserve">обязательство предоставить до заключения договора Заказчику обеспечение исполнения договора – если </w:t>
      </w:r>
      <w:hyperlink w:anchor="Прил02_ПроектДоговора">
        <w:r>
          <w:rPr>
            <w:rStyle w:val="Style14"/>
            <w:sz w:val="24"/>
            <w:szCs w:val="24"/>
          </w:rPr>
          <w:t>Проект договора (Приложение № 2)</w:t>
        </w:r>
      </w:hyperlink>
      <w:r>
        <w:rPr>
          <w:sz w:val="24"/>
          <w:szCs w:val="24"/>
        </w:rPr>
        <w:t xml:space="preserve"> предусматривает обеспечение исполнения договора с соответствующими обязательствами (в порядке и сроки, предусмотренные </w:t>
      </w:r>
      <w:hyperlink w:anchor="Прил02_ПроектДоговора">
        <w:r>
          <w:rPr>
            <w:rStyle w:val="Style14"/>
            <w:sz w:val="24"/>
            <w:szCs w:val="24"/>
          </w:rPr>
          <w:t>Проектом договора</w:t>
        </w:r>
      </w:hyperlink>
      <w:r>
        <w:rPr>
          <w:sz w:val="24"/>
          <w:szCs w:val="24"/>
        </w:rPr>
        <w:t>).</w:t>
      </w:r>
    </w:p>
    <w:p>
      <w:pPr>
        <w:pStyle w:val="Style26"/>
        <w:rPr>
          <w:rFonts w:ascii="Times New Roman" w:hAnsi="Times New Roman"/>
          <w:sz w:val="24"/>
          <w:szCs w:val="24"/>
        </w:rPr>
      </w:pPr>
      <w:r>
        <w:rPr>
          <w:sz w:val="24"/>
          <w:szCs w:val="24"/>
        </w:rPr>
        <w:t>В случае невыполнения Победителем указанных выше обязательств Организатор вправе удержать обеспечение заявки путем обращения в соответствующий Банк-гарант. В случае предоставления Участником обеспечения в виде денежных средств, Организатор вправе удержать обеспечение заявки со счета, открытого ему Оператором ЭП, в соответствии с регламентом ЭП.</w:t>
      </w:r>
    </w:p>
    <w:p>
      <w:pPr>
        <w:pStyle w:val="Style26"/>
        <w:keepNext w:val="true"/>
        <w:rPr>
          <w:rFonts w:ascii="Times New Roman" w:hAnsi="Times New Roman"/>
          <w:sz w:val="24"/>
          <w:szCs w:val="24"/>
        </w:rPr>
      </w:pPr>
      <w:r>
        <w:rPr>
          <w:sz w:val="24"/>
          <w:szCs w:val="24"/>
        </w:rPr>
        <w:t>Возврат обеспечения заявки (в случае предоставления Участником обеспечения в виде денежных средств) осуществляется Организатором в срок не более 7 (семи) рабочих дней с даты:</w:t>
      </w:r>
    </w:p>
    <w:p>
      <w:pPr>
        <w:pStyle w:val="Style27"/>
        <w:rPr>
          <w:rFonts w:ascii="Times New Roman" w:hAnsi="Times New Roman"/>
          <w:sz w:val="24"/>
          <w:szCs w:val="24"/>
        </w:rPr>
      </w:pPr>
      <w:r>
        <w:rPr>
          <w:sz w:val="24"/>
          <w:szCs w:val="24"/>
        </w:rPr>
        <w:t>принятия решения об отказе от проведения закупки – всем Участникам, подавшим заявки к моменту принятия такого решения;</w:t>
      </w:r>
    </w:p>
    <w:p>
      <w:pPr>
        <w:pStyle w:val="Style27"/>
        <w:rPr>
          <w:rFonts w:ascii="Times New Roman" w:hAnsi="Times New Roman"/>
          <w:sz w:val="24"/>
          <w:szCs w:val="24"/>
        </w:rPr>
      </w:pPr>
      <w:r>
        <w:rPr>
          <w:sz w:val="24"/>
          <w:szCs w:val="24"/>
        </w:rPr>
        <w:t>поступления уведомления об отзыве заявки в случаях, когда такой отзыв осуществлен в установленные в Документации о закупке сроки – Участнику, отозвавшему заявку;</w:t>
      </w:r>
    </w:p>
    <w:p>
      <w:pPr>
        <w:pStyle w:val="Style27"/>
        <w:rPr>
          <w:rFonts w:ascii="Times New Roman" w:hAnsi="Times New Roman"/>
          <w:sz w:val="24"/>
          <w:szCs w:val="24"/>
        </w:rPr>
      </w:pPr>
      <w:r>
        <w:rPr>
          <w:sz w:val="24"/>
          <w:szCs w:val="24"/>
        </w:rPr>
        <w:t>официального размещения протокола рассмотрения заявок (при условии его оформления) – Участникам, чьи заявки были отклонены;</w:t>
      </w:r>
    </w:p>
    <w:p>
      <w:pPr>
        <w:pStyle w:val="Style27"/>
        <w:rPr>
          <w:rFonts w:ascii="Times New Roman" w:hAnsi="Times New Roman"/>
          <w:sz w:val="24"/>
          <w:szCs w:val="24"/>
        </w:rPr>
      </w:pPr>
      <w:r>
        <w:rPr>
          <w:sz w:val="24"/>
          <w:szCs w:val="24"/>
        </w:rPr>
        <w:t>официального размещения итогового протокола по результатам закупки – всем Участникам, кроме Победителя;</w:t>
      </w:r>
    </w:p>
    <w:p>
      <w:pPr>
        <w:pStyle w:val="Style27"/>
        <w:rPr>
          <w:rFonts w:ascii="Times New Roman" w:hAnsi="Times New Roman"/>
          <w:sz w:val="24"/>
          <w:szCs w:val="24"/>
        </w:rPr>
      </w:pPr>
      <w:r>
        <w:rPr>
          <w:sz w:val="24"/>
          <w:szCs w:val="24"/>
        </w:rPr>
        <w:t>заключения Договора по результатам закупки – Победителю, с которым заключен Договор;</w:t>
      </w:r>
    </w:p>
    <w:p>
      <w:pPr>
        <w:pStyle w:val="Style27"/>
        <w:rPr>
          <w:rFonts w:ascii="Times New Roman" w:hAnsi="Times New Roman"/>
          <w:sz w:val="24"/>
          <w:szCs w:val="24"/>
        </w:rPr>
      </w:pPr>
      <w:r>
        <w:rPr>
          <w:sz w:val="24"/>
          <w:szCs w:val="24"/>
        </w:rPr>
        <w:t>признания закупки несостоявшейся – Участнику, которому обеспечение не было возвращено по иным основаниям.</w:t>
      </w:r>
    </w:p>
    <w:p>
      <w:pPr>
        <w:pStyle w:val="Style26"/>
        <w:rPr>
          <w:rFonts w:ascii="Times New Roman" w:hAnsi="Times New Roman"/>
          <w:sz w:val="24"/>
          <w:szCs w:val="24"/>
        </w:rPr>
      </w:pPr>
      <w:r>
        <w:rPr>
          <w:sz w:val="24"/>
          <w:szCs w:val="24"/>
        </w:rPr>
        <w:t>Возврат обеспечения заявки может быть задержан в случае поступления в установленном законодательством порядке жалобы по закупке (подраздел </w:t>
      </w:r>
      <w:r>
        <w:rPr>
          <w:sz w:val="24"/>
          <w:szCs w:val="24"/>
        </w:rPr>
        <w:fldChar w:fldCharType="begin"/>
      </w:r>
      <w:r>
        <w:rPr>
          <w:sz w:val="24"/>
          <w:szCs w:val="24"/>
        </w:rPr>
        <w:instrText xml:space="preserve"> REF _Ref125363536 \r \h </w:instrText>
      </w:r>
      <w:r>
        <w:rPr>
          <w:sz w:val="24"/>
          <w:szCs w:val="24"/>
        </w:rPr>
        <w:fldChar w:fldCharType="separate"/>
      </w:r>
      <w:r>
        <w:rPr>
          <w:sz w:val="24"/>
          <w:szCs w:val="24"/>
        </w:rPr>
        <w:t>2.3</w:t>
      </w:r>
      <w:r>
        <w:rPr>
          <w:sz w:val="24"/>
          <w:szCs w:val="24"/>
        </w:rPr>
        <w:fldChar w:fldCharType="end"/>
      </w:r>
      <w:r>
        <w:rPr>
          <w:sz w:val="24"/>
          <w:szCs w:val="24"/>
        </w:rPr>
        <w:t>) – на время рассмотрения жалобы. При этом проценты на сумму денежных средств, внесенных Участником в качестве обеспечения его заявки, начислению и выплате не подлежат.</w:t>
      </w:r>
    </w:p>
    <w:p>
      <w:pPr>
        <w:pStyle w:val="Style25"/>
        <w:rPr>
          <w:rFonts w:ascii="Times New Roman" w:hAnsi="Times New Roman"/>
          <w:sz w:val="24"/>
          <w:szCs w:val="24"/>
        </w:rPr>
      </w:pPr>
      <w:bookmarkStart w:id="202" w:name="_Toc229567058"/>
      <w:bookmarkStart w:id="203" w:name="_Ref130225422"/>
      <w:bookmarkStart w:id="204" w:name="_Ref149317414"/>
      <w:r>
        <w:rPr>
          <w:sz w:val="24"/>
          <w:szCs w:val="24"/>
        </w:rPr>
        <w:t>Особенности проведения многолотовой закупки</w:t>
      </w:r>
      <w:bookmarkEnd w:id="202"/>
      <w:bookmarkEnd w:id="203"/>
      <w:bookmarkEnd w:id="204"/>
    </w:p>
    <w:p>
      <w:pPr>
        <w:pStyle w:val="Style26"/>
        <w:rPr>
          <w:rFonts w:ascii="Times New Roman" w:hAnsi="Times New Roman"/>
          <w:sz w:val="24"/>
          <w:szCs w:val="24"/>
        </w:rPr>
      </w:pPr>
      <w:r>
        <w:rPr>
          <w:sz w:val="24"/>
          <w:szCs w:val="24"/>
        </w:rPr>
        <w:t>Нормы настоящего подраздела применяются, если подразделом </w:t>
      </w:r>
      <w:r>
        <w:rPr>
          <w:sz w:val="24"/>
          <w:szCs w:val="24"/>
        </w:rPr>
        <w:fldChar w:fldCharType="begin"/>
      </w:r>
      <w:r>
        <w:rPr>
          <w:sz w:val="24"/>
          <w:szCs w:val="24"/>
        </w:rPr>
        <w:instrText xml:space="preserve"> REF _Ref125359973 \r \h </w:instrText>
      </w:r>
      <w:r>
        <w:rPr>
          <w:sz w:val="24"/>
          <w:szCs w:val="24"/>
        </w:rPr>
        <w:fldChar w:fldCharType="separate"/>
      </w:r>
      <w:r>
        <w:rPr>
          <w:sz w:val="24"/>
          <w:szCs w:val="24"/>
        </w:rPr>
        <w:t>1.2</w:t>
      </w:r>
      <w:r>
        <w:rPr>
          <w:sz w:val="24"/>
          <w:szCs w:val="24"/>
        </w:rPr>
        <w:fldChar w:fldCharType="end"/>
      </w:r>
      <w:r>
        <w:rPr>
          <w:sz w:val="24"/>
          <w:szCs w:val="24"/>
        </w:rPr>
        <w:t xml:space="preserve"> предусмотрено проведение многолотовой закупки.</w:t>
      </w:r>
    </w:p>
    <w:p>
      <w:pPr>
        <w:pStyle w:val="Style26"/>
        <w:rPr>
          <w:rFonts w:ascii="Times New Roman" w:hAnsi="Times New Roman"/>
          <w:sz w:val="24"/>
          <w:szCs w:val="24"/>
        </w:rPr>
      </w:pPr>
      <w:r>
        <w:rPr>
          <w:sz w:val="24"/>
          <w:szCs w:val="24"/>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26"/>
        <w:rPr>
          <w:rFonts w:ascii="Times New Roman" w:hAnsi="Times New Roman"/>
          <w:sz w:val="24"/>
          <w:szCs w:val="24"/>
        </w:rPr>
      </w:pPr>
      <w:r>
        <w:rPr>
          <w:sz w:val="24"/>
          <w:szCs w:val="24"/>
        </w:rPr>
        <w:t>Многолотовая закупка может проводиться как для одного, так и для нескольких Заказчиков. Для всех лотов выпускается общее Извещение, Документация о закупке, решения по каждому лоту принимает одна и та же Закупочная комиссия. Любые положения Документации о закупке, если в них прямо не</w:t>
      </w:r>
      <w:r>
        <w:rPr>
          <w:sz w:val="24"/>
          <w:szCs w:val="24"/>
          <w:lang w:val="en-US"/>
        </w:rPr>
        <w:t> </w:t>
      </w:r>
      <w:r>
        <w:rPr>
          <w:sz w:val="24"/>
          <w:szCs w:val="24"/>
        </w:rPr>
        <w:t>указан номер конкретного лота, относятся ко всем лотам одновременно.</w:t>
      </w:r>
    </w:p>
    <w:p>
      <w:pPr>
        <w:pStyle w:val="Style26"/>
        <w:rPr>
          <w:rFonts w:ascii="Times New Roman" w:hAnsi="Times New Roman"/>
          <w:sz w:val="24"/>
          <w:szCs w:val="24"/>
        </w:rPr>
      </w:pPr>
      <w:r>
        <w:rPr>
          <w:sz w:val="24"/>
          <w:szCs w:val="24"/>
        </w:rPr>
        <w:t>Участник может подать одну заявку на любой лот, любые несколько лотов или все лоты по собственному выбору. При этом не допускается разбиение отдельного лота на части, то есть подача заявки на часть лота по отдельным видам или объемам продукции. В многолотовой закупке подача Участником по одной заявке на каждый лот не считается подачей второй заявки на закупку.</w:t>
      </w:r>
    </w:p>
    <w:p>
      <w:pPr>
        <w:pStyle w:val="Style26"/>
        <w:keepNext w:val="true"/>
        <w:rPr>
          <w:rFonts w:ascii="Times New Roman" w:hAnsi="Times New Roman"/>
          <w:sz w:val="24"/>
          <w:szCs w:val="24"/>
        </w:rPr>
      </w:pPr>
      <w:r>
        <w:rPr>
          <w:sz w:val="24"/>
          <w:szCs w:val="24"/>
        </w:rPr>
        <w:t>В случае подачи заявки на несколько лотов дополнительно должны быть соблюдены следующие требования:</w:t>
      </w:r>
    </w:p>
    <w:p>
      <w:pPr>
        <w:pStyle w:val="Style27"/>
        <w:rPr/>
      </w:pPr>
      <w:r>
        <w:rPr>
          <w:sz w:val="24"/>
          <w:szCs w:val="24"/>
        </w:rPr>
        <w:t>Письмо о подаче оферты (форма 2) (</w:t>
      </w:r>
      <w:hyperlink w:anchor="Прил04_ФормыЗаявки">
        <w:r>
          <w:rPr>
            <w:rStyle w:val="Style14"/>
            <w:sz w:val="24"/>
            <w:szCs w:val="24"/>
          </w:rPr>
          <w:t>Приложение № 4</w:t>
        </w:r>
      </w:hyperlink>
      <w:r>
        <w:rPr>
          <w:sz w:val="24"/>
          <w:szCs w:val="24"/>
        </w:rPr>
        <w:t>) должно содержать указание номера и названия каждого лота, по каждому лоту должна быть указана его стоимость;</w:t>
      </w:r>
    </w:p>
    <w:p>
      <w:pPr>
        <w:pStyle w:val="Style27"/>
        <w:rPr/>
      </w:pPr>
      <w:r>
        <w:rPr>
          <w:sz w:val="24"/>
          <w:szCs w:val="24"/>
        </w:rPr>
        <w:t xml:space="preserve">Коммерческое предложение (форма 3), Техническое предложение (форма 4), План распределения объемов поставки продукции (форма 10) – </w:t>
      </w:r>
      <w:hyperlink w:anchor="Прил04_ФормыЗаявки">
        <w:r>
          <w:rPr>
            <w:rStyle w:val="Style14"/>
            <w:sz w:val="24"/>
            <w:szCs w:val="24"/>
          </w:rPr>
          <w:t>Приложение № 4</w:t>
        </w:r>
      </w:hyperlink>
      <w:r>
        <w:rPr>
          <w:sz w:val="24"/>
          <w:szCs w:val="24"/>
        </w:rPr>
        <w:t>, должны быть подготовлены отдельно по каждому из лотов с указанием номера и названия лота.</w:t>
      </w:r>
    </w:p>
    <w:p>
      <w:pPr>
        <w:pStyle w:val="Style26"/>
        <w:rPr>
          <w:rFonts w:ascii="Times New Roman" w:hAnsi="Times New Roman"/>
          <w:sz w:val="24"/>
          <w:szCs w:val="24"/>
        </w:rPr>
      </w:pPr>
      <w:r>
        <w:rPr>
          <w:sz w:val="24"/>
          <w:szCs w:val="24"/>
        </w:rPr>
        <w:t>Решения, принимаемые в ходе процедуры закупки, в том числе решения в рамках рассмотрения, оценки и сопоставления заявок, определения Победителя, признания закупки несостоявшейся, отказа от дальнейшего ее проведения и т.д., осуществляются раздельно и независимо по каждому из лотов. При этом Организатор вправе оформить по каждому лоту отдельный протокол закупки или сформировать общий по всем лотам протокол закупки, в который в отношении каждого лота вносятся сведения, подлежащие официальному размещению.</w:t>
      </w:r>
    </w:p>
    <w:p>
      <w:pPr>
        <w:pStyle w:val="Style25"/>
        <w:rPr>
          <w:rFonts w:ascii="Times New Roman" w:hAnsi="Times New Roman"/>
          <w:sz w:val="24"/>
          <w:szCs w:val="24"/>
        </w:rPr>
      </w:pPr>
      <w:bookmarkStart w:id="205" w:name="_Toc229567059"/>
      <w:bookmarkStart w:id="206" w:name="_Ref125550863"/>
      <w:r>
        <w:rPr>
          <w:sz w:val="24"/>
          <w:szCs w:val="24"/>
        </w:rPr>
        <w:t>Особенности проведения закупки с возможностью подачи альтернативных предложений</w:t>
      </w:r>
      <w:bookmarkEnd w:id="205"/>
      <w:bookmarkEnd w:id="206"/>
    </w:p>
    <w:p>
      <w:pPr>
        <w:pStyle w:val="Style26"/>
        <w:rPr>
          <w:rFonts w:ascii="Times New Roman" w:hAnsi="Times New Roman"/>
          <w:sz w:val="24"/>
          <w:szCs w:val="24"/>
        </w:rPr>
      </w:pPr>
      <w:r>
        <w:rPr>
          <w:sz w:val="24"/>
          <w:szCs w:val="24"/>
        </w:rPr>
        <w:t>Нормы настоящего подраздела применяются, если подразделом </w:t>
      </w:r>
      <w:r>
        <w:rPr>
          <w:sz w:val="24"/>
          <w:szCs w:val="24"/>
        </w:rPr>
        <w:fldChar w:fldCharType="begin"/>
      </w:r>
      <w:r>
        <w:rPr>
          <w:sz w:val="24"/>
          <w:szCs w:val="24"/>
        </w:rPr>
        <w:instrText xml:space="preserve"> REF _Ref125359973 \r \h </w:instrText>
      </w:r>
      <w:r>
        <w:rPr>
          <w:sz w:val="24"/>
          <w:szCs w:val="24"/>
        </w:rPr>
        <w:fldChar w:fldCharType="separate"/>
      </w:r>
      <w:r>
        <w:rPr>
          <w:sz w:val="24"/>
          <w:szCs w:val="24"/>
        </w:rPr>
        <w:t>1.2</w:t>
      </w:r>
      <w:r>
        <w:rPr>
          <w:sz w:val="24"/>
          <w:szCs w:val="24"/>
        </w:rPr>
        <w:fldChar w:fldCharType="end"/>
      </w:r>
      <w:r>
        <w:rPr>
          <w:sz w:val="24"/>
          <w:szCs w:val="24"/>
        </w:rPr>
        <w:t xml:space="preserve"> предусмотрена возможность подачи альтернативных предложений.</w:t>
      </w:r>
    </w:p>
    <w:p>
      <w:pPr>
        <w:pStyle w:val="Style26"/>
        <w:rPr>
          <w:rFonts w:ascii="Times New Roman" w:hAnsi="Times New Roman"/>
          <w:sz w:val="24"/>
          <w:szCs w:val="24"/>
        </w:rPr>
      </w:pPr>
      <w:r>
        <w:rPr>
          <w:sz w:val="24"/>
          <w:szCs w:val="24"/>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26"/>
        <w:rPr>
          <w:rFonts w:ascii="Times New Roman" w:hAnsi="Times New Roman"/>
          <w:sz w:val="24"/>
          <w:szCs w:val="24"/>
        </w:rPr>
      </w:pPr>
      <w:r>
        <w:rPr>
          <w:sz w:val="24"/>
          <w:szCs w:val="24"/>
        </w:rPr>
        <w:t>Участник в составе заявки дополнительно к основному предложению вправе подготовить и подать альтернативные предложения в количестве, не превышающем установленное максимальное значение, и исключительно по аспектам, указанным в подразделе </w:t>
      </w:r>
      <w:r>
        <w:rPr>
          <w:sz w:val="24"/>
          <w:szCs w:val="24"/>
        </w:rPr>
        <w:fldChar w:fldCharType="begin"/>
      </w:r>
      <w:r>
        <w:rPr>
          <w:sz w:val="24"/>
          <w:szCs w:val="24"/>
        </w:rPr>
        <w:instrText xml:space="preserve"> REF _Ref125359973 \r \h </w:instrText>
      </w:r>
      <w:r>
        <w:rPr>
          <w:sz w:val="24"/>
          <w:szCs w:val="24"/>
        </w:rPr>
        <w:fldChar w:fldCharType="separate"/>
      </w:r>
      <w:r>
        <w:rPr>
          <w:sz w:val="24"/>
          <w:szCs w:val="24"/>
        </w:rPr>
        <w:t>1.2</w:t>
      </w:r>
      <w:r>
        <w:rPr>
          <w:sz w:val="24"/>
          <w:szCs w:val="24"/>
        </w:rPr>
        <w:fldChar w:fldCharType="end"/>
      </w:r>
      <w:r>
        <w:rPr>
          <w:sz w:val="24"/>
          <w:szCs w:val="24"/>
        </w:rPr>
        <w:t>. Требование о том, что участник имеет право подать только одну заявку, к альтернативным предложениям не относится. При этом не допускается подача заявки на часть какого-либо лота по отдельным видам или объемам продукции (в случае нарушения – поданная заявка в отношении такого лота подлежит отклонению).</w:t>
      </w:r>
    </w:p>
    <w:p>
      <w:pPr>
        <w:pStyle w:val="Style26"/>
        <w:rPr>
          <w:rFonts w:ascii="Times New Roman" w:hAnsi="Times New Roman"/>
          <w:sz w:val="24"/>
          <w:szCs w:val="24"/>
        </w:rPr>
      </w:pPr>
      <w:r>
        <w:rPr>
          <w:sz w:val="24"/>
          <w:szCs w:val="24"/>
        </w:rPr>
        <w:t>Альтернативные предложения могут сопровождаться альтернативными ценами (не превышающими НМЦ, установленную в подразделе </w:t>
      </w:r>
      <w:r>
        <w:rPr>
          <w:sz w:val="24"/>
          <w:szCs w:val="24"/>
        </w:rPr>
        <w:fldChar w:fldCharType="begin"/>
      </w:r>
      <w:r>
        <w:rPr>
          <w:sz w:val="24"/>
          <w:szCs w:val="24"/>
        </w:rPr>
        <w:instrText xml:space="preserve"> REF _Ref125359973 \r \h </w:instrText>
      </w:r>
      <w:r>
        <w:rPr>
          <w:sz w:val="24"/>
          <w:szCs w:val="24"/>
        </w:rPr>
        <w:fldChar w:fldCharType="separate"/>
      </w:r>
      <w:r>
        <w:rPr>
          <w:sz w:val="24"/>
          <w:szCs w:val="24"/>
        </w:rPr>
        <w:t>1.2</w:t>
      </w:r>
      <w:r>
        <w:rPr>
          <w:sz w:val="24"/>
          <w:szCs w:val="24"/>
        </w:rPr>
        <w:fldChar w:fldCharType="end"/>
      </w:r>
      <w:r>
        <w:rPr>
          <w:sz w:val="24"/>
          <w:szCs w:val="24"/>
        </w:rPr>
        <w:t>). При этом альтернативные предложения, по сути отличающиеся от основного только ценой, рассматриваться не будут.</w:t>
      </w:r>
    </w:p>
    <w:p>
      <w:pPr>
        <w:pStyle w:val="Style26"/>
        <w:rPr/>
      </w:pPr>
      <w:r>
        <w:rPr>
          <w:sz w:val="24"/>
          <w:szCs w:val="24"/>
        </w:rPr>
        <w:t>Альтернативное предложение должно быть явным образом выделено в составе заявки и обособлено от основного предложения и иных альтернативных предложений (должны быть представлены соответствующие измененные формы заявки (</w:t>
      </w:r>
      <w:hyperlink w:anchor="Прил04_ФормыЗаявки">
        <w:r>
          <w:rPr>
            <w:rStyle w:val="Style14"/>
            <w:sz w:val="24"/>
            <w:szCs w:val="24"/>
          </w:rPr>
          <w:t>Приложение № 4</w:t>
        </w:r>
      </w:hyperlink>
      <w:r>
        <w:rPr>
          <w:sz w:val="24"/>
          <w:szCs w:val="24"/>
        </w:rPr>
        <w:t>) с указанием в них тех параметров, пунктов, разделов и т.д. основного предложения, вместо которых предлагаются альтернативные). При этом в альтернативном предложении не следует дублировать документы, подтверждающие соответствие Участника установленным требованиям, а также формы заявки, которые не отличаются от форм основного предложения.</w:t>
      </w:r>
    </w:p>
    <w:p>
      <w:pPr>
        <w:pStyle w:val="Style26"/>
        <w:rPr>
          <w:rFonts w:ascii="Times New Roman" w:hAnsi="Times New Roman"/>
          <w:sz w:val="24"/>
          <w:szCs w:val="24"/>
        </w:rPr>
      </w:pPr>
      <w:r>
        <w:rPr>
          <w:sz w:val="24"/>
          <w:szCs w:val="24"/>
        </w:rPr>
        <w:t>При проведении переторжки (подраздел </w:t>
      </w:r>
      <w:r>
        <w:rPr>
          <w:sz w:val="24"/>
          <w:szCs w:val="24"/>
        </w:rPr>
        <w:fldChar w:fldCharType="begin"/>
      </w:r>
      <w:r>
        <w:rPr>
          <w:sz w:val="24"/>
          <w:szCs w:val="24"/>
        </w:rPr>
        <w:instrText xml:space="preserve"> REF _Ref127536359 \r \h </w:instrText>
      </w:r>
      <w:r>
        <w:rPr>
          <w:sz w:val="24"/>
          <w:szCs w:val="24"/>
        </w:rPr>
        <w:fldChar w:fldCharType="separate"/>
      </w:r>
      <w:r>
        <w:rPr>
          <w:sz w:val="24"/>
          <w:szCs w:val="24"/>
        </w:rPr>
        <w:t>4.11</w:t>
      </w:r>
      <w:r>
        <w:rPr>
          <w:sz w:val="24"/>
          <w:szCs w:val="24"/>
        </w:rPr>
        <w:fldChar w:fldCharType="end"/>
      </w:r>
      <w:r>
        <w:rPr>
          <w:sz w:val="24"/>
          <w:szCs w:val="24"/>
        </w:rPr>
        <w:t>) альтернативные предложения Участников допускаются к ней наравне с основными предложениями.</w:t>
      </w:r>
    </w:p>
    <w:p>
      <w:pPr>
        <w:pStyle w:val="Style26"/>
        <w:rPr>
          <w:rFonts w:ascii="Times New Roman" w:hAnsi="Times New Roman"/>
          <w:sz w:val="24"/>
          <w:szCs w:val="24"/>
        </w:rPr>
      </w:pPr>
      <w:r>
        <w:rPr>
          <w:sz w:val="24"/>
          <w:szCs w:val="24"/>
        </w:rPr>
        <w:t>Решения Закупочной комиссии по рассмотрению, оценке и сопоставлению заявок принимаются отдельно в отношении основного предложения и каждого альтернативного предложения. Отклонение основного предложения не является основанием для отклонения альтернативных предложений и наоборот. При формировании ранжировки заявок альтернативные предложения ранжируются отдельно (наравне с основными предложениями), с присвоением каждому предложению отдельного места в ранжировке.</w:t>
      </w:r>
    </w:p>
    <w:p>
      <w:pPr>
        <w:pStyle w:val="Style33"/>
        <w:keepNext w:val="true"/>
        <w:rPr>
          <w:rFonts w:ascii="Times New Roman" w:hAnsi="Times New Roman"/>
          <w:sz w:val="24"/>
          <w:szCs w:val="24"/>
        </w:rPr>
      </w:pPr>
      <w:r>
        <w:rPr>
          <w:sz w:val="24"/>
          <w:szCs w:val="24"/>
        </w:rPr>
        <w:t>[Дополнение (в случае проведения закупки с выбором нескольких победителей):]</w:t>
      </w:r>
    </w:p>
    <w:p>
      <w:pPr>
        <w:pStyle w:val="Style25"/>
        <w:rPr>
          <w:rFonts w:ascii="Times New Roman" w:hAnsi="Times New Roman"/>
          <w:sz w:val="24"/>
          <w:szCs w:val="24"/>
        </w:rPr>
      </w:pPr>
      <w:bookmarkStart w:id="207" w:name="_Ref125366312"/>
      <w:bookmarkStart w:id="208" w:name="_Toc229567060"/>
      <w:r>
        <w:rPr>
          <w:sz w:val="24"/>
          <w:szCs w:val="24"/>
        </w:rPr>
        <w:t>Особенности проведения закупки с выбором нескольких победителей</w:t>
      </w:r>
      <w:bookmarkEnd w:id="207"/>
      <w:bookmarkEnd w:id="208"/>
    </w:p>
    <w:p>
      <w:pPr>
        <w:pStyle w:val="Style26"/>
        <w:rPr>
          <w:rFonts w:ascii="Times New Roman" w:hAnsi="Times New Roman"/>
          <w:sz w:val="24"/>
          <w:szCs w:val="24"/>
        </w:rPr>
      </w:pPr>
      <w:r>
        <w:rPr>
          <w:sz w:val="24"/>
          <w:szCs w:val="24"/>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26"/>
        <w:rPr>
          <w:rFonts w:ascii="Times New Roman" w:hAnsi="Times New Roman"/>
          <w:sz w:val="24"/>
          <w:szCs w:val="24"/>
        </w:rPr>
      </w:pPr>
      <w:r>
        <w:rPr>
          <w:sz w:val="24"/>
          <w:szCs w:val="24"/>
        </w:rPr>
        <w:t>Количество победителей, которое намерен определить Организатор по итогам проведения закупки в рамках одного лота, указано в подразделе </w:t>
      </w:r>
      <w:r>
        <w:rPr>
          <w:sz w:val="24"/>
          <w:szCs w:val="24"/>
        </w:rPr>
        <w:fldChar w:fldCharType="begin"/>
      </w:r>
      <w:r>
        <w:rPr>
          <w:sz w:val="24"/>
          <w:szCs w:val="24"/>
        </w:rPr>
        <w:instrText xml:space="preserve"> REF _Ref125359973 \r \h </w:instrText>
      </w:r>
      <w:r>
        <w:rPr>
          <w:sz w:val="24"/>
          <w:szCs w:val="24"/>
        </w:rPr>
        <w:fldChar w:fldCharType="separate"/>
      </w:r>
      <w:r>
        <w:rPr>
          <w:sz w:val="24"/>
          <w:szCs w:val="24"/>
        </w:rPr>
        <w:t>1.2</w:t>
      </w:r>
      <w:r>
        <w:rPr>
          <w:sz w:val="24"/>
          <w:szCs w:val="24"/>
        </w:rPr>
        <w:fldChar w:fldCharType="end"/>
      </w:r>
      <w:r>
        <w:rPr>
          <w:sz w:val="24"/>
          <w:szCs w:val="24"/>
        </w:rPr>
        <w:t>.</w:t>
      </w:r>
    </w:p>
    <w:p>
      <w:pPr>
        <w:pStyle w:val="Style26"/>
        <w:keepNext w:val="true"/>
        <w:rPr>
          <w:rFonts w:ascii="Times New Roman" w:hAnsi="Times New Roman"/>
          <w:sz w:val="24"/>
          <w:szCs w:val="24"/>
        </w:rPr>
      </w:pPr>
      <w:r>
        <w:rPr>
          <w:sz w:val="24"/>
          <w:szCs w:val="24"/>
        </w:rPr>
        <w:t>В случае намерения Организатора выбрать нескольких Победителей, может быть предусмотрен один из следующих механизмов:</w:t>
      </w:r>
    </w:p>
    <w:p>
      <w:pPr>
        <w:pStyle w:val="Style27"/>
        <w:rPr>
          <w:rFonts w:ascii="Times New Roman" w:hAnsi="Times New Roman"/>
          <w:sz w:val="24"/>
          <w:szCs w:val="24"/>
        </w:rPr>
      </w:pPr>
      <w:bookmarkStart w:id="209" w:name="_Ref125367291"/>
      <w:r>
        <w:rPr>
          <w:sz w:val="24"/>
          <w:szCs w:val="24"/>
        </w:rPr>
        <w:t>выбор нескольких Победителей с целью распределения по частям общего объема потребности Заказчика между Победителями – в этом случае Участник вправе подать заявку как на весь объем лота, так и на его часть;</w:t>
      </w:r>
      <w:bookmarkEnd w:id="209"/>
    </w:p>
    <w:p>
      <w:pPr>
        <w:pStyle w:val="Style27"/>
        <w:rPr>
          <w:rFonts w:ascii="Times New Roman" w:hAnsi="Times New Roman"/>
          <w:sz w:val="24"/>
          <w:szCs w:val="24"/>
        </w:rPr>
      </w:pPr>
      <w:bookmarkStart w:id="210" w:name="_Ref125367298"/>
      <w:r>
        <w:rPr>
          <w:sz w:val="24"/>
          <w:szCs w:val="24"/>
        </w:rPr>
        <w:t>выбор нескольких Победителей с целью заключения договоров на</w:t>
      </w:r>
      <w:r>
        <w:rPr>
          <w:sz w:val="24"/>
          <w:szCs w:val="24"/>
          <w:lang w:val="en-US"/>
        </w:rPr>
        <w:t> </w:t>
      </w:r>
      <w:r>
        <w:rPr>
          <w:sz w:val="24"/>
          <w:szCs w:val="24"/>
        </w:rPr>
        <w:t>одинаковый объем потребности с каждым из Победителей в целях последующего распределения фактического объема поставок продукции в ходе исполнения обязательств по заключенным договорам – в этом случае у Заказчика отсутствует обязанность произвести полную выборку продукции, указанную в договоре, заключаемом с каждым Победителем.</w:t>
      </w:r>
      <w:bookmarkEnd w:id="210"/>
    </w:p>
    <w:p>
      <w:pPr>
        <w:pStyle w:val="Style26"/>
        <w:rPr>
          <w:rFonts w:ascii="Times New Roman" w:hAnsi="Times New Roman"/>
          <w:sz w:val="24"/>
          <w:szCs w:val="24"/>
        </w:rPr>
      </w:pPr>
      <w:r>
        <w:rPr>
          <w:sz w:val="24"/>
          <w:szCs w:val="24"/>
        </w:rPr>
        <w:t>Конкретный механизм выбора нескольких Победителей и правила распределения объемов продукции среди них установлены в подразделе </w:t>
      </w:r>
      <w:r>
        <w:rPr>
          <w:sz w:val="24"/>
          <w:szCs w:val="24"/>
        </w:rPr>
        <w:fldChar w:fldCharType="begin"/>
      </w:r>
      <w:r>
        <w:rPr>
          <w:sz w:val="24"/>
          <w:szCs w:val="24"/>
        </w:rPr>
        <w:instrText xml:space="preserve"> REF _Ref125359973 \r \h </w:instrText>
      </w:r>
      <w:r>
        <w:rPr>
          <w:sz w:val="24"/>
          <w:szCs w:val="24"/>
        </w:rPr>
        <w:fldChar w:fldCharType="separate"/>
      </w:r>
      <w:r>
        <w:rPr>
          <w:sz w:val="24"/>
          <w:szCs w:val="24"/>
        </w:rPr>
        <w:t>1.2</w:t>
      </w:r>
      <w:r>
        <w:rPr>
          <w:sz w:val="24"/>
          <w:szCs w:val="24"/>
        </w:rPr>
        <w:fldChar w:fldCharType="end"/>
      </w:r>
      <w:r>
        <w:rPr>
          <w:sz w:val="24"/>
          <w:szCs w:val="24"/>
        </w:rPr>
        <w:t>.</w:t>
      </w:r>
    </w:p>
    <w:p>
      <w:pPr>
        <w:pStyle w:val="Style26"/>
        <w:rPr/>
      </w:pPr>
      <w:r>
        <w:rPr>
          <w:sz w:val="24"/>
          <w:szCs w:val="24"/>
        </w:rPr>
        <w:t xml:space="preserve">Заказчик вправе в одностороннем порядке расторгнуть заключенный договор с любым Победителем в случае ненадлежащего исполнения последним принятых на себя обязательств в соответствии с условиями </w:t>
      </w:r>
      <w:hyperlink w:anchor="Прил02_ПроектДоговора">
        <w:r>
          <w:rPr>
            <w:rStyle w:val="Style14"/>
            <w:sz w:val="24"/>
            <w:szCs w:val="24"/>
          </w:rPr>
          <w:t>Проекта договора (Приложение № 2)</w:t>
        </w:r>
      </w:hyperlink>
      <w:r>
        <w:rPr>
          <w:sz w:val="24"/>
          <w:szCs w:val="24"/>
        </w:rPr>
        <w:t>.</w:t>
      </w:r>
    </w:p>
    <w:p>
      <w:pPr>
        <w:pStyle w:val="Style26"/>
        <w:rPr>
          <w:rFonts w:ascii="Times New Roman" w:hAnsi="Times New Roman"/>
          <w:sz w:val="24"/>
          <w:szCs w:val="24"/>
        </w:rPr>
      </w:pPr>
      <w:r>
        <w:rPr>
          <w:sz w:val="24"/>
          <w:szCs w:val="24"/>
        </w:rPr>
        <w:t>Порядок определения нескольких Победителей, установленный в подразделе </w:t>
      </w:r>
      <w:r>
        <w:rPr>
          <w:sz w:val="24"/>
          <w:szCs w:val="24"/>
        </w:rPr>
        <w:fldChar w:fldCharType="begin"/>
      </w:r>
      <w:r>
        <w:rPr>
          <w:sz w:val="24"/>
          <w:szCs w:val="24"/>
        </w:rPr>
        <w:instrText xml:space="preserve"> REF _Ref125359973 \r \h </w:instrText>
      </w:r>
      <w:r>
        <w:rPr>
          <w:sz w:val="24"/>
          <w:szCs w:val="24"/>
        </w:rPr>
        <w:fldChar w:fldCharType="separate"/>
      </w:r>
      <w:r>
        <w:rPr>
          <w:sz w:val="24"/>
          <w:szCs w:val="24"/>
        </w:rPr>
        <w:t>1.2</w:t>
      </w:r>
      <w:r>
        <w:rPr>
          <w:sz w:val="24"/>
          <w:szCs w:val="24"/>
        </w:rPr>
        <w:fldChar w:fldCharType="end"/>
      </w:r>
      <w:r>
        <w:rPr>
          <w:sz w:val="24"/>
          <w:szCs w:val="24"/>
        </w:rPr>
        <w:t>, является приоритетным по отношении к общему порядку определения Победителя, предусмотренному в подразделе </w:t>
      </w:r>
      <w:r>
        <w:rPr>
          <w:sz w:val="24"/>
          <w:szCs w:val="24"/>
        </w:rPr>
        <w:fldChar w:fldCharType="begin"/>
      </w:r>
      <w:r>
        <w:rPr>
          <w:sz w:val="24"/>
          <w:szCs w:val="24"/>
        </w:rPr>
        <w:instrText xml:space="preserve"> REF _Ref125367242 \w \h </w:instrText>
      </w:r>
      <w:r>
        <w:rPr>
          <w:sz w:val="24"/>
          <w:szCs w:val="24"/>
        </w:rPr>
        <w:fldChar w:fldCharType="separate"/>
      </w:r>
      <w:r>
        <w:rPr>
          <w:sz w:val="24"/>
          <w:szCs w:val="24"/>
        </w:rPr>
        <w:t>4.14</w:t>
      </w:r>
      <w:r>
        <w:rPr>
          <w:sz w:val="24"/>
          <w:szCs w:val="24"/>
        </w:rPr>
        <w:fldChar w:fldCharType="end"/>
      </w:r>
      <w:r>
        <w:rPr>
          <w:sz w:val="24"/>
          <w:szCs w:val="24"/>
        </w:rPr>
        <w:t>.</w:t>
      </w:r>
    </w:p>
    <w:p>
      <w:pPr>
        <w:pStyle w:val="Style33"/>
        <w:rPr>
          <w:rFonts w:ascii="Times New Roman" w:hAnsi="Times New Roman"/>
          <w:sz w:val="24"/>
          <w:szCs w:val="24"/>
        </w:rPr>
      </w:pPr>
      <w:r>
        <w:rPr>
          <w:sz w:val="24"/>
          <w:szCs w:val="24"/>
        </w:rPr>
        <w:t>[Окончание дополнения]</w:t>
      </w:r>
    </w:p>
    <w:p>
      <w:pPr>
        <w:pStyle w:val="Style24"/>
        <w:rPr>
          <w:rFonts w:ascii="Times New Roman" w:hAnsi="Times New Roman"/>
          <w:sz w:val="24"/>
          <w:szCs w:val="24"/>
        </w:rPr>
      </w:pPr>
      <w:bookmarkStart w:id="211" w:name="_Ref125367087"/>
      <w:bookmarkStart w:id="212" w:name="_Ref125367083"/>
      <w:bookmarkStart w:id="213" w:name="_Ref130224037"/>
      <w:bookmarkStart w:id="214" w:name="_Ref125366769"/>
      <w:bookmarkStart w:id="215" w:name="_Ref125363439"/>
      <w:bookmarkStart w:id="216" w:name="_Ref125362671"/>
      <w:bookmarkStart w:id="217" w:name="_Ref125361212"/>
      <w:bookmarkStart w:id="218" w:name="_Toc229567061"/>
      <w:bookmarkStart w:id="219" w:name="_Ref126142429"/>
      <w:r>
        <w:rPr>
          <w:sz w:val="24"/>
          <w:szCs w:val="24"/>
        </w:rPr>
        <w:t>Порядок заключения Договора</w:t>
      </w:r>
      <w:bookmarkEnd w:id="211"/>
      <w:bookmarkEnd w:id="212"/>
      <w:bookmarkEnd w:id="213"/>
      <w:bookmarkEnd w:id="214"/>
      <w:bookmarkEnd w:id="215"/>
      <w:bookmarkEnd w:id="216"/>
      <w:bookmarkEnd w:id="217"/>
      <w:bookmarkEnd w:id="218"/>
      <w:bookmarkEnd w:id="219"/>
    </w:p>
    <w:p>
      <w:pPr>
        <w:pStyle w:val="Style25"/>
        <w:rPr>
          <w:rFonts w:ascii="Times New Roman" w:hAnsi="Times New Roman"/>
          <w:sz w:val="24"/>
          <w:szCs w:val="24"/>
        </w:rPr>
      </w:pPr>
      <w:bookmarkStart w:id="220" w:name="_Ref139028625"/>
      <w:bookmarkStart w:id="221" w:name="_Toc229567062"/>
      <w:r>
        <w:rPr>
          <w:sz w:val="24"/>
          <w:szCs w:val="24"/>
        </w:rPr>
        <w:t>Общие положения</w:t>
      </w:r>
      <w:bookmarkEnd w:id="220"/>
      <w:bookmarkEnd w:id="221"/>
    </w:p>
    <w:p>
      <w:pPr>
        <w:pStyle w:val="Style26"/>
        <w:rPr>
          <w:rFonts w:ascii="Times New Roman" w:hAnsi="Times New Roman"/>
          <w:sz w:val="24"/>
          <w:szCs w:val="24"/>
        </w:rPr>
      </w:pPr>
      <w:r>
        <w:rPr>
          <w:sz w:val="24"/>
          <w:szCs w:val="24"/>
        </w:rPr>
        <w:t>Нормы настоящего раздела </w:t>
      </w:r>
      <w:r>
        <w:rPr>
          <w:sz w:val="24"/>
          <w:szCs w:val="24"/>
        </w:rPr>
        <w:fldChar w:fldCharType="begin"/>
      </w:r>
      <w:r>
        <w:rPr>
          <w:sz w:val="24"/>
          <w:szCs w:val="24"/>
        </w:rPr>
        <w:instrText xml:space="preserve"> REF _Ref126142429 \r \h </w:instrText>
      </w:r>
      <w:r>
        <w:rPr>
          <w:sz w:val="24"/>
          <w:szCs w:val="24"/>
        </w:rPr>
        <w:fldChar w:fldCharType="separate"/>
      </w:r>
      <w:r>
        <w:rPr>
          <w:sz w:val="24"/>
          <w:szCs w:val="24"/>
        </w:rPr>
        <w:t>5</w:t>
      </w:r>
      <w:r>
        <w:rPr>
          <w:sz w:val="24"/>
          <w:szCs w:val="24"/>
        </w:rPr>
        <w:fldChar w:fldCharType="end"/>
      </w:r>
      <w:r>
        <w:rPr>
          <w:sz w:val="24"/>
          <w:szCs w:val="24"/>
        </w:rPr>
        <w:t xml:space="preserve"> также применяются в отношении Единственного участника несостоявшейся закупки, с которым принято решение о заключении договора (к нему применяются те же нормы, что и в отношении Победителя).</w:t>
      </w:r>
    </w:p>
    <w:p>
      <w:pPr>
        <w:pStyle w:val="Style25"/>
        <w:rPr>
          <w:rFonts w:ascii="Times New Roman" w:hAnsi="Times New Roman"/>
          <w:sz w:val="24"/>
          <w:szCs w:val="24"/>
        </w:rPr>
      </w:pPr>
      <w:bookmarkStart w:id="222" w:name="_Ref138232981"/>
      <w:bookmarkStart w:id="223" w:name="_Ref135736094"/>
      <w:bookmarkStart w:id="224" w:name="_Ref125368755"/>
      <w:bookmarkStart w:id="225" w:name="_Toc229567063"/>
      <w:bookmarkStart w:id="226" w:name="_Ref125366947"/>
      <w:r>
        <w:rPr>
          <w:sz w:val="24"/>
          <w:szCs w:val="24"/>
        </w:rPr>
        <w:t>Заключение Договора</w:t>
      </w:r>
      <w:bookmarkEnd w:id="222"/>
      <w:bookmarkEnd w:id="223"/>
      <w:bookmarkEnd w:id="224"/>
      <w:bookmarkEnd w:id="225"/>
      <w:bookmarkEnd w:id="226"/>
    </w:p>
    <w:p>
      <w:pPr>
        <w:pStyle w:val="Style26"/>
        <w:rPr>
          <w:rFonts w:ascii="Times New Roman" w:hAnsi="Times New Roman"/>
          <w:sz w:val="24"/>
          <w:szCs w:val="24"/>
        </w:rPr>
      </w:pPr>
      <w:bookmarkStart w:id="227" w:name="_Ref125362935"/>
      <w:bookmarkStart w:id="228" w:name="_Ref130293821"/>
      <w:r>
        <w:rPr>
          <w:sz w:val="24"/>
          <w:szCs w:val="24"/>
        </w:rPr>
        <w:t>Договор между Заказчиком и Победителем заключается не ранее чем через 10 (десять) календарных дней и не позднее чем через 20 (двадцать) календарных дней с даты официального размещения итогового протокола по результатам закупки.</w:t>
      </w:r>
      <w:bookmarkEnd w:id="227"/>
      <w:bookmarkEnd w:id="228"/>
    </w:p>
    <w:p>
      <w:pPr>
        <w:pStyle w:val="Style26"/>
        <w:rPr>
          <w:rFonts w:ascii="Times New Roman" w:hAnsi="Times New Roman"/>
          <w:sz w:val="24"/>
          <w:szCs w:val="24"/>
        </w:rPr>
      </w:pPr>
      <w:r>
        <w:rPr>
          <w:sz w:val="24"/>
          <w:szCs w:val="24"/>
        </w:rPr>
        <w:t>Договор не может быть заключен, если это запрещено законодательством о национальном режиме.</w:t>
      </w:r>
    </w:p>
    <w:p>
      <w:pPr>
        <w:pStyle w:val="Style26"/>
        <w:rPr>
          <w:rFonts w:ascii="Times New Roman" w:hAnsi="Times New Roman"/>
          <w:sz w:val="24"/>
          <w:szCs w:val="24"/>
        </w:rPr>
      </w:pPr>
      <w:bookmarkStart w:id="229" w:name="_Ref125363464"/>
      <w:bookmarkStart w:id="230" w:name="_Hlk207281466"/>
      <w:bookmarkEnd w:id="230"/>
      <w:r>
        <w:rPr>
          <w:sz w:val="24"/>
          <w:szCs w:val="24"/>
        </w:rPr>
        <w:t>При осуществлении закупки товара (в том числе поставляемого Заказчику при выполнении работ, оказании услуг) в Договор при его заключении включается информация о стране происхождения товара.</w:t>
      </w:r>
    </w:p>
    <w:p>
      <w:pPr>
        <w:pStyle w:val="Style26"/>
        <w:rPr/>
      </w:pPr>
      <w:bookmarkStart w:id="231" w:name="_Hlk207281494"/>
      <w:bookmarkStart w:id="232" w:name="_Hlk207281466_Копия_1"/>
      <w:bookmarkEnd w:id="232"/>
      <w:r>
        <w:rPr>
          <w:sz w:val="24"/>
          <w:szCs w:val="24"/>
        </w:rPr>
        <w:t xml:space="preserve">В целях </w:t>
      </w:r>
      <w:r>
        <w:rPr>
          <w:rFonts w:eastAsia="Calibri" w:cs="Times New Roman"/>
          <w:sz w:val="24"/>
          <w:szCs w:val="24"/>
        </w:rPr>
        <w:t>обеспечения дополнительной прозрачности финансово-хозяйственной деятельности сторон при</w:t>
      </w:r>
      <w:r>
        <w:rPr>
          <w:sz w:val="24"/>
          <w:szCs w:val="24"/>
        </w:rPr>
        <w:t xml:space="preserve"> заключения Договора </w:t>
      </w:r>
      <w:r>
        <w:rPr>
          <w:rFonts w:eastAsia="Calibri" w:cs="Times New Roman"/>
          <w:sz w:val="24"/>
          <w:szCs w:val="24"/>
        </w:rPr>
        <w:t>в части отсутствия возможного конфликта интересов между Заказчиком и</w:t>
      </w:r>
      <w:r>
        <w:rPr>
          <w:sz w:val="24"/>
          <w:szCs w:val="24"/>
        </w:rPr>
        <w:t xml:space="preserve"> Участником, признанным Победителем, последний обязан направить в адрес Заказчика Справку «Сведения о цепочке собственников, включая бенефициаров (в том числе конечных)», по форме в соответствии с </w:t>
      </w:r>
      <w:hyperlink w:anchor="Прил05_ФормыПобедителя">
        <w:r>
          <w:rPr>
            <w:rStyle w:val="Style14"/>
            <w:sz w:val="24"/>
            <w:szCs w:val="24"/>
          </w:rPr>
          <w:t>Приложением № 5</w:t>
        </w:r>
      </w:hyperlink>
      <w:r>
        <w:rPr>
          <w:sz w:val="24"/>
          <w:szCs w:val="24"/>
        </w:rPr>
        <w:t>, с приложением подтверждающих документов согласно перечню, установленному в Приложении 1 к указанной справке, одним из способов (на выбор):</w:t>
      </w:r>
    </w:p>
    <w:p>
      <w:pPr>
        <w:pStyle w:val="Style26"/>
        <w:numPr>
          <w:ilvl w:val="0"/>
          <w:numId w:val="14"/>
        </w:numPr>
        <w:ind w:hanging="567" w:left="1701"/>
        <w:rPr>
          <w:rFonts w:ascii="Times New Roman" w:hAnsi="Times New Roman"/>
          <w:sz w:val="24"/>
          <w:szCs w:val="24"/>
        </w:rPr>
      </w:pPr>
      <w:r>
        <w:rPr>
          <w:sz w:val="24"/>
          <w:szCs w:val="24"/>
        </w:rPr>
        <w:t>в бумажной форме: по адресу, определенному в подразделе </w:t>
      </w:r>
      <w:r>
        <w:rPr>
          <w:sz w:val="24"/>
          <w:szCs w:val="24"/>
        </w:rPr>
        <w:fldChar w:fldCharType="begin"/>
      </w:r>
      <w:r>
        <w:rPr>
          <w:sz w:val="24"/>
          <w:szCs w:val="24"/>
        </w:rPr>
        <w:instrText xml:space="preserve"> REF _Ref125359973 \r \h </w:instrText>
      </w:r>
      <w:r>
        <w:rPr>
          <w:sz w:val="24"/>
          <w:szCs w:val="24"/>
        </w:rPr>
        <w:fldChar w:fldCharType="separate"/>
      </w:r>
      <w:r>
        <w:rPr>
          <w:sz w:val="24"/>
          <w:szCs w:val="24"/>
        </w:rPr>
        <w:t>1.2</w:t>
      </w:r>
      <w:r>
        <w:rPr>
          <w:sz w:val="24"/>
          <w:szCs w:val="24"/>
        </w:rPr>
        <w:fldChar w:fldCharType="end"/>
      </w:r>
      <w:r>
        <w:rPr>
          <w:sz w:val="24"/>
          <w:szCs w:val="24"/>
        </w:rPr>
        <w:t xml:space="preserve"> как место подачи документов в отношении цепочки собственников, включая конечных бенефициаров (в срок не позднее 3 (трех) рабочих дней с даты официального размещения Организатором итогового протокола по результатам закупки). Требуемые документы должны быть предоставлены в бумажном виде и на электронном носителе в отдельном запечатанном конверте с надписью «Документы Победителя о цепочке собственников»;</w:t>
      </w:r>
      <w:bookmarkEnd w:id="231"/>
    </w:p>
    <w:p>
      <w:pPr>
        <w:pStyle w:val="Style26"/>
        <w:numPr>
          <w:ilvl w:val="0"/>
          <w:numId w:val="14"/>
        </w:numPr>
        <w:ind w:hanging="567" w:left="1701"/>
        <w:rPr/>
      </w:pPr>
      <w:r>
        <w:rPr>
          <w:sz w:val="24"/>
          <w:szCs w:val="24"/>
        </w:rPr>
        <w:t xml:space="preserve">в электронной форме: через специально созданную на корпоративном сайте ПАО «РусГидро» учетную запись Победителя </w:t>
      </w:r>
      <w:r>
        <w:rPr>
          <w:rFonts w:eastAsia="Calibri" w:cs="Times New Roman"/>
          <w:sz w:val="24"/>
          <w:szCs w:val="24"/>
        </w:rPr>
        <w:t>в «Личном кабинете контрагента»</w:t>
      </w:r>
      <w:r>
        <w:rPr>
          <w:sz w:val="24"/>
          <w:szCs w:val="24"/>
        </w:rPr>
        <w:t xml:space="preserve"> (в срок не позднее 3 (трех) рабочих дней с даты получения уведомления о необходимости предоставить информацию о </w:t>
      </w:r>
      <w:r>
        <w:rPr>
          <w:rFonts w:eastAsia="Calibri" w:cs="Times New Roman"/>
          <w:sz w:val="24"/>
          <w:szCs w:val="24"/>
        </w:rPr>
        <w:t>цепочке собственников, включая бенефициаров (в том числе конечных)</w:t>
      </w:r>
      <w:r>
        <w:rPr>
          <w:sz w:val="24"/>
          <w:szCs w:val="24"/>
        </w:rPr>
        <w:t>. Уведомление (со ссылкой на учетную запись) направляется на указанный в заявке Победителя (в Анкете Участника (форма 5) (</w:t>
      </w:r>
      <w:hyperlink w:anchor="Прил04_ФормыЗаявки">
        <w:r>
          <w:rPr>
            <w:rStyle w:val="Style14"/>
            <w:sz w:val="24"/>
            <w:szCs w:val="24"/>
          </w:rPr>
          <w:t>Приложения № 4</w:t>
        </w:r>
      </w:hyperlink>
      <w:r>
        <w:rPr>
          <w:sz w:val="24"/>
          <w:szCs w:val="24"/>
        </w:rPr>
        <w:t>)) адрес электронной почты ответственного лица).</w:t>
      </w:r>
      <w:bookmarkEnd w:id="229"/>
    </w:p>
    <w:p>
      <w:pPr>
        <w:pStyle w:val="Style26"/>
        <w:keepNext w:val="true"/>
        <w:rPr>
          <w:rFonts w:ascii="Times New Roman" w:hAnsi="Times New Roman"/>
          <w:sz w:val="24"/>
          <w:szCs w:val="24"/>
        </w:rPr>
      </w:pPr>
      <w:bookmarkStart w:id="233" w:name="_Ref125551776"/>
      <w:r>
        <w:rPr>
          <w:sz w:val="24"/>
          <w:szCs w:val="24"/>
        </w:rPr>
        <w:t xml:space="preserve">В срок не позднее 3 (трех) рабочих дней с даты официального размещения Организатором итогового протокола по результатам закупки, Победитель обязан предоставить Заказчику (скан-копии в формате </w:t>
      </w:r>
      <w:bookmarkStart w:id="234" w:name="_Hlk207281699"/>
      <w:r>
        <w:rPr>
          <w:sz w:val="24"/>
          <w:szCs w:val="24"/>
        </w:rPr>
        <w:t xml:space="preserve">Portable Document Format </w:t>
      </w:r>
      <w:bookmarkEnd w:id="234"/>
      <w:r>
        <w:rPr>
          <w:sz w:val="24"/>
          <w:szCs w:val="24"/>
        </w:rPr>
        <w:t>(*.</w:t>
      </w:r>
      <w:r>
        <w:rPr>
          <w:sz w:val="24"/>
          <w:szCs w:val="24"/>
          <w:lang w:val="en-US"/>
        </w:rPr>
        <w:t>pdf</w:t>
      </w:r>
      <w:r>
        <w:rPr>
          <w:sz w:val="24"/>
          <w:szCs w:val="24"/>
        </w:rPr>
        <w:t>)):</w:t>
      </w:r>
      <w:bookmarkEnd w:id="233"/>
    </w:p>
    <w:p>
      <w:pPr>
        <w:pStyle w:val="Style27"/>
        <w:rPr/>
      </w:pPr>
      <w:r>
        <w:rPr>
          <w:sz w:val="24"/>
          <w:szCs w:val="24"/>
        </w:rPr>
        <w:t xml:space="preserve">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r>
          <w:rPr>
            <w:rStyle w:val="Style14"/>
            <w:sz w:val="24"/>
            <w:szCs w:val="24"/>
          </w:rPr>
          <w:t>Приложением № 5</w:t>
        </w:r>
      </w:hyperlink>
      <w:r>
        <w:rPr>
          <w:sz w:val="24"/>
          <w:szCs w:val="24"/>
        </w:rPr>
        <w:t>;</w:t>
      </w:r>
    </w:p>
    <w:p>
      <w:pPr>
        <w:pStyle w:val="Style27"/>
        <w:rPr>
          <w:rFonts w:ascii="Times New Roman" w:hAnsi="Times New Roman"/>
          <w:sz w:val="24"/>
          <w:szCs w:val="24"/>
        </w:rPr>
      </w:pPr>
      <w:bookmarkStart w:id="235" w:name="_Ref125552642"/>
      <w:r>
        <w:rPr>
          <w:sz w:val="24"/>
          <w:szCs w:val="24"/>
        </w:rPr>
        <w:t>если он принимал участие в переторжке в очной форме – документы своей заявки, подлежащие корректировке в строгом соответствии с его предложениями, заявленными в ходе проведения переторжки (подраздел </w:t>
      </w:r>
      <w:r>
        <w:rPr>
          <w:sz w:val="24"/>
          <w:szCs w:val="24"/>
        </w:rPr>
        <w:fldChar w:fldCharType="begin"/>
      </w:r>
      <w:r>
        <w:rPr>
          <w:sz w:val="24"/>
          <w:szCs w:val="24"/>
        </w:rPr>
        <w:instrText xml:space="preserve"> REF _Ref127536359 \r \h </w:instrText>
      </w:r>
      <w:r>
        <w:rPr>
          <w:sz w:val="24"/>
          <w:szCs w:val="24"/>
        </w:rPr>
        <w:fldChar w:fldCharType="separate"/>
      </w:r>
      <w:r>
        <w:rPr>
          <w:sz w:val="24"/>
          <w:szCs w:val="24"/>
        </w:rPr>
        <w:t>4.11</w:t>
      </w:r>
      <w:r>
        <w:rPr>
          <w:sz w:val="24"/>
          <w:szCs w:val="24"/>
        </w:rPr>
        <w:fldChar w:fldCharType="end"/>
      </w:r>
      <w:r>
        <w:rPr>
          <w:sz w:val="24"/>
          <w:szCs w:val="24"/>
        </w:rPr>
        <w:t>)</w:t>
      </w:r>
      <w:bookmarkEnd w:id="235"/>
      <w:r>
        <w:rPr>
          <w:sz w:val="24"/>
          <w:szCs w:val="24"/>
        </w:rPr>
        <w:t>.</w:t>
      </w:r>
    </w:p>
    <w:p>
      <w:pPr>
        <w:pStyle w:val="Style26"/>
        <w:keepNext w:val="true"/>
        <w:rPr/>
      </w:pPr>
      <w:bookmarkStart w:id="236" w:name="_Ref125551072"/>
      <w:r>
        <w:rPr>
          <w:sz w:val="24"/>
          <w:szCs w:val="24"/>
        </w:rPr>
        <w:t>Перед заключением Договора Победитель обязан предоставить Заказчику, не позднее сроков, установленных в пункте </w:t>
      </w:r>
      <w:r>
        <w:rPr>
          <w:sz w:val="24"/>
          <w:szCs w:val="24"/>
        </w:rPr>
        <w:fldChar w:fldCharType="begin"/>
      </w:r>
      <w:r>
        <w:rPr>
          <w:sz w:val="24"/>
          <w:szCs w:val="24"/>
        </w:rPr>
        <w:instrText xml:space="preserve"> REF _Ref130293821 \w \h </w:instrText>
      </w:r>
      <w:r>
        <w:rPr>
          <w:sz w:val="24"/>
          <w:szCs w:val="24"/>
        </w:rPr>
        <w:fldChar w:fldCharType="separate"/>
      </w:r>
      <w:r>
        <w:rPr>
          <w:sz w:val="24"/>
          <w:szCs w:val="24"/>
        </w:rPr>
        <w:t>5.2.1</w:t>
      </w:r>
      <w:r>
        <w:rPr>
          <w:sz w:val="24"/>
          <w:szCs w:val="24"/>
        </w:rPr>
        <w:fldChar w:fldCharType="end"/>
      </w:r>
      <w:r>
        <w:rPr>
          <w:sz w:val="24"/>
          <w:szCs w:val="24"/>
        </w:rPr>
        <w:t>, в целях подтверждения своего соответствия обязательному требованию к Участникам, указанному в пункте </w:t>
      </w:r>
      <w:r>
        <w:rPr>
          <w:sz w:val="24"/>
          <w:szCs w:val="24"/>
        </w:rPr>
        <w:fldChar w:fldCharType="begin"/>
      </w:r>
      <w:r>
        <w:rPr>
          <w:sz w:val="24"/>
          <w:szCs w:val="24"/>
        </w:rPr>
        <w:instrText xml:space="preserve"> REF _Ref125552433 \w \h </w:instrText>
      </w:r>
      <w:r>
        <w:rPr>
          <w:sz w:val="24"/>
          <w:szCs w:val="24"/>
        </w:rPr>
        <w:fldChar w:fldCharType="separate"/>
      </w:r>
      <w:r>
        <w:rPr>
          <w:sz w:val="24"/>
          <w:szCs w:val="24"/>
        </w:rPr>
        <w:t>1</w:t>
      </w:r>
      <w:r>
        <w:rPr>
          <w:sz w:val="24"/>
          <w:szCs w:val="24"/>
        </w:rPr>
        <w:fldChar w:fldCharType="end"/>
      </w:r>
      <w:r>
        <w:rPr>
          <w:sz w:val="24"/>
          <w:szCs w:val="24"/>
        </w:rPr>
        <w:t xml:space="preserve"> подраздела </w:t>
      </w:r>
      <w:r>
        <w:rPr>
          <w:sz w:val="24"/>
          <w:szCs w:val="24"/>
        </w:rPr>
        <w:fldChar w:fldCharType="begin"/>
      </w:r>
      <w:r>
        <w:rPr>
          <w:sz w:val="24"/>
          <w:szCs w:val="24"/>
        </w:rPr>
        <w:instrText xml:space="preserve"> REF _Ref125361435 \w \h </w:instrText>
      </w:r>
      <w:r>
        <w:rPr>
          <w:sz w:val="24"/>
          <w:szCs w:val="24"/>
        </w:rPr>
        <w:fldChar w:fldCharType="separate"/>
      </w:r>
      <w:r>
        <w:rPr>
          <w:sz w:val="24"/>
          <w:szCs w:val="24"/>
        </w:rPr>
        <w:t>8.2</w:t>
      </w:r>
      <w:r>
        <w:rPr>
          <w:sz w:val="24"/>
          <w:szCs w:val="24"/>
        </w:rPr>
        <w:fldChar w:fldCharType="end"/>
      </w:r>
      <w:r>
        <w:rPr>
          <w:sz w:val="24"/>
          <w:szCs w:val="24"/>
        </w:rPr>
        <w:t xml:space="preserve"> (</w:t>
      </w:r>
      <w:hyperlink w:anchor="Прил03_ТребованияУчастникам">
        <w:r>
          <w:rPr>
            <w:rStyle w:val="Style14"/>
            <w:sz w:val="24"/>
            <w:szCs w:val="24"/>
          </w:rPr>
          <w:t>Приложение № 3</w:t>
        </w:r>
      </w:hyperlink>
      <w:r>
        <w:rPr>
          <w:sz w:val="24"/>
          <w:szCs w:val="24"/>
        </w:rPr>
        <w:t>), следующие документы (скан-копии в формате Portable Document Format (*.</w:t>
      </w:r>
      <w:r>
        <w:rPr>
          <w:sz w:val="24"/>
          <w:szCs w:val="24"/>
          <w:lang w:val="en-US"/>
        </w:rPr>
        <w:t>pdf</w:t>
      </w:r>
      <w:r>
        <w:rPr>
          <w:sz w:val="24"/>
          <w:szCs w:val="24"/>
        </w:rPr>
        <w:t>)):</w:t>
      </w:r>
      <w:bookmarkEnd w:id="236"/>
    </w:p>
    <w:p>
      <w:pPr>
        <w:pStyle w:val="Style27"/>
        <w:keepNext w:val="true"/>
        <w:rPr>
          <w:rFonts w:ascii="Times New Roman" w:hAnsi="Times New Roman"/>
          <w:sz w:val="24"/>
          <w:szCs w:val="24"/>
        </w:rPr>
      </w:pPr>
      <w:r>
        <w:rPr>
          <w:sz w:val="24"/>
          <w:szCs w:val="24"/>
        </w:rPr>
        <w:t>для юридического лица:</w:t>
      </w:r>
    </w:p>
    <w:p>
      <w:pPr>
        <w:pStyle w:val="Style28"/>
        <w:rPr>
          <w:rFonts w:ascii="Times New Roman" w:hAnsi="Times New Roman"/>
          <w:sz w:val="24"/>
          <w:szCs w:val="24"/>
        </w:rPr>
      </w:pPr>
      <w:r>
        <w:rPr>
          <w:sz w:val="24"/>
          <w:szCs w:val="24"/>
        </w:rPr>
        <w:t>копия устава в действующей редакции с отметкой ИФНС либо копия нотариально заверенного устава (с отметкой нотариуса);</w:t>
      </w:r>
    </w:p>
    <w:p>
      <w:pPr>
        <w:pStyle w:val="Style28"/>
        <w:rPr>
          <w:rFonts w:ascii="Times New Roman" w:hAnsi="Times New Roman"/>
          <w:sz w:val="24"/>
          <w:szCs w:val="24"/>
        </w:rPr>
      </w:pPr>
      <w:bookmarkStart w:id="237" w:name="_Ref125638686"/>
      <w:r>
        <w:rPr>
          <w:sz w:val="24"/>
          <w:szCs w:val="24"/>
        </w:rPr>
        <w:t>копии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 передаче полномочий Управляющей компании), заверенные Победителем;</w:t>
      </w:r>
      <w:bookmarkEnd w:id="237"/>
    </w:p>
    <w:p>
      <w:pPr>
        <w:pStyle w:val="Style28"/>
        <w:rPr>
          <w:rFonts w:ascii="Times New Roman" w:hAnsi="Times New Roman"/>
          <w:sz w:val="24"/>
          <w:szCs w:val="24"/>
        </w:rPr>
      </w:pPr>
      <w:r>
        <w:rPr>
          <w:sz w:val="24"/>
          <w:szCs w:val="24"/>
        </w:rPr>
        <w:t>дополнительно предоставляется машиночитаемая доверенность (посредством информационных систем, на которых проводится закупка) на физическое лицо, которое подписывает договор;</w:t>
      </w:r>
    </w:p>
    <w:p>
      <w:pPr>
        <w:pStyle w:val="Style27"/>
        <w:rPr>
          <w:rFonts w:ascii="Times New Roman" w:hAnsi="Times New Roman"/>
          <w:sz w:val="24"/>
          <w:szCs w:val="24"/>
        </w:rPr>
      </w:pPr>
      <w:r>
        <w:rPr>
          <w:sz w:val="24"/>
          <w:szCs w:val="24"/>
        </w:rPr>
        <w:t>для лица, зарегистрированного вне Российской Федерации: выписка из торгового реестра страны регистрации иностранного Участника;</w:t>
      </w:r>
    </w:p>
    <w:p>
      <w:pPr>
        <w:pStyle w:val="Style27"/>
        <w:rPr>
          <w:rFonts w:ascii="Times New Roman" w:hAnsi="Times New Roman"/>
          <w:sz w:val="24"/>
          <w:szCs w:val="24"/>
        </w:rPr>
      </w:pPr>
      <w:r>
        <w:rPr>
          <w:sz w:val="24"/>
          <w:szCs w:val="24"/>
        </w:rPr>
        <w:t>для физического лица: нотариально заверенная копия всех страниц документа, удостоверяющего личность (паспорта).</w:t>
      </w:r>
    </w:p>
    <w:p>
      <w:pPr>
        <w:pStyle w:val="Style26"/>
        <w:rPr>
          <w:rFonts w:ascii="Times New Roman" w:hAnsi="Times New Roman"/>
          <w:sz w:val="24"/>
          <w:szCs w:val="24"/>
        </w:rPr>
      </w:pPr>
      <w:r>
        <w:rPr>
          <w:sz w:val="24"/>
          <w:szCs w:val="24"/>
        </w:rPr>
        <w:t>Если в соответствии с законодательством и уставом Заказчика потребуется предварительное одобрение заключаемого на предложенных Победителем условиях Договора компетентными органами управления Заказчика (Общим собранием акционеров, Советом директоров и т.п.), Договор с Победителем заключается не позднее чем через 5 (пять) календарных дней с даты указанного одобрения.</w:t>
      </w:r>
    </w:p>
    <w:p>
      <w:pPr>
        <w:pStyle w:val="Style26"/>
        <w:rPr>
          <w:rFonts w:ascii="Times New Roman" w:hAnsi="Times New Roman"/>
          <w:sz w:val="24"/>
          <w:szCs w:val="24"/>
        </w:rPr>
      </w:pPr>
      <w:r>
        <w:rPr>
          <w:sz w:val="24"/>
          <w:szCs w:val="24"/>
        </w:rPr>
        <w:t>В случае обжалования в антимонопольном органе результатов закупки Договор заключается не позднее чем через 5 (пять) календарных дней с даты вынесения решения антимонопольного органа по результатам такого обжалования (за исключением случая возврата на предыдущий этап закупки).</w:t>
      </w:r>
    </w:p>
    <w:p>
      <w:pPr>
        <w:pStyle w:val="Style26"/>
        <w:keepNext w:val="true"/>
        <w:rPr>
          <w:rFonts w:ascii="Times New Roman" w:hAnsi="Times New Roman"/>
          <w:sz w:val="24"/>
          <w:szCs w:val="24"/>
        </w:rPr>
      </w:pPr>
      <w:bookmarkStart w:id="238" w:name="_Ref132288402"/>
      <w:r>
        <w:rPr>
          <w:sz w:val="24"/>
          <w:szCs w:val="24"/>
        </w:rPr>
        <w:t>При определении условий Договора по результатам закупки используются следующие документы с соблюдением указанной иерархии в порядке перечисления (в случае их противоречия):</w:t>
      </w:r>
      <w:bookmarkEnd w:id="238"/>
    </w:p>
    <w:p>
      <w:pPr>
        <w:pStyle w:val="Style27"/>
        <w:rPr>
          <w:rFonts w:ascii="Times New Roman" w:hAnsi="Times New Roman"/>
          <w:sz w:val="24"/>
          <w:szCs w:val="24"/>
        </w:rPr>
      </w:pPr>
      <w:r>
        <w:rPr>
          <w:sz w:val="24"/>
          <w:szCs w:val="24"/>
        </w:rPr>
        <w:t>протокол преддоговорных переговоров между Заказчиком и Победителем (при проведении таковых);</w:t>
      </w:r>
    </w:p>
    <w:p>
      <w:pPr>
        <w:pStyle w:val="Style27"/>
        <w:rPr>
          <w:rFonts w:ascii="Times New Roman" w:hAnsi="Times New Roman"/>
          <w:sz w:val="24"/>
          <w:szCs w:val="24"/>
        </w:rPr>
      </w:pPr>
      <w:r>
        <w:rPr>
          <w:sz w:val="24"/>
          <w:szCs w:val="24"/>
        </w:rPr>
        <w:t>итоговый протокол по результатам закупки;</w:t>
      </w:r>
    </w:p>
    <w:p>
      <w:pPr>
        <w:pStyle w:val="Style27"/>
        <w:rPr>
          <w:rFonts w:ascii="Times New Roman" w:hAnsi="Times New Roman"/>
          <w:sz w:val="24"/>
          <w:szCs w:val="24"/>
        </w:rPr>
      </w:pPr>
      <w:r>
        <w:rPr>
          <w:sz w:val="24"/>
          <w:szCs w:val="24"/>
        </w:rPr>
        <w:t>Извещение и Документация о закупке со всеми изменениями;</w:t>
      </w:r>
    </w:p>
    <w:p>
      <w:pPr>
        <w:pStyle w:val="Style27"/>
        <w:rPr>
          <w:rFonts w:ascii="Times New Roman" w:hAnsi="Times New Roman"/>
          <w:sz w:val="24"/>
          <w:szCs w:val="24"/>
        </w:rPr>
      </w:pPr>
      <w:r>
        <w:rPr>
          <w:sz w:val="24"/>
          <w:szCs w:val="24"/>
        </w:rPr>
        <w:t>заявка Победителя со всеми дополнениями и разъяснениями.</w:t>
      </w:r>
    </w:p>
    <w:p>
      <w:pPr>
        <w:pStyle w:val="Style26"/>
        <w:rPr>
          <w:rFonts w:ascii="Times New Roman" w:hAnsi="Times New Roman"/>
          <w:sz w:val="24"/>
          <w:szCs w:val="24"/>
        </w:rPr>
      </w:pPr>
      <w:bookmarkStart w:id="239" w:name="_Ref125368506"/>
      <w:r>
        <w:rPr>
          <w:sz w:val="24"/>
          <w:szCs w:val="24"/>
        </w:rPr>
        <w:t>Сведения о заключенном Договоре в течение 3 (трех) рабочих дней со дня заключения такого Договора вносятся Заказчиком в Реестр договоров в ЕИС (если размещение таких сведений допустимо Законом 223-ФЗ). Если при заключении и исполнении Договора изменятся количество, объем, цена закупаемой продукции или сроки исполнения Договора (по сравнению с указанными в итоговом протоколе по результатам закупки), то в течение 10 (десяти) календарных дней со дня внесения таких изменений в Договор соответствующая информация с указанием измененных условий Договора также размещается Заказчиком в ЕИС (если размещение таких сведений допустимо Законом 223-ФЗ).</w:t>
      </w:r>
      <w:bookmarkEnd w:id="239"/>
    </w:p>
    <w:p>
      <w:pPr>
        <w:pStyle w:val="Style26"/>
        <w:keepNext w:val="true"/>
        <w:rPr>
          <w:rFonts w:ascii="Times New Roman" w:hAnsi="Times New Roman"/>
          <w:sz w:val="24"/>
          <w:szCs w:val="24"/>
        </w:rPr>
      </w:pPr>
      <w:r>
        <w:rPr>
          <w:sz w:val="24"/>
          <w:szCs w:val="24"/>
        </w:rPr>
        <w:t>Если Договор заключается в электронной форме:</w:t>
      </w:r>
    </w:p>
    <w:p>
      <w:pPr>
        <w:pStyle w:val="Style27"/>
        <w:rPr>
          <w:rFonts w:ascii="Times New Roman" w:hAnsi="Times New Roman"/>
          <w:sz w:val="24"/>
          <w:szCs w:val="24"/>
        </w:rPr>
      </w:pPr>
      <w:bookmarkStart w:id="240" w:name="_Ref125552524"/>
      <w:r>
        <w:rPr>
          <w:sz w:val="24"/>
          <w:szCs w:val="24"/>
        </w:rPr>
        <w:t>то он заключается с использованием Системы ЭДО, в том числе подписывается усиленной квалифицированной электронной подписью уполномоченного лица Победителя и Заказчика соответственно. Дополнительная информация об особенностях заключения Договора в электронной форме, содержатся в подразделе </w:t>
      </w:r>
      <w:r>
        <w:rPr>
          <w:sz w:val="24"/>
          <w:szCs w:val="24"/>
        </w:rPr>
        <w:fldChar w:fldCharType="begin"/>
      </w:r>
      <w:r>
        <w:rPr>
          <w:sz w:val="24"/>
          <w:szCs w:val="24"/>
        </w:rPr>
        <w:instrText xml:space="preserve"> REF _Ref125359973 \r \h </w:instrText>
      </w:r>
      <w:r>
        <w:rPr>
          <w:sz w:val="24"/>
          <w:szCs w:val="24"/>
        </w:rPr>
        <w:fldChar w:fldCharType="separate"/>
      </w:r>
      <w:r>
        <w:rPr>
          <w:sz w:val="24"/>
          <w:szCs w:val="24"/>
        </w:rPr>
        <w:t>1.2</w:t>
      </w:r>
      <w:r>
        <w:rPr>
          <w:sz w:val="24"/>
          <w:szCs w:val="24"/>
        </w:rPr>
        <w:fldChar w:fldCharType="end"/>
      </w:r>
      <w:bookmarkEnd w:id="240"/>
      <w:r>
        <w:rPr>
          <w:sz w:val="24"/>
          <w:szCs w:val="24"/>
        </w:rPr>
        <w:t>;</w:t>
      </w:r>
    </w:p>
    <w:p>
      <w:pPr>
        <w:pStyle w:val="Style27"/>
        <w:rPr>
          <w:rFonts w:ascii="Times New Roman" w:hAnsi="Times New Roman"/>
          <w:sz w:val="24"/>
          <w:szCs w:val="24"/>
        </w:rPr>
      </w:pPr>
      <w:r>
        <w:rPr>
          <w:sz w:val="24"/>
          <w:szCs w:val="24"/>
        </w:rPr>
        <w:t>Заказчик в течение установленного в пункте </w:t>
      </w:r>
      <w:r>
        <w:rPr>
          <w:sz w:val="24"/>
          <w:szCs w:val="24"/>
        </w:rPr>
        <w:fldChar w:fldCharType="begin"/>
      </w:r>
      <w:r>
        <w:rPr>
          <w:sz w:val="24"/>
          <w:szCs w:val="24"/>
        </w:rPr>
        <w:instrText xml:space="preserve"> REF _Ref130293821 \r \h </w:instrText>
      </w:r>
      <w:r>
        <w:rPr>
          <w:sz w:val="24"/>
          <w:szCs w:val="24"/>
        </w:rPr>
        <w:fldChar w:fldCharType="separate"/>
      </w:r>
      <w:r>
        <w:rPr>
          <w:sz w:val="24"/>
          <w:szCs w:val="24"/>
        </w:rPr>
        <w:t>5.2.1</w:t>
      </w:r>
      <w:r>
        <w:rPr>
          <w:sz w:val="24"/>
          <w:szCs w:val="24"/>
        </w:rPr>
        <w:fldChar w:fldCharType="end"/>
      </w:r>
      <w:r>
        <w:rPr>
          <w:sz w:val="24"/>
          <w:szCs w:val="24"/>
        </w:rPr>
        <w:t xml:space="preserve"> срока направляет в адрес Победителя подписанный со своей стороны Проект договора с использованием функционала Системы ЭДО.</w:t>
      </w:r>
    </w:p>
    <w:p>
      <w:pPr>
        <w:pStyle w:val="Style26"/>
        <w:rPr>
          <w:rFonts w:ascii="Times New Roman" w:hAnsi="Times New Roman"/>
          <w:sz w:val="24"/>
          <w:szCs w:val="24"/>
        </w:rPr>
      </w:pPr>
      <w:r>
        <w:rPr>
          <w:sz w:val="24"/>
          <w:szCs w:val="24"/>
        </w:rPr>
        <w:t>Если до момента заключения с Договора в отношении Победителя была проведена повторная проверка в рамках мониторинга аккредитованных поставщиков (в соответствии с Положением об аккредитации), и по результатам такой проверки ему присвоен статус «не аккредитован»,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 (при наличии у него статуса «аккредитован» / «аккредитация не требуется»).</w:t>
      </w:r>
    </w:p>
    <w:p>
      <w:pPr>
        <w:pStyle w:val="Style25"/>
        <w:rPr>
          <w:rFonts w:ascii="Times New Roman" w:hAnsi="Times New Roman"/>
          <w:sz w:val="24"/>
          <w:szCs w:val="24"/>
        </w:rPr>
      </w:pPr>
      <w:bookmarkStart w:id="241" w:name="_Ref125552570"/>
      <w:bookmarkStart w:id="242" w:name="_Toc229567064"/>
      <w:r>
        <w:rPr>
          <w:sz w:val="24"/>
          <w:szCs w:val="24"/>
        </w:rPr>
        <w:t>Преддоговорные переговоры</w:t>
      </w:r>
      <w:bookmarkEnd w:id="241"/>
      <w:bookmarkEnd w:id="242"/>
    </w:p>
    <w:p>
      <w:pPr>
        <w:pStyle w:val="Style26"/>
        <w:keepNext w:val="true"/>
        <w:rPr>
          <w:rFonts w:ascii="Times New Roman" w:hAnsi="Times New Roman"/>
          <w:sz w:val="24"/>
          <w:szCs w:val="24"/>
        </w:rPr>
      </w:pPr>
      <w:r>
        <w:rPr>
          <w:sz w:val="24"/>
          <w:szCs w:val="24"/>
        </w:rPr>
        <w:t>Проведение преддоговорных переговоров между Заказчиком и Победителем допускается только в отношении следующих вопросов:</w:t>
      </w:r>
    </w:p>
    <w:p>
      <w:pPr>
        <w:pStyle w:val="Style27"/>
        <w:rPr>
          <w:rFonts w:ascii="Times New Roman" w:hAnsi="Times New Roman"/>
          <w:sz w:val="24"/>
          <w:szCs w:val="24"/>
        </w:rPr>
      </w:pPr>
      <w:r>
        <w:rPr>
          <w:sz w:val="24"/>
          <w:szCs w:val="24"/>
        </w:rPr>
        <w:t>снижение цены Договора (при этом объем закупаемой продукции, а также технические характеристики продукции, определенные в Документации о закупке и заявке Победителя, остаются неизменными);</w:t>
      </w:r>
    </w:p>
    <w:p>
      <w:pPr>
        <w:pStyle w:val="Style27"/>
        <w:rPr>
          <w:rFonts w:ascii="Times New Roman" w:hAnsi="Times New Roman"/>
          <w:sz w:val="24"/>
          <w:szCs w:val="24"/>
        </w:rPr>
      </w:pPr>
      <w:r>
        <w:rPr>
          <w:sz w:val="24"/>
          <w:szCs w:val="24"/>
        </w:rPr>
        <w:t>увеличение объема закупаемой продукции (при этом цена Договора и технические характеристики продукции, определенные в Документации о закупке и заявке Победителя, остаются неизменными);</w:t>
      </w:r>
    </w:p>
    <w:p>
      <w:pPr>
        <w:pStyle w:val="Style27"/>
        <w:rPr>
          <w:rFonts w:ascii="Times New Roman" w:hAnsi="Times New Roman"/>
          <w:sz w:val="24"/>
          <w:szCs w:val="24"/>
        </w:rPr>
      </w:pPr>
      <w:r>
        <w:rPr>
          <w:sz w:val="24"/>
          <w:szCs w:val="24"/>
        </w:rPr>
        <w:t>уточнение сроков исполнения обязательств по Договору (если заключение Договора и исполнение обязательств по нему не могут быть проведены в установленные сроки в связи с обжалованием результатов закупки в адрес Заказчика или антимонопольного органа, в связи с административным производством, судебным разбирательством, принятием органами управления Заказчика решения об одобрении Договора по основаниям, предусмотренным законодательством, уставом и (или) локальными нормативными актами Заказчика);</w:t>
      </w:r>
    </w:p>
    <w:p>
      <w:pPr>
        <w:pStyle w:val="Style27"/>
        <w:rPr>
          <w:rFonts w:ascii="Times New Roman" w:hAnsi="Times New Roman"/>
          <w:sz w:val="24"/>
          <w:szCs w:val="24"/>
        </w:rPr>
      </w:pPr>
      <w:r>
        <w:rPr>
          <w:sz w:val="24"/>
          <w:szCs w:val="24"/>
        </w:rPr>
        <w:t>изменение условий Договора в связи с изменениями законодательства или предписаниями органов государственной власти, органов местного самоуправления;</w:t>
      </w:r>
    </w:p>
    <w:p>
      <w:pPr>
        <w:pStyle w:val="Style27"/>
        <w:rPr>
          <w:rFonts w:ascii="Times New Roman" w:hAnsi="Times New Roman"/>
          <w:sz w:val="24"/>
          <w:szCs w:val="24"/>
        </w:rPr>
      </w:pPr>
      <w:r>
        <w:rPr>
          <w:sz w:val="24"/>
          <w:szCs w:val="24"/>
        </w:rPr>
        <w:t>уточнение условий исполнения договора в лучшую для Заказчика сторону, в том числе: сокращение сроков исполнения Договора; отказ Победителя от аванса или уменьшение его величины; предоставление отсрочки или рассрочки при оплате; улучшение характеристик продукции; увеличение сроков и объема гарантии.</w:t>
      </w:r>
    </w:p>
    <w:p>
      <w:pPr>
        <w:pStyle w:val="Style26"/>
        <w:rPr>
          <w:rFonts w:ascii="Times New Roman" w:hAnsi="Times New Roman"/>
          <w:sz w:val="24"/>
          <w:szCs w:val="24"/>
        </w:rPr>
      </w:pPr>
      <w:r>
        <w:rPr>
          <w:sz w:val="24"/>
          <w:szCs w:val="24"/>
        </w:rPr>
        <w:t>В любом случае не допускаются переговоры, направленные на изменение условий заключаемого Договора, которые ведут к ухудшению его условий для Заказчика.</w:t>
      </w:r>
    </w:p>
    <w:p>
      <w:pPr>
        <w:pStyle w:val="Style26"/>
        <w:rPr>
          <w:rFonts w:ascii="Times New Roman" w:hAnsi="Times New Roman"/>
          <w:sz w:val="24"/>
          <w:szCs w:val="24"/>
        </w:rPr>
      </w:pPr>
      <w:r>
        <w:rPr>
          <w:sz w:val="24"/>
          <w:szCs w:val="24"/>
        </w:rPr>
        <w:t>Преддоговорные переговоры могут быть проведены в очной или заочной форме, в том числе с помощью средств аудио-, видео- конференцсвязи. Срок и формат проведения преддоговорных переговоров определяет Заказчик и (или) Организатор.</w:t>
      </w:r>
    </w:p>
    <w:p>
      <w:pPr>
        <w:pStyle w:val="Style26"/>
        <w:rPr>
          <w:rFonts w:ascii="Times New Roman" w:hAnsi="Times New Roman"/>
          <w:sz w:val="24"/>
          <w:szCs w:val="24"/>
        </w:rPr>
      </w:pPr>
      <w:r>
        <w:rPr>
          <w:sz w:val="24"/>
          <w:szCs w:val="24"/>
        </w:rPr>
        <w:t>Результаты преддоговорных переговоров фиксируются в форме протокола</w:t>
      </w:r>
      <w:r>
        <w:rPr>
          <w:rStyle w:val="FootnoteReference"/>
          <w:sz w:val="24"/>
          <w:szCs w:val="24"/>
        </w:rPr>
        <w:footnoteReference w:id="12"/>
      </w:r>
      <w:r>
        <w:rPr>
          <w:sz w:val="24"/>
          <w:szCs w:val="24"/>
        </w:rPr>
        <w:t>, подписываемого Заказчиком и Победителем, который официально размещается в течение 3 (трех) календарных дней с момента их проведения, и должны быть учтены при заключении Договора.</w:t>
      </w:r>
    </w:p>
    <w:p>
      <w:pPr>
        <w:pStyle w:val="Style26"/>
        <w:rPr>
          <w:rFonts w:ascii="Times New Roman" w:hAnsi="Times New Roman"/>
          <w:sz w:val="24"/>
          <w:szCs w:val="24"/>
        </w:rPr>
      </w:pPr>
      <w:r>
        <w:rPr>
          <w:sz w:val="24"/>
          <w:szCs w:val="24"/>
        </w:rPr>
        <w:t>Победитель вправе отказаться от участия в преддоговорных переговорах, при этом такой отказ не является отказом от заключения Договора. Если Заказчик и Победитель в ходе проведения преддоговорных переговоров не пришли к соглашению по вопросу положений, входящих в состав заключаемого Договора, или Победитель отказался от участия в преддоговорных переговорах, Договор заключается на условиях Документации о закупке и заявки такого Победителя (со всеми изменениями и дополнениями) в соответствии с пунктом </w:t>
      </w:r>
      <w:r>
        <w:rPr>
          <w:sz w:val="24"/>
          <w:szCs w:val="24"/>
        </w:rPr>
        <w:fldChar w:fldCharType="begin"/>
      </w:r>
      <w:r>
        <w:rPr>
          <w:sz w:val="24"/>
          <w:szCs w:val="24"/>
        </w:rPr>
        <w:instrText xml:space="preserve"> REF _Ref132288402 \r \h </w:instrText>
      </w:r>
      <w:r>
        <w:rPr>
          <w:sz w:val="24"/>
          <w:szCs w:val="24"/>
        </w:rPr>
        <w:fldChar w:fldCharType="separate"/>
      </w:r>
      <w:r>
        <w:rPr>
          <w:sz w:val="24"/>
          <w:szCs w:val="24"/>
        </w:rPr>
        <w:t>5.2.9</w:t>
      </w:r>
      <w:r>
        <w:rPr>
          <w:sz w:val="24"/>
          <w:szCs w:val="24"/>
        </w:rPr>
        <w:fldChar w:fldCharType="end"/>
      </w:r>
      <w:r>
        <w:rPr>
          <w:sz w:val="24"/>
          <w:szCs w:val="24"/>
        </w:rPr>
        <w:t>.</w:t>
      </w:r>
    </w:p>
    <w:p>
      <w:pPr>
        <w:pStyle w:val="Style25"/>
        <w:rPr>
          <w:rFonts w:ascii="Times New Roman" w:hAnsi="Times New Roman"/>
          <w:sz w:val="24"/>
          <w:szCs w:val="24"/>
        </w:rPr>
      </w:pPr>
      <w:bookmarkStart w:id="243" w:name="_Ref125367068"/>
      <w:bookmarkStart w:id="244" w:name="_Toc229567065"/>
      <w:r>
        <w:rPr>
          <w:sz w:val="24"/>
          <w:szCs w:val="24"/>
        </w:rPr>
        <w:t>Уклонение Победителя от заключения Договора</w:t>
      </w:r>
      <w:bookmarkEnd w:id="243"/>
      <w:bookmarkEnd w:id="244"/>
    </w:p>
    <w:p>
      <w:pPr>
        <w:pStyle w:val="Style26"/>
        <w:keepNext w:val="true"/>
        <w:rPr>
          <w:rFonts w:ascii="Times New Roman" w:hAnsi="Times New Roman"/>
          <w:sz w:val="24"/>
          <w:szCs w:val="24"/>
        </w:rPr>
      </w:pPr>
      <w:r>
        <w:rPr>
          <w:sz w:val="24"/>
          <w:szCs w:val="24"/>
        </w:rPr>
        <w:t>Если Победитель закупки:</w:t>
      </w:r>
    </w:p>
    <w:p>
      <w:pPr>
        <w:pStyle w:val="Style27"/>
        <w:rPr>
          <w:rFonts w:ascii="Times New Roman" w:hAnsi="Times New Roman"/>
          <w:sz w:val="24"/>
          <w:szCs w:val="24"/>
        </w:rPr>
      </w:pPr>
      <w:r>
        <w:rPr>
          <w:sz w:val="24"/>
          <w:szCs w:val="24"/>
        </w:rPr>
        <w:t>не подпишет Договор в установленные Документацией о закупке сроки (пункт </w:t>
      </w:r>
      <w:r>
        <w:rPr>
          <w:sz w:val="24"/>
          <w:szCs w:val="24"/>
        </w:rPr>
        <w:fldChar w:fldCharType="begin"/>
      </w:r>
      <w:r>
        <w:rPr>
          <w:sz w:val="24"/>
          <w:szCs w:val="24"/>
        </w:rPr>
        <w:instrText xml:space="preserve"> REF _Ref130293821 \r \h </w:instrText>
      </w:r>
      <w:r>
        <w:rPr>
          <w:sz w:val="24"/>
          <w:szCs w:val="24"/>
        </w:rPr>
        <w:fldChar w:fldCharType="separate"/>
      </w:r>
      <w:r>
        <w:rPr>
          <w:sz w:val="24"/>
          <w:szCs w:val="24"/>
        </w:rPr>
        <w:t>5.2.1</w:t>
      </w:r>
      <w:r>
        <w:rPr>
          <w:sz w:val="24"/>
          <w:szCs w:val="24"/>
        </w:rPr>
        <w:fldChar w:fldCharType="end"/>
      </w:r>
      <w:r>
        <w:rPr>
          <w:sz w:val="24"/>
          <w:szCs w:val="24"/>
        </w:rPr>
        <w:t>);</w:t>
      </w:r>
    </w:p>
    <w:p>
      <w:pPr>
        <w:pStyle w:val="Style27"/>
        <w:rPr>
          <w:rFonts w:ascii="Times New Roman" w:hAnsi="Times New Roman"/>
          <w:sz w:val="24"/>
          <w:szCs w:val="24"/>
        </w:rPr>
      </w:pPr>
      <w:r>
        <w:rPr>
          <w:sz w:val="24"/>
          <w:szCs w:val="24"/>
        </w:rPr>
        <w:t>откажется от подписания Договора на условиях, определяемых в соответствии с пунктом </w:t>
      </w:r>
      <w:r>
        <w:rPr>
          <w:sz w:val="24"/>
          <w:szCs w:val="24"/>
        </w:rPr>
        <w:fldChar w:fldCharType="begin"/>
      </w:r>
      <w:r>
        <w:rPr>
          <w:sz w:val="24"/>
          <w:szCs w:val="24"/>
        </w:rPr>
        <w:instrText xml:space="preserve"> REF _Ref132288402 \r \h </w:instrText>
      </w:r>
      <w:r>
        <w:rPr>
          <w:sz w:val="24"/>
          <w:szCs w:val="24"/>
        </w:rPr>
        <w:fldChar w:fldCharType="separate"/>
      </w:r>
      <w:r>
        <w:rPr>
          <w:sz w:val="24"/>
          <w:szCs w:val="24"/>
        </w:rPr>
        <w:t>5.2.9</w:t>
      </w:r>
      <w:r>
        <w:rPr>
          <w:sz w:val="24"/>
          <w:szCs w:val="24"/>
        </w:rPr>
        <w:fldChar w:fldCharType="end"/>
      </w:r>
      <w:r>
        <w:rPr>
          <w:sz w:val="24"/>
          <w:szCs w:val="24"/>
        </w:rPr>
        <w:t>;</w:t>
      </w:r>
    </w:p>
    <w:p>
      <w:pPr>
        <w:pStyle w:val="Style27"/>
        <w:rPr/>
      </w:pPr>
      <w:r>
        <w:rPr>
          <w:sz w:val="24"/>
          <w:szCs w:val="24"/>
        </w:rPr>
        <w:t>не раскроет информацию в отношении всей цепочки собственников, включая бенефициаров (в том числе конечных), по установленной форме (</w:t>
      </w:r>
      <w:hyperlink w:anchor="Прил05_ФормыПобедителя">
        <w:r>
          <w:rPr>
            <w:rStyle w:val="Style14"/>
            <w:sz w:val="24"/>
            <w:szCs w:val="24"/>
          </w:rPr>
          <w:t>Приложение № 5</w:t>
        </w:r>
      </w:hyperlink>
      <w:r>
        <w:rPr>
          <w:sz w:val="24"/>
          <w:szCs w:val="24"/>
        </w:rPr>
        <w:t>), с приложением подтверждающих документов;</w:t>
      </w:r>
    </w:p>
    <w:p>
      <w:pPr>
        <w:pStyle w:val="Style27"/>
        <w:rPr/>
      </w:pPr>
      <w:r>
        <w:rPr>
          <w:sz w:val="24"/>
          <w:szCs w:val="24"/>
        </w:rPr>
        <w:t xml:space="preserve">не предоставит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r>
          <w:rPr>
            <w:rStyle w:val="Style14"/>
            <w:sz w:val="24"/>
            <w:szCs w:val="24"/>
          </w:rPr>
          <w:t>Приложением № 5</w:t>
        </w:r>
      </w:hyperlink>
      <w:r>
        <w:rPr>
          <w:sz w:val="24"/>
          <w:szCs w:val="24"/>
        </w:rPr>
        <w:t>;</w:t>
      </w:r>
    </w:p>
    <w:p>
      <w:pPr>
        <w:pStyle w:val="Style27"/>
        <w:rPr>
          <w:rFonts w:ascii="Times New Roman" w:hAnsi="Times New Roman"/>
          <w:sz w:val="24"/>
          <w:szCs w:val="24"/>
        </w:rPr>
      </w:pPr>
      <w:r>
        <w:rPr>
          <w:sz w:val="24"/>
          <w:szCs w:val="24"/>
        </w:rPr>
        <w:t>не предоставит в установленный Заказчиком срок документы, указанные в пункте </w:t>
      </w:r>
      <w:r>
        <w:rPr>
          <w:sz w:val="24"/>
          <w:szCs w:val="24"/>
        </w:rPr>
        <w:fldChar w:fldCharType="begin"/>
      </w:r>
      <w:r>
        <w:rPr>
          <w:sz w:val="24"/>
          <w:szCs w:val="24"/>
        </w:rPr>
        <w:instrText xml:space="preserve"> REF _Ref125551776 \r \h </w:instrText>
      </w:r>
      <w:r>
        <w:rPr>
          <w:sz w:val="24"/>
          <w:szCs w:val="24"/>
        </w:rPr>
        <w:fldChar w:fldCharType="separate"/>
      </w:r>
      <w:r>
        <w:rPr>
          <w:sz w:val="24"/>
          <w:szCs w:val="24"/>
        </w:rPr>
        <w:t>5.2.5</w:t>
      </w:r>
      <w:r>
        <w:rPr>
          <w:sz w:val="24"/>
          <w:szCs w:val="24"/>
        </w:rPr>
        <w:fldChar w:fldCharType="end"/>
      </w:r>
      <w:r>
        <w:rPr>
          <w:sz w:val="24"/>
          <w:szCs w:val="24"/>
        </w:rPr>
        <w:t>, или предоставит их с нарушением требований, установленных в Документации о закупке;</w:t>
      </w:r>
    </w:p>
    <w:p>
      <w:pPr>
        <w:pStyle w:val="Style27"/>
        <w:rPr>
          <w:rFonts w:ascii="Times New Roman" w:hAnsi="Times New Roman"/>
          <w:sz w:val="24"/>
          <w:szCs w:val="24"/>
        </w:rPr>
      </w:pPr>
      <w:r>
        <w:rPr>
          <w:sz w:val="24"/>
          <w:szCs w:val="24"/>
        </w:rPr>
        <w:t>не предоставит в установленный Заказчиком срок документы, указанные в пункте </w:t>
      </w:r>
      <w:r>
        <w:rPr>
          <w:sz w:val="24"/>
          <w:szCs w:val="24"/>
        </w:rPr>
        <w:fldChar w:fldCharType="begin"/>
      </w:r>
      <w:r>
        <w:rPr>
          <w:sz w:val="24"/>
          <w:szCs w:val="24"/>
        </w:rPr>
        <w:instrText xml:space="preserve"> REF _Ref125551072 \w \h </w:instrText>
      </w:r>
      <w:r>
        <w:rPr>
          <w:sz w:val="24"/>
          <w:szCs w:val="24"/>
        </w:rPr>
        <w:fldChar w:fldCharType="separate"/>
      </w:r>
      <w:r>
        <w:rPr>
          <w:sz w:val="24"/>
          <w:szCs w:val="24"/>
        </w:rPr>
        <w:t>5.2.6</w:t>
      </w:r>
      <w:r>
        <w:rPr>
          <w:sz w:val="24"/>
          <w:szCs w:val="24"/>
        </w:rPr>
        <w:fldChar w:fldCharType="end"/>
      </w:r>
      <w:r>
        <w:rPr>
          <w:sz w:val="24"/>
          <w:szCs w:val="24"/>
        </w:rPr>
        <w:t>, или предоставит их с нарушением требований, установленных в Документации о закупке;</w:t>
      </w:r>
    </w:p>
    <w:p>
      <w:pPr>
        <w:pStyle w:val="Style27"/>
        <w:rPr/>
      </w:pPr>
      <w:r>
        <w:rPr>
          <w:sz w:val="24"/>
          <w:szCs w:val="24"/>
        </w:rPr>
        <w:t xml:space="preserve">не предоставит копии документов, обязательных к предоставлению Победителем закупки в соответствии с требованиями </w:t>
      </w:r>
      <w:hyperlink w:anchor="Прил01_ТехТребования">
        <w:r>
          <w:rPr>
            <w:rStyle w:val="Style14"/>
            <w:sz w:val="24"/>
            <w:szCs w:val="24"/>
          </w:rPr>
          <w:t>Приложения № 1 – Технические требования</w:t>
        </w:r>
      </w:hyperlink>
      <w:r>
        <w:rPr>
          <w:sz w:val="24"/>
          <w:szCs w:val="24"/>
        </w:rPr>
        <w:t xml:space="preserve"> (в случае установления таковых);</w:t>
      </w:r>
    </w:p>
    <w:p>
      <w:pPr>
        <w:pStyle w:val="Style27"/>
        <w:rPr>
          <w:rFonts w:ascii="Times New Roman" w:hAnsi="Times New Roman"/>
          <w:sz w:val="24"/>
          <w:szCs w:val="24"/>
        </w:rPr>
      </w:pPr>
      <w:r>
        <w:rPr>
          <w:sz w:val="24"/>
          <w:szCs w:val="24"/>
        </w:rPr>
        <w:t>не предоставит обеспечение исполнения договора до момента его заключения, если Документация о закупке предусматривает обеспечение исполнения договора с соответствующими обязательствами;</w:t>
      </w:r>
    </w:p>
    <w:p>
      <w:pPr>
        <w:pStyle w:val="Style27"/>
        <w:rPr>
          <w:rFonts w:ascii="Times New Roman" w:hAnsi="Times New Roman"/>
          <w:sz w:val="24"/>
          <w:szCs w:val="24"/>
        </w:rPr>
      </w:pPr>
      <w:r>
        <w:rPr>
          <w:sz w:val="24"/>
          <w:szCs w:val="24"/>
        </w:rPr>
        <w:t>не выполнит другие условия, прямо предусмотренные Документацией о закупке,</w:t>
      </w:r>
    </w:p>
    <w:p>
      <w:pPr>
        <w:pStyle w:val="Style30"/>
        <w:ind w:hanging="0" w:left="1134"/>
        <w:rPr>
          <w:rFonts w:ascii="Times New Roman" w:hAnsi="Times New Roman"/>
          <w:sz w:val="24"/>
          <w:szCs w:val="24"/>
        </w:rPr>
      </w:pPr>
      <w:r>
        <w:rPr>
          <w:sz w:val="24"/>
          <w:szCs w:val="24"/>
        </w:rPr>
        <w:t>то он (по истечению установленных в подразделе </w:t>
      </w:r>
      <w:r>
        <w:rPr>
          <w:sz w:val="24"/>
          <w:szCs w:val="24"/>
        </w:rPr>
        <w:fldChar w:fldCharType="begin"/>
      </w:r>
      <w:r>
        <w:rPr>
          <w:sz w:val="24"/>
          <w:szCs w:val="24"/>
        </w:rPr>
        <w:instrText xml:space="preserve"> REF _Ref138232981 \r \h </w:instrText>
      </w:r>
      <w:r>
        <w:rPr>
          <w:sz w:val="24"/>
          <w:szCs w:val="24"/>
        </w:rPr>
        <w:fldChar w:fldCharType="separate"/>
      </w:r>
      <w:r>
        <w:rPr>
          <w:sz w:val="24"/>
          <w:szCs w:val="24"/>
        </w:rPr>
        <w:t>5.2</w:t>
      </w:r>
      <w:r>
        <w:rPr>
          <w:sz w:val="24"/>
          <w:szCs w:val="24"/>
        </w:rPr>
        <w:fldChar w:fldCharType="end"/>
      </w:r>
      <w:r>
        <w:rPr>
          <w:sz w:val="24"/>
          <w:szCs w:val="24"/>
        </w:rPr>
        <w:t xml:space="preserve"> сроков на заключение Договора) признается уклонившимся от заключения Договора и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p>
      <w:pPr>
        <w:pStyle w:val="Style24"/>
        <w:rPr>
          <w:rFonts w:ascii="Times New Roman" w:hAnsi="Times New Roman"/>
          <w:sz w:val="24"/>
          <w:szCs w:val="24"/>
        </w:rPr>
      </w:pPr>
      <w:bookmarkStart w:id="245" w:name="_Ref125370732"/>
      <w:bookmarkStart w:id="246" w:name="_Toc229567066"/>
      <w:bookmarkStart w:id="247" w:name="Прил01_ТехТребования"/>
      <w:bookmarkStart w:id="248" w:name="_Ref125370843"/>
      <w:bookmarkStart w:id="249" w:name="_Ref125370750"/>
      <w:bookmarkStart w:id="250" w:name="_Ref125370746"/>
      <w:bookmarkStart w:id="251" w:name="_Ref125370741"/>
      <w:bookmarkStart w:id="252" w:name="_Ref125364201"/>
      <w:bookmarkStart w:id="253" w:name="_Ref125363016"/>
      <w:bookmarkStart w:id="254" w:name="_Ref125363034"/>
      <w:bookmarkStart w:id="255" w:name="_Ref125363023"/>
      <w:bookmarkStart w:id="256" w:name="_Ref125363600"/>
      <w:bookmarkStart w:id="257" w:name="_Ref125364088"/>
      <w:bookmarkStart w:id="258" w:name="_Ref125363752"/>
      <w:r>
        <w:rPr>
          <w:sz w:val="24"/>
          <w:szCs w:val="24"/>
        </w:rPr>
        <w:t>Приложение № 1 – Технические требования</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Style25"/>
        <w:rPr>
          <w:rFonts w:ascii="Times New Roman" w:hAnsi="Times New Roman"/>
          <w:sz w:val="24"/>
          <w:szCs w:val="24"/>
        </w:rPr>
      </w:pPr>
      <w:bookmarkStart w:id="259" w:name="_Toc229567067"/>
      <w:r>
        <w:rPr>
          <w:sz w:val="24"/>
          <w:szCs w:val="24"/>
        </w:rPr>
        <w:t>Пояснения к Техническим требованиям</w:t>
      </w:r>
      <w:bookmarkEnd w:id="259"/>
    </w:p>
    <w:p>
      <w:pPr>
        <w:pStyle w:val="Style26"/>
        <w:rPr>
          <w:rFonts w:ascii="Times New Roman" w:hAnsi="Times New Roman"/>
          <w:sz w:val="24"/>
          <w:szCs w:val="24"/>
        </w:rPr>
      </w:pPr>
      <w:r>
        <w:rPr>
          <w:sz w:val="24"/>
          <w:szCs w:val="24"/>
        </w:rPr>
        <w:t>Технические требования к закупаемой продукции приведены в отдельном файле (предоставляются отдельным документом в составе Документации о закупке), являющимся Приложением № 1 к Документации о закупке.</w:t>
      </w:r>
    </w:p>
    <w:p>
      <w:pPr>
        <w:pStyle w:val="Style24"/>
        <w:rPr>
          <w:rFonts w:ascii="Times New Roman" w:hAnsi="Times New Roman"/>
          <w:sz w:val="24"/>
          <w:szCs w:val="24"/>
        </w:rPr>
      </w:pPr>
      <w:bookmarkStart w:id="260" w:name="_Ref125361746"/>
      <w:bookmarkStart w:id="261" w:name="_Ref125363040"/>
      <w:bookmarkStart w:id="262" w:name="_Ref125363605"/>
      <w:bookmarkStart w:id="263" w:name="_Ref125363759"/>
      <w:bookmarkStart w:id="264" w:name="_Ref125364081"/>
      <w:bookmarkStart w:id="265" w:name="_Ref125364206"/>
      <w:bookmarkStart w:id="266" w:name="_Ref125370754"/>
      <w:bookmarkStart w:id="267" w:name="Прил02_ПроектДоговора"/>
      <w:bookmarkStart w:id="268" w:name="_Toc229567068"/>
      <w:r>
        <w:rPr>
          <w:sz w:val="24"/>
          <w:szCs w:val="24"/>
        </w:rPr>
        <w:t>Приложение № 2 – Проект договора</w:t>
      </w:r>
      <w:bookmarkEnd w:id="260"/>
      <w:bookmarkEnd w:id="261"/>
      <w:bookmarkEnd w:id="262"/>
      <w:bookmarkEnd w:id="263"/>
      <w:bookmarkEnd w:id="264"/>
      <w:bookmarkEnd w:id="265"/>
      <w:bookmarkEnd w:id="266"/>
      <w:bookmarkEnd w:id="267"/>
      <w:bookmarkEnd w:id="268"/>
    </w:p>
    <w:p>
      <w:pPr>
        <w:pStyle w:val="Style25"/>
        <w:rPr>
          <w:rFonts w:ascii="Times New Roman" w:hAnsi="Times New Roman"/>
          <w:sz w:val="24"/>
          <w:szCs w:val="24"/>
        </w:rPr>
      </w:pPr>
      <w:bookmarkStart w:id="269" w:name="_Toc229567069"/>
      <w:r>
        <w:rPr>
          <w:sz w:val="24"/>
          <w:szCs w:val="24"/>
        </w:rPr>
        <w:t>Пояснения к Проекту договора</w:t>
      </w:r>
      <w:bookmarkEnd w:id="269"/>
    </w:p>
    <w:p>
      <w:pPr>
        <w:pStyle w:val="Style26"/>
        <w:rPr>
          <w:rFonts w:ascii="Times New Roman" w:hAnsi="Times New Roman"/>
          <w:sz w:val="24"/>
          <w:szCs w:val="24"/>
        </w:rPr>
      </w:pPr>
      <w:r>
        <w:rPr>
          <w:sz w:val="24"/>
          <w:szCs w:val="24"/>
        </w:rPr>
        <w:t>Проект договора, заключаемого по результатам закупки, приведен в отдельном файле (предоставляется отдельным документом в составе Документации о закупке), являющимся Приложением № 2 к Документации о закупке.</w:t>
      </w:r>
    </w:p>
    <w:p>
      <w:pPr>
        <w:pStyle w:val="Style26"/>
        <w:rPr>
          <w:rFonts w:ascii="Times New Roman" w:hAnsi="Times New Roman"/>
          <w:sz w:val="24"/>
          <w:szCs w:val="24"/>
        </w:rPr>
      </w:pPr>
      <w:r>
        <w:rPr>
          <w:sz w:val="24"/>
          <w:szCs w:val="24"/>
        </w:rPr>
        <w:t>Все положения Проекта договора являются существенными условиями для Заказчика, за исключением пунктов договора, указанных в подразделе </w:t>
      </w:r>
      <w:r>
        <w:rPr>
          <w:sz w:val="24"/>
          <w:szCs w:val="24"/>
        </w:rPr>
        <w:fldChar w:fldCharType="begin"/>
      </w:r>
      <w:r>
        <w:rPr>
          <w:sz w:val="24"/>
          <w:szCs w:val="24"/>
        </w:rPr>
        <w:instrText xml:space="preserve"> REF _Ref125359973 \r \h </w:instrText>
      </w:r>
      <w:r>
        <w:rPr>
          <w:sz w:val="24"/>
          <w:szCs w:val="24"/>
        </w:rPr>
        <w:fldChar w:fldCharType="separate"/>
      </w:r>
      <w:r>
        <w:rPr>
          <w:sz w:val="24"/>
          <w:szCs w:val="24"/>
        </w:rPr>
        <w:t>1.2</w:t>
      </w:r>
      <w:r>
        <w:rPr>
          <w:sz w:val="24"/>
          <w:szCs w:val="24"/>
        </w:rPr>
        <w:fldChar w:fldCharType="end"/>
      </w:r>
      <w:r>
        <w:rPr>
          <w:sz w:val="24"/>
          <w:szCs w:val="24"/>
        </w:rPr>
        <w:t xml:space="preserve"> </w:t>
      </w:r>
      <w:bookmarkStart w:id="270" w:name="_Hlk132883778"/>
      <w:r>
        <w:rPr>
          <w:sz w:val="24"/>
          <w:szCs w:val="24"/>
        </w:rPr>
        <w:t>как «Некритичные пункты Проекта договора»</w:t>
      </w:r>
      <w:bookmarkEnd w:id="270"/>
      <w:r>
        <w:rPr>
          <w:sz w:val="24"/>
          <w:szCs w:val="24"/>
        </w:rPr>
        <w:t>.</w:t>
      </w:r>
    </w:p>
    <w:p>
      <w:pPr>
        <w:pStyle w:val="Style26"/>
        <w:rPr>
          <w:rFonts w:ascii="Times New Roman" w:hAnsi="Times New Roman"/>
          <w:sz w:val="24"/>
          <w:szCs w:val="24"/>
        </w:rPr>
      </w:pPr>
      <w:r>
        <w:rPr>
          <w:sz w:val="24"/>
          <w:szCs w:val="24"/>
        </w:rPr>
        <w:t>В случае проведения преддоговорных переговоров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Если Стороны не придут к соглашению об этих изменениях, они будут обязаны подписать Договор на условиях, изложенных в Документации о закупке.</w:t>
      </w:r>
    </w:p>
    <w:p>
      <w:pPr>
        <w:pStyle w:val="Style26"/>
        <w:rPr>
          <w:rFonts w:ascii="Times New Roman" w:hAnsi="Times New Roman"/>
          <w:sz w:val="24"/>
          <w:szCs w:val="24"/>
        </w:rPr>
      </w:pPr>
      <w:r>
        <w:rPr>
          <w:sz w:val="24"/>
          <w:szCs w:val="24"/>
        </w:rPr>
        <w:t>Одновременно с подписанием Сторонами Договора или не позднее 3 (трех) рабочих дней после подписания Договора, Сторонами должно быть подписано дополнительное соглашение, форма которого приведена в отдельном файле в формате Microsoft Word (предоставляется отдельным документом в составе Документации о закупке), касающееся вопросов подтверждения Участником информации о цепочке собственников, включая бенефициаров (в том числе конечных):</w:t>
      </w:r>
      <w:bookmarkStart w:id="271" w:name="_MON_1736255517"/>
      <w:bookmarkEnd w:id="271"/>
    </w:p>
    <w:p>
      <w:pPr>
        <w:sectPr>
          <w:headerReference w:type="default" r:id="rId14"/>
          <w:headerReference w:type="first" r:id="rId15"/>
          <w:footerReference w:type="default" r:id="rId16"/>
          <w:footerReference w:type="first" r:id="rId17"/>
          <w:footnotePr>
            <w:numFmt w:val="decimal"/>
          </w:footnotePr>
          <w:type w:val="nextPage"/>
          <w:pgSz w:w="11906" w:h="16838"/>
          <w:pgMar w:left="1134" w:right="850" w:gutter="0" w:header="448" w:top="732" w:footer="572" w:bottom="856"/>
          <w:pgNumType w:fmt="decimal"/>
          <w:formProt w:val="false"/>
          <w:textDirection w:val="lrTb"/>
          <w:docGrid w:type="default" w:linePitch="360" w:charSpace="0"/>
        </w:sectPr>
        <w:pStyle w:val="Style30"/>
        <w:jc w:val="center"/>
        <w:rPr>
          <w:rFonts w:ascii="Times New Roman" w:hAnsi="Times New Roman"/>
          <w:sz w:val="24"/>
          <w:szCs w:val="24"/>
        </w:rPr>
      </w:pPr>
      <w:r>
        <w:rPr/>
        <w:object>
          <v:shapetype id="_x0000_tole_rId12" coordsize="21600,21600" o:spt="ole_rId12"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2" type="_x0000_tole_rId12" style="width:79.25pt;height:50.8pt;mso-wrap-distance-right:0pt" filled="f" o:ole="">
            <v:imagedata r:id="rId13" o:title=""/>
          </v:shape>
          <o:OLEObject Type="Embed" ProgID="Word.Document.12" ShapeID="ole_rId12" DrawAspect="Icon" ObjectID="_1781136797" r:id="rId12"/>
        </w:object>
      </w:r>
    </w:p>
    <w:p>
      <w:pPr>
        <w:pStyle w:val="Style24"/>
        <w:rPr>
          <w:rFonts w:ascii="Times New Roman" w:hAnsi="Times New Roman"/>
          <w:sz w:val="24"/>
          <w:szCs w:val="24"/>
        </w:rPr>
      </w:pPr>
      <w:bookmarkStart w:id="272" w:name="_Ref125361494"/>
      <w:bookmarkStart w:id="273" w:name="_Ref125361908"/>
      <w:bookmarkStart w:id="274" w:name="_Ref125365476"/>
      <w:bookmarkStart w:id="275" w:name="_Ref125370013"/>
      <w:bookmarkStart w:id="276" w:name="Прил03_ТребованияУчастникам"/>
      <w:bookmarkStart w:id="277" w:name="_Toc229567070"/>
      <w:r>
        <w:rPr>
          <w:sz w:val="24"/>
          <w:szCs w:val="24"/>
        </w:rPr>
        <w:t>Приложение № 3 – Требования к Участникам</w:t>
      </w:r>
      <w:bookmarkEnd w:id="272"/>
      <w:bookmarkEnd w:id="273"/>
      <w:bookmarkEnd w:id="274"/>
      <w:bookmarkEnd w:id="275"/>
      <w:bookmarkEnd w:id="276"/>
      <w:bookmarkEnd w:id="277"/>
    </w:p>
    <w:p>
      <w:pPr>
        <w:pStyle w:val="Style25"/>
        <w:rPr>
          <w:rFonts w:ascii="Times New Roman" w:hAnsi="Times New Roman"/>
          <w:sz w:val="24"/>
          <w:szCs w:val="24"/>
        </w:rPr>
      </w:pPr>
      <w:bookmarkStart w:id="278" w:name="_Toc229567071"/>
      <w:r>
        <w:rPr>
          <w:sz w:val="24"/>
          <w:szCs w:val="24"/>
        </w:rPr>
        <w:t>Пояснения к требованиям к Участникам</w:t>
      </w:r>
      <w:bookmarkEnd w:id="278"/>
    </w:p>
    <w:p>
      <w:pPr>
        <w:pStyle w:val="Style26"/>
        <w:rPr>
          <w:rFonts w:ascii="Times New Roman" w:hAnsi="Times New Roman"/>
          <w:sz w:val="24"/>
          <w:szCs w:val="24"/>
        </w:rPr>
      </w:pPr>
      <w:bookmarkStart w:id="279" w:name="_Hlk125628168"/>
      <w:r>
        <w:rPr>
          <w:sz w:val="24"/>
          <w:szCs w:val="24"/>
        </w:rPr>
        <w:t>Чтобы претендовать на победу в закупке и получение права заключить Договор с Заказчиком, Участник в целом должен отвечать нижеуказанным требованиям и включить в состав заявки документы, подтверждающие его соответствие установленным требованиям.</w:t>
      </w:r>
      <w:bookmarkEnd w:id="279"/>
    </w:p>
    <w:p>
      <w:pPr>
        <w:pStyle w:val="Style25"/>
        <w:spacing w:before="360" w:after="120"/>
        <w:rPr>
          <w:rFonts w:ascii="Times New Roman" w:hAnsi="Times New Roman"/>
          <w:sz w:val="24"/>
          <w:szCs w:val="24"/>
        </w:rPr>
      </w:pPr>
      <w:bookmarkStart w:id="280" w:name="_Ref125361590"/>
      <w:bookmarkStart w:id="281" w:name="_Ref125368812"/>
      <w:bookmarkStart w:id="282" w:name="_Ref125361435"/>
      <w:bookmarkStart w:id="283" w:name="_Toc229567072"/>
      <w:bookmarkStart w:id="284" w:name="_Ref125370071"/>
      <w:bookmarkStart w:id="285" w:name="_Ref125370064"/>
      <w:bookmarkStart w:id="286" w:name="_Ref125370058"/>
      <w:bookmarkStart w:id="287" w:name="_Ref125366879"/>
      <w:bookmarkStart w:id="288" w:name="_Ref125361926"/>
      <w:bookmarkStart w:id="289" w:name="_Ref125361846"/>
      <w:bookmarkStart w:id="290" w:name="_Ref125361832"/>
      <w:bookmarkStart w:id="291" w:name="_Ref125361617"/>
      <w:bookmarkStart w:id="292" w:name="_Ref125368895"/>
      <w:bookmarkStart w:id="293" w:name="_Ref125369088"/>
      <w:r>
        <w:rPr>
          <w:sz w:val="24"/>
          <w:szCs w:val="24"/>
        </w:rPr>
        <w:t>Обязательные требования</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tbl>
      <w:tblPr>
        <w:tblStyle w:val="af6"/>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30"/>
              <w:keepNext w:val="false"/>
              <w:keepLines w:val="false"/>
              <w:widowControl w:val="false"/>
              <w:suppressAutoHyphens w:val="true"/>
              <w:spacing w:before="60" w:after="60"/>
              <w:jc w:val="center"/>
              <w:rPr>
                <w:rFonts w:ascii="Times New Roman" w:hAnsi="Times New Roman"/>
                <w:sz w:val="24"/>
                <w:szCs w:val="24"/>
              </w:rPr>
            </w:pPr>
            <w:r>
              <w:rPr>
                <w:rFonts w:eastAsia="Calibri" w:cs=""/>
                <w:b/>
                <w:kern w:val="0"/>
                <w:sz w:val="24"/>
                <w:szCs w:val="24"/>
                <w:lang w:val="ru-RU" w:eastAsia="en-US" w:bidi="ar-SA"/>
              </w:rPr>
              <w:t>№</w:t>
            </w:r>
            <w:r>
              <w:rPr>
                <w:rFonts w:eastAsia="Calibri" w:cs=""/>
                <w:b/>
                <w:kern w:val="0"/>
                <w:sz w:val="24"/>
                <w:szCs w:val="24"/>
                <w:lang w:val="ru-RU" w:eastAsia="en-US" w:bidi="ar-SA"/>
              </w:rPr>
              <w:br/>
              <w:t>п/п</w:t>
            </w:r>
          </w:p>
        </w:tc>
        <w:tc>
          <w:tcPr>
            <w:tcW w:w="5671" w:type="dxa"/>
            <w:tcBorders/>
          </w:tcPr>
          <w:p>
            <w:pPr>
              <w:pStyle w:val="Style30"/>
              <w:keepNext w:val="false"/>
              <w:keepLines w:val="false"/>
              <w:widowControl w:val="false"/>
              <w:suppressAutoHyphens w:val="true"/>
              <w:spacing w:before="60" w:after="60"/>
              <w:jc w:val="center"/>
              <w:rPr>
                <w:rFonts w:ascii="Times New Roman" w:hAnsi="Times New Roman"/>
                <w:sz w:val="24"/>
                <w:szCs w:val="24"/>
              </w:rPr>
            </w:pPr>
            <w:r>
              <w:rPr>
                <w:rFonts w:eastAsia="Calibri" w:cs=""/>
                <w:b/>
                <w:kern w:val="0"/>
                <w:sz w:val="24"/>
                <w:szCs w:val="24"/>
                <w:lang w:val="ru-RU" w:eastAsia="en-US" w:bidi="ar-SA"/>
              </w:rPr>
              <w:t>Требования к Участнику</w:t>
            </w:r>
          </w:p>
        </w:tc>
        <w:tc>
          <w:tcPr>
            <w:tcW w:w="8327" w:type="dxa"/>
            <w:tcBorders/>
          </w:tcPr>
          <w:p>
            <w:pPr>
              <w:pStyle w:val="Style30"/>
              <w:keepNext w:val="false"/>
              <w:keepLines w:val="false"/>
              <w:widowControl w:val="false"/>
              <w:suppressAutoHyphens w:val="true"/>
              <w:spacing w:before="60" w:after="60"/>
              <w:jc w:val="center"/>
              <w:rPr>
                <w:rFonts w:ascii="Times New Roman" w:hAnsi="Times New Roman"/>
                <w:sz w:val="24"/>
                <w:szCs w:val="24"/>
              </w:rPr>
            </w:pPr>
            <w:r>
              <w:rPr>
                <w:rFonts w:eastAsia="Calibri" w:cs=""/>
                <w:b/>
                <w:kern w:val="0"/>
                <w:sz w:val="24"/>
                <w:szCs w:val="24"/>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cPr>
          <w:p>
            <w:pPr>
              <w:pStyle w:val="Style30"/>
              <w:widowControl w:val="false"/>
              <w:numPr>
                <w:ilvl w:val="0"/>
                <w:numId w:val="2"/>
              </w:numPr>
              <w:suppressAutoHyphens w:val="true"/>
              <w:spacing w:before="60" w:after="60"/>
              <w:ind w:hanging="0" w:left="284"/>
              <w:jc w:val="center"/>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bookmarkStart w:id="294" w:name="_Ref125552433"/>
            <w:bookmarkStart w:id="295" w:name="_Ref125552433"/>
            <w:bookmarkEnd w:id="295"/>
          </w:p>
        </w:tc>
        <w:tc>
          <w:tcPr>
            <w:tcW w:w="5671" w:type="dxa"/>
            <w:tcBorders/>
          </w:tcPr>
          <w:p>
            <w:pPr>
              <w:pStyle w:val="Style30"/>
              <w:widowControl w:val="false"/>
              <w:suppressAutoHyphens w:val="true"/>
              <w:spacing w:before="60" w:after="60"/>
              <w:rPr>
                <w:rFonts w:ascii="Times New Roman" w:hAnsi="Times New Roman"/>
                <w:sz w:val="24"/>
                <w:szCs w:val="24"/>
              </w:rPr>
            </w:pPr>
            <w:r>
              <w:rPr>
                <w:rFonts w:eastAsia="Calibri" w:cs=""/>
                <w:kern w:val="0"/>
                <w:sz w:val="24"/>
                <w:szCs w:val="24"/>
                <w:lang w:val="ru-RU" w:eastAsia="en-US" w:bidi="ar-SA"/>
              </w:rPr>
              <w:t>Участник должен обладать гражданской правоспособностью в полном объеме для заключения и исполнения Договора, а также должен обладать статусом «аккредитован» в соответствии с Положением об аккредитации, либо являться лицом, указанным в пункте 3.11 Положения об аккредитации:</w:t>
            </w:r>
          </w:p>
        </w:tc>
        <w:tc>
          <w:tcPr>
            <w:tcW w:w="8327" w:type="dxa"/>
            <w:tcBorders/>
          </w:tcPr>
          <w:p>
            <w:pPr>
              <w:pStyle w:val="Style30"/>
              <w:widowControl w:val="false"/>
              <w:numPr>
                <w:ilvl w:val="0"/>
                <w:numId w:val="7"/>
              </w:numPr>
              <w:suppressAutoHyphens w:val="true"/>
              <w:spacing w:before="60" w:after="60"/>
              <w:ind w:hanging="284" w:left="284"/>
              <w:rPr>
                <w:rFonts w:ascii="Times New Roman" w:hAnsi="Times New Roman"/>
                <w:sz w:val="24"/>
                <w:szCs w:val="24"/>
              </w:rPr>
            </w:pPr>
            <w:r>
              <w:rPr>
                <w:rFonts w:eastAsia="Calibri" w:cs=""/>
                <w:kern w:val="0"/>
                <w:sz w:val="24"/>
                <w:szCs w:val="24"/>
                <w:lang w:val="ru-RU" w:eastAsia="en-US" w:bidi="ar-SA"/>
              </w:rPr>
              <w:t>В отношении гражданской правоспособности:</w:t>
            </w:r>
          </w:p>
          <w:p>
            <w:pPr>
              <w:pStyle w:val="Style30"/>
              <w:widowControl w:val="false"/>
              <w:numPr>
                <w:ilvl w:val="0"/>
                <w:numId w:val="13"/>
              </w:numPr>
              <w:suppressAutoHyphens w:val="true"/>
              <w:spacing w:before="60" w:after="60"/>
              <w:ind w:hanging="284" w:left="568"/>
              <w:rPr>
                <w:rFonts w:ascii="Times New Roman" w:hAnsi="Times New Roman"/>
                <w:sz w:val="24"/>
                <w:szCs w:val="24"/>
              </w:rPr>
            </w:pPr>
            <w:r>
              <w:rPr>
                <w:rFonts w:eastAsia="Calibri" w:cs=""/>
                <w:kern w:val="0"/>
                <w:sz w:val="24"/>
                <w:szCs w:val="24"/>
                <w:lang w:val="ru-RU" w:eastAsia="en-US" w:bidi="ar-SA"/>
              </w:rPr>
              <w:t>если заявка подписывается лицом, действующим на основании доверенности, предоставляется электронный образ (файл в формате Portable Document Format (*.</w:t>
            </w:r>
            <w:r>
              <w:rPr>
                <w:rFonts w:eastAsia="Calibri" w:cs=""/>
                <w:kern w:val="0"/>
                <w:sz w:val="24"/>
                <w:szCs w:val="24"/>
                <w:lang w:val="en-US" w:eastAsia="en-US" w:bidi="ar-SA"/>
              </w:rPr>
              <w:t>pdf</w:t>
            </w:r>
            <w:r>
              <w:rPr>
                <w:rFonts w:eastAsia="Calibri" w:cs=""/>
                <w:kern w:val="0"/>
                <w:sz w:val="24"/>
                <w:szCs w:val="24"/>
                <w:lang w:val="ru-RU" w:eastAsia="en-US" w:bidi="ar-SA"/>
              </w:rPr>
              <w:t>)) оригинала соответствующей доверенности либо ее нотариально заверенной копии (с указанием правомочий на подписание заявки);</w:t>
            </w:r>
          </w:p>
          <w:p>
            <w:pPr>
              <w:pStyle w:val="Style30"/>
              <w:widowControl w:val="false"/>
              <w:numPr>
                <w:ilvl w:val="0"/>
                <w:numId w:val="7"/>
              </w:numPr>
              <w:suppressAutoHyphens w:val="true"/>
              <w:spacing w:before="60" w:after="60"/>
              <w:ind w:hanging="284" w:left="284"/>
              <w:rPr>
                <w:rFonts w:ascii="Times New Roman" w:hAnsi="Times New Roman"/>
                <w:sz w:val="24"/>
                <w:szCs w:val="24"/>
              </w:rPr>
            </w:pPr>
            <w:r>
              <w:rPr>
                <w:rFonts w:eastAsia="Calibri" w:cs=""/>
                <w:kern w:val="0"/>
                <w:sz w:val="24"/>
                <w:szCs w:val="24"/>
                <w:lang w:val="ru-RU" w:eastAsia="en-US" w:bidi="ar-SA"/>
              </w:rPr>
              <w:t>В отношении аккредитации:</w:t>
            </w:r>
          </w:p>
          <w:p>
            <w:pPr>
              <w:pStyle w:val="Style30"/>
              <w:widowControl w:val="false"/>
              <w:numPr>
                <w:ilvl w:val="0"/>
                <w:numId w:val="13"/>
              </w:numPr>
              <w:suppressAutoHyphens w:val="true"/>
              <w:spacing w:before="60" w:after="60"/>
              <w:ind w:hanging="284" w:left="568"/>
              <w:rPr/>
            </w:pPr>
            <w:r>
              <w:rPr>
                <w:rFonts w:eastAsia="Calibri" w:cs=""/>
                <w:kern w:val="0"/>
                <w:sz w:val="24"/>
                <w:szCs w:val="24"/>
                <w:lang w:val="ru-RU" w:eastAsia="en-US" w:bidi="ar-SA"/>
              </w:rPr>
              <w:t>при наличии у Участника на момент подачи заявки статуса «аккредитован» (по результатам ранее пройденной процедуры аккредитации) / статуса «аккредитация не требуется» (в соответствии с ранее направленными сведениями для включения записи в Реестр аккредитации), и при наличии (с момента подачи Заявки на аккредитацию) изменений, оказывающих влияние на соответствие его критериям аккредитации (на текущий статус), а также следующих изменений: реорганизация, изменение наименования, места нахождения, единоличного исполнительного органа и прочих сведений, указанных ранее в Заявке на аккредитацию – декларация в составе Письма о подаче оферты (форма 2) (</w:t>
            </w:r>
            <w:hyperlink w:anchor="Прил04_ФормыЗаявки">
              <w:r>
                <w:rPr>
                  <w:rStyle w:val="Style14"/>
                  <w:rFonts w:eastAsia="Calibri" w:cs=""/>
                  <w:kern w:val="0"/>
                  <w:sz w:val="24"/>
                  <w:szCs w:val="24"/>
                  <w:lang w:val="ru-RU" w:eastAsia="en-US" w:bidi="ar-SA"/>
                </w:rPr>
                <w:t>Приложение № 4</w:t>
              </w:r>
            </w:hyperlink>
            <w:r>
              <w:rPr>
                <w:rFonts w:eastAsia="Calibri" w:cs=""/>
                <w:kern w:val="0"/>
                <w:sz w:val="24"/>
                <w:szCs w:val="24"/>
                <w:lang w:val="ru-RU" w:eastAsia="en-US" w:bidi="ar-SA"/>
              </w:rPr>
              <w:t>) и обновленная Заявка на аккредитацию по установленной в Документации о закупке форме (</w:t>
            </w:r>
            <w:hyperlink w:anchor="Прил10_ЗаявкаНаАккредитацию">
              <w:r>
                <w:rPr>
                  <w:rStyle w:val="Style14"/>
                  <w:rFonts w:eastAsia="Calibri" w:cs=""/>
                  <w:kern w:val="0"/>
                  <w:sz w:val="24"/>
                  <w:szCs w:val="24"/>
                  <w:lang w:val="ru-RU" w:eastAsia="en-US" w:bidi="ar-SA"/>
                </w:rPr>
                <w:t>Приложение № 10</w:t>
              </w:r>
            </w:hyperlink>
            <w:r>
              <w:rPr>
                <w:rFonts w:eastAsia="Calibri" w:cs=""/>
                <w:kern w:val="0"/>
                <w:sz w:val="24"/>
                <w:szCs w:val="24"/>
                <w:lang w:val="ru-RU" w:eastAsia="en-US" w:bidi="ar-SA"/>
              </w:rPr>
              <w:t>);</w:t>
            </w:r>
          </w:p>
          <w:p>
            <w:pPr>
              <w:pStyle w:val="Style30"/>
              <w:widowControl w:val="false"/>
              <w:numPr>
                <w:ilvl w:val="0"/>
                <w:numId w:val="13"/>
              </w:numPr>
              <w:suppressAutoHyphens w:val="true"/>
              <w:spacing w:before="60" w:after="60"/>
              <w:ind w:hanging="284" w:left="568"/>
              <w:rPr/>
            </w:pPr>
            <w:r>
              <w:rPr>
                <w:rFonts w:eastAsia="Calibri" w:cs=""/>
                <w:kern w:val="0"/>
                <w:sz w:val="24"/>
                <w:szCs w:val="24"/>
                <w:lang w:val="ru-RU" w:eastAsia="en-US" w:bidi="ar-SA"/>
              </w:rPr>
              <w:t>при отсутствии у Участника на момент подачи заявки статуса «аккредитован» (при условии, что Участник ранее направил Заявку на аккредитацию, но на момент подачи заявки на участие в текущей закупке результаты проверки еще не известны (отсутствует соответствующая запись в Реестре аккредитации)) – декларация в составе Письма о подаче оферты (форма 2) (</w:t>
            </w:r>
            <w:hyperlink w:anchor="Прил04_ФормыЗаявки">
              <w:r>
                <w:rPr>
                  <w:rStyle w:val="Style14"/>
                  <w:rFonts w:eastAsia="Calibri" w:cs=""/>
                  <w:kern w:val="0"/>
                  <w:sz w:val="24"/>
                  <w:szCs w:val="24"/>
                  <w:lang w:val="ru-RU" w:eastAsia="en-US" w:bidi="ar-SA"/>
                </w:rPr>
                <w:t>Приложение № 4</w:t>
              </w:r>
            </w:hyperlink>
            <w:r>
              <w:rPr>
                <w:rFonts w:eastAsia="Calibri" w:cs=""/>
                <w:kern w:val="0"/>
                <w:sz w:val="24"/>
                <w:szCs w:val="24"/>
                <w:lang w:val="ru-RU" w:eastAsia="en-US" w:bidi="ar-SA"/>
              </w:rPr>
              <w:t>); предоставление Заявки на аккредитацию не требуется;</w:t>
            </w:r>
          </w:p>
          <w:p>
            <w:pPr>
              <w:pStyle w:val="Style30"/>
              <w:widowControl w:val="false"/>
              <w:numPr>
                <w:ilvl w:val="0"/>
                <w:numId w:val="13"/>
              </w:numPr>
              <w:suppressAutoHyphens w:val="true"/>
              <w:spacing w:before="60" w:after="60"/>
              <w:ind w:hanging="284" w:left="568"/>
              <w:rPr/>
            </w:pPr>
            <w:r>
              <w:rPr>
                <w:rFonts w:eastAsia="Calibri" w:cs=""/>
                <w:kern w:val="0"/>
                <w:sz w:val="24"/>
                <w:szCs w:val="24"/>
                <w:lang w:val="ru-RU" w:eastAsia="en-US" w:bidi="ar-SA"/>
              </w:rPr>
              <w:t>при отсутствии у Участника на момент подачи заявки статуса «аккредитован» (не проходил ранее процедуру аккредитации или наличия у Участника статуса «не аккредитован» (по результатам ранее пройденной процедуры аккредитации), а также для лиц, указанных в пункте 3.11 Положения об аккредитации (аккредитация не требуется), но которые ранее не направляли соответствующие сведения для включения записи в Реестр аккредитации –Заявка на аккредитацию по установленной в Документации о закупке форме (</w:t>
            </w:r>
            <w:hyperlink w:anchor="Прил10_ЗаявкаНаАккредитацию">
              <w:r>
                <w:rPr>
                  <w:rStyle w:val="Style14"/>
                  <w:rFonts w:eastAsia="Calibri" w:cs=""/>
                  <w:kern w:val="0"/>
                  <w:sz w:val="24"/>
                  <w:szCs w:val="24"/>
                  <w:lang w:val="ru-RU" w:eastAsia="en-US" w:bidi="ar-SA"/>
                </w:rPr>
                <w:t>Приложение № 10</w:t>
              </w:r>
            </w:hyperlink>
            <w:r>
              <w:rPr>
                <w:rFonts w:eastAsia="Calibri" w:cs=""/>
                <w:kern w:val="0"/>
                <w:sz w:val="24"/>
                <w:szCs w:val="24"/>
                <w:lang w:val="ru-RU" w:eastAsia="en-US" w:bidi="ar-SA"/>
              </w:rPr>
              <w:t>).</w:t>
            </w:r>
          </w:p>
          <w:p>
            <w:pPr>
              <w:pStyle w:val="Style30"/>
              <w:widowControl w:val="false"/>
              <w:suppressAutoHyphens w:val="true"/>
              <w:spacing w:before="60" w:after="60"/>
              <w:ind w:hanging="0" w:left="284"/>
              <w:rPr>
                <w:rFonts w:ascii="Times New Roman" w:hAnsi="Times New Roman"/>
                <w:sz w:val="24"/>
                <w:szCs w:val="24"/>
              </w:rPr>
            </w:pPr>
            <w:r>
              <w:rPr>
                <w:rFonts w:eastAsia="Calibri" w:cs=""/>
                <w:kern w:val="0"/>
                <w:sz w:val="24"/>
                <w:szCs w:val="24"/>
                <w:lang w:val="ru-RU" w:eastAsia="en-US" w:bidi="ar-SA"/>
              </w:rPr>
              <w:t xml:space="preserve">В случае заинтересованности Участника в дополнительной оценке его финансового состояния, при условии отсутствия опубликованной в государственном информационном ресурсе бухгалтерской (финансовой) отчетности организаций (https://bo.nalog.ru), к Заявке на аккредитацию также прилагается электронная копия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 </w:t>
            </w:r>
          </w:p>
          <w:p>
            <w:pPr>
              <w:pStyle w:val="Style30"/>
              <w:widowControl w:val="false"/>
              <w:suppressAutoHyphens w:val="true"/>
              <w:spacing w:before="60" w:after="60"/>
              <w:ind w:hanging="0" w:left="284"/>
              <w:rPr>
                <w:rFonts w:ascii="Times New Roman" w:hAnsi="Times New Roman"/>
                <w:sz w:val="24"/>
                <w:szCs w:val="24"/>
              </w:rPr>
            </w:pPr>
            <w:r>
              <w:rPr>
                <w:rFonts w:eastAsia="Calibri" w:cs=""/>
                <w:kern w:val="0"/>
                <w:sz w:val="24"/>
                <w:szCs w:val="24"/>
                <w:lang w:val="ru-RU" w:eastAsia="en-US" w:bidi="ar-SA"/>
              </w:rPr>
              <w:t>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вместе с Заявкой на аккредитацию:</w:t>
            </w:r>
          </w:p>
          <w:p>
            <w:pPr>
              <w:pStyle w:val="Style30"/>
              <w:widowControl w:val="false"/>
              <w:suppressAutoHyphens w:val="true"/>
              <w:spacing w:before="60" w:after="60"/>
              <w:ind w:hanging="0" w:left="284"/>
              <w:rPr>
                <w:rFonts w:ascii="Times New Roman" w:hAnsi="Times New Roman"/>
                <w:sz w:val="24"/>
                <w:szCs w:val="24"/>
              </w:rPr>
            </w:pPr>
            <w:r>
              <w:rPr>
                <w:rFonts w:eastAsia="Calibri" w:cs=""/>
                <w:kern w:val="0"/>
                <w:sz w:val="24"/>
                <w:szCs w:val="24"/>
                <w:lang w:val="ru-RU" w:eastAsia="en-US" w:bidi="ar-SA"/>
              </w:rPr>
              <w:t>−</w:t>
            </w:r>
            <w:r>
              <w:rPr>
                <w:rFonts w:eastAsia="Calibri" w:cs=""/>
                <w:kern w:val="0"/>
                <w:sz w:val="24"/>
                <w:szCs w:val="24"/>
                <w:lang w:val="ru-RU" w:eastAsia="en-US" w:bidi="ar-SA"/>
              </w:rPr>
              <w:tab/>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30"/>
              <w:widowControl w:val="false"/>
              <w:suppressAutoHyphens w:val="true"/>
              <w:spacing w:before="60" w:after="60"/>
              <w:ind w:hanging="0" w:left="284"/>
              <w:rPr/>
            </w:pPr>
            <w:r>
              <w:rPr>
                <w:rFonts w:eastAsia="Calibri" w:cs=""/>
                <w:kern w:val="0"/>
                <w:sz w:val="24"/>
                <w:szCs w:val="24"/>
                <w:lang w:val="ru-RU" w:eastAsia="en-US" w:bidi="ar-SA"/>
              </w:rPr>
              <w:t>−</w:t>
            </w:r>
            <w:r>
              <w:rPr>
                <w:rFonts w:eastAsia="Calibri" w:cs=""/>
                <w:kern w:val="0"/>
                <w:sz w:val="24"/>
                <w:szCs w:val="24"/>
                <w:lang w:val="ru-RU" w:eastAsia="en-US" w:bidi="ar-SA"/>
              </w:rPr>
              <w:tab/>
              <w:t xml:space="preserve">дополнительных сведений о размере всех требуемых показателей согласно данным бухгалтерской (финансовой) отчетности (по форме, представленной в </w:t>
            </w:r>
            <w:hyperlink w:anchor="Прил11_Данные_бухотчетность">
              <w:r>
                <w:rPr>
                  <w:rStyle w:val="Hyperlink"/>
                  <w:rFonts w:eastAsia="Calibri" w:cs=""/>
                  <w:kern w:val="0"/>
                  <w:sz w:val="24"/>
                  <w:szCs w:val="24"/>
                  <w:lang w:val="ru-RU" w:eastAsia="en-US" w:bidi="ar-SA"/>
                </w:rPr>
                <w:t>Приложении № 11</w:t>
              </w:r>
            </w:hyperlink>
            <w:r>
              <w:rPr>
                <w:rFonts w:eastAsia="Calibri" w:cs=""/>
                <w:kern w:val="0"/>
                <w:sz w:val="24"/>
                <w:szCs w:val="24"/>
                <w:lang w:val="ru-RU" w:eastAsia="en-US" w:bidi="ar-SA"/>
              </w:rPr>
              <w:t>).</w:t>
            </w:r>
          </w:p>
          <w:p>
            <w:pPr>
              <w:pStyle w:val="Style30"/>
              <w:widowControl w:val="false"/>
              <w:suppressAutoHyphens w:val="true"/>
              <w:spacing w:before="60" w:after="60"/>
              <w:ind w:hanging="0" w:left="284"/>
              <w:rPr>
                <w:rFonts w:ascii="Times New Roman" w:hAnsi="Times New Roman"/>
                <w:sz w:val="24"/>
                <w:szCs w:val="24"/>
              </w:rPr>
            </w:pPr>
            <w:r>
              <w:rPr>
                <w:rFonts w:eastAsia="Calibri" w:cs=""/>
                <w:kern w:val="0"/>
                <w:sz w:val="24"/>
                <w:szCs w:val="24"/>
                <w:lang w:val="ru-RU" w:eastAsia="en-US" w:bidi="ar-SA"/>
              </w:rPr>
              <w:t>Указанные документы не являются обязательными к подаче в рамках процедуры аккредитации и предоставляются по желанию Участника.</w:t>
            </w:r>
          </w:p>
        </w:tc>
      </w:tr>
      <w:tr>
        <w:trPr/>
        <w:tc>
          <w:tcPr>
            <w:tcW w:w="1128" w:type="dxa"/>
            <w:tcBorders/>
          </w:tcPr>
          <w:p>
            <w:pPr>
              <w:pStyle w:val="Style30"/>
              <w:widowControl w:val="false"/>
              <w:numPr>
                <w:ilvl w:val="0"/>
                <w:numId w:val="2"/>
              </w:numPr>
              <w:suppressAutoHyphens w:val="true"/>
              <w:spacing w:before="60" w:after="60"/>
              <w:ind w:hanging="0" w:left="284"/>
              <w:jc w:val="center"/>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p>
        </w:tc>
        <w:tc>
          <w:tcPr>
            <w:tcW w:w="5671" w:type="dxa"/>
            <w:tcBorders/>
          </w:tcPr>
          <w:p>
            <w:pPr>
              <w:pStyle w:val="Style30"/>
              <w:widowControl w:val="false"/>
              <w:suppressAutoHyphens w:val="true"/>
              <w:spacing w:before="60" w:after="60"/>
              <w:rPr>
                <w:rFonts w:ascii="Times New Roman" w:hAnsi="Times New Roman"/>
                <w:sz w:val="24"/>
                <w:szCs w:val="24"/>
              </w:rPr>
            </w:pPr>
            <w:r>
              <w:rPr>
                <w:rFonts w:eastAsia="Calibri" w:cs=""/>
                <w:kern w:val="0"/>
                <w:sz w:val="24"/>
                <w:szCs w:val="24"/>
                <w:lang w:val="ru-RU" w:eastAsia="en-US" w:bidi="ar-SA"/>
              </w:rPr>
              <w:t>Участник должен являться субъектом МСП, или физическим лицом, не являющимся индивидуальным предпринимателем и применяющим специальный налоговый режим «Налог на профессиональный доход»:</w:t>
            </w:r>
          </w:p>
        </w:tc>
        <w:tc>
          <w:tcPr>
            <w:tcW w:w="8327" w:type="dxa"/>
            <w:tcBorders/>
          </w:tcPr>
          <w:p>
            <w:pPr>
              <w:pStyle w:val="Style30"/>
              <w:widowControl w:val="false"/>
              <w:suppressAutoHyphens w:val="true"/>
              <w:spacing w:before="60" w:after="60"/>
              <w:rPr>
                <w:rFonts w:ascii="Times New Roman" w:hAnsi="Times New Roman"/>
                <w:sz w:val="24"/>
                <w:szCs w:val="24"/>
              </w:rPr>
            </w:pPr>
            <w:r>
              <w:rPr>
                <w:rFonts w:eastAsia="Calibri" w:cs=""/>
                <w:kern w:val="0"/>
                <w:sz w:val="24"/>
                <w:szCs w:val="24"/>
                <w:lang w:val="ru-RU" w:eastAsia="en-US" w:bidi="ar-SA"/>
              </w:rPr>
              <w:t>Предоставление документов не требуется.</w:t>
            </w:r>
          </w:p>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p>
          <w:p>
            <w:pPr>
              <w:pStyle w:val="Style30"/>
              <w:widowControl w:val="false"/>
              <w:suppressAutoHyphens w:val="true"/>
              <w:spacing w:before="60" w:after="60"/>
              <w:rPr>
                <w:rFonts w:ascii="Times New Roman" w:hAnsi="Times New Roman"/>
                <w:sz w:val="24"/>
                <w:szCs w:val="24"/>
              </w:rPr>
            </w:pPr>
            <w:r>
              <w:rPr>
                <w:rFonts w:eastAsia="Calibri" w:cs=""/>
                <w:i/>
                <w:iCs/>
                <w:kern w:val="0"/>
                <w:sz w:val="24"/>
                <w:szCs w:val="24"/>
                <w:lang w:val="ru-RU" w:eastAsia="en-US" w:bidi="ar-SA"/>
              </w:rPr>
              <w:t>(В рамках рассмотрения заявок Организатор проверяет наличие информации об Участнике в Реестре МСП, а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p>
        </w:tc>
      </w:tr>
      <w:tr>
        <w:trPr/>
        <w:tc>
          <w:tcPr>
            <w:tcW w:w="1128" w:type="dxa"/>
            <w:tcBorders/>
          </w:tcPr>
          <w:p>
            <w:pPr>
              <w:pStyle w:val="Style30"/>
              <w:widowControl w:val="false"/>
              <w:numPr>
                <w:ilvl w:val="0"/>
                <w:numId w:val="2"/>
              </w:numPr>
              <w:suppressAutoHyphens w:val="true"/>
              <w:spacing w:before="60" w:after="60"/>
              <w:ind w:hanging="0" w:left="284"/>
              <w:jc w:val="center"/>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bookmarkStart w:id="296" w:name="_Ref139028406"/>
            <w:bookmarkStart w:id="297" w:name="_Ref139028406"/>
            <w:bookmarkEnd w:id="297"/>
          </w:p>
        </w:tc>
        <w:tc>
          <w:tcPr>
            <w:tcW w:w="5671" w:type="dxa"/>
            <w:tcBorders/>
          </w:tcPr>
          <w:p>
            <w:pPr>
              <w:pStyle w:val="Style30"/>
              <w:widowControl w:val="false"/>
              <w:suppressAutoHyphens w:val="true"/>
              <w:spacing w:before="60" w:after="60"/>
              <w:rPr>
                <w:rFonts w:ascii="Times New Roman" w:hAnsi="Times New Roman"/>
                <w:sz w:val="24"/>
                <w:szCs w:val="24"/>
              </w:rPr>
            </w:pPr>
            <w:r>
              <w:rPr>
                <w:rFonts w:eastAsia="Calibri" w:cs=""/>
                <w:kern w:val="0"/>
                <w:sz w:val="24"/>
                <w:szCs w:val="24"/>
                <w:lang w:val="ru-RU" w:eastAsia="en-US" w:bidi="ar-SA"/>
              </w:rPr>
              <w:t>Сведения об Участнике должны отсутствовать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w:t>
            </w:r>
            <w:r>
              <w:rPr>
                <w:rStyle w:val="FootnoteReference"/>
                <w:rFonts w:eastAsia="Calibri" w:cs=""/>
                <w:kern w:val="0"/>
                <w:sz w:val="24"/>
                <w:szCs w:val="24"/>
                <w:lang w:val="ru-RU" w:eastAsia="en-US" w:bidi="ar-SA"/>
              </w:rPr>
              <w:footnoteReference w:id="13"/>
            </w:r>
            <w:r>
              <w:rPr>
                <w:rFonts w:eastAsia="Calibri" w:cs=""/>
                <w:kern w:val="0"/>
                <w:sz w:val="24"/>
                <w:szCs w:val="24"/>
                <w:lang w:val="ru-RU" w:eastAsia="en-US" w:bidi="ar-SA"/>
              </w:rPr>
              <w:t>, а также Участник не должен являться подконтрольной организацией данных юридических лиц</w:t>
            </w:r>
            <w:r>
              <w:rPr>
                <w:rStyle w:val="FootnoteReference"/>
                <w:rFonts w:eastAsia="Calibri" w:cs=""/>
                <w:kern w:val="0"/>
                <w:sz w:val="24"/>
                <w:szCs w:val="24"/>
                <w:lang w:val="ru-RU" w:eastAsia="en-US" w:bidi="ar-SA"/>
              </w:rPr>
              <w:footnoteReference w:id="14"/>
            </w:r>
            <w:r>
              <w:rPr>
                <w:rFonts w:eastAsia="Calibri" w:cs=""/>
                <w:kern w:val="0"/>
                <w:sz w:val="24"/>
                <w:szCs w:val="24"/>
                <w:lang w:val="ru-RU" w:eastAsia="en-US" w:bidi="ar-SA"/>
              </w:rPr>
              <w:t>:</w:t>
            </w:r>
          </w:p>
        </w:tc>
        <w:tc>
          <w:tcPr>
            <w:tcW w:w="8327" w:type="dxa"/>
            <w:tcBorders/>
          </w:tcPr>
          <w:p>
            <w:pPr>
              <w:pStyle w:val="Style30"/>
              <w:widowControl w:val="false"/>
              <w:suppressAutoHyphens w:val="true"/>
              <w:spacing w:before="60" w:after="60"/>
              <w:rPr/>
            </w:pPr>
            <w:r>
              <w:rPr>
                <w:rFonts w:eastAsia="Calibri" w:cs=""/>
                <w:kern w:val="0"/>
                <w:sz w:val="24"/>
                <w:szCs w:val="24"/>
                <w:lang w:val="ru-RU" w:eastAsia="en-US" w:bidi="ar-SA"/>
              </w:rPr>
              <w:t>Декларация о соответствии Участника данному требованию в составе Письма о подаче оферты (форма 2) (</w:t>
            </w:r>
            <w:hyperlink w:anchor="Прил04_ФормыЗаявки">
              <w:r>
                <w:rPr>
                  <w:rStyle w:val="Style14"/>
                  <w:rFonts w:eastAsia="Calibri" w:cs=""/>
                  <w:kern w:val="0"/>
                  <w:sz w:val="24"/>
                  <w:szCs w:val="24"/>
                  <w:lang w:val="ru-RU" w:eastAsia="en-US" w:bidi="ar-SA"/>
                </w:rPr>
                <w:t>Приложение № 4</w:t>
              </w:r>
            </w:hyperlink>
            <w:r>
              <w:rPr>
                <w:rFonts w:eastAsia="Calibri" w:cs=""/>
                <w:kern w:val="0"/>
                <w:sz w:val="24"/>
                <w:szCs w:val="24"/>
                <w:lang w:val="ru-RU" w:eastAsia="en-US" w:bidi="ar-SA"/>
              </w:rPr>
              <w:t>).</w:t>
            </w:r>
          </w:p>
          <w:p>
            <w:pPr>
              <w:pStyle w:val="Style30"/>
              <w:widowControl w:val="false"/>
              <w:suppressAutoHyphens w:val="true"/>
              <w:spacing w:before="60" w:after="60"/>
              <w:rPr>
                <w:rFonts w:ascii="Times New Roman" w:hAnsi="Times New Roman"/>
                <w:sz w:val="24"/>
                <w:szCs w:val="24"/>
              </w:rPr>
            </w:pPr>
            <w:r>
              <w:rPr>
                <w:rFonts w:eastAsia="Calibri" w:cs=""/>
                <w:i/>
                <w:iCs/>
                <w:kern w:val="0"/>
                <w:sz w:val="24"/>
                <w:szCs w:val="24"/>
                <w:lang w:val="ru-RU" w:eastAsia="en-US" w:bidi="ar-SA"/>
              </w:rPr>
              <w:t>(В рамках рассмотрения заявок и (или) перед заключением договора Организатор проверяет наличие информации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«О мерах по реализации Указа Президента Российской Федерации от 3 мая 2022 г. N 252».)</w:t>
            </w:r>
          </w:p>
        </w:tc>
      </w:tr>
      <w:tr>
        <w:trPr/>
        <w:tc>
          <w:tcPr>
            <w:tcW w:w="1128" w:type="dxa"/>
            <w:tcBorders/>
          </w:tcPr>
          <w:p>
            <w:pPr>
              <w:pStyle w:val="Style30"/>
              <w:widowControl w:val="false"/>
              <w:numPr>
                <w:ilvl w:val="0"/>
                <w:numId w:val="2"/>
              </w:numPr>
              <w:suppressAutoHyphens w:val="true"/>
              <w:spacing w:before="60" w:after="60"/>
              <w:ind w:hanging="0" w:left="284"/>
              <w:jc w:val="center"/>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bookmarkStart w:id="298" w:name="_Ref186128496"/>
            <w:bookmarkStart w:id="299" w:name="_Ref186128496"/>
            <w:bookmarkEnd w:id="299"/>
          </w:p>
        </w:tc>
        <w:tc>
          <w:tcPr>
            <w:tcW w:w="5671" w:type="dxa"/>
            <w:tcBorders/>
          </w:tcPr>
          <w:p>
            <w:pPr>
              <w:pStyle w:val="Style30"/>
              <w:widowControl w:val="false"/>
              <w:suppressAutoHyphens w:val="true"/>
              <w:spacing w:before="60" w:after="60"/>
              <w:rPr>
                <w:rFonts w:ascii="Times New Roman" w:hAnsi="Times New Roman"/>
                <w:sz w:val="24"/>
                <w:szCs w:val="24"/>
              </w:rPr>
            </w:pPr>
            <w:r>
              <w:rPr>
                <w:rFonts w:eastAsia="Calibri" w:cs=""/>
                <w:kern w:val="0"/>
                <w:sz w:val="24"/>
                <w:szCs w:val="24"/>
                <w:lang w:val="ru-RU" w:eastAsia="en-US" w:bidi="ar-SA"/>
              </w:rPr>
              <w:t>Если в подразделе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_Ref125359973 \r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t>1.2</w:t>
            </w:r>
            <w:r>
              <w:rPr>
                <w:sz w:val="24"/>
                <w:kern w:val="0"/>
                <w:szCs w:val="24"/>
                <w:rFonts w:eastAsia="Calibri" w:cs=""/>
                <w:lang w:val="ru-RU" w:eastAsia="en-US" w:bidi="ar-SA"/>
              </w:rPr>
              <w:fldChar w:fldCharType="end"/>
            </w:r>
            <w:r>
              <w:rPr>
                <w:rFonts w:eastAsia="Calibri" w:cs=""/>
                <w:kern w:val="0"/>
                <w:sz w:val="24"/>
                <w:szCs w:val="24"/>
                <w:lang w:val="ru-RU" w:eastAsia="en-US" w:bidi="ar-SA"/>
              </w:rPr>
              <w:t xml:space="preserve"> установлен режим запрета закупки иностранной продукции и предметом закупки является оказание услуг и (или) выполнение работ (в том числе с поставкой товаров при выполнении работ и (или) оказании услуг), то Участник должен быть российским лицом:</w:t>
            </w:r>
          </w:p>
        </w:tc>
        <w:tc>
          <w:tcPr>
            <w:tcW w:w="8327" w:type="dxa"/>
            <w:tcBorders/>
          </w:tcPr>
          <w:p>
            <w:pPr>
              <w:pStyle w:val="Style30"/>
              <w:widowControl w:val="false"/>
              <w:suppressAutoHyphens w:val="true"/>
              <w:spacing w:before="60" w:after="60"/>
              <w:rPr/>
            </w:pPr>
            <w:r>
              <w:rPr>
                <w:rFonts w:eastAsia="Calibri" w:cs=""/>
                <w:kern w:val="0"/>
                <w:sz w:val="24"/>
                <w:szCs w:val="24"/>
                <w:lang w:val="ru-RU" w:eastAsia="en-US" w:bidi="ar-SA"/>
              </w:rPr>
              <w:t>Декларация о соответствии Участника данному требованию в составе Письма о подаче оферты (форма 2) (</w:t>
            </w:r>
            <w:hyperlink w:anchor="Прил04_ФормыЗаявки">
              <w:r>
                <w:rPr>
                  <w:rStyle w:val="Style14"/>
                  <w:rFonts w:eastAsia="Calibri" w:cs=""/>
                  <w:kern w:val="0"/>
                  <w:sz w:val="24"/>
                  <w:szCs w:val="24"/>
                  <w:lang w:val="ru-RU" w:eastAsia="en-US" w:bidi="ar-SA"/>
                </w:rPr>
                <w:t>Приложение № 4</w:t>
              </w:r>
            </w:hyperlink>
            <w:r>
              <w:rPr>
                <w:rFonts w:eastAsia="Calibri" w:cs=""/>
                <w:kern w:val="0"/>
                <w:sz w:val="24"/>
                <w:szCs w:val="24"/>
                <w:lang w:val="ru-RU" w:eastAsia="en-US" w:bidi="ar-SA"/>
              </w:rPr>
              <w:t>), а также указание Участником в составе заявки в Коммерческом предложении (форма 3) (</w:t>
            </w:r>
            <w:hyperlink w:anchor="Прил04_ФормыЗаявки">
              <w:r>
                <w:rPr>
                  <w:rStyle w:val="Style14"/>
                  <w:rFonts w:eastAsia="Calibri" w:cs=""/>
                  <w:kern w:val="0"/>
                  <w:sz w:val="24"/>
                  <w:szCs w:val="24"/>
                  <w:lang w:val="ru-RU" w:eastAsia="en-US" w:bidi="ar-SA"/>
                </w:rPr>
                <w:t>Приложение № 4</w:t>
              </w:r>
            </w:hyperlink>
            <w:r>
              <w:rPr>
                <w:rFonts w:eastAsia="Calibri" w:cs=""/>
                <w:kern w:val="0"/>
                <w:sz w:val="24"/>
                <w:szCs w:val="24"/>
                <w:lang w:val="ru-RU" w:eastAsia="en-US" w:bidi="ar-SA"/>
              </w:rPr>
              <w:t>) соответствующих сведений.</w:t>
            </w:r>
          </w:p>
          <w:p>
            <w:pPr>
              <w:pStyle w:val="Style30"/>
              <w:widowControl w:val="false"/>
              <w:suppressAutoHyphens w:val="true"/>
              <w:spacing w:before="60" w:after="60"/>
              <w:rPr>
                <w:rFonts w:ascii="Times New Roman" w:hAnsi="Times New Roman"/>
                <w:sz w:val="24"/>
                <w:szCs w:val="24"/>
              </w:rPr>
            </w:pPr>
            <w:r>
              <w:rPr>
                <w:rFonts w:eastAsia="Calibri" w:cs=""/>
                <w:i/>
                <w:iCs/>
                <w:kern w:val="0"/>
                <w:sz w:val="24"/>
                <w:szCs w:val="24"/>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r>
        <w:trPr/>
        <w:tc>
          <w:tcPr>
            <w:tcW w:w="1128" w:type="dxa"/>
            <w:tcBorders/>
          </w:tcPr>
          <w:p>
            <w:pPr>
              <w:pStyle w:val="Style30"/>
              <w:widowControl w:val="false"/>
              <w:numPr>
                <w:ilvl w:val="0"/>
                <w:numId w:val="2"/>
              </w:numPr>
              <w:suppressAutoHyphens w:val="true"/>
              <w:spacing w:before="60" w:after="60"/>
              <w:ind w:hanging="0" w:left="284"/>
              <w:jc w:val="center"/>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bookmarkStart w:id="300" w:name="_Ref186128503"/>
            <w:bookmarkStart w:id="301" w:name="_Ref186128503"/>
            <w:bookmarkEnd w:id="301"/>
          </w:p>
        </w:tc>
        <w:tc>
          <w:tcPr>
            <w:tcW w:w="5671" w:type="dxa"/>
            <w:tcBorders/>
          </w:tcPr>
          <w:p>
            <w:pPr>
              <w:pStyle w:val="Style30"/>
              <w:widowControl w:val="false"/>
              <w:suppressAutoHyphens w:val="true"/>
              <w:spacing w:before="60" w:after="60"/>
              <w:rPr>
                <w:rFonts w:ascii="Times New Roman" w:hAnsi="Times New Roman"/>
                <w:sz w:val="24"/>
                <w:szCs w:val="24"/>
              </w:rPr>
            </w:pPr>
            <w:r>
              <w:rPr>
                <w:rFonts w:eastAsia="Calibri" w:cs=""/>
                <w:kern w:val="0"/>
                <w:sz w:val="24"/>
                <w:szCs w:val="24"/>
                <w:lang w:val="ru-RU" w:eastAsia="en-US" w:bidi="ar-SA"/>
              </w:rPr>
              <w:t>Если в подразделе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_Ref125359973 \r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t>1.2</w:t>
            </w:r>
            <w:r>
              <w:rPr>
                <w:sz w:val="24"/>
                <w:kern w:val="0"/>
                <w:szCs w:val="24"/>
                <w:rFonts w:eastAsia="Calibri" w:cs=""/>
                <w:lang w:val="ru-RU" w:eastAsia="en-US" w:bidi="ar-SA"/>
              </w:rPr>
              <w:fldChar w:fldCharType="end"/>
            </w:r>
            <w:r>
              <w:rPr>
                <w:rFonts w:eastAsia="Calibri" w:cs=""/>
                <w:kern w:val="0"/>
                <w:sz w:val="24"/>
                <w:szCs w:val="24"/>
                <w:lang w:val="ru-RU" w:eastAsia="en-US" w:bidi="ar-SA"/>
              </w:rPr>
              <w:t xml:space="preserve"> установлен режим ограничения закупки иностранной продукции и предметом закупки является оказание услуг и (или) выполнение работ (в том числе с поставкой товаров при выполнении работ и (или) оказании услуг), то Участник не должен являться иностранным лицом, при наличии заявки, соответствующей всем требованиям Документации о закупке, поданной от российского лица:</w:t>
            </w:r>
          </w:p>
        </w:tc>
        <w:tc>
          <w:tcPr>
            <w:tcW w:w="8327" w:type="dxa"/>
            <w:tcBorders/>
          </w:tcPr>
          <w:p>
            <w:pPr>
              <w:pStyle w:val="Style30"/>
              <w:widowControl w:val="false"/>
              <w:suppressAutoHyphens w:val="true"/>
              <w:spacing w:before="60" w:after="60"/>
              <w:rPr/>
            </w:pPr>
            <w:r>
              <w:rPr>
                <w:rFonts w:eastAsia="Calibri" w:cs=""/>
                <w:kern w:val="0"/>
                <w:sz w:val="24"/>
                <w:szCs w:val="24"/>
                <w:lang w:val="ru-RU" w:eastAsia="en-US" w:bidi="ar-SA"/>
              </w:rPr>
              <w:t>Декларация о принадлежности Участника к иностранному лицу или российскому лицу в составе Письма о подаче оферты (форма 2) (</w:t>
            </w:r>
            <w:hyperlink w:anchor="Прил04_ФормыЗаявки">
              <w:r>
                <w:rPr>
                  <w:rStyle w:val="Style14"/>
                  <w:rFonts w:eastAsia="Calibri" w:cs=""/>
                  <w:kern w:val="0"/>
                  <w:sz w:val="24"/>
                  <w:szCs w:val="24"/>
                  <w:lang w:val="ru-RU" w:eastAsia="en-US" w:bidi="ar-SA"/>
                </w:rPr>
                <w:t>Приложение № 4</w:t>
              </w:r>
            </w:hyperlink>
            <w:r>
              <w:rPr>
                <w:rFonts w:eastAsia="Calibri" w:cs=""/>
                <w:kern w:val="0"/>
                <w:sz w:val="24"/>
                <w:szCs w:val="24"/>
                <w:lang w:val="ru-RU" w:eastAsia="en-US" w:bidi="ar-SA"/>
              </w:rPr>
              <w:t>, а также указание Участником в составе заявки в Коммерческом предложении (форма 3) (</w:t>
            </w:r>
            <w:hyperlink w:anchor="Прил04_ФормыЗаявки">
              <w:r>
                <w:rPr>
                  <w:rStyle w:val="Style14"/>
                  <w:rFonts w:eastAsia="Calibri" w:cs=""/>
                  <w:kern w:val="0"/>
                  <w:sz w:val="24"/>
                  <w:szCs w:val="24"/>
                  <w:lang w:val="ru-RU" w:eastAsia="en-US" w:bidi="ar-SA"/>
                </w:rPr>
                <w:t>Приложение № 4</w:t>
              </w:r>
            </w:hyperlink>
            <w:r>
              <w:rPr>
                <w:rFonts w:eastAsia="Calibri" w:cs=""/>
                <w:kern w:val="0"/>
                <w:sz w:val="24"/>
                <w:szCs w:val="24"/>
                <w:lang w:val="ru-RU" w:eastAsia="en-US" w:bidi="ar-SA"/>
              </w:rPr>
              <w:t>) соответствующих сведений.</w:t>
            </w:r>
          </w:p>
          <w:p>
            <w:pPr>
              <w:pStyle w:val="Style30"/>
              <w:widowControl w:val="false"/>
              <w:suppressAutoHyphens w:val="true"/>
              <w:spacing w:before="60" w:after="60"/>
              <w:rPr>
                <w:rFonts w:ascii="Times New Roman" w:hAnsi="Times New Roman"/>
                <w:sz w:val="24"/>
                <w:szCs w:val="24"/>
              </w:rPr>
            </w:pPr>
            <w:r>
              <w:rPr>
                <w:rFonts w:eastAsia="Calibri" w:cs=""/>
                <w:i/>
                <w:iCs/>
                <w:kern w:val="0"/>
                <w:sz w:val="24"/>
                <w:szCs w:val="24"/>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bl>
    <w:p>
      <w:pPr>
        <w:pStyle w:val="Style25"/>
        <w:spacing w:before="360" w:after="120"/>
        <w:rPr>
          <w:rFonts w:ascii="Times New Roman" w:hAnsi="Times New Roman"/>
          <w:sz w:val="24"/>
          <w:szCs w:val="24"/>
        </w:rPr>
      </w:pPr>
      <w:bookmarkStart w:id="302" w:name="_Ref125361442"/>
      <w:bookmarkStart w:id="303" w:name="_Toc229567073"/>
      <w:bookmarkStart w:id="304" w:name="_Ref125709888"/>
      <w:bookmarkStart w:id="305" w:name="_Ref125709401"/>
      <w:bookmarkStart w:id="306" w:name="_Ref125709250"/>
      <w:bookmarkStart w:id="307" w:name="_Ref125361869"/>
      <w:bookmarkStart w:id="308" w:name="_Ref125361671"/>
      <w:bookmarkStart w:id="309" w:name="_Ref125709153"/>
      <w:bookmarkStart w:id="310" w:name="_Ref125370079"/>
      <w:bookmarkStart w:id="311" w:name="_Ref125368818"/>
      <w:bookmarkStart w:id="312" w:name="_Ref125368901"/>
      <w:bookmarkStart w:id="313" w:name="_Ref125361633"/>
      <w:bookmarkStart w:id="314" w:name="_Ref125365459"/>
      <w:bookmarkStart w:id="315" w:name="_Ref125367521"/>
      <w:bookmarkStart w:id="316" w:name="_Ref125367539"/>
      <w:bookmarkStart w:id="317" w:name="_Ref125361937"/>
      <w:bookmarkStart w:id="318" w:name="_Ref125368916"/>
      <w:bookmarkStart w:id="319" w:name="_Ref125369099"/>
      <w:r>
        <w:rPr>
          <w:sz w:val="24"/>
          <w:szCs w:val="24"/>
        </w:rPr>
        <w:t>Специальные требования</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tbl>
      <w:tblPr>
        <w:tblStyle w:val="af6"/>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30"/>
              <w:keepNext w:val="false"/>
              <w:keepLines w:val="false"/>
              <w:widowControl w:val="false"/>
              <w:suppressAutoHyphens w:val="true"/>
              <w:spacing w:before="60" w:after="60"/>
              <w:jc w:val="center"/>
              <w:rPr>
                <w:rFonts w:ascii="Times New Roman" w:hAnsi="Times New Roman"/>
                <w:sz w:val="24"/>
                <w:szCs w:val="24"/>
              </w:rPr>
            </w:pPr>
            <w:r>
              <w:rPr>
                <w:rFonts w:eastAsia="Calibri" w:cs=""/>
                <w:b/>
                <w:kern w:val="0"/>
                <w:sz w:val="24"/>
                <w:szCs w:val="24"/>
                <w:lang w:val="ru-RU" w:eastAsia="en-US" w:bidi="ar-SA"/>
              </w:rPr>
              <w:t>№</w:t>
            </w:r>
            <w:r>
              <w:rPr>
                <w:rFonts w:eastAsia="Calibri" w:cs=""/>
                <w:b/>
                <w:kern w:val="0"/>
                <w:sz w:val="24"/>
                <w:szCs w:val="24"/>
                <w:lang w:val="ru-RU" w:eastAsia="en-US" w:bidi="ar-SA"/>
              </w:rPr>
              <w:br/>
              <w:t>п/п</w:t>
            </w:r>
          </w:p>
        </w:tc>
        <w:tc>
          <w:tcPr>
            <w:tcW w:w="5671" w:type="dxa"/>
            <w:tcBorders/>
          </w:tcPr>
          <w:p>
            <w:pPr>
              <w:pStyle w:val="Style30"/>
              <w:keepNext w:val="false"/>
              <w:keepLines w:val="false"/>
              <w:widowControl w:val="false"/>
              <w:suppressAutoHyphens w:val="true"/>
              <w:spacing w:before="60" w:after="60"/>
              <w:jc w:val="center"/>
              <w:rPr>
                <w:rFonts w:ascii="Times New Roman" w:hAnsi="Times New Roman"/>
                <w:sz w:val="24"/>
                <w:szCs w:val="24"/>
              </w:rPr>
            </w:pPr>
            <w:r>
              <w:rPr>
                <w:rFonts w:eastAsia="Calibri" w:cs=""/>
                <w:b/>
                <w:kern w:val="0"/>
                <w:sz w:val="24"/>
                <w:szCs w:val="24"/>
                <w:lang w:val="ru-RU" w:eastAsia="en-US" w:bidi="ar-SA"/>
              </w:rPr>
              <w:t>Требования к Участнику</w:t>
            </w:r>
          </w:p>
        </w:tc>
        <w:tc>
          <w:tcPr>
            <w:tcW w:w="8327" w:type="dxa"/>
            <w:tcBorders/>
          </w:tcPr>
          <w:p>
            <w:pPr>
              <w:pStyle w:val="Style30"/>
              <w:keepNext w:val="false"/>
              <w:keepLines w:val="false"/>
              <w:widowControl w:val="false"/>
              <w:suppressAutoHyphens w:val="true"/>
              <w:spacing w:before="60" w:after="60"/>
              <w:jc w:val="center"/>
              <w:rPr>
                <w:rFonts w:ascii="Times New Roman" w:hAnsi="Times New Roman"/>
                <w:sz w:val="24"/>
                <w:szCs w:val="24"/>
              </w:rPr>
            </w:pPr>
            <w:r>
              <w:rPr>
                <w:rFonts w:eastAsia="Calibri" w:cs=""/>
                <w:b/>
                <w:kern w:val="0"/>
                <w:sz w:val="24"/>
                <w:szCs w:val="24"/>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cPr>
          <w:p>
            <w:pPr>
              <w:pStyle w:val="Style30"/>
              <w:widowControl w:val="false"/>
              <w:numPr>
                <w:ilvl w:val="0"/>
                <w:numId w:val="3"/>
              </w:numPr>
              <w:suppressAutoHyphens w:val="true"/>
              <w:spacing w:before="60" w:after="60"/>
              <w:ind w:hanging="0" w:left="284"/>
              <w:jc w:val="center"/>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p>
        </w:tc>
        <w:tc>
          <w:tcPr>
            <w:tcW w:w="5671" w:type="dxa"/>
            <w:tcBorders/>
          </w:tcPr>
          <w:p>
            <w:pPr>
              <w:pStyle w:val="Style30"/>
              <w:widowControl w:val="false"/>
              <w:suppressAutoHyphens w:val="true"/>
              <w:spacing w:before="60" w:after="60"/>
              <w:rPr>
                <w:rFonts w:ascii="Times New Roman" w:hAnsi="Times New Roman"/>
                <w:sz w:val="24"/>
                <w:szCs w:val="24"/>
              </w:rPr>
            </w:pPr>
            <w:r>
              <w:rPr>
                <w:rFonts w:eastAsia="Calibri" w:cs=""/>
                <w:kern w:val="0"/>
                <w:sz w:val="24"/>
                <w:szCs w:val="24"/>
                <w:lang w:val="ru-RU" w:eastAsia="en-US" w:bidi="ar-SA"/>
              </w:rPr>
              <w:t>Специальные требования не установлены.</w:t>
            </w:r>
          </w:p>
          <w:p>
            <w:pPr>
              <w:pStyle w:val="Style33"/>
              <w:widowControl w:val="false"/>
              <w:suppressAutoHyphens w:val="true"/>
              <w:spacing w:before="60" w:after="60"/>
              <w:rPr>
                <w:rFonts w:ascii="Times New Roman" w:hAnsi="Times New Roman"/>
                <w:sz w:val="24"/>
                <w:szCs w:val="24"/>
                <w:lang w:val="en-US"/>
              </w:rPr>
            </w:pPr>
            <w:r>
              <w:rPr>
                <w:sz w:val="24"/>
                <w:szCs w:val="24"/>
                <w:lang w:val="en-US"/>
              </w:rPr>
            </w:r>
          </w:p>
        </w:tc>
        <w:tc>
          <w:tcPr>
            <w:tcW w:w="8327" w:type="dxa"/>
            <w:tcBorders/>
          </w:tcPr>
          <w:p>
            <w:pPr>
              <w:pStyle w:val="Style30"/>
              <w:widowControl w:val="false"/>
              <w:suppressAutoHyphens w:val="true"/>
              <w:spacing w:before="60" w:after="60"/>
              <w:rPr>
                <w:rFonts w:ascii="Times New Roman" w:hAnsi="Times New Roman"/>
                <w:sz w:val="24"/>
                <w:szCs w:val="24"/>
              </w:rPr>
            </w:pPr>
            <w:r>
              <w:rPr>
                <w:rFonts w:eastAsia="Calibri" w:cs=""/>
                <w:kern w:val="0"/>
                <w:sz w:val="24"/>
                <w:szCs w:val="24"/>
                <w:lang w:val="ru-RU" w:eastAsia="en-US" w:bidi="ar-SA"/>
              </w:rPr>
              <w:t>Специальные требования не установлены.</w:t>
            </w:r>
          </w:p>
        </w:tc>
      </w:tr>
    </w:tbl>
    <w:p>
      <w:pPr>
        <w:pStyle w:val="Style25"/>
        <w:spacing w:before="360" w:after="120"/>
        <w:rPr>
          <w:rFonts w:ascii="Times New Roman" w:hAnsi="Times New Roman"/>
          <w:sz w:val="24"/>
          <w:szCs w:val="24"/>
        </w:rPr>
      </w:pPr>
      <w:bookmarkStart w:id="320" w:name="_Ref125553475"/>
      <w:bookmarkStart w:id="321" w:name="_Ref125553296"/>
      <w:bookmarkStart w:id="322" w:name="_Ref125553681"/>
      <w:bookmarkStart w:id="323" w:name="_Toc229567074"/>
      <w:bookmarkStart w:id="324" w:name="_Ref125709895"/>
      <w:bookmarkStart w:id="325" w:name="_Ref125709541"/>
      <w:bookmarkStart w:id="326" w:name="_Ref125709256"/>
      <w:bookmarkStart w:id="327" w:name="_Ref125709154"/>
      <w:bookmarkStart w:id="328" w:name="_Ref125553242"/>
      <w:bookmarkStart w:id="329" w:name="_Ref125550353"/>
      <w:bookmarkStart w:id="330" w:name="_Ref125550270"/>
      <w:r>
        <w:rPr>
          <w:sz w:val="24"/>
          <w:szCs w:val="24"/>
        </w:rPr>
        <w:t>Квалификационные требования</w:t>
      </w:r>
      <w:bookmarkEnd w:id="320"/>
      <w:bookmarkEnd w:id="321"/>
      <w:bookmarkEnd w:id="322"/>
      <w:bookmarkEnd w:id="323"/>
      <w:bookmarkEnd w:id="324"/>
      <w:bookmarkEnd w:id="325"/>
      <w:bookmarkEnd w:id="326"/>
      <w:bookmarkEnd w:id="327"/>
      <w:bookmarkEnd w:id="328"/>
      <w:bookmarkEnd w:id="329"/>
      <w:bookmarkEnd w:id="330"/>
    </w:p>
    <w:tbl>
      <w:tblPr>
        <w:tblStyle w:val="af6"/>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30"/>
              <w:keepNext w:val="false"/>
              <w:keepLines w:val="false"/>
              <w:widowControl w:val="false"/>
              <w:suppressAutoHyphens w:val="true"/>
              <w:spacing w:before="60" w:after="60"/>
              <w:jc w:val="center"/>
              <w:rPr>
                <w:rFonts w:ascii="Times New Roman" w:hAnsi="Times New Roman"/>
                <w:sz w:val="24"/>
                <w:szCs w:val="24"/>
              </w:rPr>
            </w:pPr>
            <w:r>
              <w:rPr>
                <w:rFonts w:eastAsia="Calibri" w:cs=""/>
                <w:b/>
                <w:kern w:val="0"/>
                <w:sz w:val="24"/>
                <w:szCs w:val="24"/>
                <w:lang w:val="ru-RU" w:eastAsia="en-US" w:bidi="ar-SA"/>
              </w:rPr>
              <w:t>№</w:t>
            </w:r>
            <w:r>
              <w:rPr>
                <w:rFonts w:eastAsia="Calibri" w:cs=""/>
                <w:b/>
                <w:kern w:val="0"/>
                <w:sz w:val="24"/>
                <w:szCs w:val="24"/>
                <w:lang w:val="ru-RU" w:eastAsia="en-US" w:bidi="ar-SA"/>
              </w:rPr>
              <w:br/>
              <w:t>п/п</w:t>
            </w:r>
          </w:p>
        </w:tc>
        <w:tc>
          <w:tcPr>
            <w:tcW w:w="5671" w:type="dxa"/>
            <w:tcBorders/>
          </w:tcPr>
          <w:p>
            <w:pPr>
              <w:pStyle w:val="Style30"/>
              <w:keepNext w:val="false"/>
              <w:keepLines w:val="false"/>
              <w:widowControl w:val="false"/>
              <w:suppressAutoHyphens w:val="true"/>
              <w:spacing w:before="60" w:after="60"/>
              <w:jc w:val="center"/>
              <w:rPr>
                <w:rFonts w:ascii="Times New Roman" w:hAnsi="Times New Roman"/>
                <w:sz w:val="24"/>
                <w:szCs w:val="24"/>
              </w:rPr>
            </w:pPr>
            <w:r>
              <w:rPr>
                <w:rFonts w:eastAsia="Calibri" w:cs=""/>
                <w:b/>
                <w:kern w:val="0"/>
                <w:sz w:val="24"/>
                <w:szCs w:val="24"/>
                <w:lang w:val="ru-RU" w:eastAsia="en-US" w:bidi="ar-SA"/>
              </w:rPr>
              <w:t>Требования к Участнику</w:t>
            </w:r>
          </w:p>
        </w:tc>
        <w:tc>
          <w:tcPr>
            <w:tcW w:w="8327" w:type="dxa"/>
            <w:tcBorders/>
          </w:tcPr>
          <w:p>
            <w:pPr>
              <w:pStyle w:val="Style30"/>
              <w:keepNext w:val="false"/>
              <w:keepLines w:val="false"/>
              <w:widowControl w:val="false"/>
              <w:suppressAutoHyphens w:val="true"/>
              <w:spacing w:before="60" w:after="60"/>
              <w:jc w:val="center"/>
              <w:rPr>
                <w:rFonts w:ascii="Times New Roman" w:hAnsi="Times New Roman"/>
                <w:sz w:val="24"/>
                <w:szCs w:val="24"/>
              </w:rPr>
            </w:pPr>
            <w:r>
              <w:rPr>
                <w:rFonts w:eastAsia="Calibri" w:cs=""/>
                <w:b/>
                <w:kern w:val="0"/>
                <w:sz w:val="24"/>
                <w:szCs w:val="24"/>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cPr>
          <w:p>
            <w:pPr>
              <w:pStyle w:val="Style30"/>
              <w:widowControl w:val="false"/>
              <w:numPr>
                <w:ilvl w:val="0"/>
                <w:numId w:val="9"/>
              </w:numPr>
              <w:suppressAutoHyphens w:val="true"/>
              <w:spacing w:before="60" w:after="60"/>
              <w:ind w:hanging="0" w:left="284"/>
              <w:jc w:val="center"/>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p>
        </w:tc>
        <w:tc>
          <w:tcPr>
            <w:tcW w:w="5671" w:type="dxa"/>
            <w:tcBorders/>
          </w:tcPr>
          <w:p>
            <w:pPr>
              <w:pStyle w:val="Normal"/>
              <w:widowControl w:val="false"/>
              <w:suppressAutoHyphens w:val="true"/>
              <w:spacing w:before="60" w:after="0"/>
              <w:jc w:val="both"/>
              <w:rPr>
                <w:rFonts w:ascii="Times New Roman" w:hAnsi="Times New Roman"/>
                <w:sz w:val="24"/>
                <w:szCs w:val="24"/>
              </w:rPr>
            </w:pPr>
            <w:r>
              <w:rPr>
                <w:sz w:val="24"/>
                <w:szCs w:val="24"/>
              </w:rPr>
              <w:t>Требования к наличию опыта:</w:t>
            </w:r>
          </w:p>
          <w:p>
            <w:pPr>
              <w:pStyle w:val="Normal"/>
              <w:widowControl w:val="false"/>
              <w:tabs>
                <w:tab w:val="clear" w:pos="708"/>
                <w:tab w:val="left" w:pos="4339" w:leader="none"/>
              </w:tabs>
              <w:suppressAutoHyphens w:val="true"/>
              <w:jc w:val="both"/>
              <w:rPr>
                <w:rFonts w:ascii="Times New Roman" w:hAnsi="Times New Roman"/>
                <w:sz w:val="24"/>
                <w:szCs w:val="24"/>
              </w:rPr>
            </w:pPr>
            <w:r>
              <w:rPr>
                <w:sz w:val="24"/>
                <w:szCs w:val="24"/>
                <w:lang w:val="en-US"/>
              </w:rPr>
              <w:t xml:space="preserve">Участнику закупки в качестве повышения предпочтительности своей заявки </w:t>
            </w:r>
            <w:r>
              <w:rPr>
                <w:b/>
                <w:sz w:val="24"/>
                <w:szCs w:val="24"/>
                <w:lang w:val="en-US"/>
              </w:rPr>
              <w:t>рекомендуется предоставить</w:t>
            </w:r>
            <w:r>
              <w:rPr>
                <w:sz w:val="24"/>
                <w:szCs w:val="24"/>
                <w:lang w:val="en-US"/>
              </w:rPr>
              <w:t xml:space="preserve"> сведения для оценки Участника по неценовому критерию: </w:t>
            </w:r>
            <w:r>
              <w:rPr>
                <w:rFonts w:eastAsia="Times New Roman" w:cs="Times New Roman"/>
                <w:i/>
                <w:iCs/>
                <w:sz w:val="24"/>
                <w:szCs w:val="24"/>
                <w:lang w:val="en-US" w:eastAsia="ru-RU"/>
              </w:rPr>
              <w:t>Участник должен иметь опыт выполнения  работ, связанных с  разработкой рабочей документации на модернизацию/ремонт/обследование</w:t>
            </w:r>
            <w:bookmarkStart w:id="331" w:name="_GoBack_Копия_1"/>
            <w:bookmarkEnd w:id="331"/>
            <w:r>
              <w:rPr>
                <w:rFonts w:eastAsia="Times New Roman" w:cs="Times New Roman"/>
                <w:i/>
                <w:iCs/>
                <w:sz w:val="24"/>
                <w:szCs w:val="24"/>
                <w:lang w:val="en-US" w:eastAsia="ru-RU"/>
              </w:rPr>
              <w:t xml:space="preserve"> оборудования системы защиты от взрывов и пожаров SERGI</w:t>
            </w:r>
            <w:r>
              <w:rPr>
                <w:color w:val="000000" w:themeColor="text1"/>
                <w:sz w:val="24"/>
                <w:szCs w:val="24"/>
                <w:lang w:val="en-US"/>
              </w:rPr>
              <w:t>, при этом участником должны быть исполнены обязательства в общем (совокупном) объеме не менее 50 % от НМЦ лота за последние 5 (пять) лет, предшествующих дате подачи заявок.</w:t>
            </w:r>
          </w:p>
        </w:tc>
        <w:tc>
          <w:tcPr>
            <w:tcW w:w="8327" w:type="dxa"/>
            <w:tcBorders/>
          </w:tcPr>
          <w:p>
            <w:pPr>
              <w:pStyle w:val="Normal"/>
              <w:widowControl w:val="false"/>
              <w:suppressAutoHyphens w:val="true"/>
              <w:spacing w:before="0" w:after="60"/>
              <w:jc w:val="both"/>
              <w:rPr/>
            </w:pPr>
            <w:r>
              <w:rPr>
                <w:rFonts w:eastAsia="Calibri"/>
                <w:iCs/>
                <w:sz w:val="24"/>
                <w:szCs w:val="24"/>
              </w:rPr>
              <w:t xml:space="preserve">В составе заявки Участник должен предоставить сведения о ранее выполненных договорах по форме «Справка об опыте Участника» </w:t>
            </w:r>
            <w:r>
              <w:rPr>
                <w:rFonts w:eastAsia="Calibri" w:cs=""/>
                <w:iCs/>
                <w:kern w:val="0"/>
                <w:sz w:val="24"/>
                <w:szCs w:val="24"/>
                <w:lang w:val="ru-RU" w:eastAsia="en-US" w:bidi="ar-SA"/>
              </w:rPr>
              <w:t>(форма 6) (</w:t>
            </w:r>
            <w:hyperlink w:anchor="Прил04_ФормыЗаявки">
              <w:r>
                <w:rPr>
                  <w:rStyle w:val="Style14"/>
                  <w:rFonts w:eastAsia="Calibri" w:cs=""/>
                  <w:iCs/>
                  <w:kern w:val="0"/>
                  <w:sz w:val="24"/>
                  <w:szCs w:val="24"/>
                  <w:lang w:val="ru-RU" w:eastAsia="en-US" w:bidi="ar-SA"/>
                </w:rPr>
                <w:t>Приложение № 4</w:t>
              </w:r>
            </w:hyperlink>
            <w:r>
              <w:rPr>
                <w:rFonts w:eastAsia="Calibri" w:cs=""/>
                <w:iCs/>
                <w:kern w:val="0"/>
                <w:sz w:val="24"/>
                <w:szCs w:val="24"/>
                <w:lang w:val="ru-RU" w:eastAsia="en-US" w:bidi="ar-SA"/>
              </w:rPr>
              <w:t>)</w:t>
            </w:r>
            <w:r>
              <w:rPr>
                <w:rFonts w:eastAsia="Calibri"/>
                <w:iCs/>
                <w:sz w:val="24"/>
                <w:szCs w:val="24"/>
              </w:rPr>
              <w:t>, приведенной в Документации о закупке, с обязательным предоставлением подтверждающих наличие требуемого опыта документов, а именно:</w:t>
            </w:r>
          </w:p>
          <w:p>
            <w:pPr>
              <w:pStyle w:val="Normal"/>
              <w:widowControl w:val="false"/>
              <w:numPr>
                <w:ilvl w:val="0"/>
                <w:numId w:val="0"/>
              </w:numPr>
              <w:suppressAutoHyphens w:val="true"/>
              <w:spacing w:before="0" w:after="60"/>
              <w:ind w:hanging="0" w:left="312"/>
              <w:contextualSpacing/>
              <w:jc w:val="both"/>
              <w:rPr>
                <w:rFonts w:ascii="Times New Roman" w:hAnsi="Times New Roman"/>
                <w:sz w:val="24"/>
                <w:szCs w:val="24"/>
              </w:rPr>
            </w:pPr>
            <w:r>
              <w:rPr>
                <w:rFonts w:eastAsia="Calibri"/>
                <w:iCs/>
                <w:sz w:val="24"/>
                <w:szCs w:val="24"/>
              </w:rPr>
              <w:t>- копии договоров, подписанных с обеих сторон;</w:t>
            </w:r>
          </w:p>
          <w:p>
            <w:pPr>
              <w:pStyle w:val="Normal"/>
              <w:widowControl w:val="false"/>
              <w:numPr>
                <w:ilvl w:val="0"/>
                <w:numId w:val="0"/>
              </w:numPr>
              <w:suppressAutoHyphens w:val="true"/>
              <w:spacing w:before="0" w:after="60"/>
              <w:ind w:hanging="0" w:left="312"/>
              <w:contextualSpacing/>
              <w:rPr>
                <w:rFonts w:ascii="Times New Roman" w:hAnsi="Times New Roman"/>
                <w:sz w:val="24"/>
                <w:szCs w:val="24"/>
              </w:rPr>
            </w:pPr>
            <w:r>
              <w:rPr>
                <w:rFonts w:eastAsia="Calibri"/>
                <w:iCs/>
                <w:sz w:val="24"/>
                <w:szCs w:val="24"/>
              </w:rPr>
              <w:t>- копии товарных накладных по форме ТОРГ-12 или УПД (Универсальный передаточный документ), подписанных с обеих сторон.</w:t>
            </w:r>
          </w:p>
          <w:p>
            <w:pPr>
              <w:pStyle w:val="Normal"/>
              <w:widowControl w:val="false"/>
              <w:numPr>
                <w:ilvl w:val="0"/>
                <w:numId w:val="0"/>
              </w:numPr>
              <w:suppressAutoHyphens w:val="true"/>
              <w:spacing w:before="0" w:after="60"/>
              <w:ind w:hanging="0" w:left="312"/>
              <w:contextualSpacing/>
              <w:jc w:val="both"/>
              <w:rPr>
                <w:rFonts w:ascii="Times New Roman" w:hAnsi="Times New Roman"/>
                <w:sz w:val="24"/>
                <w:szCs w:val="24"/>
              </w:rPr>
            </w:pPr>
            <w:r>
              <w:rPr>
                <w:rFonts w:eastAsia="Calibri"/>
                <w:iCs/>
                <w:sz w:val="24"/>
                <w:szCs w:val="24"/>
              </w:rPr>
              <w:t>К рассмотрению не принимаются подтверждающие документы, не указанные в «Справке об опыте Участника», а также сведения, не позволяющие явным (однозначным) образом определить опыт Участника.</w:t>
            </w:r>
          </w:p>
        </w:tc>
      </w:tr>
    </w:tbl>
    <w:p>
      <w:pPr>
        <w:pStyle w:val="Style25"/>
        <w:spacing w:before="360" w:after="120"/>
        <w:rPr>
          <w:rFonts w:ascii="Times New Roman" w:hAnsi="Times New Roman"/>
          <w:sz w:val="24"/>
          <w:szCs w:val="24"/>
        </w:rPr>
      </w:pPr>
      <w:bookmarkStart w:id="332" w:name="_Ref125709777"/>
      <w:bookmarkStart w:id="333" w:name="_Ref125370209"/>
      <w:bookmarkStart w:id="334" w:name="_Toc229567075"/>
      <w:bookmarkStart w:id="335" w:name="_Ref125709973"/>
      <w:bookmarkStart w:id="336" w:name="_Ref125370173"/>
      <w:bookmarkStart w:id="337" w:name="_Ref125362031"/>
      <w:bookmarkStart w:id="338" w:name="_Ref125369117"/>
      <w:bookmarkStart w:id="339" w:name="_Ref125370180"/>
      <w:bookmarkStart w:id="340" w:name="_Ref125361823"/>
      <w:r>
        <w:rPr>
          <w:sz w:val="24"/>
          <w:szCs w:val="24"/>
        </w:rPr>
        <w:t>Дополнительные требования к Генеральным подрядчикам</w:t>
      </w:r>
      <w:bookmarkEnd w:id="332"/>
      <w:bookmarkEnd w:id="333"/>
      <w:bookmarkEnd w:id="334"/>
      <w:bookmarkEnd w:id="335"/>
      <w:bookmarkEnd w:id="336"/>
      <w:bookmarkEnd w:id="337"/>
      <w:bookmarkEnd w:id="338"/>
      <w:bookmarkEnd w:id="339"/>
      <w:bookmarkEnd w:id="340"/>
    </w:p>
    <w:tbl>
      <w:tblPr>
        <w:tblStyle w:val="af6"/>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30"/>
              <w:keepNext w:val="false"/>
              <w:keepLines w:val="false"/>
              <w:widowControl w:val="false"/>
              <w:suppressAutoHyphens w:val="true"/>
              <w:spacing w:before="60" w:after="60"/>
              <w:jc w:val="center"/>
              <w:rPr>
                <w:rFonts w:ascii="Times New Roman" w:hAnsi="Times New Roman"/>
                <w:sz w:val="24"/>
                <w:szCs w:val="24"/>
              </w:rPr>
            </w:pPr>
            <w:r>
              <w:rPr>
                <w:rFonts w:eastAsia="Calibri" w:cs=""/>
                <w:b/>
                <w:kern w:val="0"/>
                <w:sz w:val="24"/>
                <w:szCs w:val="24"/>
                <w:lang w:val="ru-RU" w:eastAsia="en-US" w:bidi="ar-SA"/>
              </w:rPr>
              <w:t>№</w:t>
            </w:r>
            <w:r>
              <w:rPr>
                <w:rFonts w:eastAsia="Calibri" w:cs=""/>
                <w:b/>
                <w:kern w:val="0"/>
                <w:sz w:val="24"/>
                <w:szCs w:val="24"/>
                <w:lang w:val="ru-RU" w:eastAsia="en-US" w:bidi="ar-SA"/>
              </w:rPr>
              <w:br/>
              <w:t>п/п</w:t>
            </w:r>
          </w:p>
        </w:tc>
        <w:tc>
          <w:tcPr>
            <w:tcW w:w="5671" w:type="dxa"/>
            <w:tcBorders/>
          </w:tcPr>
          <w:p>
            <w:pPr>
              <w:pStyle w:val="Style30"/>
              <w:keepNext w:val="false"/>
              <w:keepLines w:val="false"/>
              <w:widowControl w:val="false"/>
              <w:suppressAutoHyphens w:val="true"/>
              <w:spacing w:before="60" w:after="60"/>
              <w:jc w:val="center"/>
              <w:rPr>
                <w:rFonts w:ascii="Times New Roman" w:hAnsi="Times New Roman"/>
                <w:sz w:val="24"/>
                <w:szCs w:val="24"/>
              </w:rPr>
            </w:pPr>
            <w:r>
              <w:rPr>
                <w:rFonts w:eastAsia="Calibri" w:cs=""/>
                <w:b/>
                <w:kern w:val="0"/>
                <w:sz w:val="24"/>
                <w:szCs w:val="24"/>
                <w:lang w:val="ru-RU" w:eastAsia="en-US" w:bidi="ar-SA"/>
              </w:rPr>
              <w:t>Требования к Генеральному подрядчику</w:t>
            </w:r>
          </w:p>
        </w:tc>
        <w:tc>
          <w:tcPr>
            <w:tcW w:w="8327" w:type="dxa"/>
            <w:tcBorders/>
          </w:tcPr>
          <w:p>
            <w:pPr>
              <w:pStyle w:val="Style30"/>
              <w:keepNext w:val="false"/>
              <w:keepLines w:val="false"/>
              <w:widowControl w:val="false"/>
              <w:suppressAutoHyphens w:val="true"/>
              <w:spacing w:before="60" w:after="60"/>
              <w:jc w:val="center"/>
              <w:rPr>
                <w:rFonts w:ascii="Times New Roman" w:hAnsi="Times New Roman"/>
                <w:sz w:val="24"/>
                <w:szCs w:val="24"/>
              </w:rPr>
            </w:pPr>
            <w:r>
              <w:rPr>
                <w:rFonts w:eastAsia="Calibri" w:cs=""/>
                <w:b/>
                <w:kern w:val="0"/>
                <w:sz w:val="24"/>
                <w:szCs w:val="24"/>
                <w:lang w:val="ru-RU" w:eastAsia="en-US" w:bidi="ar-SA"/>
              </w:rPr>
              <w:t>Требования к документам, подтверждающим соответствие</w:t>
              <w:br/>
              <w:t>Генерального подрядчика установленным требованиям</w:t>
            </w:r>
          </w:p>
        </w:tc>
      </w:tr>
      <w:tr>
        <w:trPr/>
        <w:tc>
          <w:tcPr>
            <w:tcW w:w="1128" w:type="dxa"/>
            <w:tcBorders/>
          </w:tcPr>
          <w:p>
            <w:pPr>
              <w:pStyle w:val="Style30"/>
              <w:widowControl w:val="false"/>
              <w:numPr>
                <w:ilvl w:val="0"/>
                <w:numId w:val="4"/>
              </w:numPr>
              <w:suppressAutoHyphens w:val="true"/>
              <w:spacing w:before="60" w:after="60"/>
              <w:ind w:hanging="0" w:left="284"/>
              <w:jc w:val="center"/>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bookmarkStart w:id="341" w:name="_Ref125370187"/>
            <w:bookmarkStart w:id="342" w:name="_Ref125370187"/>
            <w:bookmarkEnd w:id="342"/>
          </w:p>
        </w:tc>
        <w:tc>
          <w:tcPr>
            <w:tcW w:w="5671" w:type="dxa"/>
            <w:tcBorders/>
          </w:tcPr>
          <w:p>
            <w:pPr>
              <w:pStyle w:val="Style30"/>
              <w:widowControl w:val="false"/>
              <w:suppressAutoHyphens w:val="true"/>
              <w:spacing w:before="60" w:after="60"/>
              <w:rPr>
                <w:rFonts w:ascii="Times New Roman" w:hAnsi="Times New Roman"/>
                <w:sz w:val="24"/>
                <w:szCs w:val="24"/>
              </w:rPr>
            </w:pPr>
            <w:r>
              <w:rPr>
                <w:rFonts w:eastAsia="Calibri" w:cs=""/>
                <w:kern w:val="0"/>
                <w:sz w:val="24"/>
                <w:szCs w:val="24"/>
                <w:lang w:val="ru-RU" w:eastAsia="en-US" w:bidi="ar-SA"/>
              </w:rPr>
              <w:t>Заявка Генерального подрядчика дополнительно должна включать сведения о распределении объемов поставки продукции между Генеральным подрядчиком и субподрядчиками:</w:t>
            </w:r>
          </w:p>
        </w:tc>
        <w:tc>
          <w:tcPr>
            <w:tcW w:w="8327" w:type="dxa"/>
            <w:tcBorders/>
          </w:tcPr>
          <w:p>
            <w:pPr>
              <w:pStyle w:val="Style30"/>
              <w:widowControl w:val="false"/>
              <w:suppressAutoHyphens w:val="true"/>
              <w:spacing w:before="60" w:after="60"/>
              <w:rPr/>
            </w:pPr>
            <w:r>
              <w:rPr>
                <w:rFonts w:eastAsia="Calibri" w:cs=""/>
                <w:kern w:val="0"/>
                <w:sz w:val="24"/>
                <w:szCs w:val="24"/>
                <w:lang w:val="ru-RU" w:eastAsia="en-US" w:bidi="ar-SA"/>
              </w:rPr>
              <w:t>План распределения объемов поставки продукции (форма 10) (</w:t>
            </w:r>
            <w:hyperlink w:anchor="Прил04_ФормыЗаявки">
              <w:r>
                <w:rPr>
                  <w:rStyle w:val="Style14"/>
                  <w:rFonts w:eastAsia="Calibri" w:cs=""/>
                  <w:kern w:val="0"/>
                  <w:sz w:val="24"/>
                  <w:szCs w:val="24"/>
                  <w:lang w:val="ru-RU" w:eastAsia="en-US" w:bidi="ar-SA"/>
                </w:rPr>
                <w:t>Приложение № 4</w:t>
              </w:r>
            </w:hyperlink>
            <w:r>
              <w:rPr>
                <w:rFonts w:eastAsia="Calibri" w:cs=""/>
                <w:kern w:val="0"/>
                <w:sz w:val="24"/>
                <w:szCs w:val="24"/>
                <w:lang w:val="ru-RU" w:eastAsia="en-US" w:bidi="ar-SA"/>
              </w:rPr>
              <w:t>) с указанием необходимой информации;</w:t>
            </w:r>
          </w:p>
        </w:tc>
      </w:tr>
      <w:tr>
        <w:trPr/>
        <w:tc>
          <w:tcPr>
            <w:tcW w:w="1128" w:type="dxa"/>
            <w:tcBorders/>
          </w:tcPr>
          <w:p>
            <w:pPr>
              <w:pStyle w:val="Style30"/>
              <w:widowControl w:val="false"/>
              <w:numPr>
                <w:ilvl w:val="0"/>
                <w:numId w:val="4"/>
              </w:numPr>
              <w:suppressAutoHyphens w:val="true"/>
              <w:spacing w:before="60" w:after="60"/>
              <w:ind w:hanging="0" w:left="284"/>
              <w:jc w:val="center"/>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bookmarkStart w:id="343" w:name="_Ref125370199"/>
            <w:bookmarkStart w:id="344" w:name="_Ref125370199"/>
            <w:bookmarkEnd w:id="344"/>
          </w:p>
        </w:tc>
        <w:tc>
          <w:tcPr>
            <w:tcW w:w="5671" w:type="dxa"/>
            <w:tcBorders/>
          </w:tcPr>
          <w:p>
            <w:pPr>
              <w:pStyle w:val="Style30"/>
              <w:widowControl w:val="false"/>
              <w:suppressAutoHyphens w:val="true"/>
              <w:spacing w:before="60" w:after="60"/>
              <w:rPr>
                <w:rFonts w:ascii="Times New Roman" w:hAnsi="Times New Roman"/>
                <w:sz w:val="24"/>
                <w:szCs w:val="24"/>
              </w:rPr>
            </w:pPr>
            <w:r>
              <w:rPr>
                <w:rFonts w:eastAsia="Calibri" w:cs=""/>
                <w:kern w:val="0"/>
                <w:sz w:val="24"/>
                <w:szCs w:val="24"/>
                <w:lang w:val="ru-RU" w:eastAsia="en-US" w:bidi="ar-SA"/>
              </w:rPr>
              <w:t>Генеральный подрядчик должен доказать, что каждый из привлекаемых им субподрядчиков:</w:t>
            </w:r>
          </w:p>
          <w:p>
            <w:pPr>
              <w:pStyle w:val="Style30"/>
              <w:widowControl w:val="false"/>
              <w:numPr>
                <w:ilvl w:val="0"/>
                <w:numId w:val="12"/>
              </w:numPr>
              <w:suppressAutoHyphens w:val="true"/>
              <w:spacing w:before="60" w:after="60"/>
              <w:ind w:hanging="284" w:left="284"/>
              <w:rPr>
                <w:rFonts w:ascii="Times New Roman" w:hAnsi="Times New Roman"/>
                <w:sz w:val="24"/>
                <w:szCs w:val="24"/>
              </w:rPr>
            </w:pPr>
            <w:r>
              <w:rPr>
                <w:rFonts w:eastAsia="Calibri" w:cs=""/>
                <w:kern w:val="0"/>
                <w:sz w:val="24"/>
                <w:szCs w:val="24"/>
                <w:lang w:val="ru-RU" w:eastAsia="en-US" w:bidi="ar-SA"/>
              </w:rPr>
              <w:t>осведомлен о привлечении его в качестве субподрядчика;</w:t>
            </w:r>
          </w:p>
          <w:p>
            <w:pPr>
              <w:pStyle w:val="Style30"/>
              <w:widowControl w:val="false"/>
              <w:numPr>
                <w:ilvl w:val="0"/>
                <w:numId w:val="12"/>
              </w:numPr>
              <w:suppressAutoHyphens w:val="true"/>
              <w:spacing w:before="60" w:after="60"/>
              <w:ind w:hanging="284" w:left="284"/>
              <w:rPr>
                <w:rFonts w:ascii="Times New Roman" w:hAnsi="Times New Roman"/>
                <w:sz w:val="24"/>
                <w:szCs w:val="24"/>
              </w:rPr>
            </w:pPr>
            <w:r>
              <w:rPr>
                <w:rFonts w:eastAsia="Calibri" w:cs=""/>
                <w:kern w:val="0"/>
                <w:sz w:val="24"/>
                <w:szCs w:val="24"/>
                <w:lang w:val="ru-RU" w:eastAsia="en-US" w:bidi="ar-SA"/>
              </w:rPr>
              <w:t>согласен с выделяемым ему перечнем, объемами, сроками и стоимостью поставки продукции:</w:t>
            </w:r>
          </w:p>
        </w:tc>
        <w:tc>
          <w:tcPr>
            <w:tcW w:w="8327" w:type="dxa"/>
            <w:tcBorders/>
          </w:tcPr>
          <w:p>
            <w:pPr>
              <w:pStyle w:val="Style30"/>
              <w:widowControl w:val="false"/>
              <w:suppressAutoHyphens w:val="true"/>
              <w:spacing w:before="60" w:after="60"/>
              <w:rPr>
                <w:rFonts w:ascii="Times New Roman" w:hAnsi="Times New Roman"/>
                <w:sz w:val="24"/>
                <w:szCs w:val="24"/>
              </w:rPr>
            </w:pPr>
            <w:r>
              <w:rPr>
                <w:rFonts w:eastAsia="Calibri" w:cs=""/>
                <w:kern w:val="0"/>
                <w:sz w:val="24"/>
                <w:szCs w:val="24"/>
                <w:lang w:val="ru-RU" w:eastAsia="en-US" w:bidi="ar-SA"/>
              </w:rPr>
              <w:t>Письмо от имени каждого привлекаемого субподрядчика (составляется в произвольной форме), подтверждающее его согласие на привлечение в качестве субподрядчика, с указанием объема и стоимости возлагаемой на него поставки продукции, а также сроков поставки продукции;</w:t>
            </w:r>
          </w:p>
        </w:tc>
      </w:tr>
      <w:tr>
        <w:trPr/>
        <w:tc>
          <w:tcPr>
            <w:tcW w:w="1128" w:type="dxa"/>
            <w:tcBorders/>
          </w:tcPr>
          <w:p>
            <w:pPr>
              <w:pStyle w:val="Style30"/>
              <w:widowControl w:val="false"/>
              <w:numPr>
                <w:ilvl w:val="0"/>
                <w:numId w:val="4"/>
              </w:numPr>
              <w:suppressAutoHyphens w:val="true"/>
              <w:spacing w:before="60" w:after="60"/>
              <w:ind w:hanging="0" w:left="284"/>
              <w:jc w:val="center"/>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bookmarkStart w:id="345" w:name="_Ref125370193"/>
            <w:bookmarkStart w:id="346" w:name="_Ref125370193"/>
            <w:bookmarkEnd w:id="346"/>
          </w:p>
        </w:tc>
        <w:tc>
          <w:tcPr>
            <w:tcW w:w="5671" w:type="dxa"/>
            <w:tcBorders/>
          </w:tcPr>
          <w:p>
            <w:pPr>
              <w:pStyle w:val="Style30"/>
              <w:widowControl w:val="false"/>
              <w:suppressAutoHyphens w:val="true"/>
              <w:spacing w:before="60" w:after="60"/>
              <w:rPr/>
            </w:pPr>
            <w:r>
              <w:rPr>
                <w:rFonts w:eastAsia="Calibri" w:cs=""/>
                <w:kern w:val="0"/>
                <w:sz w:val="24"/>
                <w:szCs w:val="24"/>
                <w:lang w:val="ru-RU" w:eastAsia="en-US" w:bidi="ar-SA"/>
              </w:rPr>
              <w:t>Соответствие каждого субподрядчика установленным требованиям (с учетом пункта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_Ref125368863 \w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r>
            <w:r>
              <w:rPr>
                <w:sz w:val="24"/>
                <w:kern w:val="0"/>
                <w:szCs w:val="24"/>
                <w:rFonts w:eastAsia="Calibri" w:cs=""/>
                <w:lang w:val="ru-RU" w:eastAsia="en-US" w:bidi="ar-SA"/>
              </w:rPr>
              <w:fldChar w:fldCharType="end"/>
            </w:r>
            <w:r>
              <w:rPr>
                <w:rFonts w:eastAsia="Calibri" w:cs=""/>
                <w:kern w:val="0"/>
                <w:sz w:val="24"/>
                <w:szCs w:val="24"/>
                <w:lang w:val="ru-RU" w:eastAsia="en-US" w:bidi="ar-SA"/>
              </w:rPr>
              <w:t>) в том числе с учетом объема поставки продукции, который ему предполагается поручить в соответствии с Планом распределения объемов (форма 10) (</w:t>
            </w:r>
            <w:hyperlink w:anchor="Прил04_ФормыЗаявки">
              <w:r>
                <w:rPr>
                  <w:rStyle w:val="Style14"/>
                  <w:rFonts w:eastAsia="Calibri" w:cs=""/>
                  <w:kern w:val="0"/>
                  <w:sz w:val="24"/>
                  <w:szCs w:val="24"/>
                  <w:lang w:val="ru-RU" w:eastAsia="en-US" w:bidi="ar-SA"/>
                </w:rPr>
                <w:t>Приложение № 4</w:t>
              </w:r>
            </w:hyperlink>
            <w:r>
              <w:rPr>
                <w:rFonts w:eastAsia="Calibri" w:cs=""/>
                <w:kern w:val="0"/>
                <w:sz w:val="24"/>
                <w:szCs w:val="24"/>
                <w:lang w:val="ru-RU" w:eastAsia="en-US" w:bidi="ar-SA"/>
              </w:rPr>
              <w:t>):</w:t>
            </w:r>
          </w:p>
        </w:tc>
        <w:tc>
          <w:tcPr>
            <w:tcW w:w="8327" w:type="dxa"/>
            <w:tcBorders/>
          </w:tcPr>
          <w:p>
            <w:pPr>
              <w:pStyle w:val="Style30"/>
              <w:widowControl w:val="false"/>
              <w:suppressAutoHyphens w:val="true"/>
              <w:spacing w:before="60" w:after="60"/>
              <w:rPr>
                <w:rFonts w:ascii="Times New Roman" w:hAnsi="Times New Roman"/>
                <w:sz w:val="24"/>
                <w:szCs w:val="24"/>
              </w:rPr>
            </w:pPr>
            <w:r>
              <w:rPr>
                <w:rFonts w:eastAsia="Calibri" w:cs=""/>
                <w:kern w:val="0"/>
                <w:sz w:val="24"/>
                <w:szCs w:val="24"/>
                <w:lang w:val="ru-RU" w:eastAsia="en-US" w:bidi="ar-SA"/>
              </w:rPr>
              <w:t>Сведения и документы, аналогичные установленным в подразделах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_Ref125361435 \w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t>8.2</w:t>
            </w:r>
            <w:r>
              <w:rPr>
                <w:sz w:val="24"/>
                <w:kern w:val="0"/>
                <w:szCs w:val="24"/>
                <w:rFonts w:eastAsia="Calibri" w:cs=""/>
                <w:lang w:val="ru-RU" w:eastAsia="en-US" w:bidi="ar-SA"/>
              </w:rPr>
              <w:fldChar w:fldCharType="end"/>
            </w:r>
            <w:r>
              <w:rPr>
                <w:rFonts w:eastAsia="Calibri" w:cs=""/>
                <w:kern w:val="0"/>
                <w:sz w:val="24"/>
                <w:szCs w:val="24"/>
                <w:lang w:val="ru-RU" w:eastAsia="en-US" w:bidi="ar-SA"/>
              </w:rPr>
              <w:t> –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_Ref125553242 \w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t>8.4</w:t>
            </w:r>
            <w:r>
              <w:rPr>
                <w:sz w:val="24"/>
                <w:kern w:val="0"/>
                <w:szCs w:val="24"/>
                <w:rFonts w:eastAsia="Calibri" w:cs=""/>
                <w:lang w:val="ru-RU" w:eastAsia="en-US" w:bidi="ar-SA"/>
              </w:rPr>
              <w:fldChar w:fldCharType="end"/>
            </w:r>
            <w:r>
              <w:rPr>
                <w:rFonts w:eastAsia="Calibri" w:cs=""/>
                <w:kern w:val="0"/>
                <w:sz w:val="24"/>
                <w:szCs w:val="24"/>
                <w:lang w:val="ru-RU" w:eastAsia="en-US" w:bidi="ar-SA"/>
              </w:rPr>
              <w:t>, в отношении каждого субподрядчика, подтверждающие его соответствие данным требованиям;</w:t>
            </w:r>
          </w:p>
        </w:tc>
      </w:tr>
      <w:tr>
        <w:trPr/>
        <w:tc>
          <w:tcPr>
            <w:tcW w:w="1128" w:type="dxa"/>
            <w:tcBorders/>
          </w:tcPr>
          <w:p>
            <w:pPr>
              <w:pStyle w:val="Style30"/>
              <w:widowControl w:val="false"/>
              <w:numPr>
                <w:ilvl w:val="0"/>
                <w:numId w:val="4"/>
              </w:numPr>
              <w:suppressAutoHyphens w:val="true"/>
              <w:spacing w:before="60" w:after="60"/>
              <w:ind w:hanging="0" w:left="284"/>
              <w:jc w:val="center"/>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bookmarkStart w:id="347" w:name="_Ref125553847"/>
            <w:bookmarkStart w:id="348" w:name="_Ref125553847"/>
            <w:bookmarkEnd w:id="348"/>
          </w:p>
        </w:tc>
        <w:tc>
          <w:tcPr>
            <w:tcW w:w="5671" w:type="dxa"/>
            <w:tcBorders/>
          </w:tcPr>
          <w:p>
            <w:pPr>
              <w:pStyle w:val="Style30"/>
              <w:widowControl w:val="false"/>
              <w:suppressAutoHyphens w:val="true"/>
              <w:spacing w:before="60" w:after="60"/>
              <w:rPr>
                <w:rFonts w:ascii="Times New Roman" w:hAnsi="Times New Roman"/>
                <w:sz w:val="24"/>
                <w:szCs w:val="24"/>
              </w:rPr>
            </w:pPr>
            <w:r>
              <w:rPr>
                <w:rFonts w:eastAsia="Calibri" w:cs=""/>
                <w:kern w:val="0"/>
                <w:sz w:val="24"/>
                <w:szCs w:val="24"/>
                <w:lang w:val="ru-RU" w:eastAsia="en-US" w:bidi="ar-SA"/>
              </w:rPr>
              <w:t>Дополнительные требования не установлены.</w:t>
            </w:r>
          </w:p>
          <w:p>
            <w:pPr>
              <w:pStyle w:val="Style33"/>
              <w:widowControl w:val="false"/>
              <w:suppressAutoHyphens w:val="true"/>
              <w:spacing w:before="60" w:after="60"/>
              <w:rPr>
                <w:rFonts w:ascii="Times New Roman" w:hAnsi="Times New Roman"/>
                <w:sz w:val="24"/>
                <w:szCs w:val="24"/>
                <w:lang w:val="en-US"/>
              </w:rPr>
            </w:pPr>
            <w:r>
              <w:rPr>
                <w:sz w:val="24"/>
                <w:szCs w:val="24"/>
                <w:lang w:val="en-US"/>
              </w:rPr>
            </w:r>
          </w:p>
        </w:tc>
        <w:tc>
          <w:tcPr>
            <w:tcW w:w="8327" w:type="dxa"/>
            <w:tcBorders/>
          </w:tcPr>
          <w:p>
            <w:pPr>
              <w:pStyle w:val="Style30"/>
              <w:widowControl w:val="false"/>
              <w:suppressAutoHyphens w:val="true"/>
              <w:spacing w:before="60" w:after="60"/>
              <w:rPr>
                <w:rFonts w:ascii="Times New Roman" w:hAnsi="Times New Roman"/>
                <w:sz w:val="24"/>
                <w:szCs w:val="24"/>
              </w:rPr>
            </w:pPr>
            <w:r>
              <w:rPr>
                <w:rFonts w:eastAsia="Calibri" w:cs=""/>
                <w:kern w:val="0"/>
                <w:sz w:val="24"/>
                <w:szCs w:val="24"/>
                <w:lang w:val="ru-RU" w:eastAsia="en-US" w:bidi="ar-SA"/>
              </w:rPr>
              <w:t>Дополнительные требования не установлены.</w:t>
            </w:r>
          </w:p>
        </w:tc>
      </w:tr>
    </w:tbl>
    <w:p>
      <w:pPr>
        <w:sectPr>
          <w:headerReference w:type="default" r:id="rId18"/>
          <w:headerReference w:type="first" r:id="rId19"/>
          <w:footerReference w:type="default" r:id="rId20"/>
          <w:footerReference w:type="first" r:id="rId21"/>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24"/>
        <w:rPr>
          <w:rFonts w:ascii="Times New Roman" w:hAnsi="Times New Roman"/>
          <w:sz w:val="24"/>
          <w:szCs w:val="24"/>
        </w:rPr>
      </w:pPr>
      <w:bookmarkStart w:id="349" w:name="Прил04_ФормыЗаявки"/>
      <w:bookmarkStart w:id="350" w:name="_Toc229567076"/>
      <w:bookmarkEnd w:id="349"/>
      <w:r>
        <w:rPr>
          <w:sz w:val="24"/>
          <w:szCs w:val="24"/>
        </w:rPr>
        <w:t>Приложение № 4 – Образцы форм документов, включаемых в состав заявки</w:t>
      </w:r>
      <w:bookmarkEnd w:id="350"/>
    </w:p>
    <w:p>
      <w:pPr>
        <w:pStyle w:val="Style25"/>
        <w:rPr>
          <w:rFonts w:ascii="Times New Roman" w:hAnsi="Times New Roman"/>
          <w:sz w:val="24"/>
          <w:szCs w:val="24"/>
        </w:rPr>
      </w:pPr>
      <w:bookmarkStart w:id="351" w:name="_Toc229567077"/>
      <w:r>
        <w:rPr>
          <w:sz w:val="24"/>
          <w:szCs w:val="24"/>
        </w:rPr>
        <w:t>Пояснения к Образцам форм документов, включаемых в состав заявки</w:t>
      </w:r>
      <w:bookmarkEnd w:id="351"/>
    </w:p>
    <w:p>
      <w:pPr>
        <w:pStyle w:val="Style26"/>
        <w:rPr>
          <w:rFonts w:ascii="Times New Roman" w:hAnsi="Times New Roman"/>
          <w:sz w:val="24"/>
          <w:szCs w:val="24"/>
        </w:rPr>
      </w:pPr>
      <w:r>
        <w:rPr>
          <w:sz w:val="24"/>
          <w:szCs w:val="24"/>
        </w:rPr>
        <w:t>Образцы форм документов, включаемых в состав заявки (с инструкциями по их оформлению), приведены в отдельном файле (предоставляются отдельным документом в составе Документации о закупке), являющимся Приложением № 4 к Документации о закупке. Участник при подготовке заявки обязан придерживаться установленных форм документов.</w:t>
      </w:r>
    </w:p>
    <w:p>
      <w:pPr>
        <w:pStyle w:val="Style24"/>
        <w:rPr>
          <w:rFonts w:ascii="Times New Roman" w:hAnsi="Times New Roman"/>
          <w:sz w:val="24"/>
          <w:szCs w:val="24"/>
        </w:rPr>
      </w:pPr>
      <w:bookmarkStart w:id="352" w:name="_Toc229567078"/>
      <w:bookmarkStart w:id="353" w:name="Прил05_ФормыПобедителя"/>
      <w:bookmarkEnd w:id="353"/>
      <w:r>
        <w:rPr>
          <w:sz w:val="24"/>
          <w:szCs w:val="24"/>
        </w:rPr>
        <w:t>Приложение № 5 – Образцы форм документов, предоставляемых Победителем</w:t>
      </w:r>
      <w:bookmarkEnd w:id="352"/>
    </w:p>
    <w:p>
      <w:pPr>
        <w:pStyle w:val="Style25"/>
        <w:rPr>
          <w:rFonts w:ascii="Times New Roman" w:hAnsi="Times New Roman"/>
          <w:sz w:val="24"/>
          <w:szCs w:val="24"/>
        </w:rPr>
      </w:pPr>
      <w:bookmarkStart w:id="354" w:name="_Toc229567079"/>
      <w:r>
        <w:rPr>
          <w:sz w:val="24"/>
          <w:szCs w:val="24"/>
        </w:rPr>
        <w:t>Пояснения к Образцам форм документов, предоставляемых Победителем</w:t>
      </w:r>
      <w:bookmarkEnd w:id="354"/>
    </w:p>
    <w:p>
      <w:pPr>
        <w:pStyle w:val="Style26"/>
        <w:rPr>
          <w:rFonts w:ascii="Times New Roman" w:hAnsi="Times New Roman"/>
          <w:sz w:val="24"/>
          <w:szCs w:val="24"/>
        </w:rPr>
      </w:pPr>
      <w:r>
        <w:rPr>
          <w:sz w:val="24"/>
          <w:szCs w:val="24"/>
        </w:rPr>
        <w:t>Образцы форм документов, предоставляемых Победителем (или Единственным участником, в случае признания закупки несостоявшейся и принятия решения о заключении договора с ее Единственным участником), а также дополнительные пояснения по их предоставлению и инструкции по их оформлению, приведены в подразделах </w:t>
      </w:r>
      <w:r>
        <w:rPr>
          <w:sz w:val="24"/>
          <w:szCs w:val="24"/>
        </w:rPr>
        <w:fldChar w:fldCharType="begin"/>
      </w:r>
      <w:r>
        <w:rPr>
          <w:sz w:val="24"/>
          <w:szCs w:val="24"/>
        </w:rPr>
        <w:instrText xml:space="preserve"> REF _Ref130395470 \r \h </w:instrText>
      </w:r>
      <w:r>
        <w:rPr>
          <w:sz w:val="24"/>
          <w:szCs w:val="24"/>
        </w:rPr>
        <w:fldChar w:fldCharType="separate"/>
      </w:r>
      <w:r>
        <w:rPr>
          <w:sz w:val="24"/>
          <w:szCs w:val="24"/>
        </w:rPr>
        <w:t>10.2</w:t>
      </w:r>
      <w:r>
        <w:rPr>
          <w:sz w:val="24"/>
          <w:szCs w:val="24"/>
        </w:rPr>
        <w:fldChar w:fldCharType="end"/>
      </w:r>
      <w:r>
        <w:rPr>
          <w:sz w:val="24"/>
          <w:szCs w:val="24"/>
        </w:rPr>
        <w:t xml:space="preserve">, </w:t>
      </w:r>
      <w:r>
        <w:rPr>
          <w:sz w:val="24"/>
          <w:szCs w:val="24"/>
        </w:rPr>
        <w:fldChar w:fldCharType="begin"/>
      </w:r>
      <w:r>
        <w:rPr>
          <w:sz w:val="24"/>
          <w:szCs w:val="24"/>
        </w:rPr>
        <w:instrText xml:space="preserve"> REF _Ref130395475 \r \h </w:instrText>
      </w:r>
      <w:r>
        <w:rPr>
          <w:sz w:val="24"/>
          <w:szCs w:val="24"/>
        </w:rPr>
        <w:fldChar w:fldCharType="separate"/>
      </w:r>
      <w:r>
        <w:rPr>
          <w:sz w:val="24"/>
          <w:szCs w:val="24"/>
        </w:rPr>
        <w:t>10.3</w:t>
      </w:r>
      <w:r>
        <w:rPr>
          <w:sz w:val="24"/>
          <w:szCs w:val="24"/>
        </w:rPr>
        <w:fldChar w:fldCharType="end"/>
      </w:r>
      <w:r>
        <w:rPr>
          <w:sz w:val="24"/>
          <w:szCs w:val="24"/>
        </w:rPr>
        <w:t>.</w:t>
      </w:r>
    </w:p>
    <w:p>
      <w:pPr>
        <w:pStyle w:val="Style25"/>
        <w:rPr>
          <w:rFonts w:ascii="Times New Roman" w:hAnsi="Times New Roman"/>
          <w:sz w:val="24"/>
          <w:szCs w:val="24"/>
        </w:rPr>
      </w:pPr>
      <w:bookmarkStart w:id="355" w:name="_Ref130395470"/>
      <w:bookmarkStart w:id="356" w:name="_Toc229567080"/>
      <w:r>
        <w:rPr>
          <w:sz w:val="24"/>
          <w:szCs w:val="24"/>
        </w:rPr>
        <w:t>Форма справки «Сведения о цепочке собственников, включая бенефициаров (в том числе конечных)»</w:t>
      </w:r>
      <w:bookmarkEnd w:id="355"/>
      <w:bookmarkEnd w:id="356"/>
    </w:p>
    <w:p>
      <w:pPr>
        <w:pStyle w:val="Style26"/>
        <w:rPr>
          <w:rFonts w:ascii="Times New Roman" w:hAnsi="Times New Roman"/>
          <w:sz w:val="24"/>
          <w:szCs w:val="24"/>
        </w:rPr>
      </w:pPr>
      <w:r>
        <w:rPr>
          <w:sz w:val="24"/>
          <w:szCs w:val="24"/>
        </w:rPr>
        <w:t>Справка «Сведения о цепочке собственников, включая бенефициаров (в том числе конечных)» предоставляется Победителем закупки (поставщиком).</w:t>
      </w:r>
    </w:p>
    <w:p>
      <w:pPr>
        <w:pStyle w:val="Style26"/>
        <w:rPr>
          <w:rFonts w:ascii="Times New Roman" w:hAnsi="Times New Roman"/>
          <w:sz w:val="24"/>
          <w:szCs w:val="24"/>
        </w:rPr>
      </w:pPr>
      <w:r>
        <w:rPr>
          <w:sz w:val="24"/>
          <w:szCs w:val="24"/>
        </w:rPr>
        <w:t xml:space="preserve">Форма справки «Сведения о цепочке собственников, включая бенефициаров (в том числе конечных)» </w:t>
      </w:r>
      <w:r>
        <w:rPr>
          <w:sz w:val="24"/>
          <w:szCs w:val="24"/>
          <w:lang w:val="en-US"/>
        </w:rPr>
        <w:t>c</w:t>
      </w:r>
      <w:r>
        <w:rPr>
          <w:sz w:val="24"/>
          <w:szCs w:val="24"/>
        </w:rPr>
        <w:t xml:space="preserve"> приложением 1 «Перечень подтверждающих документов» и приложением 2 «Согласие на обработку и передачу персональных и иных охраняемых законом данных» приведена в отдельном файле в формате </w:t>
      </w:r>
      <w:r>
        <w:rPr>
          <w:sz w:val="24"/>
          <w:szCs w:val="24"/>
          <w:lang w:val="en-US"/>
        </w:rPr>
        <w:t>Microsoft</w:t>
      </w:r>
      <w:r>
        <w:rPr>
          <w:sz w:val="24"/>
          <w:szCs w:val="24"/>
        </w:rPr>
        <w:t xml:space="preserve"> </w:t>
      </w:r>
      <w:r>
        <w:rPr>
          <w:sz w:val="24"/>
          <w:szCs w:val="24"/>
          <w:lang w:val="en-US"/>
        </w:rPr>
        <w:t>Word</w:t>
      </w:r>
      <w:r>
        <w:rPr>
          <w:sz w:val="24"/>
          <w:szCs w:val="24"/>
        </w:rPr>
        <w:t>:</w:t>
      </w:r>
      <w:bookmarkStart w:id="357" w:name="_MON_1819094222"/>
    </w:p>
    <w:p>
      <w:pPr>
        <w:pStyle w:val="Style30"/>
        <w:jc w:val="center"/>
        <w:rPr>
          <w:rFonts w:ascii="Times New Roman" w:hAnsi="Times New Roman"/>
          <w:sz w:val="24"/>
          <w:szCs w:val="24"/>
        </w:rPr>
      </w:pPr>
      <w:bookmarkEnd w:id="357"/>
      <w:r>
        <w:rPr/>
        <w:object>
          <v:shapetype id="_x0000_tole_rId22" coordsize="21600,21600" o:spt="ole_rId22"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2" type="_x0000_tole_rId22" style="width:75.65pt;height:49.6pt;mso-wrap-distance-right:0pt" filled="f" o:ole="">
            <v:imagedata r:id="rId23" o:title=""/>
          </v:shape>
          <o:OLEObject Type="Embed" ProgID="Word.Document.12" ShapeID="ole_rId22" DrawAspect="Icon" ObjectID="_1450198440" r:id="rId22"/>
        </w:object>
      </w:r>
    </w:p>
    <w:p>
      <w:pPr>
        <w:pStyle w:val="Style25"/>
        <w:rPr>
          <w:rFonts w:ascii="Times New Roman" w:hAnsi="Times New Roman"/>
          <w:sz w:val="24"/>
          <w:szCs w:val="24"/>
        </w:rPr>
      </w:pPr>
      <w:bookmarkStart w:id="358" w:name="_Ref130395475"/>
      <w:bookmarkStart w:id="359" w:name="_Toc229567081"/>
      <w:r>
        <w:rPr>
          <w:sz w:val="24"/>
          <w:szCs w:val="24"/>
        </w:rPr>
        <w:t>Форма «Заверение об обстоятельствах»</w:t>
      </w:r>
      <w:bookmarkEnd w:id="358"/>
      <w:bookmarkEnd w:id="359"/>
    </w:p>
    <w:p>
      <w:pPr>
        <w:pStyle w:val="Style26"/>
        <w:rPr>
          <w:rFonts w:ascii="Times New Roman" w:hAnsi="Times New Roman"/>
          <w:sz w:val="24"/>
          <w:szCs w:val="24"/>
        </w:rPr>
      </w:pPr>
      <w:r>
        <w:rPr>
          <w:sz w:val="24"/>
          <w:szCs w:val="24"/>
        </w:rPr>
        <w:t>Форма Заверения об обстоятельствах предоставляется Победителем закупки (поставщиком) только при заключении договоров стоимостью свыше 100 000</w:t>
      </w:r>
      <w:r>
        <w:rPr>
          <w:sz w:val="24"/>
          <w:szCs w:val="24"/>
          <w:lang w:val="en-US"/>
        </w:rPr>
        <w:t> </w:t>
      </w:r>
      <w:r>
        <w:rPr>
          <w:sz w:val="24"/>
          <w:szCs w:val="24"/>
        </w:rPr>
        <w:t>000 (Ста миллионов) рублей либо договоров (без ограничения по сумме), положения которых не содержат аналогичных заверений об обстоятельствах, и предоставляется Заказчику в срок не позднее 3</w:t>
      </w:r>
      <w:r>
        <w:rPr>
          <w:sz w:val="24"/>
          <w:szCs w:val="24"/>
          <w:lang w:val="en-US"/>
        </w:rPr>
        <w:t> </w:t>
      </w:r>
      <w:r>
        <w:rPr>
          <w:sz w:val="24"/>
          <w:szCs w:val="24"/>
        </w:rPr>
        <w:t>(трех) рабочих дней с даты официального размещения Организатором итогового протокола по результатам закупки.</w:t>
      </w:r>
    </w:p>
    <w:p>
      <w:pPr>
        <w:pStyle w:val="Style26"/>
        <w:rPr>
          <w:rFonts w:ascii="Times New Roman" w:hAnsi="Times New Roman"/>
          <w:sz w:val="24"/>
          <w:szCs w:val="24"/>
        </w:rPr>
      </w:pPr>
      <w:r>
        <w:rPr>
          <w:sz w:val="24"/>
          <w:szCs w:val="24"/>
        </w:rPr>
        <w:t>Победитель закупки (поставщик) должен выбрать соответствующий ему вариант Заверения об обстоятельствах, исходя из необходимости получения согласий органов управления / одобрения сделки органами управления Поставщика в соответствии с законодательством, уставом, внутренними документами и отдельными решениями органов управления Поставщика, для последующего заключения Договора по предмету настоящей закупки.</w:t>
      </w:r>
    </w:p>
    <w:p>
      <w:pPr>
        <w:pStyle w:val="Style26"/>
        <w:rPr>
          <w:rFonts w:ascii="Times New Roman" w:hAnsi="Times New Roman"/>
          <w:sz w:val="24"/>
          <w:szCs w:val="24"/>
        </w:rPr>
      </w:pPr>
      <w:r>
        <w:rPr>
          <w:sz w:val="24"/>
          <w:szCs w:val="24"/>
        </w:rPr>
        <w:t>Заверение об обстоятельствах следует оформить на официальном бланке Победителя закупки (поставщика) (с указанием даты и номера в соответствии с принятыми у него правилами документооборота) и заверить подписью единоличного исполнительного органа Победителя закупки (поставщика) (или иным уполномоченным лицом на основании доверенности), а также скрепить печатью (при наличии).</w:t>
      </w:r>
    </w:p>
    <w:p>
      <w:pPr>
        <w:pStyle w:val="Style26"/>
        <w:keepNext w:val="true"/>
        <w:rPr>
          <w:rFonts w:ascii="Times New Roman" w:hAnsi="Times New Roman"/>
          <w:sz w:val="24"/>
          <w:szCs w:val="24"/>
        </w:rPr>
      </w:pPr>
      <w:r>
        <w:rPr>
          <w:sz w:val="24"/>
          <w:szCs w:val="24"/>
        </w:rPr>
        <w:t xml:space="preserve">Форма «Заверение об обстоятельствах» приведена в отдельном файле в формате </w:t>
      </w:r>
      <w:r>
        <w:rPr>
          <w:sz w:val="24"/>
          <w:szCs w:val="24"/>
          <w:lang w:val="en-US"/>
        </w:rPr>
        <w:t>Microsoft</w:t>
      </w:r>
      <w:r>
        <w:rPr>
          <w:sz w:val="24"/>
          <w:szCs w:val="24"/>
        </w:rPr>
        <w:t xml:space="preserve"> </w:t>
      </w:r>
      <w:r>
        <w:rPr>
          <w:sz w:val="24"/>
          <w:szCs w:val="24"/>
          <w:lang w:val="en-US"/>
        </w:rPr>
        <w:t>Word</w:t>
      </w:r>
      <w:r>
        <w:rPr>
          <w:sz w:val="24"/>
          <w:szCs w:val="24"/>
        </w:rPr>
        <w:t>:</w:t>
      </w:r>
      <w:bookmarkStart w:id="360" w:name="_MON_1741074184"/>
    </w:p>
    <w:p>
      <w:pPr>
        <w:pStyle w:val="Style30"/>
        <w:spacing w:before="120" w:after="120"/>
        <w:jc w:val="center"/>
        <w:rPr>
          <w:rFonts w:ascii="Times New Roman" w:hAnsi="Times New Roman"/>
          <w:sz w:val="24"/>
          <w:szCs w:val="24"/>
        </w:rPr>
      </w:pPr>
      <w:bookmarkEnd w:id="360"/>
      <w:r>
        <w:rPr/>
        <w:object>
          <v:shapetype id="_x0000_tole_rId24" coordsize="21600,21600" o:spt="ole_rId24"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4" type="_x0000_tole_rId24" style="width:79.25pt;height:50.8pt;mso-wrap-distance-right:0pt;mso-wrap-distance-bottom:6pt" filled="f" o:ole="">
            <v:imagedata r:id="rId25" o:title=""/>
          </v:shape>
          <o:OLEObject Type="Embed" ProgID="Word.Document.12" ShapeID="ole_rId24" DrawAspect="Icon" ObjectID="_49314589" r:id="rId24"/>
        </w:object>
      </w:r>
    </w:p>
    <w:p>
      <w:pPr>
        <w:pStyle w:val="Style24"/>
        <w:rPr>
          <w:rFonts w:ascii="Times New Roman" w:hAnsi="Times New Roman"/>
          <w:sz w:val="24"/>
          <w:szCs w:val="24"/>
        </w:rPr>
      </w:pPr>
      <w:bookmarkStart w:id="361" w:name="Прил06_СоставЗаявки"/>
      <w:bookmarkStart w:id="362" w:name="_Ref125362865"/>
      <w:bookmarkStart w:id="363" w:name="_Toc229567082"/>
      <w:bookmarkStart w:id="364" w:name="_Ref125362900"/>
      <w:bookmarkEnd w:id="361"/>
      <w:r>
        <w:rPr>
          <w:sz w:val="24"/>
          <w:szCs w:val="24"/>
        </w:rPr>
        <w:t>Приложение № 6 – Состав заявки</w:t>
      </w:r>
      <w:bookmarkEnd w:id="362"/>
      <w:bookmarkEnd w:id="363"/>
      <w:bookmarkEnd w:id="364"/>
    </w:p>
    <w:p>
      <w:pPr>
        <w:pStyle w:val="Style25"/>
        <w:rPr>
          <w:rFonts w:ascii="Times New Roman" w:hAnsi="Times New Roman"/>
          <w:sz w:val="24"/>
          <w:szCs w:val="24"/>
        </w:rPr>
      </w:pPr>
      <w:bookmarkStart w:id="365" w:name="_Toc229567083"/>
      <w:r>
        <w:rPr>
          <w:sz w:val="24"/>
          <w:szCs w:val="24"/>
        </w:rPr>
        <w:t>Состав заявки</w:t>
      </w:r>
      <w:bookmarkEnd w:id="365"/>
    </w:p>
    <w:p>
      <w:pPr>
        <w:pStyle w:val="Style26"/>
        <w:spacing w:before="120" w:after="120"/>
        <w:rPr/>
      </w:pPr>
      <w:r>
        <w:rPr>
          <w:sz w:val="24"/>
          <w:szCs w:val="24"/>
        </w:rPr>
        <w:t xml:space="preserve">Заявка на участие в закупке должна содержать следующий комплект документов (по установленным формам и в соответствии с инструкциями, приведенными в </w:t>
      </w:r>
      <w:hyperlink w:anchor="Прил04_ФормыЗаявки">
        <w:r>
          <w:rPr>
            <w:rStyle w:val="Style14"/>
            <w:sz w:val="24"/>
            <w:szCs w:val="24"/>
          </w:rPr>
          <w:t>Приложении № 4</w:t>
        </w:r>
      </w:hyperlink>
      <w:r>
        <w:rPr>
          <w:sz w:val="24"/>
          <w:szCs w:val="24"/>
        </w:rPr>
        <w:t>):</w:t>
      </w:r>
    </w:p>
    <w:tbl>
      <w:tblPr>
        <w:tblStyle w:val="af6"/>
        <w:tblW w:w="8783" w:type="dxa"/>
        <w:jc w:val="left"/>
        <w:tblInd w:w="1129" w:type="dxa"/>
        <w:tblLayout w:type="fixed"/>
        <w:tblCellMar>
          <w:top w:w="0" w:type="dxa"/>
          <w:left w:w="57" w:type="dxa"/>
          <w:bottom w:w="0" w:type="dxa"/>
          <w:right w:w="57" w:type="dxa"/>
        </w:tblCellMar>
        <w:tblLook w:val="04a0" w:noHBand="0" w:noVBand="1" w:firstColumn="1" w:lastRow="0" w:lastColumn="0" w:firstRow="1"/>
      </w:tblPr>
      <w:tblGrid>
        <w:gridCol w:w="707"/>
        <w:gridCol w:w="8075"/>
      </w:tblGrid>
      <w:tr>
        <w:trPr>
          <w:cnfStyle w:val="100000000000" w:firstRow="1" w:lastRow="0" w:firstColumn="0" w:lastColumn="0" w:oddVBand="0" w:evenVBand="0" w:oddHBand="0" w:evenHBand="0" w:firstRowFirstColumn="0" w:firstRowLastColumn="0" w:lastRowFirstColumn="0" w:lastRowLastColumn="0"/>
        </w:trPr>
        <w:tc>
          <w:tcPr>
            <w:tcW w:w="707" w:type="dxa"/>
            <w:tcBorders/>
          </w:tcPr>
          <w:p>
            <w:pPr>
              <w:pStyle w:val="Style30"/>
              <w:keepNext w:val="true"/>
              <w:keepLines w:val="false"/>
              <w:widowControl w:val="false"/>
              <w:suppressAutoHyphens w:val="true"/>
              <w:spacing w:before="60" w:after="60"/>
              <w:jc w:val="center"/>
              <w:rPr>
                <w:rFonts w:ascii="Times New Roman" w:hAnsi="Times New Roman"/>
                <w:sz w:val="24"/>
                <w:szCs w:val="24"/>
              </w:rPr>
            </w:pPr>
            <w:r>
              <w:rPr>
                <w:rFonts w:eastAsia="Calibri" w:cs=""/>
                <w:b/>
                <w:kern w:val="0"/>
                <w:sz w:val="24"/>
                <w:szCs w:val="24"/>
                <w:lang w:val="ru-RU" w:eastAsia="en-US" w:bidi="ar-SA"/>
              </w:rPr>
              <w:t>№</w:t>
            </w:r>
            <w:r>
              <w:rPr>
                <w:rFonts w:eastAsia="Calibri" w:cs=""/>
                <w:b/>
                <w:kern w:val="0"/>
                <w:sz w:val="24"/>
                <w:szCs w:val="24"/>
                <w:lang w:val="ru-RU" w:eastAsia="en-US" w:bidi="ar-SA"/>
              </w:rPr>
              <w:br/>
              <w:t>п/п</w:t>
            </w:r>
          </w:p>
        </w:tc>
        <w:tc>
          <w:tcPr>
            <w:tcW w:w="8075" w:type="dxa"/>
            <w:tcBorders/>
          </w:tcPr>
          <w:p>
            <w:pPr>
              <w:pStyle w:val="Style30"/>
              <w:keepNext w:val="true"/>
              <w:keepLines w:val="false"/>
              <w:widowControl w:val="false"/>
              <w:suppressAutoHyphens w:val="true"/>
              <w:spacing w:before="60" w:after="60"/>
              <w:jc w:val="center"/>
              <w:rPr>
                <w:rFonts w:ascii="Times New Roman" w:hAnsi="Times New Roman"/>
                <w:sz w:val="24"/>
                <w:szCs w:val="24"/>
              </w:rPr>
            </w:pPr>
            <w:r>
              <w:rPr>
                <w:rFonts w:eastAsia="Calibri" w:cs=""/>
                <w:b/>
                <w:kern w:val="0"/>
                <w:sz w:val="24"/>
                <w:szCs w:val="24"/>
                <w:lang w:val="ru-RU" w:eastAsia="en-US" w:bidi="ar-SA"/>
              </w:rPr>
              <w:t>Наименование документа</w:t>
            </w:r>
          </w:p>
        </w:tc>
      </w:tr>
      <w:tr>
        <w:trPr/>
        <w:tc>
          <w:tcPr>
            <w:tcW w:w="707" w:type="dxa"/>
            <w:tcBorders/>
          </w:tcPr>
          <w:p>
            <w:pPr>
              <w:pStyle w:val="Style30"/>
              <w:widowControl w:val="false"/>
              <w:numPr>
                <w:ilvl w:val="0"/>
                <w:numId w:val="5"/>
              </w:numPr>
              <w:suppressAutoHyphens w:val="true"/>
              <w:spacing w:before="60" w:after="60"/>
              <w:ind w:hanging="0" w:left="170"/>
              <w:jc w:val="center"/>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p>
        </w:tc>
        <w:tc>
          <w:tcPr>
            <w:tcW w:w="8075" w:type="dxa"/>
            <w:tcBorders/>
          </w:tcPr>
          <w:p>
            <w:pPr>
              <w:pStyle w:val="Style30"/>
              <w:widowControl w:val="false"/>
              <w:suppressAutoHyphens w:val="true"/>
              <w:spacing w:before="60" w:after="60"/>
              <w:rPr>
                <w:rFonts w:ascii="Times New Roman" w:hAnsi="Times New Roman"/>
                <w:sz w:val="24"/>
                <w:szCs w:val="24"/>
              </w:rPr>
            </w:pPr>
            <w:r>
              <w:rPr>
                <w:rFonts w:eastAsia="Calibri" w:cs=""/>
                <w:kern w:val="0"/>
                <w:sz w:val="24"/>
                <w:szCs w:val="24"/>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30"/>
              <w:widowControl w:val="false"/>
              <w:numPr>
                <w:ilvl w:val="0"/>
                <w:numId w:val="5"/>
              </w:numPr>
              <w:suppressAutoHyphens w:val="true"/>
              <w:spacing w:before="60" w:after="60"/>
              <w:ind w:hanging="0" w:left="170"/>
              <w:jc w:val="center"/>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p>
        </w:tc>
        <w:tc>
          <w:tcPr>
            <w:tcW w:w="8075" w:type="dxa"/>
            <w:tcBorders/>
          </w:tcPr>
          <w:p>
            <w:pPr>
              <w:pStyle w:val="Style30"/>
              <w:widowControl w:val="false"/>
              <w:suppressAutoHyphens w:val="true"/>
              <w:spacing w:before="60" w:after="60"/>
              <w:rPr>
                <w:rFonts w:ascii="Times New Roman" w:hAnsi="Times New Roman"/>
                <w:sz w:val="24"/>
                <w:szCs w:val="24"/>
              </w:rPr>
            </w:pPr>
            <w:r>
              <w:rPr>
                <w:rFonts w:eastAsia="Calibri" w:cs=""/>
                <w:kern w:val="0"/>
                <w:sz w:val="24"/>
                <w:szCs w:val="24"/>
                <w:lang w:val="ru-RU" w:eastAsia="en-US" w:bidi="ar-SA"/>
              </w:rPr>
              <w:t>Письмо о подаче оферты (форма 2);</w:t>
            </w:r>
          </w:p>
        </w:tc>
      </w:tr>
      <w:tr>
        <w:trPr/>
        <w:tc>
          <w:tcPr>
            <w:tcW w:w="707" w:type="dxa"/>
            <w:tcBorders/>
          </w:tcPr>
          <w:p>
            <w:pPr>
              <w:pStyle w:val="Style30"/>
              <w:widowControl w:val="false"/>
              <w:numPr>
                <w:ilvl w:val="0"/>
                <w:numId w:val="5"/>
              </w:numPr>
              <w:suppressAutoHyphens w:val="true"/>
              <w:spacing w:before="60" w:after="60"/>
              <w:ind w:hanging="0" w:left="170"/>
              <w:jc w:val="center"/>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p>
        </w:tc>
        <w:tc>
          <w:tcPr>
            <w:tcW w:w="8075" w:type="dxa"/>
            <w:tcBorders/>
          </w:tcPr>
          <w:p>
            <w:pPr>
              <w:pStyle w:val="Style30"/>
              <w:widowControl w:val="false"/>
              <w:suppressAutoHyphens w:val="true"/>
              <w:spacing w:before="60" w:after="60"/>
              <w:rPr>
                <w:rFonts w:ascii="Times New Roman" w:hAnsi="Times New Roman"/>
                <w:sz w:val="24"/>
                <w:szCs w:val="24"/>
              </w:rPr>
            </w:pPr>
            <w:r>
              <w:rPr>
                <w:rFonts w:eastAsia="Calibri" w:cs=""/>
                <w:kern w:val="0"/>
                <w:sz w:val="24"/>
                <w:szCs w:val="24"/>
                <w:lang w:val="ru-RU" w:eastAsia="en-US" w:bidi="ar-SA"/>
              </w:rPr>
              <w:t>Копия банковской гарантии – предоставляется при необходимости и в случае отсутствия внесенных Участником денежных средств на индивидуальный счет, открытый Участнику Оператором ЭП в соответствии с Регламентом ЭП;</w:t>
            </w:r>
          </w:p>
        </w:tc>
      </w:tr>
      <w:tr>
        <w:trPr/>
        <w:tc>
          <w:tcPr>
            <w:tcW w:w="707" w:type="dxa"/>
            <w:tcBorders/>
          </w:tcPr>
          <w:p>
            <w:pPr>
              <w:pStyle w:val="Style30"/>
              <w:widowControl w:val="false"/>
              <w:numPr>
                <w:ilvl w:val="0"/>
                <w:numId w:val="5"/>
              </w:numPr>
              <w:suppressAutoHyphens w:val="true"/>
              <w:spacing w:before="60" w:after="60"/>
              <w:ind w:hanging="0" w:left="170"/>
              <w:jc w:val="center"/>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4"/>
                <w:szCs w:val="24"/>
                <w:lang w:val="ru-RU" w:eastAsia="en-US" w:bidi="ar-SA"/>
              </w:rPr>
              <w:t xml:space="preserve">Коммерческое предложение (включая Структуру НМЦ) (форма 3); также дополнительно предоставляется подтверждающая документация, составленная в соответствии с </w:t>
            </w:r>
            <w:hyperlink w:anchor="Прил01_ТехТребования">
              <w:r>
                <w:rPr>
                  <w:rStyle w:val="Style14"/>
                  <w:rFonts w:eastAsia="Calibri" w:cs=""/>
                  <w:kern w:val="0"/>
                  <w:sz w:val="24"/>
                  <w:szCs w:val="24"/>
                  <w:lang w:val="ru-RU" w:eastAsia="en-US" w:bidi="ar-SA"/>
                </w:rPr>
                <w:t>Техническими требованиями (Приложение № 1)</w:t>
              </w:r>
            </w:hyperlink>
            <w:r>
              <w:rPr>
                <w:rFonts w:eastAsia="Calibri" w:cs=""/>
                <w:kern w:val="0"/>
                <w:sz w:val="24"/>
                <w:szCs w:val="24"/>
                <w:lang w:val="ru-RU" w:eastAsia="en-US" w:bidi="ar-SA"/>
              </w:rPr>
              <w:t xml:space="preserve"> – только если в Технических требованиях установлены требования к документации по ценообразованию (подраздел «Требования к документации по ценообразованию на этапе закупки») либо аналогичные по смыслу;</w:t>
            </w:r>
          </w:p>
        </w:tc>
      </w:tr>
      <w:tr>
        <w:trPr/>
        <w:tc>
          <w:tcPr>
            <w:tcW w:w="707" w:type="dxa"/>
            <w:tcBorders/>
          </w:tcPr>
          <w:p>
            <w:pPr>
              <w:pStyle w:val="Style30"/>
              <w:widowControl w:val="false"/>
              <w:numPr>
                <w:ilvl w:val="0"/>
                <w:numId w:val="5"/>
              </w:numPr>
              <w:suppressAutoHyphens w:val="true"/>
              <w:spacing w:before="60" w:after="60"/>
              <w:ind w:hanging="0" w:left="170"/>
              <w:jc w:val="center"/>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p>
        </w:tc>
        <w:tc>
          <w:tcPr>
            <w:tcW w:w="8075" w:type="dxa"/>
            <w:tcBorders/>
          </w:tcPr>
          <w:p>
            <w:pPr>
              <w:pStyle w:val="Style30"/>
              <w:widowControl w:val="false"/>
              <w:suppressAutoHyphens w:val="true"/>
              <w:spacing w:before="60" w:after="60"/>
              <w:rPr>
                <w:rFonts w:ascii="Times New Roman" w:hAnsi="Times New Roman"/>
                <w:sz w:val="24"/>
                <w:szCs w:val="24"/>
              </w:rPr>
            </w:pPr>
            <w:r>
              <w:rPr>
                <w:rFonts w:eastAsia="Calibri" w:cs=""/>
                <w:kern w:val="0"/>
                <w:sz w:val="24"/>
                <w:szCs w:val="24"/>
                <w:lang w:val="ru-RU" w:eastAsia="en-US" w:bidi="ar-SA"/>
              </w:rPr>
              <w:t>Техническое предложение (форма 4);</w:t>
            </w:r>
          </w:p>
        </w:tc>
      </w:tr>
      <w:tr>
        <w:trPr/>
        <w:tc>
          <w:tcPr>
            <w:tcW w:w="707" w:type="dxa"/>
            <w:tcBorders/>
          </w:tcPr>
          <w:p>
            <w:pPr>
              <w:pStyle w:val="Style30"/>
              <w:widowControl w:val="false"/>
              <w:numPr>
                <w:ilvl w:val="0"/>
                <w:numId w:val="5"/>
              </w:numPr>
              <w:suppressAutoHyphens w:val="true"/>
              <w:spacing w:before="60" w:after="60"/>
              <w:ind w:hanging="0" w:left="170"/>
              <w:jc w:val="center"/>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p>
        </w:tc>
        <w:tc>
          <w:tcPr>
            <w:tcW w:w="8075" w:type="dxa"/>
            <w:tcBorders/>
          </w:tcPr>
          <w:p>
            <w:pPr>
              <w:pStyle w:val="Style30"/>
              <w:widowControl w:val="false"/>
              <w:suppressAutoHyphens w:val="true"/>
              <w:spacing w:before="60" w:after="60"/>
              <w:rPr>
                <w:rFonts w:ascii="Times New Roman" w:hAnsi="Times New Roman"/>
                <w:sz w:val="24"/>
                <w:szCs w:val="24"/>
              </w:rPr>
            </w:pPr>
            <w:r>
              <w:rPr>
                <w:rFonts w:eastAsia="Calibri" w:cs=""/>
                <w:kern w:val="0"/>
                <w:sz w:val="24"/>
                <w:szCs w:val="24"/>
                <w:lang w:val="ru-RU" w:eastAsia="en-US" w:bidi="ar-SA"/>
              </w:rPr>
              <w:t>Анкета Участника (форма 5);</w:t>
            </w:r>
          </w:p>
        </w:tc>
      </w:tr>
      <w:tr>
        <w:trPr/>
        <w:tc>
          <w:tcPr>
            <w:tcW w:w="707" w:type="dxa"/>
            <w:tcBorders/>
          </w:tcPr>
          <w:p>
            <w:pPr>
              <w:pStyle w:val="Style30"/>
              <w:widowControl w:val="false"/>
              <w:numPr>
                <w:ilvl w:val="0"/>
                <w:numId w:val="5"/>
              </w:numPr>
              <w:suppressAutoHyphens w:val="true"/>
              <w:spacing w:before="60" w:after="60"/>
              <w:ind w:hanging="0" w:left="170"/>
              <w:jc w:val="center"/>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bookmarkStart w:id="366" w:name="_Ref130389408"/>
            <w:bookmarkStart w:id="367" w:name="_Ref130389408"/>
            <w:bookmarkEnd w:id="367"/>
          </w:p>
        </w:tc>
        <w:tc>
          <w:tcPr>
            <w:tcW w:w="8075" w:type="dxa"/>
            <w:tcBorders/>
          </w:tcPr>
          <w:p>
            <w:pPr>
              <w:pStyle w:val="Style30"/>
              <w:widowControl w:val="false"/>
              <w:suppressAutoHyphens w:val="true"/>
              <w:spacing w:before="60" w:after="60"/>
              <w:rPr/>
            </w:pPr>
            <w:r>
              <w:rPr>
                <w:rFonts w:eastAsia="Calibri" w:cs=""/>
                <w:kern w:val="0"/>
                <w:sz w:val="24"/>
                <w:szCs w:val="24"/>
                <w:lang w:val="ru-RU" w:eastAsia="en-US" w:bidi="ar-SA"/>
              </w:rPr>
              <w:t>Справка об опыте Участника (форма 6), с необходимыми приложениями к ней, – предоставляется, если установлено соответствующее квалификационное требование к опыту (подраздел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_Ref125709154 \r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t>8.4</w:t>
            </w:r>
            <w:r>
              <w:rPr>
                <w:sz w:val="24"/>
                <w:kern w:val="0"/>
                <w:szCs w:val="24"/>
                <w:rFonts w:eastAsia="Calibri" w:cs=""/>
                <w:lang w:val="ru-RU" w:eastAsia="en-US" w:bidi="ar-SA"/>
              </w:rPr>
              <w:fldChar w:fldCharType="end"/>
            </w:r>
            <w:r>
              <w:rPr>
                <w:rFonts w:eastAsia="Calibri" w:cs=""/>
                <w:kern w:val="0"/>
                <w:sz w:val="24"/>
                <w:szCs w:val="24"/>
                <w:lang w:val="ru-RU" w:eastAsia="en-US" w:bidi="ar-SA"/>
              </w:rPr>
              <w:t xml:space="preserve"> </w:t>
            </w:r>
            <w:hyperlink w:anchor="Прил03_ТребованияУчастникам">
              <w:r>
                <w:rPr>
                  <w:rStyle w:val="Style14"/>
                  <w:rFonts w:eastAsia="Calibri" w:cs=""/>
                  <w:kern w:val="0"/>
                  <w:sz w:val="24"/>
                  <w:szCs w:val="24"/>
                  <w:lang w:val="ru-RU" w:eastAsia="en-US" w:bidi="ar-SA"/>
                </w:rPr>
                <w:t>Приложения № 3</w:t>
              </w:r>
            </w:hyperlink>
            <w:r>
              <w:rPr>
                <w:rFonts w:eastAsia="Calibri" w:cs=""/>
                <w:kern w:val="0"/>
                <w:sz w:val="24"/>
                <w:szCs w:val="24"/>
                <w:lang w:val="ru-RU" w:eastAsia="en-US" w:bidi="ar-SA"/>
              </w:rPr>
              <w:t xml:space="preserve">) и (или) если в </w:t>
            </w:r>
            <w:hyperlink w:anchor="Прил08_ПорядокОценки">
              <w:r>
                <w:rPr>
                  <w:rStyle w:val="Style14"/>
                  <w:rFonts w:eastAsia="Calibri" w:cs=""/>
                  <w:kern w:val="0"/>
                  <w:sz w:val="24"/>
                  <w:szCs w:val="24"/>
                  <w:lang w:val="ru-RU" w:eastAsia="en-US" w:bidi="ar-SA"/>
                </w:rPr>
                <w:t>Порядке и критериях оценки и сопоставления заявок (Приложение № 8)</w:t>
              </w:r>
            </w:hyperlink>
            <w:r>
              <w:rPr>
                <w:rFonts w:eastAsia="Calibri" w:cs=""/>
                <w:kern w:val="0"/>
                <w:sz w:val="24"/>
                <w:szCs w:val="24"/>
                <w:lang w:val="ru-RU" w:eastAsia="en-US" w:bidi="ar-SA"/>
              </w:rPr>
              <w:t xml:space="preserve"> установлен соответствующий критерий оценки в части опыта;</w:t>
            </w:r>
          </w:p>
        </w:tc>
      </w:tr>
      <w:tr>
        <w:trPr/>
        <w:tc>
          <w:tcPr>
            <w:tcW w:w="707" w:type="dxa"/>
            <w:tcBorders/>
          </w:tcPr>
          <w:p>
            <w:pPr>
              <w:pStyle w:val="Style30"/>
              <w:widowControl w:val="false"/>
              <w:numPr>
                <w:ilvl w:val="0"/>
                <w:numId w:val="5"/>
              </w:numPr>
              <w:suppressAutoHyphens w:val="true"/>
              <w:spacing w:before="60" w:after="60"/>
              <w:ind w:hanging="0" w:left="170"/>
              <w:jc w:val="center"/>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bookmarkStart w:id="368" w:name="_Ref130389413"/>
            <w:bookmarkStart w:id="369" w:name="_Ref130389413"/>
            <w:bookmarkEnd w:id="369"/>
          </w:p>
        </w:tc>
        <w:tc>
          <w:tcPr>
            <w:tcW w:w="8075" w:type="dxa"/>
            <w:tcBorders/>
          </w:tcPr>
          <w:p>
            <w:pPr>
              <w:pStyle w:val="Style30"/>
              <w:widowControl w:val="false"/>
              <w:suppressAutoHyphens w:val="true"/>
              <w:spacing w:before="60" w:after="60"/>
              <w:rPr/>
            </w:pPr>
            <w:r>
              <w:rPr>
                <w:rFonts w:eastAsia="Calibri" w:cs=""/>
                <w:kern w:val="0"/>
                <w:sz w:val="24"/>
                <w:szCs w:val="24"/>
                <w:lang w:val="ru-RU" w:eastAsia="en-US" w:bidi="ar-SA"/>
              </w:rPr>
              <w:t>Справка о материально-технических ресурсах (форма 7), с необходимыми приложениями к ней – предоставляется, если установлено соответствующее квалификационное требование к наличию (привлечению) материально-технических ресурсов (подраздел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_Ref125709154 \r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t>8.4</w:t>
            </w:r>
            <w:r>
              <w:rPr>
                <w:sz w:val="24"/>
                <w:kern w:val="0"/>
                <w:szCs w:val="24"/>
                <w:rFonts w:eastAsia="Calibri" w:cs=""/>
                <w:lang w:val="ru-RU" w:eastAsia="en-US" w:bidi="ar-SA"/>
              </w:rPr>
              <w:fldChar w:fldCharType="end"/>
            </w:r>
            <w:r>
              <w:rPr>
                <w:rFonts w:eastAsia="Calibri" w:cs=""/>
                <w:kern w:val="0"/>
                <w:sz w:val="24"/>
                <w:szCs w:val="24"/>
                <w:lang w:val="ru-RU" w:eastAsia="en-US" w:bidi="ar-SA"/>
              </w:rPr>
              <w:t xml:space="preserve"> </w:t>
            </w:r>
            <w:hyperlink w:anchor="Прил03_ТребованияУчастникам">
              <w:r>
                <w:rPr>
                  <w:rStyle w:val="Style14"/>
                  <w:rFonts w:eastAsia="Calibri" w:cs=""/>
                  <w:kern w:val="0"/>
                  <w:sz w:val="24"/>
                  <w:szCs w:val="24"/>
                  <w:lang w:val="ru-RU" w:eastAsia="en-US" w:bidi="ar-SA"/>
                </w:rPr>
                <w:t>Приложения № 3</w:t>
              </w:r>
            </w:hyperlink>
            <w:r>
              <w:rPr>
                <w:rFonts w:eastAsia="Calibri" w:cs=""/>
                <w:kern w:val="0"/>
                <w:sz w:val="24"/>
                <w:szCs w:val="24"/>
                <w:lang w:val="ru-RU" w:eastAsia="en-US" w:bidi="ar-SA"/>
              </w:rPr>
              <w:t xml:space="preserve">) и (или) если в </w:t>
            </w:r>
            <w:hyperlink w:anchor="Прил08_ПорядокОценки">
              <w:r>
                <w:rPr>
                  <w:rStyle w:val="Style14"/>
                  <w:rFonts w:eastAsia="Calibri" w:cs=""/>
                  <w:kern w:val="0"/>
                  <w:sz w:val="24"/>
                  <w:szCs w:val="24"/>
                  <w:lang w:val="ru-RU" w:eastAsia="en-US" w:bidi="ar-SA"/>
                </w:rPr>
                <w:t>Порядке и критериях оценки и сопоставления заявок (Приложение № 8)</w:t>
              </w:r>
            </w:hyperlink>
            <w:r>
              <w:rPr>
                <w:rFonts w:eastAsia="Calibri" w:cs=""/>
                <w:kern w:val="0"/>
                <w:sz w:val="24"/>
                <w:szCs w:val="24"/>
                <w:lang w:val="ru-RU" w:eastAsia="en-US" w:bidi="ar-SA"/>
              </w:rPr>
              <w:t xml:space="preserve"> установлен соответствующий критерий оценки в части наличия (привлечения) материально-технических ресурсов;</w:t>
            </w:r>
          </w:p>
        </w:tc>
      </w:tr>
      <w:tr>
        <w:trPr/>
        <w:tc>
          <w:tcPr>
            <w:tcW w:w="707" w:type="dxa"/>
            <w:tcBorders/>
          </w:tcPr>
          <w:p>
            <w:pPr>
              <w:pStyle w:val="Style30"/>
              <w:widowControl w:val="false"/>
              <w:numPr>
                <w:ilvl w:val="0"/>
                <w:numId w:val="5"/>
              </w:numPr>
              <w:suppressAutoHyphens w:val="true"/>
              <w:spacing w:before="60" w:after="60"/>
              <w:ind w:hanging="0" w:left="170"/>
              <w:jc w:val="center"/>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bookmarkStart w:id="370" w:name="_Ref130389419"/>
            <w:bookmarkStart w:id="371" w:name="_Ref130389419"/>
            <w:bookmarkEnd w:id="371"/>
          </w:p>
        </w:tc>
        <w:tc>
          <w:tcPr>
            <w:tcW w:w="8075" w:type="dxa"/>
            <w:tcBorders/>
          </w:tcPr>
          <w:p>
            <w:pPr>
              <w:pStyle w:val="Style30"/>
              <w:widowControl w:val="false"/>
              <w:suppressAutoHyphens w:val="true"/>
              <w:spacing w:before="60" w:after="60"/>
              <w:rPr/>
            </w:pPr>
            <w:r>
              <w:rPr>
                <w:rFonts w:eastAsia="Calibri" w:cs=""/>
                <w:kern w:val="0"/>
                <w:sz w:val="24"/>
                <w:szCs w:val="24"/>
                <w:lang w:val="ru-RU" w:eastAsia="en-US" w:bidi="ar-SA"/>
              </w:rPr>
              <w:t>Справка о кадровых ресурсах (форма 8), с необходимыми приложениями к ней – предоставляется, если установлено соответствующее квалификационное требование к наличию (привлечения) кадровых ресурсов (подраздел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_Ref125709154 \r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t>8.4</w:t>
            </w:r>
            <w:r>
              <w:rPr>
                <w:sz w:val="24"/>
                <w:kern w:val="0"/>
                <w:szCs w:val="24"/>
                <w:rFonts w:eastAsia="Calibri" w:cs=""/>
                <w:lang w:val="ru-RU" w:eastAsia="en-US" w:bidi="ar-SA"/>
              </w:rPr>
              <w:fldChar w:fldCharType="end"/>
            </w:r>
            <w:r>
              <w:rPr>
                <w:rFonts w:eastAsia="Calibri" w:cs=""/>
                <w:kern w:val="0"/>
                <w:sz w:val="24"/>
                <w:szCs w:val="24"/>
                <w:lang w:val="ru-RU" w:eastAsia="en-US" w:bidi="ar-SA"/>
              </w:rPr>
              <w:t xml:space="preserve"> </w:t>
            </w:r>
            <w:hyperlink w:anchor="Прил03_ТребованияУчастникам">
              <w:r>
                <w:rPr>
                  <w:rStyle w:val="Style14"/>
                  <w:rFonts w:eastAsia="Calibri" w:cs=""/>
                  <w:kern w:val="0"/>
                  <w:sz w:val="24"/>
                  <w:szCs w:val="24"/>
                  <w:lang w:val="ru-RU" w:eastAsia="en-US" w:bidi="ar-SA"/>
                </w:rPr>
                <w:t>Приложения № 3</w:t>
              </w:r>
            </w:hyperlink>
            <w:r>
              <w:rPr>
                <w:rFonts w:eastAsia="Calibri" w:cs=""/>
                <w:kern w:val="0"/>
                <w:sz w:val="24"/>
                <w:szCs w:val="24"/>
                <w:lang w:val="ru-RU" w:eastAsia="en-US" w:bidi="ar-SA"/>
              </w:rPr>
              <w:t xml:space="preserve">) и (или) если в </w:t>
            </w:r>
            <w:hyperlink w:anchor="Прил08_ПорядокОценки">
              <w:r>
                <w:rPr>
                  <w:rStyle w:val="Style14"/>
                  <w:rFonts w:eastAsia="Calibri" w:cs=""/>
                  <w:kern w:val="0"/>
                  <w:sz w:val="24"/>
                  <w:szCs w:val="24"/>
                  <w:lang w:val="ru-RU" w:eastAsia="en-US" w:bidi="ar-SA"/>
                </w:rPr>
                <w:t>Порядке и критериях оценки и сопоставления заявок (Приложение № 8)</w:t>
              </w:r>
            </w:hyperlink>
            <w:r>
              <w:rPr>
                <w:rFonts w:eastAsia="Calibri" w:cs=""/>
                <w:kern w:val="0"/>
                <w:sz w:val="24"/>
                <w:szCs w:val="24"/>
                <w:lang w:val="ru-RU" w:eastAsia="en-US" w:bidi="ar-SA"/>
              </w:rPr>
              <w:t xml:space="preserve"> установлен соответствующий критерий оценки в части наличия (привлечения) кадровых ресурсов;</w:t>
            </w:r>
          </w:p>
        </w:tc>
      </w:tr>
      <w:tr>
        <w:trPr/>
        <w:tc>
          <w:tcPr>
            <w:tcW w:w="707" w:type="dxa"/>
            <w:tcBorders/>
          </w:tcPr>
          <w:p>
            <w:pPr>
              <w:pStyle w:val="Style30"/>
              <w:widowControl w:val="false"/>
              <w:numPr>
                <w:ilvl w:val="0"/>
                <w:numId w:val="5"/>
              </w:numPr>
              <w:suppressAutoHyphens w:val="true"/>
              <w:spacing w:before="60" w:after="60"/>
              <w:ind w:hanging="0" w:left="170"/>
              <w:jc w:val="center"/>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4"/>
                <w:szCs w:val="24"/>
                <w:lang w:val="ru-RU" w:eastAsia="en-US" w:bidi="ar-SA"/>
              </w:rPr>
              <w:t xml:space="preserve">Справка об аффилированности Участника с изготовителем (производителем) предлагаемого товара (форма 9) – предоставляется, если Участник имеет признаки аффилированности согласно критериям, установленным в инструкции к указанной справке (дополнительно предоставляются документы, подтверждающие аффилированность по тому или иному критерию) и если в </w:t>
            </w:r>
            <w:hyperlink w:anchor="Прил08_ПорядокОценки">
              <w:r>
                <w:rPr>
                  <w:rStyle w:val="Style14"/>
                  <w:rFonts w:eastAsia="Calibri" w:cs=""/>
                  <w:kern w:val="0"/>
                  <w:sz w:val="24"/>
                  <w:szCs w:val="24"/>
                  <w:lang w:val="ru-RU" w:eastAsia="en-US" w:bidi="ar-SA"/>
                </w:rPr>
                <w:t>Порядке и критериях оценки и сопоставления заявок (Приложение № 8)</w:t>
              </w:r>
            </w:hyperlink>
            <w:r>
              <w:rPr>
                <w:rFonts w:eastAsia="Calibri" w:cs=""/>
                <w:kern w:val="0"/>
                <w:sz w:val="24"/>
                <w:szCs w:val="24"/>
                <w:lang w:val="ru-RU" w:eastAsia="en-US" w:bidi="ar-SA"/>
              </w:rPr>
              <w:t xml:space="preserve"> установлен соответствующий критерий оценки в части наличия аффилированности;</w:t>
            </w:r>
          </w:p>
        </w:tc>
      </w:tr>
      <w:tr>
        <w:trPr/>
        <w:tc>
          <w:tcPr>
            <w:tcW w:w="707" w:type="dxa"/>
            <w:tcBorders/>
          </w:tcPr>
          <w:p>
            <w:pPr>
              <w:pStyle w:val="Style30"/>
              <w:widowControl w:val="false"/>
              <w:numPr>
                <w:ilvl w:val="0"/>
                <w:numId w:val="5"/>
              </w:numPr>
              <w:suppressAutoHyphens w:val="true"/>
              <w:spacing w:before="60" w:after="60"/>
              <w:ind w:hanging="0" w:left="170"/>
              <w:jc w:val="center"/>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p>
        </w:tc>
        <w:tc>
          <w:tcPr>
            <w:tcW w:w="8075" w:type="dxa"/>
            <w:tcBorders/>
          </w:tcPr>
          <w:p>
            <w:pPr>
              <w:pStyle w:val="Normal"/>
              <w:widowControl w:val="false"/>
              <w:suppressAutoHyphens w:val="true"/>
              <w:spacing w:before="120" w:after="0"/>
              <w:jc w:val="both"/>
              <w:rPr/>
            </w:pPr>
            <w:r>
              <w:rPr>
                <w:rFonts w:eastAsia="Calibri" w:cs=""/>
                <w:kern w:val="0"/>
                <w:sz w:val="24"/>
                <w:szCs w:val="24"/>
                <w:lang w:val="ru-RU" w:eastAsia="en-US" w:bidi="ar-SA"/>
              </w:rPr>
              <w:t>Документы, подтверждающие соответствие Участника обязательным требованиям Документации о закупке (подраздел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_Ref125361435 \w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t>8.2</w:t>
            </w:r>
            <w:r>
              <w:rPr>
                <w:sz w:val="24"/>
                <w:kern w:val="0"/>
                <w:szCs w:val="24"/>
                <w:rFonts w:eastAsia="Calibri" w:cs=""/>
                <w:lang w:val="ru-RU" w:eastAsia="en-US" w:bidi="ar-SA"/>
              </w:rPr>
              <w:fldChar w:fldCharType="end"/>
            </w:r>
            <w:r>
              <w:rPr>
                <w:rFonts w:eastAsia="Calibri" w:cs=""/>
                <w:kern w:val="0"/>
                <w:sz w:val="24"/>
                <w:szCs w:val="24"/>
                <w:lang w:val="ru-RU" w:eastAsia="en-US" w:bidi="ar-SA"/>
              </w:rPr>
              <w:t xml:space="preserve"> </w:t>
            </w:r>
            <w:hyperlink w:anchor="Прил03_ТребованияУчастникам">
              <w:r>
                <w:rPr>
                  <w:rStyle w:val="Style14"/>
                  <w:rFonts w:eastAsia="Calibri" w:cs=""/>
                  <w:kern w:val="0"/>
                  <w:sz w:val="24"/>
                  <w:szCs w:val="24"/>
                  <w:lang w:val="ru-RU" w:eastAsia="en-US" w:bidi="ar-SA"/>
                </w:rPr>
                <w:t>Приложения № 3</w:t>
              </w:r>
            </w:hyperlink>
            <w:r>
              <w:rPr>
                <w:rFonts w:eastAsia="Calibri" w:cs=""/>
                <w:kern w:val="0"/>
                <w:sz w:val="24"/>
                <w:szCs w:val="24"/>
                <w:lang w:val="ru-RU" w:eastAsia="en-US" w:bidi="ar-SA"/>
              </w:rPr>
              <w:t>), а также необходимые документы для прохождения (при необходимости) процедуры аккредитации – требования к подтверждающим документам приведены в указанном подразделе;</w:t>
            </w:r>
          </w:p>
        </w:tc>
      </w:tr>
      <w:tr>
        <w:trPr/>
        <w:tc>
          <w:tcPr>
            <w:tcW w:w="707" w:type="dxa"/>
            <w:tcBorders/>
          </w:tcPr>
          <w:p>
            <w:pPr>
              <w:pStyle w:val="Style30"/>
              <w:widowControl w:val="false"/>
              <w:numPr>
                <w:ilvl w:val="0"/>
                <w:numId w:val="5"/>
              </w:numPr>
              <w:suppressAutoHyphens w:val="true"/>
              <w:spacing w:before="60" w:after="60"/>
              <w:ind w:hanging="0" w:left="170"/>
              <w:jc w:val="center"/>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4"/>
                <w:szCs w:val="24"/>
                <w:lang w:val="ru-RU" w:eastAsia="en-US" w:bidi="ar-SA"/>
              </w:rPr>
              <w:t>Документы, подтверждающие соответствие Участника специальным требованиям – предоставляются, если соответствующие требования установлены в Документации о закупке (подраздел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_Ref125709153 \r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t>8.3</w:t>
            </w:r>
            <w:r>
              <w:rPr>
                <w:sz w:val="24"/>
                <w:kern w:val="0"/>
                <w:szCs w:val="24"/>
                <w:rFonts w:eastAsia="Calibri" w:cs=""/>
                <w:lang w:val="ru-RU" w:eastAsia="en-US" w:bidi="ar-SA"/>
              </w:rPr>
              <w:fldChar w:fldCharType="end"/>
            </w:r>
            <w:r>
              <w:rPr>
                <w:rFonts w:eastAsia="Calibri" w:cs=""/>
                <w:kern w:val="0"/>
                <w:sz w:val="24"/>
                <w:szCs w:val="24"/>
                <w:lang w:val="ru-RU" w:eastAsia="en-US" w:bidi="ar-SA"/>
              </w:rPr>
              <w:t xml:space="preserve"> </w:t>
            </w:r>
            <w:hyperlink w:anchor="Прил03_ТребованияУчастникам">
              <w:r>
                <w:rPr>
                  <w:rStyle w:val="Style14"/>
                  <w:rFonts w:eastAsia="Calibri" w:cs=""/>
                  <w:kern w:val="0"/>
                  <w:sz w:val="24"/>
                  <w:szCs w:val="24"/>
                  <w:lang w:val="ru-RU" w:eastAsia="en-US" w:bidi="ar-SA"/>
                </w:rPr>
                <w:t>Приложения № 3</w:t>
              </w:r>
            </w:hyperlink>
            <w:r>
              <w:rPr>
                <w:rFonts w:eastAsia="Calibri" w:cs=""/>
                <w:kern w:val="0"/>
                <w:sz w:val="24"/>
                <w:szCs w:val="24"/>
                <w:lang w:val="ru-RU" w:eastAsia="en-US" w:bidi="ar-SA"/>
              </w:rPr>
              <w:t>);</w:t>
            </w:r>
          </w:p>
        </w:tc>
      </w:tr>
      <w:tr>
        <w:trPr/>
        <w:tc>
          <w:tcPr>
            <w:tcW w:w="707" w:type="dxa"/>
            <w:tcBorders/>
          </w:tcPr>
          <w:p>
            <w:pPr>
              <w:pStyle w:val="Style30"/>
              <w:widowControl w:val="false"/>
              <w:numPr>
                <w:ilvl w:val="0"/>
                <w:numId w:val="5"/>
              </w:numPr>
              <w:suppressAutoHyphens w:val="true"/>
              <w:spacing w:before="60" w:after="60"/>
              <w:ind w:hanging="0" w:left="170"/>
              <w:jc w:val="center"/>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4"/>
                <w:szCs w:val="24"/>
                <w:lang w:val="ru-RU" w:eastAsia="en-US" w:bidi="ar-SA"/>
              </w:rPr>
              <w:t>Документы, подтверждающие соответствие Генерального подрядчика требованиям Документации о закупке (подраздел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_Ref125709777 \r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t>8.5</w:t>
            </w:r>
            <w:r>
              <w:rPr>
                <w:sz w:val="24"/>
                <w:kern w:val="0"/>
                <w:szCs w:val="24"/>
                <w:rFonts w:eastAsia="Calibri" w:cs=""/>
                <w:lang w:val="ru-RU" w:eastAsia="en-US" w:bidi="ar-SA"/>
              </w:rPr>
              <w:fldChar w:fldCharType="end"/>
            </w:r>
            <w:r>
              <w:rPr>
                <w:rFonts w:eastAsia="Calibri" w:cs=""/>
                <w:kern w:val="0"/>
                <w:sz w:val="24"/>
                <w:szCs w:val="24"/>
                <w:lang w:val="ru-RU" w:eastAsia="en-US" w:bidi="ar-SA"/>
              </w:rPr>
              <w:t xml:space="preserve"> </w:t>
            </w:r>
            <w:hyperlink w:anchor="Прил03_ТребованияУчастникам">
              <w:r>
                <w:rPr>
                  <w:rStyle w:val="Style14"/>
                  <w:rFonts w:eastAsia="Calibri" w:cs=""/>
                  <w:kern w:val="0"/>
                  <w:sz w:val="24"/>
                  <w:szCs w:val="24"/>
                  <w:lang w:val="ru-RU" w:eastAsia="en-US" w:bidi="ar-SA"/>
                </w:rPr>
                <w:t>Приложения № 3</w:t>
              </w:r>
            </w:hyperlink>
            <w:r>
              <w:rPr>
                <w:rFonts w:eastAsia="Calibri" w:cs=""/>
                <w:kern w:val="0"/>
                <w:sz w:val="24"/>
                <w:szCs w:val="24"/>
                <w:lang w:val="ru-RU" w:eastAsia="en-US" w:bidi="ar-SA"/>
              </w:rPr>
              <w:t>) – предоставляются, если условиями проводимой закупки (подраздел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_Ref125359973 \r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t>1.2</w:t>
            </w:r>
            <w:r>
              <w:rPr>
                <w:sz w:val="24"/>
                <w:kern w:val="0"/>
                <w:szCs w:val="24"/>
                <w:rFonts w:eastAsia="Calibri" w:cs=""/>
                <w:lang w:val="ru-RU" w:eastAsia="en-US" w:bidi="ar-SA"/>
              </w:rPr>
              <w:fldChar w:fldCharType="end"/>
            </w:r>
            <w:r>
              <w:rPr>
                <w:rFonts w:eastAsia="Calibri" w:cs=""/>
                <w:kern w:val="0"/>
                <w:sz w:val="24"/>
                <w:szCs w:val="24"/>
                <w:lang w:val="ru-RU" w:eastAsia="en-US" w:bidi="ar-SA"/>
              </w:rPr>
              <w:t>) рассмотрение, оценка и сопоставление заявок Участников осуществляется с учетом привлекаемых субподрядчиков, и Участник подает заявку от лица Генерального подрядчика (подраздел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_Ref125361702 \r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t>3.2</w:t>
            </w:r>
            <w:r>
              <w:rPr>
                <w:sz w:val="24"/>
                <w:kern w:val="0"/>
                <w:szCs w:val="24"/>
                <w:rFonts w:eastAsia="Calibri" w:cs=""/>
                <w:lang w:val="ru-RU" w:eastAsia="en-US" w:bidi="ar-SA"/>
              </w:rPr>
              <w:fldChar w:fldCharType="end"/>
            </w:r>
            <w:r>
              <w:rPr>
                <w:rFonts w:eastAsia="Calibri" w:cs=""/>
                <w:kern w:val="0"/>
                <w:sz w:val="24"/>
                <w:szCs w:val="24"/>
                <w:lang w:val="ru-RU" w:eastAsia="en-US" w:bidi="ar-SA"/>
              </w:rPr>
              <w:t>), а именно:</w:t>
            </w:r>
          </w:p>
          <w:p>
            <w:pPr>
              <w:pStyle w:val="Style30"/>
              <w:widowControl w:val="false"/>
              <w:numPr>
                <w:ilvl w:val="0"/>
                <w:numId w:val="8"/>
              </w:numPr>
              <w:suppressAutoHyphens w:val="true"/>
              <w:spacing w:before="60" w:after="60"/>
              <w:ind w:hanging="284" w:left="284"/>
              <w:rPr>
                <w:rFonts w:ascii="Times New Roman" w:hAnsi="Times New Roman"/>
                <w:sz w:val="24"/>
                <w:szCs w:val="24"/>
              </w:rPr>
            </w:pPr>
            <w:r>
              <w:rPr>
                <w:rFonts w:eastAsia="Calibri" w:cs=""/>
                <w:kern w:val="0"/>
                <w:sz w:val="24"/>
                <w:szCs w:val="24"/>
                <w:lang w:val="ru-RU" w:eastAsia="en-US" w:bidi="ar-SA"/>
              </w:rPr>
              <w:t>План распределения объемов поставки продукции (форма 10);</w:t>
            </w:r>
          </w:p>
          <w:p>
            <w:pPr>
              <w:pStyle w:val="Style30"/>
              <w:widowControl w:val="false"/>
              <w:numPr>
                <w:ilvl w:val="0"/>
                <w:numId w:val="8"/>
              </w:numPr>
              <w:suppressAutoHyphens w:val="true"/>
              <w:spacing w:before="60" w:after="60"/>
              <w:ind w:hanging="284" w:left="284"/>
              <w:rPr/>
            </w:pPr>
            <w:r>
              <w:rPr>
                <w:rFonts w:eastAsia="Calibri" w:cs=""/>
                <w:kern w:val="0"/>
                <w:sz w:val="24"/>
                <w:szCs w:val="24"/>
                <w:lang w:val="ru-RU" w:eastAsia="en-US" w:bidi="ar-SA"/>
              </w:rPr>
              <w:t>прочие документы, определенные в подразделе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_Ref125709777 \r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t>8.5</w:t>
            </w:r>
            <w:r>
              <w:rPr>
                <w:sz w:val="24"/>
                <w:kern w:val="0"/>
                <w:szCs w:val="24"/>
                <w:rFonts w:eastAsia="Calibri" w:cs=""/>
                <w:lang w:val="ru-RU" w:eastAsia="en-US" w:bidi="ar-SA"/>
              </w:rPr>
              <w:fldChar w:fldCharType="end"/>
            </w:r>
            <w:r>
              <w:rPr>
                <w:rFonts w:eastAsia="Calibri" w:cs=""/>
                <w:kern w:val="0"/>
                <w:sz w:val="24"/>
                <w:szCs w:val="24"/>
                <w:lang w:val="ru-RU" w:eastAsia="en-US" w:bidi="ar-SA"/>
              </w:rPr>
              <w:t xml:space="preserve"> </w:t>
            </w:r>
            <w:hyperlink w:anchor="Прил03_ТребованияУчастникам">
              <w:r>
                <w:rPr>
                  <w:rStyle w:val="Style14"/>
                  <w:rFonts w:eastAsia="Calibri" w:cs=""/>
                  <w:kern w:val="0"/>
                  <w:sz w:val="24"/>
                  <w:szCs w:val="24"/>
                  <w:lang w:val="ru-RU" w:eastAsia="en-US" w:bidi="ar-SA"/>
                </w:rPr>
                <w:t>Приложения № 3</w:t>
              </w:r>
            </w:hyperlink>
            <w:r>
              <w:rPr>
                <w:rStyle w:val="Style14"/>
                <w:rFonts w:eastAsia="Calibri" w:cs=""/>
                <w:kern w:val="0"/>
                <w:sz w:val="24"/>
                <w:szCs w:val="24"/>
                <w:lang w:val="ru-RU" w:eastAsia="en-US" w:bidi="ar-SA"/>
              </w:rPr>
              <w:t>;</w:t>
            </w:r>
          </w:p>
        </w:tc>
      </w:tr>
      <w:tr>
        <w:trPr/>
        <w:tc>
          <w:tcPr>
            <w:tcW w:w="707" w:type="dxa"/>
            <w:tcBorders/>
          </w:tcPr>
          <w:p>
            <w:pPr>
              <w:pStyle w:val="Style30"/>
              <w:widowControl w:val="false"/>
              <w:numPr>
                <w:ilvl w:val="0"/>
                <w:numId w:val="5"/>
              </w:numPr>
              <w:suppressAutoHyphens w:val="true"/>
              <w:spacing w:before="60" w:after="60"/>
              <w:ind w:hanging="0" w:left="170"/>
              <w:jc w:val="center"/>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4"/>
                <w:szCs w:val="24"/>
                <w:lang w:val="ru-RU" w:eastAsia="en-US" w:bidi="ar-SA"/>
              </w:rPr>
              <w:t>Документы (или их копии), подтверждающие соответствие предлагаемой к поставке продукции требованиям, установленным в </w:t>
            </w:r>
            <w:hyperlink w:anchor="Прил01_ТехТребования">
              <w:r>
                <w:rPr>
                  <w:rStyle w:val="Style14"/>
                  <w:rFonts w:eastAsia="Calibri" w:cs=""/>
                  <w:kern w:val="0"/>
                  <w:sz w:val="24"/>
                  <w:szCs w:val="24"/>
                  <w:lang w:val="ru-RU" w:eastAsia="en-US" w:bidi="ar-SA"/>
                </w:rPr>
                <w:t>Технических требованиях (Приложение № 1)</w:t>
              </w:r>
            </w:hyperlink>
            <w:r>
              <w:rPr>
                <w:rFonts w:eastAsia="Calibri" w:cs=""/>
                <w:kern w:val="0"/>
                <w:sz w:val="24"/>
                <w:szCs w:val="24"/>
                <w:lang w:val="ru-RU" w:eastAsia="en-US" w:bidi="ar-SA"/>
              </w:rPr>
              <w:t xml:space="preserve"> – предоставляются, если в </w:t>
            </w:r>
            <w:hyperlink w:anchor="Прил01_ТехТребования">
              <w:r>
                <w:rPr>
                  <w:rStyle w:val="Style14"/>
                  <w:rFonts w:eastAsia="Calibri" w:cs=""/>
                  <w:kern w:val="0"/>
                  <w:sz w:val="24"/>
                  <w:szCs w:val="24"/>
                  <w:lang w:val="ru-RU" w:eastAsia="en-US" w:bidi="ar-SA"/>
                </w:rPr>
                <w:t>Технических требованиях (Приложение № 1)</w:t>
              </w:r>
            </w:hyperlink>
            <w:r>
              <w:rPr>
                <w:rFonts w:eastAsia="Calibri" w:cs=""/>
                <w:kern w:val="0"/>
                <w:sz w:val="24"/>
                <w:szCs w:val="24"/>
                <w:lang w:val="ru-RU" w:eastAsia="en-US" w:bidi="ar-SA"/>
              </w:rPr>
              <w:t xml:space="preserve"> было установлено соответствующее требование;</w:t>
            </w:r>
          </w:p>
        </w:tc>
      </w:tr>
    </w:tbl>
    <w:p>
      <w:pPr>
        <w:sectPr>
          <w:headerReference w:type="default" r:id="rId26"/>
          <w:headerReference w:type="first" r:id="rId27"/>
          <w:footerReference w:type="default" r:id="rId28"/>
          <w:footerReference w:type="first" r:id="rId29"/>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6"/>
        <w:rPr/>
      </w:pPr>
      <w:r>
        <w:rPr>
          <w:rStyle w:val="Style11"/>
          <w:i w:val="false"/>
          <w:iCs w:val="false"/>
          <w:sz w:val="24"/>
          <w:szCs w:val="24"/>
          <w:shd w:fill="auto" w:val="clear"/>
        </w:rPr>
        <w:t>Если по каким-либо причинам Участник не может предоставить какой-либо из требуемых документов, он может в составе заявки приложить составленную в произвольной форме справку, объясняющую причину отсутствия требуемого документа (однако предоставление данной справки носит исключительно информационный характер и не может являться основанием для снятия с Участника обязанности по предоставлению требуемого документа).</w:t>
      </w:r>
    </w:p>
    <w:p>
      <w:pPr>
        <w:pStyle w:val="Style24"/>
        <w:rPr>
          <w:rFonts w:ascii="Times New Roman" w:hAnsi="Times New Roman"/>
          <w:sz w:val="24"/>
          <w:szCs w:val="24"/>
        </w:rPr>
      </w:pPr>
      <w:bookmarkStart w:id="372" w:name="_Ref125365264"/>
      <w:bookmarkStart w:id="373" w:name="_Toc229567084"/>
      <w:bookmarkStart w:id="374" w:name="Прил07_ОтборочныеКритерии"/>
      <w:bookmarkEnd w:id="374"/>
      <w:r>
        <w:rPr>
          <w:sz w:val="24"/>
          <w:szCs w:val="24"/>
        </w:rPr>
        <w:t>Приложение № 7 – Отборочные критерии рассмотрения заявок</w:t>
      </w:r>
      <w:bookmarkEnd w:id="372"/>
      <w:bookmarkEnd w:id="373"/>
    </w:p>
    <w:p>
      <w:pPr>
        <w:pStyle w:val="Style25"/>
        <w:spacing w:before="360" w:after="120"/>
        <w:rPr/>
      </w:pPr>
      <w:bookmarkStart w:id="375" w:name="_Toc229567085"/>
      <w:r>
        <w:rPr>
          <w:rStyle w:val="Style11"/>
          <w:i w:val="false"/>
          <w:iCs w:val="false"/>
          <w:sz w:val="24"/>
          <w:szCs w:val="24"/>
          <w:shd w:fill="auto" w:val="clear"/>
        </w:rPr>
        <w:t>Отборочные критерии рассмотрения заявок</w:t>
      </w:r>
      <w:bookmarkEnd w:id="375"/>
    </w:p>
    <w:tbl>
      <w:tblPr>
        <w:tblStyle w:val="af6"/>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412"/>
        <w:gridCol w:w="8506"/>
        <w:gridCol w:w="3117"/>
        <w:gridCol w:w="2090"/>
      </w:tblGrid>
      <w:tr>
        <w:trPr>
          <w:cnfStyle w:val="100000000000" w:firstRow="1" w:lastRow="0" w:firstColumn="0" w:lastColumn="0" w:oddVBand="0" w:evenVBand="0" w:oddHBand="0" w:evenHBand="0" w:firstRowFirstColumn="0" w:firstRowLastColumn="0" w:lastRowFirstColumn="0" w:lastRowLastColumn="0"/>
        </w:trPr>
        <w:tc>
          <w:tcPr>
            <w:tcW w:w="1412" w:type="dxa"/>
            <w:tcBorders/>
          </w:tcPr>
          <w:p>
            <w:pPr>
              <w:pStyle w:val="Style30"/>
              <w:keepNext w:val="true"/>
              <w:keepLines w:val="false"/>
              <w:widowControl w:val="false"/>
              <w:suppressAutoHyphens w:val="true"/>
              <w:spacing w:before="60" w:after="60"/>
              <w:jc w:val="center"/>
              <w:rPr>
                <w:rFonts w:ascii="Times New Roman" w:hAnsi="Times New Roman"/>
                <w:sz w:val="24"/>
                <w:szCs w:val="24"/>
              </w:rPr>
            </w:pPr>
            <w:r>
              <w:rPr>
                <w:rFonts w:eastAsia="Calibri" w:cs=""/>
                <w:b/>
                <w:kern w:val="0"/>
                <w:sz w:val="24"/>
                <w:szCs w:val="24"/>
                <w:lang w:val="ru-RU" w:eastAsia="en-US" w:bidi="ar-SA"/>
              </w:rPr>
              <w:t>Номер</w:t>
              <w:br/>
              <w:t>критерия</w:t>
            </w:r>
          </w:p>
        </w:tc>
        <w:tc>
          <w:tcPr>
            <w:tcW w:w="8506" w:type="dxa"/>
            <w:tcBorders/>
          </w:tcPr>
          <w:p>
            <w:pPr>
              <w:pStyle w:val="Style30"/>
              <w:keepNext w:val="true"/>
              <w:keepLines w:val="false"/>
              <w:widowControl w:val="false"/>
              <w:suppressAutoHyphens w:val="true"/>
              <w:spacing w:before="60" w:after="60"/>
              <w:jc w:val="center"/>
              <w:rPr>
                <w:rFonts w:ascii="Times New Roman" w:hAnsi="Times New Roman"/>
                <w:sz w:val="24"/>
                <w:szCs w:val="24"/>
              </w:rPr>
            </w:pPr>
            <w:r>
              <w:rPr>
                <w:rFonts w:eastAsia="Calibri" w:cs=""/>
                <w:b/>
                <w:kern w:val="0"/>
                <w:sz w:val="24"/>
                <w:szCs w:val="24"/>
                <w:lang w:val="ru-RU" w:eastAsia="en-US" w:bidi="ar-SA"/>
              </w:rPr>
              <w:t>Наименование</w:t>
              <w:br/>
              <w:t>отборочного критерия</w:t>
            </w:r>
          </w:p>
        </w:tc>
        <w:tc>
          <w:tcPr>
            <w:tcW w:w="3117" w:type="dxa"/>
            <w:tcBorders/>
          </w:tcPr>
          <w:p>
            <w:pPr>
              <w:pStyle w:val="Style30"/>
              <w:keepNext w:val="true"/>
              <w:keepLines w:val="false"/>
              <w:widowControl w:val="false"/>
              <w:suppressAutoHyphens w:val="true"/>
              <w:spacing w:before="60" w:after="60"/>
              <w:jc w:val="center"/>
              <w:rPr>
                <w:rFonts w:ascii="Times New Roman" w:hAnsi="Times New Roman"/>
                <w:sz w:val="24"/>
                <w:szCs w:val="24"/>
              </w:rPr>
            </w:pPr>
            <w:r>
              <w:rPr>
                <w:rFonts w:eastAsia="Calibri" w:cs=""/>
                <w:b/>
                <w:kern w:val="0"/>
                <w:sz w:val="24"/>
                <w:szCs w:val="24"/>
                <w:lang w:val="ru-RU" w:eastAsia="en-US" w:bidi="ar-SA"/>
              </w:rPr>
              <w:t>Номер пункта</w:t>
              <w:br/>
              <w:t>Документации о закупке</w:t>
            </w:r>
          </w:p>
        </w:tc>
        <w:tc>
          <w:tcPr>
            <w:tcW w:w="2090" w:type="dxa"/>
            <w:tcBorders/>
          </w:tcPr>
          <w:p>
            <w:pPr>
              <w:pStyle w:val="Style30"/>
              <w:keepNext w:val="true"/>
              <w:keepLines w:val="false"/>
              <w:widowControl w:val="false"/>
              <w:suppressAutoHyphens w:val="true"/>
              <w:spacing w:before="60" w:after="60"/>
              <w:jc w:val="center"/>
              <w:rPr>
                <w:rFonts w:ascii="Times New Roman" w:hAnsi="Times New Roman"/>
                <w:sz w:val="24"/>
                <w:szCs w:val="24"/>
              </w:rPr>
            </w:pPr>
            <w:r>
              <w:rPr>
                <w:rFonts w:eastAsia="Calibri" w:cs=""/>
                <w:b/>
                <w:kern w:val="0"/>
                <w:sz w:val="24"/>
                <w:szCs w:val="24"/>
                <w:lang w:val="ru-RU" w:eastAsia="en-US" w:bidi="ar-SA"/>
              </w:rPr>
              <w:t>Направления</w:t>
              <w:br/>
              <w:t>оценки заявок*</w:t>
            </w:r>
          </w:p>
        </w:tc>
      </w:tr>
      <w:tr>
        <w:trPr/>
        <w:tc>
          <w:tcPr>
            <w:tcW w:w="9918" w:type="dxa"/>
            <w:gridSpan w:val="2"/>
            <w:tcBorders/>
          </w:tcPr>
          <w:p>
            <w:pPr>
              <w:pStyle w:val="Style30"/>
              <w:keepNext w:val="true"/>
              <w:widowControl w:val="false"/>
              <w:suppressAutoHyphens w:val="true"/>
              <w:spacing w:before="60" w:after="60"/>
              <w:rPr>
                <w:rFonts w:ascii="Times New Roman" w:hAnsi="Times New Roman"/>
                <w:sz w:val="24"/>
                <w:szCs w:val="24"/>
              </w:rPr>
            </w:pPr>
            <w:r>
              <w:rPr>
                <w:rFonts w:eastAsia="Calibri" w:cs=""/>
                <w:b/>
                <w:bCs/>
                <w:kern w:val="0"/>
                <w:sz w:val="24"/>
                <w:szCs w:val="24"/>
                <w:lang w:val="ru-RU" w:eastAsia="en-US" w:bidi="ar-SA"/>
              </w:rPr>
              <w:t>Состав заявки и правильность ее оформления, в том числе:</w:t>
            </w:r>
          </w:p>
        </w:tc>
        <w:tc>
          <w:tcPr>
            <w:tcW w:w="3117" w:type="dxa"/>
            <w:tcBorders/>
          </w:tcPr>
          <w:p>
            <w:pPr>
              <w:pStyle w:val="Style30"/>
              <w:widowControl w:val="false"/>
              <w:suppressAutoHyphens w:val="true"/>
              <w:spacing w:before="60" w:after="60"/>
              <w:jc w:val="center"/>
              <w:rPr>
                <w:rFonts w:ascii="Times New Roman" w:hAnsi="Times New Roman"/>
                <w:sz w:val="24"/>
                <w:szCs w:val="24"/>
              </w:rPr>
            </w:pPr>
            <w:r>
              <w:rPr>
                <w:rFonts w:eastAsia="Calibri" w:cs=""/>
                <w:b/>
                <w:bCs/>
                <w:kern w:val="0"/>
                <w:sz w:val="24"/>
                <w:szCs w:val="24"/>
                <w:lang w:val="ru-RU" w:eastAsia="en-US" w:bidi="ar-SA"/>
              </w:rPr>
              <w:t>–</w:t>
            </w:r>
          </w:p>
        </w:tc>
        <w:tc>
          <w:tcPr>
            <w:tcW w:w="2090" w:type="dxa"/>
            <w:tcBorders/>
          </w:tcPr>
          <w:p>
            <w:pPr>
              <w:pStyle w:val="Style30"/>
              <w:widowControl w:val="false"/>
              <w:suppressAutoHyphens w:val="true"/>
              <w:spacing w:before="60" w:after="60"/>
              <w:jc w:val="center"/>
              <w:rPr>
                <w:rFonts w:ascii="Times New Roman" w:hAnsi="Times New Roman"/>
                <w:sz w:val="24"/>
                <w:szCs w:val="24"/>
              </w:rPr>
            </w:pPr>
            <w:r>
              <w:rPr>
                <w:rFonts w:eastAsia="Calibri" w:cs=""/>
                <w:b/>
                <w:bCs/>
                <w:kern w:val="0"/>
                <w:sz w:val="24"/>
                <w:szCs w:val="24"/>
                <w:lang w:val="ru-RU" w:eastAsia="en-US" w:bidi="ar-SA"/>
              </w:rPr>
              <w:t>–</w:t>
            </w:r>
          </w:p>
        </w:tc>
      </w:tr>
      <w:tr>
        <w:trPr/>
        <w:tc>
          <w:tcPr>
            <w:tcW w:w="1412" w:type="dxa"/>
            <w:tcBorders/>
          </w:tcPr>
          <w:p>
            <w:pPr>
              <w:pStyle w:val="Style30"/>
              <w:widowControl w:val="false"/>
              <w:numPr>
                <w:ilvl w:val="0"/>
                <w:numId w:val="6"/>
              </w:numPr>
              <w:suppressAutoHyphens w:val="true"/>
              <w:spacing w:before="60" w:after="60"/>
              <w:ind w:hanging="0" w:left="170"/>
              <w:jc w:val="center"/>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4"/>
                <w:szCs w:val="24"/>
                <w:lang w:val="ru-RU" w:eastAsia="en-US" w:bidi="ar-SA"/>
              </w:rPr>
              <w:t xml:space="preserve">Наличие в составе заявки обязательных к предоставлению (для целей рассмотрения заявок в рамках отборочной стадии) документов в соответствии с требованиями </w:t>
            </w:r>
            <w:hyperlink w:anchor="Прил06_СоставЗаявки">
              <w:r>
                <w:rPr>
                  <w:rStyle w:val="Style14"/>
                  <w:rFonts w:eastAsia="Calibri" w:cs=""/>
                  <w:kern w:val="0"/>
                  <w:sz w:val="24"/>
                  <w:szCs w:val="24"/>
                  <w:lang w:val="ru-RU" w:eastAsia="en-US" w:bidi="ar-SA"/>
                </w:rPr>
                <w:t>Приложения № 6 «Состав заявки»</w:t>
              </w:r>
            </w:hyperlink>
            <w:r>
              <w:rPr>
                <w:rFonts w:eastAsia="Calibri" w:cs=""/>
                <w:kern w:val="0"/>
                <w:sz w:val="24"/>
                <w:szCs w:val="24"/>
                <w:lang w:val="ru-RU" w:eastAsia="en-US" w:bidi="ar-SA"/>
              </w:rPr>
              <w:t>, а также правильность их оформления (в т.ч. в части наличия должных печатей, подписей, формы заверения, языка и валюты заявки)</w:t>
            </w:r>
          </w:p>
        </w:tc>
        <w:tc>
          <w:tcPr>
            <w:tcW w:w="3117" w:type="dxa"/>
            <w:tcBorders/>
          </w:tcPr>
          <w:p>
            <w:pPr>
              <w:pStyle w:val="Style30"/>
              <w:widowControl w:val="false"/>
              <w:suppressAutoHyphens w:val="true"/>
              <w:spacing w:before="60" w:after="60"/>
              <w:jc w:val="center"/>
              <w:rPr/>
            </w:pPr>
            <w:r>
              <w:rPr>
                <w:rFonts w:eastAsia="Calibri" w:cs=""/>
                <w:kern w:val="0"/>
                <w:sz w:val="24"/>
                <w:szCs w:val="24"/>
                <w:lang w:val="ru-RU" w:eastAsia="en-US" w:bidi="ar-SA"/>
              </w:rPr>
              <w:t>подразделы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_Ref130394681 \r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t>4.3</w:t>
            </w:r>
            <w:r>
              <w:rPr>
                <w:sz w:val="24"/>
                <w:kern w:val="0"/>
                <w:szCs w:val="24"/>
                <w:rFonts w:eastAsia="Calibri" w:cs=""/>
                <w:lang w:val="ru-RU" w:eastAsia="en-US" w:bidi="ar-SA"/>
              </w:rPr>
              <w:fldChar w:fldCharType="end"/>
            </w:r>
            <w:r>
              <w:rPr>
                <w:rFonts w:eastAsia="Calibri" w:cs=""/>
                <w:kern w:val="0"/>
                <w:sz w:val="24"/>
                <w:szCs w:val="24"/>
                <w:lang w:val="ru-RU" w:eastAsia="en-US" w:bidi="ar-SA"/>
              </w:rPr>
              <w:t xml:space="preserve">,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_Ref125362119 \r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t>4.6</w:t>
            </w:r>
            <w:r>
              <w:rPr>
                <w:sz w:val="24"/>
                <w:kern w:val="0"/>
                <w:szCs w:val="24"/>
                <w:rFonts w:eastAsia="Calibri" w:cs=""/>
                <w:lang w:val="ru-RU" w:eastAsia="en-US" w:bidi="ar-SA"/>
              </w:rPr>
              <w:fldChar w:fldCharType="end"/>
            </w:r>
            <w:r>
              <w:rPr>
                <w:rFonts w:eastAsia="Calibri" w:cs=""/>
                <w:kern w:val="0"/>
                <w:sz w:val="24"/>
                <w:szCs w:val="24"/>
                <w:lang w:val="ru-RU" w:eastAsia="en-US" w:bidi="ar-SA"/>
              </w:rPr>
              <w:t>,</w:t>
              <w:br/>
            </w:r>
            <w:hyperlink w:anchor="Прил06_СоставЗаявки">
              <w:r>
                <w:rPr>
                  <w:rStyle w:val="Style14"/>
                  <w:rFonts w:eastAsia="Calibri" w:cs=""/>
                  <w:kern w:val="0"/>
                  <w:sz w:val="24"/>
                  <w:szCs w:val="24"/>
                  <w:lang w:val="ru-RU" w:eastAsia="en-US" w:bidi="ar-SA"/>
                </w:rPr>
                <w:t>Приложение № 6</w:t>
              </w:r>
            </w:hyperlink>
          </w:p>
        </w:tc>
        <w:tc>
          <w:tcPr>
            <w:tcW w:w="2090" w:type="dxa"/>
            <w:tcBorders/>
          </w:tcPr>
          <w:p>
            <w:pPr>
              <w:pStyle w:val="Style30"/>
              <w:widowControl w:val="false"/>
              <w:suppressAutoHyphens w:val="true"/>
              <w:spacing w:before="60" w:after="60"/>
              <w:jc w:val="center"/>
              <w:rPr>
                <w:rFonts w:ascii="Times New Roman" w:hAnsi="Times New Roman"/>
                <w:sz w:val="24"/>
                <w:szCs w:val="24"/>
              </w:rPr>
            </w:pPr>
            <w:r>
              <w:rPr>
                <w:rFonts w:eastAsia="Calibri" w:cs=""/>
                <w:kern w:val="0"/>
                <w:sz w:val="24"/>
                <w:szCs w:val="24"/>
                <w:lang w:val="ru-RU" w:eastAsia="en-US" w:bidi="ar-SA"/>
              </w:rPr>
              <w:t>Орг, Тех,</w:t>
              <w:br/>
              <w:t>Цена, Юр</w:t>
            </w:r>
          </w:p>
        </w:tc>
      </w:tr>
      <w:tr>
        <w:trPr/>
        <w:tc>
          <w:tcPr>
            <w:tcW w:w="1412" w:type="dxa"/>
            <w:tcBorders/>
          </w:tcPr>
          <w:p>
            <w:pPr>
              <w:pStyle w:val="Style30"/>
              <w:widowControl w:val="false"/>
              <w:numPr>
                <w:ilvl w:val="0"/>
                <w:numId w:val="6"/>
              </w:numPr>
              <w:suppressAutoHyphens w:val="true"/>
              <w:spacing w:before="60" w:after="60"/>
              <w:ind w:hanging="0" w:left="170"/>
              <w:jc w:val="center"/>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p>
        </w:tc>
        <w:tc>
          <w:tcPr>
            <w:tcW w:w="8506" w:type="dxa"/>
            <w:tcBorders/>
          </w:tcPr>
          <w:p>
            <w:pPr>
              <w:pStyle w:val="Style30"/>
              <w:widowControl w:val="false"/>
              <w:suppressAutoHyphens w:val="true"/>
              <w:spacing w:before="60" w:after="60"/>
              <w:rPr>
                <w:rFonts w:ascii="Times New Roman" w:hAnsi="Times New Roman"/>
                <w:sz w:val="24"/>
                <w:szCs w:val="24"/>
              </w:rPr>
            </w:pPr>
            <w:r>
              <w:rPr>
                <w:rFonts w:eastAsia="Calibri" w:cs=""/>
                <w:kern w:val="0"/>
                <w:sz w:val="24"/>
                <w:szCs w:val="24"/>
                <w:lang w:val="ru-RU" w:eastAsia="en-US" w:bidi="ar-SA"/>
              </w:rPr>
              <w:t>Наличие обеспечения обязательств Участника, связанного с подачей заявки, в виде банковской гарантии и ее соответствие установленным требованиям Документации о закупке – если подразделом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_Ref125359973 \r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t>1.2</w:t>
            </w:r>
            <w:r>
              <w:rPr>
                <w:sz w:val="24"/>
                <w:kern w:val="0"/>
                <w:szCs w:val="24"/>
                <w:rFonts w:eastAsia="Calibri" w:cs=""/>
                <w:lang w:val="ru-RU" w:eastAsia="en-US" w:bidi="ar-SA"/>
              </w:rPr>
              <w:fldChar w:fldCharType="end"/>
            </w:r>
            <w:r>
              <w:rPr>
                <w:rFonts w:eastAsia="Calibri" w:cs=""/>
                <w:kern w:val="0"/>
                <w:sz w:val="24"/>
                <w:szCs w:val="24"/>
                <w:lang w:val="ru-RU" w:eastAsia="en-US" w:bidi="ar-SA"/>
              </w:rPr>
              <w:t xml:space="preserve"> предусмотрена обязанность Участников предоставить обеспечение заявки на участие в закупке и в случае отсутствия внесенных Участником денежных средств на индивидуальный счет, открытый Участнику Оператором ЭП в соответствии с Регламентом ЭП</w:t>
            </w:r>
          </w:p>
        </w:tc>
        <w:tc>
          <w:tcPr>
            <w:tcW w:w="3117" w:type="dxa"/>
            <w:tcBorders/>
          </w:tcPr>
          <w:p>
            <w:pPr>
              <w:pStyle w:val="Style30"/>
              <w:widowControl w:val="false"/>
              <w:suppressAutoHyphens w:val="true"/>
              <w:spacing w:before="60" w:after="60"/>
              <w:jc w:val="center"/>
              <w:rPr>
                <w:rFonts w:ascii="Times New Roman" w:hAnsi="Times New Roman"/>
                <w:sz w:val="24"/>
                <w:szCs w:val="24"/>
              </w:rPr>
            </w:pPr>
            <w:r>
              <w:rPr>
                <w:rFonts w:eastAsia="Calibri" w:cs=""/>
                <w:kern w:val="0"/>
                <w:sz w:val="24"/>
                <w:szCs w:val="24"/>
                <w:lang w:val="ru-RU" w:eastAsia="en-US" w:bidi="ar-SA"/>
              </w:rPr>
              <w:t>подраздел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_Ref130455226 \r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t>4.17</w:t>
            </w:r>
            <w:r>
              <w:rPr>
                <w:sz w:val="24"/>
                <w:kern w:val="0"/>
                <w:szCs w:val="24"/>
                <w:rFonts w:eastAsia="Calibri" w:cs=""/>
                <w:lang w:val="ru-RU" w:eastAsia="en-US" w:bidi="ar-SA"/>
              </w:rPr>
              <w:fldChar w:fldCharType="end"/>
            </w:r>
          </w:p>
        </w:tc>
        <w:tc>
          <w:tcPr>
            <w:tcW w:w="2090" w:type="dxa"/>
            <w:tcBorders/>
          </w:tcPr>
          <w:p>
            <w:pPr>
              <w:pStyle w:val="Style30"/>
              <w:widowControl w:val="false"/>
              <w:suppressAutoHyphens w:val="true"/>
              <w:spacing w:before="60" w:after="60"/>
              <w:jc w:val="center"/>
              <w:rPr>
                <w:rFonts w:ascii="Times New Roman" w:hAnsi="Times New Roman"/>
                <w:sz w:val="24"/>
                <w:szCs w:val="24"/>
              </w:rPr>
            </w:pPr>
            <w:r>
              <w:rPr>
                <w:rFonts w:eastAsia="Calibri" w:cs=""/>
                <w:kern w:val="0"/>
                <w:sz w:val="24"/>
                <w:szCs w:val="24"/>
                <w:lang w:val="ru-RU" w:eastAsia="en-US" w:bidi="ar-SA"/>
              </w:rPr>
              <w:t>Орг – в части наличия сведений в реестре,</w:t>
            </w:r>
          </w:p>
          <w:p>
            <w:pPr>
              <w:pStyle w:val="Style30"/>
              <w:widowControl w:val="false"/>
              <w:suppressAutoHyphens w:val="true"/>
              <w:spacing w:before="60" w:after="60"/>
              <w:jc w:val="center"/>
              <w:rPr>
                <w:rFonts w:ascii="Times New Roman" w:hAnsi="Times New Roman"/>
                <w:sz w:val="24"/>
                <w:szCs w:val="24"/>
              </w:rPr>
            </w:pPr>
            <w:r>
              <w:rPr>
                <w:rFonts w:eastAsia="Calibri" w:cs=""/>
                <w:kern w:val="0"/>
                <w:sz w:val="24"/>
                <w:szCs w:val="24"/>
                <w:lang w:val="ru-RU" w:eastAsia="en-US" w:bidi="ar-SA"/>
              </w:rPr>
              <w:t>Фин – в части соответствия</w:t>
            </w:r>
          </w:p>
        </w:tc>
      </w:tr>
      <w:tr>
        <w:trPr/>
        <w:tc>
          <w:tcPr>
            <w:tcW w:w="1412" w:type="dxa"/>
            <w:tcBorders/>
          </w:tcPr>
          <w:p>
            <w:pPr>
              <w:pStyle w:val="Style30"/>
              <w:widowControl w:val="false"/>
              <w:numPr>
                <w:ilvl w:val="0"/>
                <w:numId w:val="6"/>
              </w:numPr>
              <w:suppressAutoHyphens w:val="true"/>
              <w:spacing w:before="60" w:after="60"/>
              <w:ind w:hanging="0" w:left="170"/>
              <w:jc w:val="center"/>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p>
        </w:tc>
        <w:tc>
          <w:tcPr>
            <w:tcW w:w="8506" w:type="dxa"/>
            <w:tcBorders/>
          </w:tcPr>
          <w:p>
            <w:pPr>
              <w:pStyle w:val="Style30"/>
              <w:widowControl w:val="false"/>
              <w:suppressAutoHyphens w:val="true"/>
              <w:spacing w:before="60" w:after="60"/>
              <w:rPr>
                <w:rFonts w:ascii="Times New Roman" w:hAnsi="Times New Roman"/>
                <w:sz w:val="24"/>
                <w:szCs w:val="24"/>
              </w:rPr>
            </w:pPr>
            <w:r>
              <w:rPr>
                <w:rFonts w:eastAsia="Calibri" w:cs=""/>
                <w:kern w:val="0"/>
                <w:sz w:val="24"/>
                <w:szCs w:val="24"/>
                <w:lang w:val="ru-RU" w:eastAsia="en-US" w:bidi="ar-SA"/>
              </w:rPr>
              <w:t>Отсутствие в материалах (документах)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cPr>
          <w:p>
            <w:pPr>
              <w:pStyle w:val="Style30"/>
              <w:widowControl w:val="false"/>
              <w:suppressAutoHyphens w:val="true"/>
              <w:spacing w:before="60" w:after="60"/>
              <w:jc w:val="center"/>
              <w:rPr>
                <w:rFonts w:ascii="Times New Roman" w:hAnsi="Times New Roman"/>
                <w:sz w:val="24"/>
                <w:szCs w:val="24"/>
              </w:rPr>
            </w:pPr>
            <w:r>
              <w:rPr>
                <w:rFonts w:eastAsia="Calibri" w:cs=""/>
                <w:kern w:val="0"/>
                <w:sz w:val="24"/>
                <w:szCs w:val="24"/>
                <w:lang w:val="ru-RU" w:eastAsia="en-US" w:bidi="ar-SA"/>
              </w:rPr>
              <w:t>подразделы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_Ref130394681 \r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t>4.3</w:t>
            </w:r>
            <w:r>
              <w:rPr>
                <w:sz w:val="24"/>
                <w:kern w:val="0"/>
                <w:szCs w:val="24"/>
                <w:rFonts w:eastAsia="Calibri" w:cs=""/>
                <w:lang w:val="ru-RU" w:eastAsia="en-US" w:bidi="ar-SA"/>
              </w:rPr>
              <w:fldChar w:fldCharType="end"/>
            </w:r>
            <w:r>
              <w:rPr>
                <w:rFonts w:eastAsia="Calibri" w:cs=""/>
                <w:kern w:val="0"/>
                <w:sz w:val="24"/>
                <w:szCs w:val="24"/>
                <w:lang w:val="ru-RU" w:eastAsia="en-US" w:bidi="ar-SA"/>
              </w:rPr>
              <w:t xml:space="preserve">,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_Ref135749133 \r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t>4.9</w:t>
            </w:r>
            <w:r>
              <w:rPr>
                <w:sz w:val="24"/>
                <w:kern w:val="0"/>
                <w:szCs w:val="24"/>
                <w:rFonts w:eastAsia="Calibri" w:cs=""/>
                <w:lang w:val="ru-RU" w:eastAsia="en-US" w:bidi="ar-SA"/>
              </w:rPr>
              <w:fldChar w:fldCharType="end"/>
            </w:r>
          </w:p>
        </w:tc>
        <w:tc>
          <w:tcPr>
            <w:tcW w:w="2090" w:type="dxa"/>
            <w:tcBorders/>
          </w:tcPr>
          <w:p>
            <w:pPr>
              <w:pStyle w:val="Style30"/>
              <w:widowControl w:val="false"/>
              <w:suppressAutoHyphens w:val="true"/>
              <w:spacing w:before="60" w:after="60"/>
              <w:jc w:val="center"/>
              <w:rPr>
                <w:rFonts w:ascii="Times New Roman" w:hAnsi="Times New Roman"/>
                <w:sz w:val="24"/>
                <w:szCs w:val="24"/>
              </w:rPr>
            </w:pPr>
            <w:r>
              <w:rPr>
                <w:rFonts w:eastAsia="Calibri" w:cs=""/>
                <w:kern w:val="0"/>
                <w:sz w:val="24"/>
                <w:szCs w:val="24"/>
                <w:lang w:val="ru-RU" w:eastAsia="en-US" w:bidi="ar-SA"/>
              </w:rPr>
              <w:t>Орг, Тех,</w:t>
              <w:br/>
              <w:t>Цена, Юр</w:t>
            </w:r>
          </w:p>
        </w:tc>
      </w:tr>
      <w:tr>
        <w:trPr/>
        <w:tc>
          <w:tcPr>
            <w:tcW w:w="9918" w:type="dxa"/>
            <w:gridSpan w:val="2"/>
            <w:tcBorders/>
          </w:tcPr>
          <w:p>
            <w:pPr>
              <w:pStyle w:val="Style30"/>
              <w:keepNext w:val="true"/>
              <w:widowControl w:val="false"/>
              <w:suppressAutoHyphens w:val="true"/>
              <w:spacing w:before="60" w:after="60"/>
              <w:rPr>
                <w:rFonts w:ascii="Times New Roman" w:hAnsi="Times New Roman"/>
                <w:sz w:val="24"/>
                <w:szCs w:val="24"/>
              </w:rPr>
            </w:pPr>
            <w:r>
              <w:rPr>
                <w:rFonts w:eastAsia="Calibri" w:cs=""/>
                <w:b/>
                <w:bCs/>
                <w:kern w:val="0"/>
                <w:sz w:val="24"/>
                <w:szCs w:val="24"/>
                <w:lang w:val="ru-RU" w:eastAsia="en-US" w:bidi="ar-SA"/>
              </w:rPr>
              <w:t>Соответствие Письма о подаче оферты:</w:t>
            </w:r>
          </w:p>
        </w:tc>
        <w:tc>
          <w:tcPr>
            <w:tcW w:w="3117" w:type="dxa"/>
            <w:tcBorders/>
          </w:tcPr>
          <w:p>
            <w:pPr>
              <w:pStyle w:val="Style30"/>
              <w:keepNext w:val="true"/>
              <w:widowControl w:val="false"/>
              <w:suppressAutoHyphens w:val="true"/>
              <w:spacing w:before="60" w:after="60"/>
              <w:jc w:val="center"/>
              <w:rPr>
                <w:rFonts w:ascii="Times New Roman" w:hAnsi="Times New Roman"/>
                <w:sz w:val="24"/>
                <w:szCs w:val="24"/>
              </w:rPr>
            </w:pPr>
            <w:r>
              <w:rPr>
                <w:rFonts w:eastAsia="Calibri" w:cs=""/>
                <w:b/>
                <w:bCs/>
                <w:kern w:val="0"/>
                <w:sz w:val="24"/>
                <w:szCs w:val="24"/>
                <w:lang w:val="ru-RU" w:eastAsia="en-US" w:bidi="ar-SA"/>
              </w:rPr>
              <w:t>–</w:t>
            </w:r>
          </w:p>
        </w:tc>
        <w:tc>
          <w:tcPr>
            <w:tcW w:w="2090" w:type="dxa"/>
            <w:tcBorders/>
          </w:tcPr>
          <w:p>
            <w:pPr>
              <w:pStyle w:val="Style30"/>
              <w:keepNext w:val="true"/>
              <w:widowControl w:val="false"/>
              <w:suppressAutoHyphens w:val="true"/>
              <w:spacing w:before="60" w:after="60"/>
              <w:jc w:val="center"/>
              <w:rPr>
                <w:rFonts w:ascii="Times New Roman" w:hAnsi="Times New Roman"/>
                <w:sz w:val="24"/>
                <w:szCs w:val="24"/>
              </w:rPr>
            </w:pPr>
            <w:r>
              <w:rPr>
                <w:rFonts w:eastAsia="Calibri" w:cs=""/>
                <w:b/>
                <w:bCs/>
                <w:kern w:val="0"/>
                <w:sz w:val="24"/>
                <w:szCs w:val="24"/>
                <w:lang w:val="ru-RU" w:eastAsia="en-US" w:bidi="ar-SA"/>
              </w:rPr>
              <w:t>–</w:t>
            </w:r>
          </w:p>
        </w:tc>
      </w:tr>
      <w:tr>
        <w:trPr/>
        <w:tc>
          <w:tcPr>
            <w:tcW w:w="1412" w:type="dxa"/>
            <w:tcBorders/>
          </w:tcPr>
          <w:p>
            <w:pPr>
              <w:pStyle w:val="Style30"/>
              <w:widowControl w:val="false"/>
              <w:numPr>
                <w:ilvl w:val="0"/>
                <w:numId w:val="6"/>
              </w:numPr>
              <w:suppressAutoHyphens w:val="true"/>
              <w:spacing w:before="60" w:after="60"/>
              <w:ind w:hanging="0" w:left="170"/>
              <w:jc w:val="center"/>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p>
        </w:tc>
        <w:tc>
          <w:tcPr>
            <w:tcW w:w="8506" w:type="dxa"/>
            <w:tcBorders/>
          </w:tcPr>
          <w:p>
            <w:pPr>
              <w:pStyle w:val="Style30"/>
              <w:widowControl w:val="false"/>
              <w:suppressAutoHyphens w:val="true"/>
              <w:spacing w:before="60" w:after="60"/>
              <w:rPr>
                <w:rFonts w:ascii="Times New Roman" w:hAnsi="Times New Roman"/>
                <w:sz w:val="24"/>
                <w:szCs w:val="24"/>
              </w:rPr>
            </w:pPr>
            <w:r>
              <w:rPr>
                <w:rFonts w:eastAsia="Calibri" w:cs=""/>
                <w:kern w:val="0"/>
                <w:sz w:val="24"/>
                <w:szCs w:val="24"/>
                <w:lang w:val="ru-RU" w:eastAsia="en-US" w:bidi="ar-SA"/>
              </w:rPr>
              <w:t>Соответствие (в том числе содержание) Письма о подаче оферты установленной форме и иным требованиям Документации о закупке, в т.ч. в части наличия должных печатей (при наличии), подписей, формы заверения, языка, валюты и срока действия заявки</w:t>
            </w:r>
          </w:p>
        </w:tc>
        <w:tc>
          <w:tcPr>
            <w:tcW w:w="3117" w:type="dxa"/>
            <w:tcBorders/>
          </w:tcPr>
          <w:p>
            <w:pPr>
              <w:pStyle w:val="Style30"/>
              <w:widowControl w:val="false"/>
              <w:suppressAutoHyphens w:val="true"/>
              <w:spacing w:before="60" w:after="60"/>
              <w:jc w:val="center"/>
              <w:rPr/>
            </w:pPr>
            <w:r>
              <w:rPr>
                <w:rFonts w:eastAsia="Calibri" w:cs=""/>
                <w:kern w:val="0"/>
                <w:sz w:val="24"/>
                <w:szCs w:val="24"/>
                <w:lang w:val="ru-RU" w:eastAsia="en-US" w:bidi="ar-SA"/>
              </w:rPr>
              <w:t>подразделы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_Ref130394681 \r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t>4.3</w:t>
            </w:r>
            <w:r>
              <w:rPr>
                <w:sz w:val="24"/>
                <w:kern w:val="0"/>
                <w:szCs w:val="24"/>
                <w:rFonts w:eastAsia="Calibri" w:cs=""/>
                <w:lang w:val="ru-RU" w:eastAsia="en-US" w:bidi="ar-SA"/>
              </w:rPr>
              <w:fldChar w:fldCharType="end"/>
            </w:r>
            <w:r>
              <w:rPr>
                <w:rFonts w:eastAsia="Calibri" w:cs=""/>
                <w:kern w:val="0"/>
                <w:sz w:val="24"/>
                <w:szCs w:val="24"/>
                <w:lang w:val="ru-RU" w:eastAsia="en-US" w:bidi="ar-SA"/>
              </w:rPr>
              <w:t xml:space="preserve">,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_Ref125362119 \r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t>4.6</w:t>
            </w:r>
            <w:r>
              <w:rPr>
                <w:sz w:val="24"/>
                <w:kern w:val="0"/>
                <w:szCs w:val="24"/>
                <w:rFonts w:eastAsia="Calibri" w:cs=""/>
                <w:lang w:val="ru-RU" w:eastAsia="en-US" w:bidi="ar-SA"/>
              </w:rPr>
              <w:fldChar w:fldCharType="end"/>
            </w:r>
            <w:r>
              <w:rPr>
                <w:rFonts w:eastAsia="Calibri" w:cs=""/>
                <w:kern w:val="0"/>
                <w:sz w:val="24"/>
                <w:szCs w:val="24"/>
                <w:lang w:val="ru-RU" w:eastAsia="en-US" w:bidi="ar-SA"/>
              </w:rPr>
              <w:br/>
            </w:r>
            <w:hyperlink w:anchor="Прил04_ФормыЗаявки">
              <w:r>
                <w:rPr>
                  <w:rStyle w:val="Style14"/>
                  <w:rFonts w:eastAsia="Calibri" w:cs=""/>
                  <w:kern w:val="0"/>
                  <w:sz w:val="24"/>
                  <w:szCs w:val="24"/>
                  <w:lang w:val="ru-RU" w:eastAsia="en-US" w:bidi="ar-SA"/>
                </w:rPr>
                <w:t>Приложение № 4</w:t>
              </w:r>
            </w:hyperlink>
          </w:p>
        </w:tc>
        <w:tc>
          <w:tcPr>
            <w:tcW w:w="2090" w:type="dxa"/>
            <w:tcBorders/>
          </w:tcPr>
          <w:p>
            <w:pPr>
              <w:pStyle w:val="Style30"/>
              <w:widowControl w:val="false"/>
              <w:suppressAutoHyphens w:val="true"/>
              <w:spacing w:before="60" w:after="60"/>
              <w:jc w:val="center"/>
              <w:rPr>
                <w:rFonts w:ascii="Times New Roman" w:hAnsi="Times New Roman"/>
                <w:sz w:val="24"/>
                <w:szCs w:val="24"/>
              </w:rPr>
            </w:pPr>
            <w:r>
              <w:rPr>
                <w:rFonts w:eastAsia="Calibri" w:cs=""/>
                <w:kern w:val="0"/>
                <w:sz w:val="24"/>
                <w:szCs w:val="24"/>
                <w:lang w:val="ru-RU" w:eastAsia="en-US" w:bidi="ar-SA"/>
              </w:rPr>
              <w:t>Орг</w:t>
            </w:r>
          </w:p>
        </w:tc>
      </w:tr>
      <w:tr>
        <w:trPr/>
        <w:tc>
          <w:tcPr>
            <w:tcW w:w="9918" w:type="dxa"/>
            <w:gridSpan w:val="2"/>
            <w:tcBorders/>
          </w:tcPr>
          <w:p>
            <w:pPr>
              <w:pStyle w:val="Style30"/>
              <w:keepNext w:val="true"/>
              <w:widowControl w:val="false"/>
              <w:suppressAutoHyphens w:val="true"/>
              <w:spacing w:before="60" w:after="60"/>
              <w:rPr>
                <w:rFonts w:ascii="Times New Roman" w:hAnsi="Times New Roman"/>
                <w:sz w:val="24"/>
                <w:szCs w:val="24"/>
              </w:rPr>
            </w:pPr>
            <w:r>
              <w:rPr>
                <w:rFonts w:eastAsia="Calibri" w:cs=""/>
                <w:b/>
                <w:bCs/>
                <w:kern w:val="0"/>
                <w:sz w:val="24"/>
                <w:szCs w:val="24"/>
                <w:lang w:val="ru-RU" w:eastAsia="en-US" w:bidi="ar-SA"/>
              </w:rPr>
              <w:t>Соответствие Участника установленным требованиям Документации о закупке, в том числе:</w:t>
            </w:r>
          </w:p>
        </w:tc>
        <w:tc>
          <w:tcPr>
            <w:tcW w:w="3117" w:type="dxa"/>
            <w:tcBorders/>
          </w:tcPr>
          <w:p>
            <w:pPr>
              <w:pStyle w:val="Style30"/>
              <w:widowControl w:val="false"/>
              <w:suppressAutoHyphens w:val="true"/>
              <w:spacing w:before="60" w:after="60"/>
              <w:jc w:val="center"/>
              <w:rPr>
                <w:rFonts w:ascii="Times New Roman" w:hAnsi="Times New Roman"/>
                <w:sz w:val="24"/>
                <w:szCs w:val="24"/>
              </w:rPr>
            </w:pPr>
            <w:r>
              <w:rPr>
                <w:rFonts w:eastAsia="Calibri" w:cs=""/>
                <w:b/>
                <w:bCs/>
                <w:kern w:val="0"/>
                <w:sz w:val="24"/>
                <w:szCs w:val="24"/>
                <w:lang w:val="ru-RU" w:eastAsia="en-US" w:bidi="ar-SA"/>
              </w:rPr>
              <w:t>–</w:t>
            </w:r>
          </w:p>
        </w:tc>
        <w:tc>
          <w:tcPr>
            <w:tcW w:w="2090" w:type="dxa"/>
            <w:tcBorders/>
          </w:tcPr>
          <w:p>
            <w:pPr>
              <w:pStyle w:val="Style30"/>
              <w:widowControl w:val="false"/>
              <w:suppressAutoHyphens w:val="true"/>
              <w:spacing w:before="60" w:after="60"/>
              <w:jc w:val="center"/>
              <w:rPr>
                <w:rFonts w:ascii="Times New Roman" w:hAnsi="Times New Roman"/>
                <w:sz w:val="24"/>
                <w:szCs w:val="24"/>
              </w:rPr>
            </w:pPr>
            <w:r>
              <w:rPr>
                <w:rFonts w:eastAsia="Calibri" w:cs=""/>
                <w:b/>
                <w:bCs/>
                <w:kern w:val="0"/>
                <w:sz w:val="24"/>
                <w:szCs w:val="24"/>
                <w:lang w:val="ru-RU" w:eastAsia="en-US" w:bidi="ar-SA"/>
              </w:rPr>
              <w:t>–</w:t>
            </w:r>
          </w:p>
        </w:tc>
      </w:tr>
      <w:tr>
        <w:trPr/>
        <w:tc>
          <w:tcPr>
            <w:tcW w:w="1412" w:type="dxa"/>
            <w:tcBorders/>
          </w:tcPr>
          <w:p>
            <w:pPr>
              <w:pStyle w:val="Style30"/>
              <w:widowControl w:val="false"/>
              <w:numPr>
                <w:ilvl w:val="0"/>
                <w:numId w:val="6"/>
              </w:numPr>
              <w:suppressAutoHyphens w:val="true"/>
              <w:spacing w:before="60" w:after="60"/>
              <w:ind w:hanging="0" w:left="170"/>
              <w:jc w:val="center"/>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p>
        </w:tc>
        <w:tc>
          <w:tcPr>
            <w:tcW w:w="8506" w:type="dxa"/>
            <w:tcBorders/>
          </w:tcPr>
          <w:p>
            <w:pPr>
              <w:pStyle w:val="Style30"/>
              <w:widowControl w:val="false"/>
              <w:suppressAutoHyphens w:val="true"/>
              <w:spacing w:before="60" w:after="60"/>
              <w:rPr>
                <w:rFonts w:ascii="Times New Roman" w:hAnsi="Times New Roman"/>
                <w:sz w:val="24"/>
                <w:szCs w:val="24"/>
              </w:rPr>
            </w:pPr>
            <w:r>
              <w:rPr>
                <w:rFonts w:eastAsia="Calibri" w:cs=""/>
                <w:kern w:val="0"/>
                <w:sz w:val="24"/>
                <w:szCs w:val="24"/>
                <w:lang w:val="ru-RU" w:eastAsia="en-US" w:bidi="ar-SA"/>
              </w:rPr>
              <w:t>Соответствие Участника пункту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_Ref125552433 \w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t>1</w:t>
            </w:r>
            <w:r>
              <w:rPr>
                <w:sz w:val="24"/>
                <w:kern w:val="0"/>
                <w:szCs w:val="24"/>
                <w:rFonts w:eastAsia="Calibri" w:cs=""/>
                <w:lang w:val="ru-RU" w:eastAsia="en-US" w:bidi="ar-SA"/>
              </w:rPr>
              <w:fldChar w:fldCharType="end"/>
            </w:r>
            <w:r>
              <w:rPr>
                <w:rFonts w:eastAsia="Calibri" w:cs=""/>
                <w:kern w:val="0"/>
                <w:sz w:val="24"/>
                <w:szCs w:val="24"/>
                <w:lang w:val="ru-RU" w:eastAsia="en-US" w:bidi="ar-SA"/>
              </w:rPr>
              <w:t xml:space="preserve"> обязательных требований к Участникам</w:t>
            </w:r>
          </w:p>
          <w:p>
            <w:pPr>
              <w:pStyle w:val="Style30"/>
              <w:widowControl w:val="false"/>
              <w:suppressAutoHyphens w:val="true"/>
              <w:spacing w:before="60" w:after="60"/>
              <w:rPr>
                <w:rFonts w:ascii="Times New Roman" w:hAnsi="Times New Roman"/>
                <w:sz w:val="24"/>
                <w:szCs w:val="24"/>
              </w:rPr>
            </w:pPr>
            <w:r>
              <w:rPr>
                <w:rFonts w:eastAsia="Calibri" w:cs=""/>
                <w:i/>
                <w:iCs/>
                <w:kern w:val="0"/>
                <w:sz w:val="24"/>
                <w:szCs w:val="24"/>
                <w:lang w:val="ru-RU" w:eastAsia="en-US" w:bidi="ar-SA"/>
              </w:rPr>
              <w:t>(в рамках осуществления экспертизы заявки Участника в том числе проверяется наличие у него статуса «аккредитован» / «аккредитация не требуется», или проводится процедура его аккредитации (при</w:t>
            </w:r>
            <w:r>
              <w:rPr>
                <w:rFonts w:eastAsia="Calibri" w:cs=""/>
                <w:i/>
                <w:iCs/>
                <w:kern w:val="0"/>
                <w:sz w:val="24"/>
                <w:szCs w:val="24"/>
                <w:lang w:val="en-US" w:eastAsia="en-US" w:bidi="ar-SA"/>
              </w:rPr>
              <w:t> </w:t>
            </w:r>
            <w:r>
              <w:rPr>
                <w:rFonts w:eastAsia="Calibri" w:cs=""/>
                <w:i/>
                <w:iCs/>
                <w:kern w:val="0"/>
                <w:sz w:val="24"/>
                <w:szCs w:val="24"/>
                <w:lang w:val="ru-RU" w:eastAsia="en-US" w:bidi="ar-SA"/>
              </w:rPr>
              <w:t>необходимости). В рамках заключения Договора Победитель в целях подтверждения своего соответствия предоставляет документы в порядке, предусмотренном подразделом </w:t>
            </w:r>
            <w:r>
              <w:rPr>
                <w:rFonts w:eastAsia="Calibri" w:cs=""/>
                <w:i/>
                <w:iCs/>
                <w:kern w:val="0"/>
                <w:sz w:val="24"/>
                <w:szCs w:val="24"/>
                <w:lang w:val="ru-RU" w:eastAsia="en-US" w:bidi="ar-SA"/>
              </w:rPr>
              <w:fldChar w:fldCharType="begin"/>
            </w:r>
            <w:r>
              <w:rPr>
                <w:sz w:val="24"/>
                <w:i/>
                <w:kern w:val="0"/>
                <w:szCs w:val="24"/>
                <w:iCs/>
                <w:rFonts w:eastAsia="Calibri" w:cs=""/>
                <w:lang w:val="ru-RU" w:eastAsia="en-US" w:bidi="ar-SA"/>
              </w:rPr>
              <w:instrText xml:space="preserve"> REF _Ref138232981 \r \h </w:instrText>
            </w:r>
            <w:r>
              <w:rPr>
                <w:sz w:val="24"/>
                <w:i/>
                <w:kern w:val="0"/>
                <w:szCs w:val="24"/>
                <w:iCs/>
                <w:rFonts w:eastAsia="Calibri" w:cs=""/>
                <w:lang w:val="ru-RU" w:eastAsia="en-US" w:bidi="ar-SA"/>
              </w:rPr>
              <w:fldChar w:fldCharType="separate"/>
            </w:r>
            <w:r>
              <w:rPr>
                <w:sz w:val="24"/>
                <w:i/>
                <w:kern w:val="0"/>
                <w:szCs w:val="24"/>
                <w:iCs/>
                <w:rFonts w:eastAsia="Calibri" w:cs=""/>
                <w:lang w:val="ru-RU" w:eastAsia="en-US" w:bidi="ar-SA"/>
              </w:rPr>
              <w:t>5.2</w:t>
            </w:r>
            <w:r>
              <w:rPr>
                <w:sz w:val="24"/>
                <w:i/>
                <w:kern w:val="0"/>
                <w:szCs w:val="24"/>
                <w:iCs/>
                <w:rFonts w:eastAsia="Calibri" w:cs=""/>
                <w:lang w:val="ru-RU" w:eastAsia="en-US" w:bidi="ar-SA"/>
              </w:rPr>
              <w:fldChar w:fldCharType="end"/>
            </w:r>
            <w:r>
              <w:rPr>
                <w:rFonts w:eastAsia="Calibri" w:cs=""/>
                <w:i/>
                <w:iCs/>
                <w:kern w:val="0"/>
                <w:sz w:val="24"/>
                <w:szCs w:val="24"/>
                <w:lang w:val="ru-RU" w:eastAsia="en-US" w:bidi="ar-SA"/>
              </w:rPr>
              <w:t>)</w:t>
            </w:r>
          </w:p>
        </w:tc>
        <w:tc>
          <w:tcPr>
            <w:tcW w:w="3117" w:type="dxa"/>
            <w:tcBorders/>
          </w:tcPr>
          <w:p>
            <w:pPr>
              <w:pStyle w:val="Style30"/>
              <w:widowControl w:val="false"/>
              <w:suppressAutoHyphens w:val="true"/>
              <w:spacing w:before="60" w:after="60"/>
              <w:jc w:val="center"/>
              <w:rPr/>
            </w:pPr>
            <w:r>
              <w:rPr>
                <w:rFonts w:eastAsia="Calibri" w:cs=""/>
                <w:kern w:val="0"/>
                <w:sz w:val="24"/>
                <w:szCs w:val="24"/>
                <w:lang w:val="ru-RU" w:eastAsia="en-US" w:bidi="ar-SA"/>
              </w:rPr>
              <w:t>подраздел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_Ref125361435 \w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t>8.2</w:t>
            </w:r>
            <w:r>
              <w:rPr>
                <w:sz w:val="24"/>
                <w:kern w:val="0"/>
                <w:szCs w:val="24"/>
                <w:rFonts w:eastAsia="Calibri" w:cs=""/>
                <w:lang w:val="ru-RU" w:eastAsia="en-US" w:bidi="ar-SA"/>
              </w:rPr>
              <w:fldChar w:fldCharType="end"/>
            </w:r>
            <w:r>
              <w:rPr>
                <w:rFonts w:eastAsia="Calibri" w:cs=""/>
                <w:kern w:val="0"/>
                <w:sz w:val="24"/>
                <w:szCs w:val="24"/>
                <w:lang w:val="ru-RU" w:eastAsia="en-US" w:bidi="ar-SA"/>
              </w:rPr>
              <w:br/>
              <w:t>(</w:t>
            </w:r>
            <w:hyperlink w:anchor="Прил03_ТребованияУчастникам">
              <w:r>
                <w:rPr>
                  <w:rStyle w:val="Style14"/>
                  <w:rFonts w:eastAsia="Calibri" w:cs=""/>
                  <w:kern w:val="0"/>
                  <w:sz w:val="24"/>
                  <w:szCs w:val="24"/>
                  <w:lang w:val="ru-RU" w:eastAsia="en-US" w:bidi="ar-SA"/>
                </w:rPr>
                <w:t>Приложение № 3</w:t>
              </w:r>
            </w:hyperlink>
            <w:r>
              <w:rPr>
                <w:rFonts w:eastAsia="Calibri" w:cs=""/>
                <w:kern w:val="0"/>
                <w:sz w:val="24"/>
                <w:szCs w:val="24"/>
                <w:lang w:val="ru-RU" w:eastAsia="en-US" w:bidi="ar-SA"/>
              </w:rPr>
              <w:t>)</w:t>
            </w:r>
          </w:p>
        </w:tc>
        <w:tc>
          <w:tcPr>
            <w:tcW w:w="2090" w:type="dxa"/>
            <w:tcBorders/>
          </w:tcPr>
          <w:p>
            <w:pPr>
              <w:pStyle w:val="Style30"/>
              <w:widowControl w:val="false"/>
              <w:suppressAutoHyphens w:val="true"/>
              <w:spacing w:before="60" w:after="60"/>
              <w:jc w:val="center"/>
              <w:rPr>
                <w:rFonts w:ascii="Times New Roman" w:hAnsi="Times New Roman"/>
                <w:sz w:val="24"/>
                <w:szCs w:val="24"/>
              </w:rPr>
            </w:pPr>
            <w:r>
              <w:rPr>
                <w:rFonts w:eastAsia="Calibri" w:cs=""/>
                <w:kern w:val="0"/>
                <w:sz w:val="24"/>
                <w:szCs w:val="24"/>
                <w:lang w:val="ru-RU" w:eastAsia="en-US" w:bidi="ar-SA"/>
              </w:rPr>
              <w:t>Орг, Юр</w:t>
            </w:r>
          </w:p>
        </w:tc>
      </w:tr>
      <w:tr>
        <w:trPr/>
        <w:tc>
          <w:tcPr>
            <w:tcW w:w="1412" w:type="dxa"/>
            <w:tcBorders/>
          </w:tcPr>
          <w:p>
            <w:pPr>
              <w:pStyle w:val="Style30"/>
              <w:widowControl w:val="false"/>
              <w:numPr>
                <w:ilvl w:val="0"/>
                <w:numId w:val="6"/>
              </w:numPr>
              <w:suppressAutoHyphens w:val="true"/>
              <w:spacing w:before="60" w:after="60"/>
              <w:ind w:hanging="0" w:left="170"/>
              <w:jc w:val="center"/>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p>
        </w:tc>
        <w:tc>
          <w:tcPr>
            <w:tcW w:w="8506" w:type="dxa"/>
            <w:tcBorders/>
          </w:tcPr>
          <w:p>
            <w:pPr>
              <w:pStyle w:val="Style30"/>
              <w:widowControl w:val="false"/>
              <w:suppressAutoHyphens w:val="true"/>
              <w:spacing w:before="60" w:after="60"/>
              <w:rPr>
                <w:rFonts w:ascii="Times New Roman" w:hAnsi="Times New Roman"/>
                <w:sz w:val="24"/>
                <w:szCs w:val="24"/>
              </w:rPr>
            </w:pPr>
            <w:r>
              <w:rPr>
                <w:rFonts w:eastAsia="Calibri" w:cs=""/>
                <w:kern w:val="0"/>
                <w:sz w:val="24"/>
                <w:szCs w:val="24"/>
                <w:lang w:val="ru-RU" w:eastAsia="en-US" w:bidi="ar-SA"/>
              </w:rPr>
              <w:t>Соответствие Участника пункту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_Ref139028406 \r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t>3</w:t>
            </w:r>
            <w:r>
              <w:rPr>
                <w:sz w:val="24"/>
                <w:kern w:val="0"/>
                <w:szCs w:val="24"/>
                <w:rFonts w:eastAsia="Calibri" w:cs=""/>
                <w:lang w:val="ru-RU" w:eastAsia="en-US" w:bidi="ar-SA"/>
              </w:rPr>
              <w:fldChar w:fldCharType="end"/>
            </w:r>
            <w:r>
              <w:rPr>
                <w:rFonts w:eastAsia="Calibri" w:cs=""/>
                <w:kern w:val="0"/>
                <w:sz w:val="24"/>
                <w:szCs w:val="24"/>
                <w:lang w:val="ru-RU" w:eastAsia="en-US" w:bidi="ar-SA"/>
              </w:rPr>
              <w:t xml:space="preserve"> обязательных требований к Участникам</w:t>
            </w:r>
          </w:p>
        </w:tc>
        <w:tc>
          <w:tcPr>
            <w:tcW w:w="3117" w:type="dxa"/>
            <w:tcBorders/>
          </w:tcPr>
          <w:p>
            <w:pPr>
              <w:pStyle w:val="Style30"/>
              <w:widowControl w:val="false"/>
              <w:suppressAutoHyphens w:val="true"/>
              <w:spacing w:before="60" w:after="60"/>
              <w:jc w:val="center"/>
              <w:rPr/>
            </w:pPr>
            <w:r>
              <w:rPr>
                <w:rFonts w:eastAsia="Calibri" w:cs=""/>
                <w:kern w:val="0"/>
                <w:sz w:val="24"/>
                <w:szCs w:val="24"/>
                <w:lang w:val="ru-RU" w:eastAsia="en-US" w:bidi="ar-SA"/>
              </w:rPr>
              <w:t>подраздел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_Ref125361435 \w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t>8.2</w:t>
            </w:r>
            <w:r>
              <w:rPr>
                <w:sz w:val="24"/>
                <w:kern w:val="0"/>
                <w:szCs w:val="24"/>
                <w:rFonts w:eastAsia="Calibri" w:cs=""/>
                <w:lang w:val="ru-RU" w:eastAsia="en-US" w:bidi="ar-SA"/>
              </w:rPr>
              <w:fldChar w:fldCharType="end"/>
            </w:r>
            <w:r>
              <w:rPr>
                <w:rFonts w:eastAsia="Calibri" w:cs=""/>
                <w:kern w:val="0"/>
                <w:sz w:val="24"/>
                <w:szCs w:val="24"/>
                <w:lang w:val="ru-RU" w:eastAsia="en-US" w:bidi="ar-SA"/>
              </w:rPr>
              <w:br/>
              <w:t>(</w:t>
            </w:r>
            <w:hyperlink w:anchor="Прил03_ТребованияУчастникам">
              <w:r>
                <w:rPr>
                  <w:rStyle w:val="Style14"/>
                  <w:rFonts w:eastAsia="Calibri" w:cs=""/>
                  <w:kern w:val="0"/>
                  <w:sz w:val="24"/>
                  <w:szCs w:val="24"/>
                  <w:lang w:val="ru-RU" w:eastAsia="en-US" w:bidi="ar-SA"/>
                </w:rPr>
                <w:t>Приложение № 3</w:t>
              </w:r>
            </w:hyperlink>
            <w:r>
              <w:rPr>
                <w:rFonts w:eastAsia="Calibri" w:cs=""/>
                <w:kern w:val="0"/>
                <w:sz w:val="24"/>
                <w:szCs w:val="24"/>
                <w:lang w:val="ru-RU" w:eastAsia="en-US" w:bidi="ar-SA"/>
              </w:rPr>
              <w:t>)</w:t>
            </w:r>
          </w:p>
        </w:tc>
        <w:tc>
          <w:tcPr>
            <w:tcW w:w="2090" w:type="dxa"/>
            <w:tcBorders/>
          </w:tcPr>
          <w:p>
            <w:pPr>
              <w:pStyle w:val="Style30"/>
              <w:widowControl w:val="false"/>
              <w:suppressAutoHyphens w:val="true"/>
              <w:spacing w:before="60" w:after="60"/>
              <w:jc w:val="center"/>
              <w:rPr>
                <w:rFonts w:ascii="Times New Roman" w:hAnsi="Times New Roman"/>
                <w:sz w:val="24"/>
                <w:szCs w:val="24"/>
              </w:rPr>
            </w:pPr>
            <w:r>
              <w:rPr>
                <w:rFonts w:eastAsia="Calibri" w:cs=""/>
                <w:kern w:val="0"/>
                <w:sz w:val="24"/>
                <w:szCs w:val="24"/>
                <w:lang w:val="ru-RU" w:eastAsia="en-US" w:bidi="ar-SA"/>
              </w:rPr>
              <w:t>Орг</w:t>
            </w:r>
          </w:p>
        </w:tc>
      </w:tr>
      <w:tr>
        <w:trPr/>
        <w:tc>
          <w:tcPr>
            <w:tcW w:w="1412" w:type="dxa"/>
            <w:tcBorders/>
          </w:tcPr>
          <w:p>
            <w:pPr>
              <w:pStyle w:val="Style30"/>
              <w:widowControl w:val="false"/>
              <w:numPr>
                <w:ilvl w:val="0"/>
                <w:numId w:val="6"/>
              </w:numPr>
              <w:suppressAutoHyphens w:val="true"/>
              <w:spacing w:before="60" w:after="60"/>
              <w:ind w:hanging="0" w:left="170"/>
              <w:jc w:val="center"/>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p>
        </w:tc>
        <w:tc>
          <w:tcPr>
            <w:tcW w:w="8506" w:type="dxa"/>
            <w:tcBorders/>
          </w:tcPr>
          <w:p>
            <w:pPr>
              <w:pStyle w:val="Style30"/>
              <w:widowControl w:val="false"/>
              <w:suppressAutoHyphens w:val="true"/>
              <w:spacing w:before="60" w:after="60"/>
              <w:rPr>
                <w:rFonts w:ascii="Times New Roman" w:hAnsi="Times New Roman"/>
                <w:sz w:val="24"/>
                <w:szCs w:val="24"/>
              </w:rPr>
            </w:pPr>
            <w:r>
              <w:rPr>
                <w:rFonts w:eastAsia="Calibri" w:cs=""/>
                <w:kern w:val="0"/>
                <w:sz w:val="24"/>
                <w:szCs w:val="24"/>
                <w:lang w:val="ru-RU" w:eastAsia="en-US" w:bidi="ar-SA"/>
              </w:rPr>
              <w:t>Соответствие Участника пункту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_Ref186128496 \r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t>4</w:t>
            </w:r>
            <w:r>
              <w:rPr>
                <w:sz w:val="24"/>
                <w:kern w:val="0"/>
                <w:szCs w:val="24"/>
                <w:rFonts w:eastAsia="Calibri" w:cs=""/>
                <w:lang w:val="ru-RU" w:eastAsia="en-US" w:bidi="ar-SA"/>
              </w:rPr>
              <w:fldChar w:fldCharType="end"/>
            </w:r>
            <w:r>
              <w:rPr>
                <w:rFonts w:eastAsia="Calibri" w:cs=""/>
                <w:kern w:val="0"/>
                <w:sz w:val="24"/>
                <w:szCs w:val="24"/>
                <w:lang w:val="ru-RU" w:eastAsia="en-US" w:bidi="ar-SA"/>
              </w:rPr>
              <w:t xml:space="preserve"> обязательных требований к Участникам</w:t>
            </w:r>
          </w:p>
          <w:p>
            <w:pPr>
              <w:pStyle w:val="Style30"/>
              <w:widowControl w:val="false"/>
              <w:suppressAutoHyphens w:val="true"/>
              <w:spacing w:before="60" w:after="60"/>
              <w:rPr>
                <w:rFonts w:ascii="Times New Roman" w:hAnsi="Times New Roman"/>
                <w:sz w:val="24"/>
                <w:szCs w:val="24"/>
              </w:rPr>
            </w:pPr>
            <w:r>
              <w:rPr>
                <w:rFonts w:eastAsia="Calibri" w:cs=""/>
                <w:i/>
                <w:iCs/>
                <w:kern w:val="0"/>
                <w:sz w:val="24"/>
                <w:szCs w:val="24"/>
                <w:lang w:val="ru-RU" w:eastAsia="en-US" w:bidi="ar-SA"/>
              </w:rPr>
              <w:t>(пункт применяется только в случае установления режима запрета закупки иностранной продукции (подраздел </w:t>
            </w:r>
            <w:r>
              <w:rPr>
                <w:rFonts w:eastAsia="Calibri" w:cs=""/>
                <w:i/>
                <w:iCs/>
                <w:kern w:val="0"/>
                <w:sz w:val="24"/>
                <w:szCs w:val="24"/>
                <w:lang w:val="ru-RU" w:eastAsia="en-US" w:bidi="ar-SA"/>
              </w:rPr>
              <w:fldChar w:fldCharType="begin"/>
            </w:r>
            <w:r>
              <w:rPr>
                <w:sz w:val="24"/>
                <w:i/>
                <w:kern w:val="0"/>
                <w:szCs w:val="24"/>
                <w:iCs/>
                <w:rFonts w:eastAsia="Calibri" w:cs=""/>
                <w:lang w:val="ru-RU" w:eastAsia="en-US" w:bidi="ar-SA"/>
              </w:rPr>
              <w:instrText xml:space="preserve"> REF _Ref186128193 \r \h </w:instrText>
            </w:r>
            <w:r>
              <w:rPr>
                <w:sz w:val="24"/>
                <w:i/>
                <w:kern w:val="0"/>
                <w:szCs w:val="24"/>
                <w:iCs/>
                <w:rFonts w:eastAsia="Calibri" w:cs=""/>
                <w:lang w:val="ru-RU" w:eastAsia="en-US" w:bidi="ar-SA"/>
              </w:rPr>
              <w:fldChar w:fldCharType="separate"/>
            </w:r>
            <w:r>
              <w:rPr>
                <w:sz w:val="24"/>
                <w:i/>
                <w:kern w:val="0"/>
                <w:szCs w:val="24"/>
                <w:iCs/>
                <w:rFonts w:eastAsia="Calibri" w:cs=""/>
                <w:lang w:val="ru-RU" w:eastAsia="en-US" w:bidi="ar-SA"/>
              </w:rPr>
              <w:t>4.13</w:t>
            </w:r>
            <w:r>
              <w:rPr>
                <w:sz w:val="24"/>
                <w:i/>
                <w:kern w:val="0"/>
                <w:szCs w:val="24"/>
                <w:iCs/>
                <w:rFonts w:eastAsia="Calibri" w:cs=""/>
                <w:lang w:val="ru-RU" w:eastAsia="en-US" w:bidi="ar-SA"/>
              </w:rPr>
              <w:fldChar w:fldCharType="end"/>
            </w:r>
            <w:r>
              <w:rPr>
                <w:rFonts w:eastAsia="Calibri" w:cs=""/>
                <w:i/>
                <w:iCs/>
                <w:kern w:val="0"/>
                <w:sz w:val="24"/>
                <w:szCs w:val="24"/>
                <w:lang w:val="ru-RU" w:eastAsia="en-US" w:bidi="ar-SA"/>
              </w:rPr>
              <w:t>))</w:t>
            </w:r>
          </w:p>
        </w:tc>
        <w:tc>
          <w:tcPr>
            <w:tcW w:w="3117" w:type="dxa"/>
            <w:tcBorders/>
          </w:tcPr>
          <w:p>
            <w:pPr>
              <w:pStyle w:val="Style30"/>
              <w:widowControl w:val="false"/>
              <w:suppressAutoHyphens w:val="true"/>
              <w:spacing w:before="60" w:after="60"/>
              <w:jc w:val="center"/>
              <w:rPr/>
            </w:pPr>
            <w:r>
              <w:rPr>
                <w:rFonts w:eastAsia="Calibri" w:cs=""/>
                <w:kern w:val="0"/>
                <w:sz w:val="24"/>
                <w:szCs w:val="24"/>
                <w:lang w:val="ru-RU" w:eastAsia="en-US" w:bidi="ar-SA"/>
              </w:rPr>
              <w:t xml:space="preserve">Подразделы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_Ref186128193 \r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t>4.13</w:t>
            </w:r>
            <w:r>
              <w:rPr>
                <w:sz w:val="24"/>
                <w:kern w:val="0"/>
                <w:szCs w:val="24"/>
                <w:rFonts w:eastAsia="Calibri" w:cs=""/>
                <w:lang w:val="ru-RU" w:eastAsia="en-US" w:bidi="ar-SA"/>
              </w:rPr>
              <w:fldChar w:fldCharType="end"/>
            </w:r>
            <w:r>
              <w:rPr>
                <w:rFonts w:eastAsia="Calibri" w:cs=""/>
                <w:kern w:val="0"/>
                <w:sz w:val="24"/>
                <w:szCs w:val="24"/>
                <w:lang w:val="ru-RU" w:eastAsia="en-US" w:bidi="ar-SA"/>
              </w:rPr>
              <w:t>,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_Ref125361435 \w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t>8.2</w:t>
            </w:r>
            <w:r>
              <w:rPr>
                <w:sz w:val="24"/>
                <w:kern w:val="0"/>
                <w:szCs w:val="24"/>
                <w:rFonts w:eastAsia="Calibri" w:cs=""/>
                <w:lang w:val="ru-RU" w:eastAsia="en-US" w:bidi="ar-SA"/>
              </w:rPr>
              <w:fldChar w:fldCharType="end"/>
            </w:r>
            <w:r>
              <w:rPr>
                <w:rFonts w:eastAsia="Calibri" w:cs=""/>
                <w:kern w:val="0"/>
                <w:sz w:val="24"/>
                <w:szCs w:val="24"/>
                <w:lang w:val="ru-RU" w:eastAsia="en-US" w:bidi="ar-SA"/>
              </w:rPr>
              <w:br/>
              <w:t>(</w:t>
            </w:r>
            <w:hyperlink w:anchor="Прил03_ТребованияУчастникам">
              <w:r>
                <w:rPr>
                  <w:rStyle w:val="Style14"/>
                  <w:rFonts w:eastAsia="Calibri" w:cs=""/>
                  <w:kern w:val="0"/>
                  <w:sz w:val="24"/>
                  <w:szCs w:val="24"/>
                  <w:lang w:val="ru-RU" w:eastAsia="en-US" w:bidi="ar-SA"/>
                </w:rPr>
                <w:t>Приложение № 3</w:t>
              </w:r>
            </w:hyperlink>
            <w:r>
              <w:rPr>
                <w:rFonts w:eastAsia="Calibri" w:cs=""/>
                <w:kern w:val="0"/>
                <w:sz w:val="24"/>
                <w:szCs w:val="24"/>
                <w:lang w:val="ru-RU" w:eastAsia="en-US" w:bidi="ar-SA"/>
              </w:rPr>
              <w:t>)</w:t>
            </w:r>
          </w:p>
        </w:tc>
        <w:tc>
          <w:tcPr>
            <w:tcW w:w="2090" w:type="dxa"/>
            <w:tcBorders/>
          </w:tcPr>
          <w:p>
            <w:pPr>
              <w:pStyle w:val="Style30"/>
              <w:widowControl w:val="false"/>
              <w:suppressAutoHyphens w:val="true"/>
              <w:spacing w:before="60" w:after="60"/>
              <w:jc w:val="center"/>
              <w:rPr>
                <w:rFonts w:ascii="Times New Roman" w:hAnsi="Times New Roman"/>
                <w:sz w:val="24"/>
                <w:szCs w:val="24"/>
              </w:rPr>
            </w:pPr>
            <w:r>
              <w:rPr>
                <w:rFonts w:eastAsia="Calibri" w:cs=""/>
                <w:kern w:val="0"/>
                <w:sz w:val="24"/>
                <w:szCs w:val="24"/>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hanging="0" w:left="170"/>
              <w:jc w:val="center"/>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p>
        </w:tc>
        <w:tc>
          <w:tcPr>
            <w:tcW w:w="8506" w:type="dxa"/>
            <w:tcBorders/>
          </w:tcPr>
          <w:p>
            <w:pPr>
              <w:pStyle w:val="Style30"/>
              <w:widowControl w:val="false"/>
              <w:suppressAutoHyphens w:val="true"/>
              <w:spacing w:before="60" w:after="60"/>
              <w:rPr>
                <w:rFonts w:ascii="Times New Roman" w:hAnsi="Times New Roman"/>
                <w:sz w:val="24"/>
                <w:szCs w:val="24"/>
              </w:rPr>
            </w:pPr>
            <w:r>
              <w:rPr>
                <w:rFonts w:eastAsia="Calibri" w:cs=""/>
                <w:kern w:val="0"/>
                <w:sz w:val="24"/>
                <w:szCs w:val="24"/>
                <w:lang w:val="ru-RU" w:eastAsia="en-US" w:bidi="ar-SA"/>
              </w:rPr>
              <w:t>Соответствие Участника пункту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_Ref186128503 \r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t>5</w:t>
            </w:r>
            <w:r>
              <w:rPr>
                <w:sz w:val="24"/>
                <w:kern w:val="0"/>
                <w:szCs w:val="24"/>
                <w:rFonts w:eastAsia="Calibri" w:cs=""/>
                <w:lang w:val="ru-RU" w:eastAsia="en-US" w:bidi="ar-SA"/>
              </w:rPr>
              <w:fldChar w:fldCharType="end"/>
            </w:r>
            <w:r>
              <w:rPr>
                <w:rFonts w:eastAsia="Calibri" w:cs=""/>
                <w:kern w:val="0"/>
                <w:sz w:val="24"/>
                <w:szCs w:val="24"/>
                <w:lang w:val="ru-RU" w:eastAsia="en-US" w:bidi="ar-SA"/>
              </w:rPr>
              <w:t xml:space="preserve"> обязательных требований к Участникам</w:t>
            </w:r>
          </w:p>
          <w:p>
            <w:pPr>
              <w:pStyle w:val="Style30"/>
              <w:widowControl w:val="false"/>
              <w:suppressAutoHyphens w:val="true"/>
              <w:spacing w:before="60" w:after="60"/>
              <w:rPr>
                <w:rFonts w:ascii="Times New Roman" w:hAnsi="Times New Roman"/>
                <w:sz w:val="24"/>
                <w:szCs w:val="24"/>
              </w:rPr>
            </w:pPr>
            <w:r>
              <w:rPr>
                <w:rFonts w:eastAsia="Calibri" w:cs=""/>
                <w:i/>
                <w:iCs/>
                <w:kern w:val="0"/>
                <w:sz w:val="24"/>
                <w:szCs w:val="24"/>
                <w:lang w:val="ru-RU" w:eastAsia="en-US" w:bidi="ar-SA"/>
              </w:rPr>
              <w:t>(пункт применяется только в случае установления режима ограничения закупки иностранной продукции (подраздел </w:t>
            </w:r>
            <w:r>
              <w:rPr>
                <w:rFonts w:eastAsia="Calibri" w:cs=""/>
                <w:i/>
                <w:iCs/>
                <w:kern w:val="0"/>
                <w:sz w:val="24"/>
                <w:szCs w:val="24"/>
                <w:lang w:val="ru-RU" w:eastAsia="en-US" w:bidi="ar-SA"/>
              </w:rPr>
              <w:fldChar w:fldCharType="begin"/>
            </w:r>
            <w:r>
              <w:rPr>
                <w:sz w:val="24"/>
                <w:i/>
                <w:kern w:val="0"/>
                <w:szCs w:val="24"/>
                <w:iCs/>
                <w:rFonts w:eastAsia="Calibri" w:cs=""/>
                <w:lang w:val="ru-RU" w:eastAsia="en-US" w:bidi="ar-SA"/>
              </w:rPr>
              <w:instrText xml:space="preserve"> REF _Ref186128193 \r \h </w:instrText>
            </w:r>
            <w:r>
              <w:rPr>
                <w:sz w:val="24"/>
                <w:i/>
                <w:kern w:val="0"/>
                <w:szCs w:val="24"/>
                <w:iCs/>
                <w:rFonts w:eastAsia="Calibri" w:cs=""/>
                <w:lang w:val="ru-RU" w:eastAsia="en-US" w:bidi="ar-SA"/>
              </w:rPr>
              <w:fldChar w:fldCharType="separate"/>
            </w:r>
            <w:r>
              <w:rPr>
                <w:sz w:val="24"/>
                <w:i/>
                <w:kern w:val="0"/>
                <w:szCs w:val="24"/>
                <w:iCs/>
                <w:rFonts w:eastAsia="Calibri" w:cs=""/>
                <w:lang w:val="ru-RU" w:eastAsia="en-US" w:bidi="ar-SA"/>
              </w:rPr>
              <w:t>4.13</w:t>
            </w:r>
            <w:r>
              <w:rPr>
                <w:sz w:val="24"/>
                <w:i/>
                <w:kern w:val="0"/>
                <w:szCs w:val="24"/>
                <w:iCs/>
                <w:rFonts w:eastAsia="Calibri" w:cs=""/>
                <w:lang w:val="ru-RU" w:eastAsia="en-US" w:bidi="ar-SA"/>
              </w:rPr>
              <w:fldChar w:fldCharType="end"/>
            </w:r>
            <w:r>
              <w:rPr>
                <w:rFonts w:eastAsia="Calibri" w:cs=""/>
                <w:i/>
                <w:iCs/>
                <w:kern w:val="0"/>
                <w:sz w:val="24"/>
                <w:szCs w:val="24"/>
                <w:lang w:val="ru-RU" w:eastAsia="en-US" w:bidi="ar-SA"/>
              </w:rPr>
              <w:t>))</w:t>
            </w:r>
          </w:p>
        </w:tc>
        <w:tc>
          <w:tcPr>
            <w:tcW w:w="3117" w:type="dxa"/>
            <w:tcBorders/>
          </w:tcPr>
          <w:p>
            <w:pPr>
              <w:pStyle w:val="Style30"/>
              <w:widowControl w:val="false"/>
              <w:suppressAutoHyphens w:val="true"/>
              <w:spacing w:before="60" w:after="60"/>
              <w:jc w:val="center"/>
              <w:rPr/>
            </w:pPr>
            <w:r>
              <w:rPr>
                <w:rFonts w:eastAsia="Calibri" w:cs=""/>
                <w:kern w:val="0"/>
                <w:sz w:val="24"/>
                <w:szCs w:val="24"/>
                <w:lang w:val="ru-RU" w:eastAsia="en-US" w:bidi="ar-SA"/>
              </w:rPr>
              <w:t xml:space="preserve">Подразделы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_Ref186128193 \r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t>4.13</w:t>
            </w:r>
            <w:r>
              <w:rPr>
                <w:sz w:val="24"/>
                <w:kern w:val="0"/>
                <w:szCs w:val="24"/>
                <w:rFonts w:eastAsia="Calibri" w:cs=""/>
                <w:lang w:val="ru-RU" w:eastAsia="en-US" w:bidi="ar-SA"/>
              </w:rPr>
              <w:fldChar w:fldCharType="end"/>
            </w:r>
            <w:r>
              <w:rPr>
                <w:rFonts w:eastAsia="Calibri" w:cs=""/>
                <w:kern w:val="0"/>
                <w:sz w:val="24"/>
                <w:szCs w:val="24"/>
                <w:lang w:val="ru-RU" w:eastAsia="en-US" w:bidi="ar-SA"/>
              </w:rPr>
              <w:t>,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_Ref125361435 \w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t>8.2</w:t>
            </w:r>
            <w:r>
              <w:rPr>
                <w:sz w:val="24"/>
                <w:kern w:val="0"/>
                <w:szCs w:val="24"/>
                <w:rFonts w:eastAsia="Calibri" w:cs=""/>
                <w:lang w:val="ru-RU" w:eastAsia="en-US" w:bidi="ar-SA"/>
              </w:rPr>
              <w:fldChar w:fldCharType="end"/>
            </w:r>
            <w:r>
              <w:rPr>
                <w:rFonts w:eastAsia="Calibri" w:cs=""/>
                <w:kern w:val="0"/>
                <w:sz w:val="24"/>
                <w:szCs w:val="24"/>
                <w:lang w:val="ru-RU" w:eastAsia="en-US" w:bidi="ar-SA"/>
              </w:rPr>
              <w:br/>
              <w:t>(</w:t>
            </w:r>
            <w:hyperlink w:anchor="Прил03_ТребованияУчастникам">
              <w:r>
                <w:rPr>
                  <w:rStyle w:val="Style14"/>
                  <w:rFonts w:eastAsia="Calibri" w:cs=""/>
                  <w:kern w:val="0"/>
                  <w:sz w:val="24"/>
                  <w:szCs w:val="24"/>
                  <w:lang w:val="ru-RU" w:eastAsia="en-US" w:bidi="ar-SA"/>
                </w:rPr>
                <w:t>Приложение № 3</w:t>
              </w:r>
            </w:hyperlink>
            <w:r>
              <w:rPr>
                <w:rFonts w:eastAsia="Calibri" w:cs=""/>
                <w:kern w:val="0"/>
                <w:sz w:val="24"/>
                <w:szCs w:val="24"/>
                <w:lang w:val="ru-RU" w:eastAsia="en-US" w:bidi="ar-SA"/>
              </w:rPr>
              <w:t>)</w:t>
            </w:r>
          </w:p>
        </w:tc>
        <w:tc>
          <w:tcPr>
            <w:tcW w:w="2090" w:type="dxa"/>
            <w:tcBorders/>
          </w:tcPr>
          <w:p>
            <w:pPr>
              <w:pStyle w:val="Style30"/>
              <w:widowControl w:val="false"/>
              <w:suppressAutoHyphens w:val="true"/>
              <w:spacing w:before="60" w:after="60"/>
              <w:jc w:val="center"/>
              <w:rPr>
                <w:rFonts w:ascii="Times New Roman" w:hAnsi="Times New Roman"/>
                <w:sz w:val="24"/>
                <w:szCs w:val="24"/>
              </w:rPr>
            </w:pPr>
            <w:r>
              <w:rPr>
                <w:rFonts w:eastAsia="Calibri" w:cs=""/>
                <w:kern w:val="0"/>
                <w:sz w:val="24"/>
                <w:szCs w:val="24"/>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hanging="0" w:left="170"/>
              <w:jc w:val="center"/>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p>
        </w:tc>
        <w:tc>
          <w:tcPr>
            <w:tcW w:w="8506" w:type="dxa"/>
            <w:tcBorders/>
          </w:tcPr>
          <w:p>
            <w:pPr>
              <w:pStyle w:val="Style30"/>
              <w:widowControl w:val="false"/>
              <w:suppressAutoHyphens w:val="true"/>
              <w:spacing w:before="60" w:after="60"/>
              <w:rPr>
                <w:rFonts w:ascii="Times New Roman" w:hAnsi="Times New Roman"/>
                <w:sz w:val="24"/>
                <w:szCs w:val="24"/>
              </w:rPr>
            </w:pPr>
            <w:r>
              <w:rPr>
                <w:rFonts w:eastAsia="Calibri" w:cs=""/>
                <w:kern w:val="0"/>
                <w:sz w:val="24"/>
                <w:szCs w:val="24"/>
                <w:lang w:val="ru-RU" w:eastAsia="en-US" w:bidi="ar-SA"/>
              </w:rPr>
              <w:t>Соответствие Участника специальным требованиям к Участникам</w:t>
            </w:r>
          </w:p>
          <w:p>
            <w:pPr>
              <w:pStyle w:val="Style30"/>
              <w:widowControl w:val="false"/>
              <w:suppressAutoHyphens w:val="true"/>
              <w:spacing w:before="60" w:after="60"/>
              <w:rPr>
                <w:rFonts w:ascii="Times New Roman" w:hAnsi="Times New Roman"/>
                <w:sz w:val="24"/>
                <w:szCs w:val="24"/>
              </w:rPr>
            </w:pPr>
            <w:r>
              <w:rPr>
                <w:rFonts w:eastAsia="Calibri" w:cs=""/>
                <w:i/>
                <w:iCs/>
                <w:kern w:val="0"/>
                <w:sz w:val="24"/>
                <w:szCs w:val="24"/>
                <w:lang w:val="ru-RU" w:eastAsia="en-US" w:bidi="ar-SA"/>
              </w:rPr>
              <w:t>(пункт применяется только в случае установления соответствующих требований)</w:t>
            </w:r>
          </w:p>
        </w:tc>
        <w:tc>
          <w:tcPr>
            <w:tcW w:w="3117" w:type="dxa"/>
            <w:tcBorders/>
          </w:tcPr>
          <w:p>
            <w:pPr>
              <w:pStyle w:val="Style30"/>
              <w:widowControl w:val="false"/>
              <w:suppressAutoHyphens w:val="true"/>
              <w:spacing w:before="60" w:after="60"/>
              <w:jc w:val="center"/>
              <w:rPr/>
            </w:pPr>
            <w:r>
              <w:rPr>
                <w:rFonts w:eastAsia="Calibri" w:cs=""/>
                <w:kern w:val="0"/>
                <w:sz w:val="24"/>
                <w:szCs w:val="24"/>
                <w:lang w:val="ru-RU" w:eastAsia="en-US" w:bidi="ar-SA"/>
              </w:rPr>
              <w:t>подраздел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_Ref125361442 \r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t>8.3</w:t>
            </w:r>
            <w:r>
              <w:rPr>
                <w:sz w:val="24"/>
                <w:kern w:val="0"/>
                <w:szCs w:val="24"/>
                <w:rFonts w:eastAsia="Calibri" w:cs=""/>
                <w:lang w:val="ru-RU" w:eastAsia="en-US" w:bidi="ar-SA"/>
              </w:rPr>
              <w:fldChar w:fldCharType="end"/>
            </w:r>
            <w:r>
              <w:rPr>
                <w:rFonts w:eastAsia="Calibri" w:cs=""/>
                <w:kern w:val="0"/>
                <w:sz w:val="24"/>
                <w:szCs w:val="24"/>
                <w:lang w:val="ru-RU" w:eastAsia="en-US" w:bidi="ar-SA"/>
              </w:rPr>
              <w:br/>
              <w:t>(</w:t>
            </w:r>
            <w:hyperlink w:anchor="Прил03_ТребованияУчастникам">
              <w:r>
                <w:rPr>
                  <w:rStyle w:val="Style14"/>
                  <w:rFonts w:eastAsia="Calibri" w:cs=""/>
                  <w:kern w:val="0"/>
                  <w:sz w:val="24"/>
                  <w:szCs w:val="24"/>
                  <w:lang w:val="ru-RU" w:eastAsia="en-US" w:bidi="ar-SA"/>
                </w:rPr>
                <w:t>Приложение № 3</w:t>
              </w:r>
            </w:hyperlink>
            <w:r>
              <w:rPr>
                <w:rFonts w:eastAsia="Calibri" w:cs=""/>
                <w:kern w:val="0"/>
                <w:sz w:val="24"/>
                <w:szCs w:val="24"/>
                <w:lang w:val="ru-RU" w:eastAsia="en-US" w:bidi="ar-SA"/>
              </w:rPr>
              <w:t>)</w:t>
            </w:r>
          </w:p>
        </w:tc>
        <w:tc>
          <w:tcPr>
            <w:tcW w:w="2090" w:type="dxa"/>
            <w:tcBorders/>
          </w:tcPr>
          <w:p>
            <w:pPr>
              <w:pStyle w:val="Style30"/>
              <w:widowControl w:val="false"/>
              <w:suppressAutoHyphens w:val="true"/>
              <w:spacing w:before="60" w:after="60"/>
              <w:jc w:val="center"/>
              <w:rPr>
                <w:rFonts w:ascii="Times New Roman" w:hAnsi="Times New Roman"/>
                <w:sz w:val="24"/>
                <w:szCs w:val="24"/>
              </w:rPr>
            </w:pPr>
            <w:r>
              <w:rPr>
                <w:rFonts w:eastAsia="Calibri" w:cs=""/>
                <w:kern w:val="0"/>
                <w:sz w:val="24"/>
                <w:szCs w:val="24"/>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hanging="0" w:left="170"/>
              <w:jc w:val="center"/>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p>
        </w:tc>
        <w:tc>
          <w:tcPr>
            <w:tcW w:w="8506" w:type="dxa"/>
            <w:tcBorders/>
          </w:tcPr>
          <w:p>
            <w:pPr>
              <w:pStyle w:val="Style30"/>
              <w:widowControl w:val="false"/>
              <w:suppressAutoHyphens w:val="true"/>
              <w:spacing w:before="60" w:after="60"/>
              <w:rPr>
                <w:rFonts w:ascii="Times New Roman" w:hAnsi="Times New Roman"/>
                <w:sz w:val="24"/>
                <w:szCs w:val="24"/>
              </w:rPr>
            </w:pPr>
            <w:r>
              <w:rPr>
                <w:rFonts w:eastAsia="Calibri" w:cs=""/>
                <w:kern w:val="0"/>
                <w:sz w:val="24"/>
                <w:szCs w:val="24"/>
                <w:lang w:val="ru-RU" w:eastAsia="en-US" w:bidi="ar-SA"/>
              </w:rPr>
              <w:t>Соответствие Участника квалификационным требованиям к Участникам</w:t>
            </w:r>
          </w:p>
          <w:p>
            <w:pPr>
              <w:pStyle w:val="Style30"/>
              <w:widowControl w:val="false"/>
              <w:suppressAutoHyphens w:val="true"/>
              <w:spacing w:before="60" w:after="60"/>
              <w:rPr>
                <w:rFonts w:ascii="Times New Roman" w:hAnsi="Times New Roman"/>
                <w:sz w:val="24"/>
                <w:szCs w:val="24"/>
              </w:rPr>
            </w:pPr>
            <w:r>
              <w:rPr>
                <w:rFonts w:eastAsia="Calibri" w:cs=""/>
                <w:i/>
                <w:iCs/>
                <w:kern w:val="0"/>
                <w:sz w:val="24"/>
                <w:szCs w:val="24"/>
                <w:lang w:val="ru-RU" w:eastAsia="en-US" w:bidi="ar-SA"/>
              </w:rPr>
              <w:t>(пункт применяется только в случае установления соответствующих требований)</w:t>
            </w:r>
          </w:p>
        </w:tc>
        <w:tc>
          <w:tcPr>
            <w:tcW w:w="3117" w:type="dxa"/>
            <w:tcBorders/>
          </w:tcPr>
          <w:p>
            <w:pPr>
              <w:pStyle w:val="Style30"/>
              <w:widowControl w:val="false"/>
              <w:suppressAutoHyphens w:val="true"/>
              <w:spacing w:before="60" w:after="60"/>
              <w:jc w:val="center"/>
              <w:rPr/>
            </w:pPr>
            <w:r>
              <w:rPr>
                <w:rFonts w:eastAsia="Calibri" w:cs=""/>
                <w:kern w:val="0"/>
                <w:sz w:val="24"/>
                <w:szCs w:val="24"/>
                <w:lang w:val="ru-RU" w:eastAsia="en-US" w:bidi="ar-SA"/>
              </w:rPr>
              <w:t>подраздел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_Ref125550270 \r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t>8.4</w:t>
            </w:r>
            <w:r>
              <w:rPr>
                <w:sz w:val="24"/>
                <w:kern w:val="0"/>
                <w:szCs w:val="24"/>
                <w:rFonts w:eastAsia="Calibri" w:cs=""/>
                <w:lang w:val="ru-RU" w:eastAsia="en-US" w:bidi="ar-SA"/>
              </w:rPr>
              <w:fldChar w:fldCharType="end"/>
            </w:r>
            <w:r>
              <w:rPr>
                <w:rFonts w:eastAsia="Calibri" w:cs=""/>
                <w:kern w:val="0"/>
                <w:sz w:val="24"/>
                <w:szCs w:val="24"/>
                <w:lang w:val="ru-RU" w:eastAsia="en-US" w:bidi="ar-SA"/>
              </w:rPr>
              <w:br/>
              <w:t>(</w:t>
            </w:r>
            <w:hyperlink w:anchor="Прил03_ТребованияУчастникам">
              <w:r>
                <w:rPr>
                  <w:rStyle w:val="Style14"/>
                  <w:rFonts w:eastAsia="Calibri" w:cs=""/>
                  <w:kern w:val="0"/>
                  <w:sz w:val="24"/>
                  <w:szCs w:val="24"/>
                  <w:lang w:val="ru-RU" w:eastAsia="en-US" w:bidi="ar-SA"/>
                </w:rPr>
                <w:t>Приложение № 3</w:t>
              </w:r>
            </w:hyperlink>
            <w:r>
              <w:rPr>
                <w:rFonts w:eastAsia="Calibri" w:cs=""/>
                <w:kern w:val="0"/>
                <w:sz w:val="24"/>
                <w:szCs w:val="24"/>
                <w:lang w:val="ru-RU" w:eastAsia="en-US" w:bidi="ar-SA"/>
              </w:rPr>
              <w:t>)</w:t>
            </w:r>
          </w:p>
        </w:tc>
        <w:tc>
          <w:tcPr>
            <w:tcW w:w="2090" w:type="dxa"/>
            <w:tcBorders/>
          </w:tcPr>
          <w:p>
            <w:pPr>
              <w:pStyle w:val="Style30"/>
              <w:widowControl w:val="false"/>
              <w:suppressAutoHyphens w:val="true"/>
              <w:spacing w:before="60" w:after="60"/>
              <w:jc w:val="center"/>
              <w:rPr>
                <w:rFonts w:ascii="Times New Roman" w:hAnsi="Times New Roman"/>
                <w:sz w:val="24"/>
                <w:szCs w:val="24"/>
              </w:rPr>
            </w:pPr>
            <w:r>
              <w:rPr>
                <w:rFonts w:eastAsia="Calibri" w:cs=""/>
                <w:kern w:val="0"/>
                <w:sz w:val="24"/>
                <w:szCs w:val="24"/>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hanging="0" w:left="170"/>
              <w:jc w:val="center"/>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p>
        </w:tc>
        <w:tc>
          <w:tcPr>
            <w:tcW w:w="8506" w:type="dxa"/>
            <w:tcBorders/>
          </w:tcPr>
          <w:p>
            <w:pPr>
              <w:pStyle w:val="Style30"/>
              <w:widowControl w:val="false"/>
              <w:suppressAutoHyphens w:val="true"/>
              <w:spacing w:before="60" w:after="60"/>
              <w:rPr>
                <w:rFonts w:ascii="Times New Roman" w:hAnsi="Times New Roman"/>
                <w:sz w:val="24"/>
                <w:szCs w:val="24"/>
              </w:rPr>
            </w:pPr>
            <w:r>
              <w:rPr>
                <w:rFonts w:eastAsia="Calibri" w:cs=""/>
                <w:kern w:val="0"/>
                <w:sz w:val="24"/>
                <w:szCs w:val="24"/>
                <w:lang w:val="ru-RU" w:eastAsia="en-US" w:bidi="ar-SA"/>
              </w:rPr>
              <w:t>Соответствие Генерального подрядчика установленным в отношении его требованиям:</w:t>
            </w:r>
          </w:p>
          <w:p>
            <w:pPr>
              <w:pStyle w:val="Style30"/>
              <w:widowControl w:val="false"/>
              <w:suppressAutoHyphens w:val="true"/>
              <w:spacing w:before="60" w:after="60"/>
              <w:rPr>
                <w:rFonts w:ascii="Times New Roman" w:hAnsi="Times New Roman"/>
                <w:sz w:val="24"/>
                <w:szCs w:val="24"/>
              </w:rPr>
            </w:pPr>
            <w:r>
              <w:rPr>
                <w:rFonts w:eastAsia="Calibri" w:cs=""/>
                <w:i/>
                <w:iCs/>
                <w:kern w:val="0"/>
                <w:sz w:val="24"/>
                <w:szCs w:val="24"/>
                <w:lang w:val="ru-RU" w:eastAsia="en-US" w:bidi="ar-SA"/>
              </w:rPr>
              <w:t>(пункт применяется только в случае проведения закупки, в которой предусмотрена возможность рассмотрения, оценки и сопоставления заявок Участников с учетом привлекаемых субподрядчиков (подраздел </w:t>
            </w:r>
            <w:r>
              <w:rPr>
                <w:rFonts w:eastAsia="Calibri" w:cs=""/>
                <w:i/>
                <w:iCs/>
                <w:kern w:val="0"/>
                <w:sz w:val="24"/>
                <w:szCs w:val="24"/>
                <w:lang w:val="ru-RU" w:eastAsia="en-US" w:bidi="ar-SA"/>
              </w:rPr>
              <w:fldChar w:fldCharType="begin"/>
            </w:r>
            <w:r>
              <w:rPr>
                <w:sz w:val="24"/>
                <w:i/>
                <w:kern w:val="0"/>
                <w:szCs w:val="24"/>
                <w:iCs/>
                <w:rFonts w:eastAsia="Calibri" w:cs=""/>
                <w:lang w:val="ru-RU" w:eastAsia="en-US" w:bidi="ar-SA"/>
              </w:rPr>
              <w:instrText xml:space="preserve"> REF _Ref125359973 \r \h </w:instrText>
            </w:r>
            <w:r>
              <w:rPr>
                <w:sz w:val="24"/>
                <w:i/>
                <w:kern w:val="0"/>
                <w:szCs w:val="24"/>
                <w:iCs/>
                <w:rFonts w:eastAsia="Calibri" w:cs=""/>
                <w:lang w:val="ru-RU" w:eastAsia="en-US" w:bidi="ar-SA"/>
              </w:rPr>
              <w:fldChar w:fldCharType="separate"/>
            </w:r>
            <w:r>
              <w:rPr>
                <w:sz w:val="24"/>
                <w:i/>
                <w:kern w:val="0"/>
                <w:szCs w:val="24"/>
                <w:iCs/>
                <w:rFonts w:eastAsia="Calibri" w:cs=""/>
                <w:lang w:val="ru-RU" w:eastAsia="en-US" w:bidi="ar-SA"/>
              </w:rPr>
              <w:t>1.2</w:t>
            </w:r>
            <w:r>
              <w:rPr>
                <w:sz w:val="24"/>
                <w:i/>
                <w:kern w:val="0"/>
                <w:szCs w:val="24"/>
                <w:iCs/>
                <w:rFonts w:eastAsia="Calibri" w:cs=""/>
                <w:lang w:val="ru-RU" w:eastAsia="en-US" w:bidi="ar-SA"/>
              </w:rPr>
              <w:fldChar w:fldCharType="end"/>
            </w:r>
            <w:r>
              <w:rPr>
                <w:rFonts w:eastAsia="Calibri" w:cs=""/>
                <w:i/>
                <w:iCs/>
                <w:kern w:val="0"/>
                <w:sz w:val="24"/>
                <w:szCs w:val="24"/>
                <w:lang w:val="ru-RU" w:eastAsia="en-US" w:bidi="ar-SA"/>
              </w:rPr>
              <w:t>, подраздел </w:t>
            </w:r>
            <w:r>
              <w:rPr>
                <w:rFonts w:eastAsia="Calibri" w:cs=""/>
                <w:i/>
                <w:iCs/>
                <w:kern w:val="0"/>
                <w:sz w:val="24"/>
                <w:szCs w:val="24"/>
                <w:lang w:val="ru-RU" w:eastAsia="en-US" w:bidi="ar-SA"/>
              </w:rPr>
              <w:fldChar w:fldCharType="begin"/>
            </w:r>
            <w:r>
              <w:rPr>
                <w:sz w:val="24"/>
                <w:i/>
                <w:kern w:val="0"/>
                <w:szCs w:val="24"/>
                <w:iCs/>
                <w:rFonts w:eastAsia="Calibri" w:cs=""/>
                <w:lang w:val="ru-RU" w:eastAsia="en-US" w:bidi="ar-SA"/>
              </w:rPr>
              <w:instrText xml:space="preserve"> REF _Ref125361702 \r \h </w:instrText>
            </w:r>
            <w:r>
              <w:rPr>
                <w:sz w:val="24"/>
                <w:i/>
                <w:kern w:val="0"/>
                <w:szCs w:val="24"/>
                <w:iCs/>
                <w:rFonts w:eastAsia="Calibri" w:cs=""/>
                <w:lang w:val="ru-RU" w:eastAsia="en-US" w:bidi="ar-SA"/>
              </w:rPr>
              <w:fldChar w:fldCharType="separate"/>
            </w:r>
            <w:r>
              <w:rPr>
                <w:sz w:val="24"/>
                <w:i/>
                <w:kern w:val="0"/>
                <w:szCs w:val="24"/>
                <w:iCs/>
                <w:rFonts w:eastAsia="Calibri" w:cs=""/>
                <w:lang w:val="ru-RU" w:eastAsia="en-US" w:bidi="ar-SA"/>
              </w:rPr>
              <w:t>3.2</w:t>
            </w:r>
            <w:r>
              <w:rPr>
                <w:sz w:val="24"/>
                <w:i/>
                <w:kern w:val="0"/>
                <w:szCs w:val="24"/>
                <w:iCs/>
                <w:rFonts w:eastAsia="Calibri" w:cs=""/>
                <w:lang w:val="ru-RU" w:eastAsia="en-US" w:bidi="ar-SA"/>
              </w:rPr>
              <w:fldChar w:fldCharType="end"/>
            </w:r>
            <w:r>
              <w:rPr>
                <w:rFonts w:eastAsia="Calibri" w:cs=""/>
                <w:i/>
                <w:iCs/>
                <w:kern w:val="0"/>
                <w:sz w:val="24"/>
                <w:szCs w:val="24"/>
                <w:lang w:val="ru-RU" w:eastAsia="en-US" w:bidi="ar-SA"/>
              </w:rPr>
              <w:t>))</w:t>
            </w:r>
          </w:p>
        </w:tc>
        <w:tc>
          <w:tcPr>
            <w:tcW w:w="3117" w:type="dxa"/>
            <w:tcBorders/>
          </w:tcPr>
          <w:p>
            <w:pPr>
              <w:pStyle w:val="Style30"/>
              <w:widowControl w:val="false"/>
              <w:suppressAutoHyphens w:val="true"/>
              <w:spacing w:before="60" w:after="60"/>
              <w:jc w:val="center"/>
              <w:rPr>
                <w:rFonts w:ascii="Times New Roman" w:hAnsi="Times New Roman"/>
                <w:sz w:val="24"/>
                <w:szCs w:val="24"/>
              </w:rPr>
            </w:pPr>
            <w:r>
              <w:rPr>
                <w:rFonts w:eastAsia="Calibri" w:cs=""/>
                <w:b/>
                <w:bCs/>
                <w:kern w:val="0"/>
                <w:sz w:val="24"/>
                <w:szCs w:val="24"/>
                <w:lang w:val="ru-RU" w:eastAsia="en-US" w:bidi="ar-SA"/>
              </w:rPr>
              <w:t>–</w:t>
            </w:r>
          </w:p>
        </w:tc>
        <w:tc>
          <w:tcPr>
            <w:tcW w:w="2090" w:type="dxa"/>
            <w:tcBorders/>
          </w:tcPr>
          <w:p>
            <w:pPr>
              <w:pStyle w:val="Style30"/>
              <w:widowControl w:val="false"/>
              <w:suppressAutoHyphens w:val="true"/>
              <w:spacing w:before="60" w:after="60"/>
              <w:jc w:val="center"/>
              <w:rPr>
                <w:rFonts w:ascii="Times New Roman" w:hAnsi="Times New Roman"/>
                <w:sz w:val="24"/>
                <w:szCs w:val="24"/>
              </w:rPr>
            </w:pPr>
            <w:r>
              <w:rPr>
                <w:rFonts w:eastAsia="Calibri" w:cs=""/>
                <w:b/>
                <w:bCs/>
                <w:kern w:val="0"/>
                <w:sz w:val="24"/>
                <w:szCs w:val="24"/>
                <w:lang w:val="ru-RU" w:eastAsia="en-US" w:bidi="ar-SA"/>
              </w:rPr>
              <w:t>–</w:t>
            </w:r>
          </w:p>
        </w:tc>
      </w:tr>
      <w:tr>
        <w:trPr/>
        <w:tc>
          <w:tcPr>
            <w:tcW w:w="1412" w:type="dxa"/>
            <w:tcBorders/>
          </w:tcPr>
          <w:p>
            <w:pPr>
              <w:pStyle w:val="Style30"/>
              <w:widowControl w:val="false"/>
              <w:numPr>
                <w:ilvl w:val="1"/>
                <w:numId w:val="6"/>
              </w:numPr>
              <w:suppressAutoHyphens w:val="true"/>
              <w:spacing w:before="60" w:after="60"/>
              <w:ind w:hanging="0" w:left="170"/>
              <w:jc w:val="center"/>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p>
        </w:tc>
        <w:tc>
          <w:tcPr>
            <w:tcW w:w="8506" w:type="dxa"/>
            <w:tcBorders/>
          </w:tcPr>
          <w:p>
            <w:pPr>
              <w:pStyle w:val="Style30"/>
              <w:widowControl w:val="false"/>
              <w:numPr>
                <w:ilvl w:val="0"/>
                <w:numId w:val="8"/>
              </w:numPr>
              <w:suppressAutoHyphens w:val="true"/>
              <w:spacing w:before="60" w:after="60"/>
              <w:ind w:hanging="284" w:left="284"/>
              <w:rPr>
                <w:rFonts w:ascii="Times New Roman" w:hAnsi="Times New Roman"/>
                <w:sz w:val="24"/>
                <w:szCs w:val="24"/>
              </w:rPr>
            </w:pPr>
            <w:r>
              <w:rPr>
                <w:rFonts w:eastAsia="Calibri" w:cs=""/>
                <w:kern w:val="0"/>
                <w:sz w:val="24"/>
                <w:szCs w:val="24"/>
                <w:lang w:val="ru-RU" w:eastAsia="en-US" w:bidi="ar-SA"/>
              </w:rPr>
              <w:t>в части требований пунктов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_Ref125370187 \w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t>1</w:t>
            </w:r>
            <w:r>
              <w:rPr>
                <w:sz w:val="24"/>
                <w:kern w:val="0"/>
                <w:szCs w:val="24"/>
                <w:rFonts w:eastAsia="Calibri" w:cs=""/>
                <w:lang w:val="ru-RU" w:eastAsia="en-US" w:bidi="ar-SA"/>
              </w:rPr>
              <w:fldChar w:fldCharType="end"/>
            </w:r>
            <w:r>
              <w:rPr>
                <w:rFonts w:eastAsia="Calibri" w:cs=""/>
                <w:kern w:val="0"/>
                <w:sz w:val="24"/>
                <w:szCs w:val="24"/>
                <w:lang w:val="ru-RU" w:eastAsia="en-US" w:bidi="ar-SA"/>
              </w:rPr>
              <w:t xml:space="preserve">,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_Ref125370199 \w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t>2</w:t>
            </w:r>
            <w:r>
              <w:rPr>
                <w:sz w:val="24"/>
                <w:kern w:val="0"/>
                <w:szCs w:val="24"/>
                <w:rFonts w:eastAsia="Calibri" w:cs=""/>
                <w:lang w:val="ru-RU" w:eastAsia="en-US" w:bidi="ar-SA"/>
              </w:rPr>
              <w:fldChar w:fldCharType="end"/>
            </w:r>
            <w:r>
              <w:rPr>
                <w:rFonts w:eastAsia="Calibri" w:cs=""/>
                <w:kern w:val="0"/>
                <w:sz w:val="24"/>
                <w:szCs w:val="24"/>
                <w:lang w:val="ru-RU" w:eastAsia="en-US" w:bidi="ar-SA"/>
              </w:rPr>
              <w:t xml:space="preserve">,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_Ref125553847 \w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t>4</w:t>
            </w:r>
            <w:r>
              <w:rPr>
                <w:sz w:val="24"/>
                <w:kern w:val="0"/>
                <w:szCs w:val="24"/>
                <w:rFonts w:eastAsia="Calibri" w:cs=""/>
                <w:lang w:val="ru-RU" w:eastAsia="en-US" w:bidi="ar-SA"/>
              </w:rPr>
              <w:fldChar w:fldCharType="end"/>
            </w:r>
          </w:p>
        </w:tc>
        <w:tc>
          <w:tcPr>
            <w:tcW w:w="3117" w:type="dxa"/>
            <w:tcBorders/>
          </w:tcPr>
          <w:p>
            <w:pPr>
              <w:pStyle w:val="Style30"/>
              <w:widowControl w:val="false"/>
              <w:suppressAutoHyphens w:val="true"/>
              <w:spacing w:before="60" w:after="60"/>
              <w:jc w:val="center"/>
              <w:rPr/>
            </w:pPr>
            <w:r>
              <w:rPr>
                <w:rFonts w:eastAsia="Calibri" w:cs=""/>
                <w:kern w:val="0"/>
                <w:sz w:val="24"/>
                <w:szCs w:val="24"/>
                <w:lang w:val="ru-RU" w:eastAsia="en-US" w:bidi="ar-SA"/>
              </w:rPr>
              <w:t>подраздел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_Ref125709777 \r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t>8.5</w:t>
            </w:r>
            <w:r>
              <w:rPr>
                <w:sz w:val="24"/>
                <w:kern w:val="0"/>
                <w:szCs w:val="24"/>
                <w:rFonts w:eastAsia="Calibri" w:cs=""/>
                <w:lang w:val="ru-RU" w:eastAsia="en-US" w:bidi="ar-SA"/>
              </w:rPr>
              <w:fldChar w:fldCharType="end"/>
            </w:r>
            <w:r>
              <w:rPr>
                <w:rFonts w:eastAsia="Calibri" w:cs=""/>
                <w:kern w:val="0"/>
                <w:sz w:val="24"/>
                <w:szCs w:val="24"/>
                <w:lang w:val="ru-RU" w:eastAsia="en-US" w:bidi="ar-SA"/>
              </w:rPr>
              <w:br/>
              <w:t>(</w:t>
            </w:r>
            <w:hyperlink w:anchor="Прил03_ТребованияУчастникам">
              <w:r>
                <w:rPr>
                  <w:rStyle w:val="Style14"/>
                  <w:rFonts w:eastAsia="Calibri" w:cs=""/>
                  <w:kern w:val="0"/>
                  <w:sz w:val="24"/>
                  <w:szCs w:val="24"/>
                  <w:lang w:val="ru-RU" w:eastAsia="en-US" w:bidi="ar-SA"/>
                </w:rPr>
                <w:t>Приложение № 3</w:t>
              </w:r>
            </w:hyperlink>
            <w:r>
              <w:rPr>
                <w:rFonts w:eastAsia="Calibri" w:cs=""/>
                <w:kern w:val="0"/>
                <w:sz w:val="24"/>
                <w:szCs w:val="24"/>
                <w:lang w:val="ru-RU" w:eastAsia="en-US" w:bidi="ar-SA"/>
              </w:rPr>
              <w:t>)</w:t>
            </w:r>
          </w:p>
        </w:tc>
        <w:tc>
          <w:tcPr>
            <w:tcW w:w="2090" w:type="dxa"/>
            <w:tcBorders/>
          </w:tcPr>
          <w:p>
            <w:pPr>
              <w:pStyle w:val="Style30"/>
              <w:widowControl w:val="false"/>
              <w:suppressAutoHyphens w:val="true"/>
              <w:spacing w:before="60" w:after="60"/>
              <w:jc w:val="center"/>
              <w:rPr>
                <w:rFonts w:ascii="Times New Roman" w:hAnsi="Times New Roman"/>
                <w:sz w:val="24"/>
                <w:szCs w:val="24"/>
              </w:rPr>
            </w:pPr>
            <w:r>
              <w:rPr>
                <w:rFonts w:eastAsia="Calibri" w:cs=""/>
                <w:kern w:val="0"/>
                <w:sz w:val="24"/>
                <w:szCs w:val="24"/>
                <w:lang w:val="ru-RU" w:eastAsia="en-US" w:bidi="ar-SA"/>
              </w:rPr>
              <w:t>Тех</w:t>
            </w:r>
          </w:p>
        </w:tc>
      </w:tr>
      <w:tr>
        <w:trPr/>
        <w:tc>
          <w:tcPr>
            <w:tcW w:w="1412" w:type="dxa"/>
            <w:tcBorders/>
          </w:tcPr>
          <w:p>
            <w:pPr>
              <w:pStyle w:val="Style30"/>
              <w:widowControl w:val="false"/>
              <w:numPr>
                <w:ilvl w:val="1"/>
                <w:numId w:val="6"/>
              </w:numPr>
              <w:suppressAutoHyphens w:val="true"/>
              <w:spacing w:before="60" w:after="60"/>
              <w:ind w:hanging="0" w:left="170"/>
              <w:jc w:val="center"/>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p>
        </w:tc>
        <w:tc>
          <w:tcPr>
            <w:tcW w:w="8506" w:type="dxa"/>
            <w:tcBorders/>
          </w:tcPr>
          <w:p>
            <w:pPr>
              <w:pStyle w:val="Style30"/>
              <w:widowControl w:val="false"/>
              <w:numPr>
                <w:ilvl w:val="0"/>
                <w:numId w:val="8"/>
              </w:numPr>
              <w:suppressAutoHyphens w:val="true"/>
              <w:spacing w:before="60" w:after="60"/>
              <w:ind w:hanging="284" w:left="284"/>
              <w:rPr>
                <w:rFonts w:ascii="Times New Roman" w:hAnsi="Times New Roman"/>
                <w:sz w:val="24"/>
                <w:szCs w:val="24"/>
              </w:rPr>
            </w:pPr>
            <w:r>
              <w:rPr>
                <w:rFonts w:eastAsia="Calibri" w:cs=""/>
                <w:kern w:val="0"/>
                <w:sz w:val="24"/>
                <w:szCs w:val="24"/>
                <w:lang w:val="ru-RU" w:eastAsia="en-US" w:bidi="ar-SA"/>
              </w:rPr>
              <w:t>в части требований пункта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_Ref125370193 \w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t>3</w:t>
            </w:r>
            <w:r>
              <w:rPr>
                <w:sz w:val="24"/>
                <w:kern w:val="0"/>
                <w:szCs w:val="24"/>
                <w:rFonts w:eastAsia="Calibri" w:cs=""/>
                <w:lang w:val="ru-RU" w:eastAsia="en-US" w:bidi="ar-SA"/>
              </w:rPr>
              <w:fldChar w:fldCharType="end"/>
            </w:r>
          </w:p>
        </w:tc>
        <w:tc>
          <w:tcPr>
            <w:tcW w:w="3117" w:type="dxa"/>
            <w:tcBorders/>
          </w:tcPr>
          <w:p>
            <w:pPr>
              <w:pStyle w:val="Style30"/>
              <w:widowControl w:val="false"/>
              <w:suppressAutoHyphens w:val="true"/>
              <w:spacing w:before="60" w:after="60"/>
              <w:jc w:val="center"/>
              <w:rPr/>
            </w:pPr>
            <w:r>
              <w:rPr>
                <w:rFonts w:eastAsia="Calibri" w:cs=""/>
                <w:kern w:val="0"/>
                <w:sz w:val="24"/>
                <w:szCs w:val="24"/>
                <w:lang w:val="ru-RU" w:eastAsia="en-US" w:bidi="ar-SA"/>
              </w:rPr>
              <w:t>подраздел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_Ref125709777 \r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t>8.5</w:t>
            </w:r>
            <w:r>
              <w:rPr>
                <w:sz w:val="24"/>
                <w:kern w:val="0"/>
                <w:szCs w:val="24"/>
                <w:rFonts w:eastAsia="Calibri" w:cs=""/>
                <w:lang w:val="ru-RU" w:eastAsia="en-US" w:bidi="ar-SA"/>
              </w:rPr>
              <w:fldChar w:fldCharType="end"/>
            </w:r>
            <w:r>
              <w:rPr>
                <w:rFonts w:eastAsia="Calibri" w:cs=""/>
                <w:kern w:val="0"/>
                <w:sz w:val="24"/>
                <w:szCs w:val="24"/>
                <w:lang w:val="ru-RU" w:eastAsia="en-US" w:bidi="ar-SA"/>
              </w:rPr>
              <w:br/>
              <w:t>(</w:t>
            </w:r>
            <w:hyperlink w:anchor="Прил03_ТребованияУчастникам">
              <w:r>
                <w:rPr>
                  <w:rStyle w:val="Style14"/>
                  <w:rFonts w:eastAsia="Calibri" w:cs=""/>
                  <w:kern w:val="0"/>
                  <w:sz w:val="24"/>
                  <w:szCs w:val="24"/>
                  <w:lang w:val="ru-RU" w:eastAsia="en-US" w:bidi="ar-SA"/>
                </w:rPr>
                <w:t>Приложение № 3</w:t>
              </w:r>
            </w:hyperlink>
            <w:r>
              <w:rPr>
                <w:rFonts w:eastAsia="Calibri" w:cs=""/>
                <w:kern w:val="0"/>
                <w:sz w:val="24"/>
                <w:szCs w:val="24"/>
                <w:lang w:val="ru-RU" w:eastAsia="en-US" w:bidi="ar-SA"/>
              </w:rPr>
              <w:t>)</w:t>
            </w:r>
          </w:p>
        </w:tc>
        <w:tc>
          <w:tcPr>
            <w:tcW w:w="2090" w:type="dxa"/>
            <w:tcBorders/>
          </w:tcPr>
          <w:p>
            <w:pPr>
              <w:pStyle w:val="Style30"/>
              <w:widowControl w:val="false"/>
              <w:suppressAutoHyphens w:val="true"/>
              <w:spacing w:before="60" w:after="60"/>
              <w:jc w:val="center"/>
              <w:rPr>
                <w:rFonts w:ascii="Times New Roman" w:hAnsi="Times New Roman"/>
                <w:sz w:val="24"/>
                <w:szCs w:val="24"/>
              </w:rPr>
            </w:pPr>
            <w:r>
              <w:rPr>
                <w:rFonts w:eastAsia="Calibri" w:cs=""/>
                <w:kern w:val="0"/>
                <w:sz w:val="24"/>
                <w:szCs w:val="24"/>
                <w:lang w:val="ru-RU" w:eastAsia="en-US" w:bidi="ar-SA"/>
              </w:rPr>
              <w:t>Орг, Тех</w:t>
            </w:r>
          </w:p>
        </w:tc>
      </w:tr>
      <w:tr>
        <w:trPr/>
        <w:tc>
          <w:tcPr>
            <w:tcW w:w="9918" w:type="dxa"/>
            <w:gridSpan w:val="2"/>
            <w:tcBorders/>
          </w:tcPr>
          <w:p>
            <w:pPr>
              <w:pStyle w:val="Style30"/>
              <w:keepNext w:val="true"/>
              <w:widowControl w:val="false"/>
              <w:suppressAutoHyphens w:val="true"/>
              <w:spacing w:before="60" w:after="60"/>
              <w:rPr/>
            </w:pPr>
            <w:r>
              <w:rPr>
                <w:rFonts w:eastAsia="Calibri" w:cs=""/>
                <w:b/>
                <w:bCs/>
                <w:kern w:val="0"/>
                <w:sz w:val="24"/>
                <w:szCs w:val="24"/>
                <w:lang w:val="ru-RU" w:eastAsia="en-US" w:bidi="ar-SA"/>
              </w:rPr>
              <w:t xml:space="preserve">Соответствие Технического предложения Участника </w:t>
            </w:r>
            <w:hyperlink w:anchor="Прил01_ТехТребования">
              <w:r>
                <w:rPr>
                  <w:rStyle w:val="Style14"/>
                  <w:rFonts w:eastAsia="Calibri" w:cs=""/>
                  <w:b/>
                  <w:bCs/>
                  <w:kern w:val="0"/>
                  <w:sz w:val="24"/>
                  <w:szCs w:val="24"/>
                  <w:lang w:val="ru-RU" w:eastAsia="en-US" w:bidi="ar-SA"/>
                </w:rPr>
                <w:t>Техническим требованиям (Приложение № 1)</w:t>
              </w:r>
            </w:hyperlink>
            <w:r>
              <w:rPr>
                <w:rFonts w:eastAsia="Calibri" w:cs=""/>
                <w:b/>
                <w:bCs/>
                <w:kern w:val="0"/>
                <w:sz w:val="24"/>
                <w:szCs w:val="24"/>
                <w:lang w:val="ru-RU" w:eastAsia="en-US" w:bidi="ar-SA"/>
              </w:rPr>
              <w:t>, в том числе:</w:t>
            </w:r>
          </w:p>
        </w:tc>
        <w:tc>
          <w:tcPr>
            <w:tcW w:w="3117" w:type="dxa"/>
            <w:tcBorders/>
          </w:tcPr>
          <w:p>
            <w:pPr>
              <w:pStyle w:val="Style30"/>
              <w:keepNext w:val="true"/>
              <w:widowControl w:val="false"/>
              <w:suppressAutoHyphens w:val="true"/>
              <w:spacing w:before="60" w:after="60"/>
              <w:jc w:val="center"/>
              <w:rPr>
                <w:rFonts w:ascii="Times New Roman" w:hAnsi="Times New Roman"/>
                <w:sz w:val="24"/>
                <w:szCs w:val="24"/>
              </w:rPr>
            </w:pPr>
            <w:r>
              <w:rPr>
                <w:rFonts w:eastAsia="Calibri" w:cs=""/>
                <w:b/>
                <w:bCs/>
                <w:kern w:val="0"/>
                <w:sz w:val="24"/>
                <w:szCs w:val="24"/>
                <w:lang w:val="ru-RU" w:eastAsia="en-US" w:bidi="ar-SA"/>
              </w:rPr>
              <w:t>–</w:t>
            </w:r>
          </w:p>
        </w:tc>
        <w:tc>
          <w:tcPr>
            <w:tcW w:w="2090" w:type="dxa"/>
            <w:tcBorders/>
          </w:tcPr>
          <w:p>
            <w:pPr>
              <w:pStyle w:val="Style30"/>
              <w:keepNext w:val="true"/>
              <w:widowControl w:val="false"/>
              <w:suppressAutoHyphens w:val="true"/>
              <w:spacing w:before="60" w:after="60"/>
              <w:jc w:val="center"/>
              <w:rPr>
                <w:rFonts w:ascii="Times New Roman" w:hAnsi="Times New Roman"/>
                <w:sz w:val="24"/>
                <w:szCs w:val="24"/>
              </w:rPr>
            </w:pPr>
            <w:r>
              <w:rPr>
                <w:rFonts w:eastAsia="Calibri" w:cs=""/>
                <w:b/>
                <w:bCs/>
                <w:kern w:val="0"/>
                <w:sz w:val="24"/>
                <w:szCs w:val="24"/>
                <w:lang w:val="ru-RU" w:eastAsia="en-US" w:bidi="ar-SA"/>
              </w:rPr>
              <w:t>–</w:t>
            </w:r>
          </w:p>
        </w:tc>
      </w:tr>
      <w:tr>
        <w:trPr/>
        <w:tc>
          <w:tcPr>
            <w:tcW w:w="1412" w:type="dxa"/>
            <w:tcBorders/>
          </w:tcPr>
          <w:p>
            <w:pPr>
              <w:pStyle w:val="Style30"/>
              <w:widowControl w:val="false"/>
              <w:numPr>
                <w:ilvl w:val="0"/>
                <w:numId w:val="6"/>
              </w:numPr>
              <w:suppressAutoHyphens w:val="true"/>
              <w:spacing w:before="60" w:after="60"/>
              <w:ind w:hanging="0" w:left="170"/>
              <w:jc w:val="center"/>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p>
        </w:tc>
        <w:tc>
          <w:tcPr>
            <w:tcW w:w="8506" w:type="dxa"/>
            <w:tcBorders/>
          </w:tcPr>
          <w:p>
            <w:pPr>
              <w:pStyle w:val="Style30"/>
              <w:widowControl w:val="false"/>
              <w:suppressAutoHyphens w:val="true"/>
              <w:spacing w:before="60" w:after="60"/>
              <w:rPr>
                <w:rFonts w:ascii="Times New Roman" w:hAnsi="Times New Roman"/>
                <w:sz w:val="24"/>
                <w:szCs w:val="24"/>
              </w:rPr>
            </w:pPr>
            <w:r>
              <w:rPr>
                <w:rFonts w:eastAsia="Calibri" w:cs=""/>
                <w:kern w:val="0"/>
                <w:sz w:val="24"/>
                <w:szCs w:val="24"/>
                <w:lang w:val="ru-RU" w:eastAsia="en-US" w:bidi="ar-SA"/>
              </w:rPr>
              <w:t>Соответствие предложения требованиям к стране происхождения поставляемого товара, установленным в Технических требованиях</w:t>
            </w:r>
          </w:p>
          <w:p>
            <w:pPr>
              <w:pStyle w:val="Style30"/>
              <w:widowControl w:val="false"/>
              <w:suppressAutoHyphens w:val="true"/>
              <w:spacing w:before="60" w:after="60"/>
              <w:rPr>
                <w:rFonts w:ascii="Times New Roman" w:hAnsi="Times New Roman"/>
                <w:sz w:val="24"/>
                <w:szCs w:val="24"/>
              </w:rPr>
            </w:pPr>
            <w:r>
              <w:rPr>
                <w:rFonts w:eastAsia="Calibri" w:cs=""/>
                <w:i/>
                <w:iCs/>
                <w:kern w:val="0"/>
                <w:sz w:val="24"/>
                <w:szCs w:val="24"/>
                <w:lang w:val="ru-RU" w:eastAsia="en-US" w:bidi="ar-SA"/>
              </w:rPr>
              <w:t>(пункт применяется только в случае исполнения Заказчиком</w:t>
            </w:r>
            <w:r>
              <w:rPr>
                <w:rFonts w:eastAsia="Calibri" w:cs=""/>
                <w:kern w:val="0"/>
                <w:sz w:val="24"/>
                <w:szCs w:val="24"/>
                <w:lang w:val="ru-RU" w:eastAsia="en-US" w:bidi="ar-SA"/>
              </w:rPr>
              <w:t xml:space="preserve"> </w:t>
            </w:r>
            <w:r>
              <w:rPr>
                <w:rFonts w:eastAsia="Calibri" w:cs=""/>
                <w:i/>
                <w:iCs/>
                <w:kern w:val="0"/>
                <w:sz w:val="24"/>
                <w:szCs w:val="24"/>
                <w:lang w:val="ru-RU" w:eastAsia="en-US" w:bidi="ar-SA"/>
              </w:rPr>
              <w:t>норм в части минимальной обязательной доли закупок товаров российского происхождения (подраздел </w:t>
            </w:r>
            <w:r>
              <w:rPr>
                <w:rFonts w:eastAsia="Calibri" w:cs=""/>
                <w:i/>
                <w:iCs/>
                <w:kern w:val="0"/>
                <w:sz w:val="24"/>
                <w:szCs w:val="24"/>
                <w:lang w:val="ru-RU" w:eastAsia="en-US" w:bidi="ar-SA"/>
              </w:rPr>
              <w:fldChar w:fldCharType="begin"/>
            </w:r>
            <w:r>
              <w:rPr>
                <w:sz w:val="24"/>
                <w:i/>
                <w:kern w:val="0"/>
                <w:szCs w:val="24"/>
                <w:iCs/>
                <w:rFonts w:eastAsia="Calibri" w:cs=""/>
                <w:lang w:val="ru-RU" w:eastAsia="en-US" w:bidi="ar-SA"/>
              </w:rPr>
              <w:instrText xml:space="preserve"> REF _Ref186128193 \r \h </w:instrText>
            </w:r>
            <w:r>
              <w:rPr>
                <w:sz w:val="24"/>
                <w:i/>
                <w:kern w:val="0"/>
                <w:szCs w:val="24"/>
                <w:iCs/>
                <w:rFonts w:eastAsia="Calibri" w:cs=""/>
                <w:lang w:val="ru-RU" w:eastAsia="en-US" w:bidi="ar-SA"/>
              </w:rPr>
              <w:fldChar w:fldCharType="separate"/>
            </w:r>
            <w:r>
              <w:rPr>
                <w:sz w:val="24"/>
                <w:i/>
                <w:kern w:val="0"/>
                <w:szCs w:val="24"/>
                <w:iCs/>
                <w:rFonts w:eastAsia="Calibri" w:cs=""/>
                <w:lang w:val="ru-RU" w:eastAsia="en-US" w:bidi="ar-SA"/>
              </w:rPr>
              <w:t>4.13</w:t>
            </w:r>
            <w:r>
              <w:rPr>
                <w:sz w:val="24"/>
                <w:i/>
                <w:kern w:val="0"/>
                <w:szCs w:val="24"/>
                <w:iCs/>
                <w:rFonts w:eastAsia="Calibri" w:cs=""/>
                <w:lang w:val="ru-RU" w:eastAsia="en-US" w:bidi="ar-SA"/>
              </w:rPr>
              <w:fldChar w:fldCharType="end"/>
            </w:r>
            <w:r>
              <w:rPr>
                <w:rFonts w:eastAsia="Calibri" w:cs=""/>
                <w:i/>
                <w:iCs/>
                <w:kern w:val="0"/>
                <w:sz w:val="24"/>
                <w:szCs w:val="24"/>
                <w:lang w:val="ru-RU" w:eastAsia="en-US" w:bidi="ar-SA"/>
              </w:rPr>
              <w:t>))</w:t>
            </w:r>
          </w:p>
        </w:tc>
        <w:tc>
          <w:tcPr>
            <w:tcW w:w="3117" w:type="dxa"/>
            <w:tcBorders/>
          </w:tcPr>
          <w:p>
            <w:pPr>
              <w:pStyle w:val="Style30"/>
              <w:widowControl w:val="false"/>
              <w:suppressAutoHyphens w:val="true"/>
              <w:spacing w:before="60" w:after="60"/>
              <w:jc w:val="center"/>
              <w:rPr/>
            </w:pPr>
            <w:r>
              <w:rPr>
                <w:rFonts w:eastAsia="Calibri" w:cs=""/>
                <w:kern w:val="0"/>
                <w:sz w:val="24"/>
                <w:szCs w:val="24"/>
                <w:lang w:val="ru-RU" w:eastAsia="en-US" w:bidi="ar-SA"/>
              </w:rPr>
              <w:t>подразделы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_Ref130394681 \r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t>4.3</w:t>
            </w:r>
            <w:r>
              <w:rPr>
                <w:sz w:val="24"/>
                <w:kern w:val="0"/>
                <w:szCs w:val="24"/>
                <w:rFonts w:eastAsia="Calibri" w:cs=""/>
                <w:lang w:val="ru-RU" w:eastAsia="en-US" w:bidi="ar-SA"/>
              </w:rPr>
              <w:fldChar w:fldCharType="end"/>
            </w:r>
            <w:r>
              <w:rPr>
                <w:rFonts w:eastAsia="Calibri" w:cs=""/>
                <w:kern w:val="0"/>
                <w:sz w:val="24"/>
                <w:szCs w:val="24"/>
                <w:lang w:val="ru-RU" w:eastAsia="en-US" w:bidi="ar-SA"/>
              </w:rPr>
              <w:t xml:space="preserve">,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_Ref186128193 \r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t>4.13</w:t>
            </w:r>
            <w:r>
              <w:rPr>
                <w:sz w:val="24"/>
                <w:kern w:val="0"/>
                <w:szCs w:val="24"/>
                <w:rFonts w:eastAsia="Calibri" w:cs=""/>
                <w:lang w:val="ru-RU" w:eastAsia="en-US" w:bidi="ar-SA"/>
              </w:rPr>
              <w:fldChar w:fldCharType="end"/>
            </w:r>
            <w:r>
              <w:rPr>
                <w:rFonts w:eastAsia="Calibri" w:cs=""/>
                <w:kern w:val="0"/>
                <w:sz w:val="24"/>
                <w:szCs w:val="24"/>
                <w:lang w:val="ru-RU" w:eastAsia="en-US" w:bidi="ar-SA"/>
              </w:rPr>
              <w:br/>
            </w:r>
            <w:hyperlink w:anchor="Прил01_ТехТребования">
              <w:r>
                <w:rPr>
                  <w:rStyle w:val="Style14"/>
                  <w:rFonts w:eastAsia="Calibri" w:cs=""/>
                  <w:kern w:val="0"/>
                  <w:sz w:val="24"/>
                  <w:szCs w:val="24"/>
                  <w:lang w:val="ru-RU" w:eastAsia="en-US" w:bidi="ar-SA"/>
                </w:rPr>
                <w:t>Приложение № 1</w:t>
              </w:r>
            </w:hyperlink>
          </w:p>
        </w:tc>
        <w:tc>
          <w:tcPr>
            <w:tcW w:w="2090" w:type="dxa"/>
            <w:tcBorders/>
          </w:tcPr>
          <w:p>
            <w:pPr>
              <w:pStyle w:val="Style30"/>
              <w:widowControl w:val="false"/>
              <w:suppressAutoHyphens w:val="true"/>
              <w:spacing w:before="60" w:after="60"/>
              <w:jc w:val="center"/>
              <w:rPr>
                <w:rFonts w:ascii="Times New Roman" w:hAnsi="Times New Roman"/>
                <w:sz w:val="24"/>
                <w:szCs w:val="24"/>
              </w:rPr>
            </w:pPr>
            <w:r>
              <w:rPr>
                <w:rFonts w:eastAsia="Calibri" w:cs=""/>
                <w:kern w:val="0"/>
                <w:sz w:val="24"/>
                <w:szCs w:val="24"/>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hanging="0" w:left="170"/>
              <w:jc w:val="center"/>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4"/>
                <w:szCs w:val="24"/>
                <w:lang w:val="ru-RU" w:eastAsia="en-US" w:bidi="ar-SA"/>
              </w:rPr>
              <w:t xml:space="preserve">Соответствие объемов и состава работ / услуг, технологии производства работ, предложенных Участником в Техническом предложении, Коммерческом предложении и (или) прилагаемой к нему подтверждающей документации, требованиям, указанным в </w:t>
            </w:r>
            <w:hyperlink w:anchor="Прил01_ТехТребования">
              <w:r>
                <w:rPr>
                  <w:rStyle w:val="Style14"/>
                  <w:rFonts w:eastAsia="Calibri" w:cs=""/>
                  <w:kern w:val="0"/>
                  <w:sz w:val="24"/>
                  <w:szCs w:val="24"/>
                  <w:lang w:val="ru-RU" w:eastAsia="en-US" w:bidi="ar-SA"/>
                </w:rPr>
                <w:t>Технических требованиях (Приложение № 1)</w:t>
              </w:r>
            </w:hyperlink>
          </w:p>
        </w:tc>
        <w:tc>
          <w:tcPr>
            <w:tcW w:w="3117" w:type="dxa"/>
            <w:tcBorders/>
          </w:tcPr>
          <w:p>
            <w:pPr>
              <w:pStyle w:val="Style30"/>
              <w:widowControl w:val="false"/>
              <w:suppressAutoHyphens w:val="true"/>
              <w:spacing w:before="60" w:after="60"/>
              <w:jc w:val="center"/>
              <w:rPr/>
            </w:pPr>
            <w:r>
              <w:rPr>
                <w:rFonts w:eastAsia="Calibri" w:cs=""/>
                <w:kern w:val="0"/>
                <w:sz w:val="24"/>
                <w:szCs w:val="24"/>
                <w:lang w:val="ru-RU" w:eastAsia="en-US" w:bidi="ar-SA"/>
              </w:rPr>
              <w:t>подраздел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_Ref130394681 \r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t>4.3</w:t>
            </w:r>
            <w:r>
              <w:rPr>
                <w:sz w:val="24"/>
                <w:kern w:val="0"/>
                <w:szCs w:val="24"/>
                <w:rFonts w:eastAsia="Calibri" w:cs=""/>
                <w:lang w:val="ru-RU" w:eastAsia="en-US" w:bidi="ar-SA"/>
              </w:rPr>
              <w:fldChar w:fldCharType="end"/>
            </w:r>
            <w:r>
              <w:rPr>
                <w:rFonts w:eastAsia="Calibri" w:cs=""/>
                <w:kern w:val="0"/>
                <w:sz w:val="24"/>
                <w:szCs w:val="24"/>
                <w:lang w:val="ru-RU" w:eastAsia="en-US" w:bidi="ar-SA"/>
              </w:rPr>
              <w:br/>
            </w:r>
            <w:hyperlink w:anchor="Прил01_ТехТребования">
              <w:r>
                <w:rPr>
                  <w:rStyle w:val="Style14"/>
                  <w:rFonts w:eastAsia="Calibri" w:cs=""/>
                  <w:kern w:val="0"/>
                  <w:sz w:val="24"/>
                  <w:szCs w:val="24"/>
                  <w:lang w:val="ru-RU" w:eastAsia="en-US" w:bidi="ar-SA"/>
                </w:rPr>
                <w:t>Приложение № 1</w:t>
              </w:r>
            </w:hyperlink>
          </w:p>
        </w:tc>
        <w:tc>
          <w:tcPr>
            <w:tcW w:w="2090" w:type="dxa"/>
            <w:tcBorders/>
          </w:tcPr>
          <w:p>
            <w:pPr>
              <w:pStyle w:val="Style30"/>
              <w:widowControl w:val="false"/>
              <w:suppressAutoHyphens w:val="true"/>
              <w:spacing w:before="60" w:after="60"/>
              <w:jc w:val="center"/>
              <w:rPr>
                <w:rFonts w:ascii="Times New Roman" w:hAnsi="Times New Roman"/>
                <w:sz w:val="24"/>
                <w:szCs w:val="24"/>
              </w:rPr>
            </w:pPr>
            <w:r>
              <w:rPr>
                <w:rFonts w:eastAsia="Calibri" w:cs=""/>
                <w:kern w:val="0"/>
                <w:sz w:val="24"/>
                <w:szCs w:val="24"/>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hanging="0" w:left="170"/>
              <w:jc w:val="center"/>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4"/>
                <w:szCs w:val="24"/>
                <w:lang w:val="ru-RU" w:eastAsia="en-US" w:bidi="ar-SA"/>
              </w:rPr>
              <w:t xml:space="preserve">Соответствие номенклатуры, количества и характеристик материалов / оборудования, предложенных Участником в Техническом предложении, Коммерческом предложении и (или) прилагаемой к нему подтверждающей документации, требованиям, указанным в </w:t>
            </w:r>
            <w:hyperlink w:anchor="Прил01_ТехТребования">
              <w:r>
                <w:rPr>
                  <w:rStyle w:val="Style14"/>
                  <w:rFonts w:eastAsia="Calibri" w:cs=""/>
                  <w:kern w:val="0"/>
                  <w:sz w:val="24"/>
                  <w:szCs w:val="24"/>
                  <w:lang w:val="ru-RU" w:eastAsia="en-US" w:bidi="ar-SA"/>
                </w:rPr>
                <w:t>Технических требованиях (Приложение № 1)</w:t>
              </w:r>
            </w:hyperlink>
          </w:p>
        </w:tc>
        <w:tc>
          <w:tcPr>
            <w:tcW w:w="3117" w:type="dxa"/>
            <w:tcBorders/>
          </w:tcPr>
          <w:p>
            <w:pPr>
              <w:pStyle w:val="Style30"/>
              <w:widowControl w:val="false"/>
              <w:suppressAutoHyphens w:val="true"/>
              <w:spacing w:before="60" w:after="60"/>
              <w:jc w:val="center"/>
              <w:rPr/>
            </w:pPr>
            <w:r>
              <w:rPr>
                <w:rFonts w:eastAsia="Calibri" w:cs=""/>
                <w:kern w:val="0"/>
                <w:sz w:val="24"/>
                <w:szCs w:val="24"/>
                <w:lang w:val="ru-RU" w:eastAsia="en-US" w:bidi="ar-SA"/>
              </w:rPr>
              <w:t>подраздел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_Ref130394681 \r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t>4.3</w:t>
            </w:r>
            <w:r>
              <w:rPr>
                <w:sz w:val="24"/>
                <w:kern w:val="0"/>
                <w:szCs w:val="24"/>
                <w:rFonts w:eastAsia="Calibri" w:cs=""/>
                <w:lang w:val="ru-RU" w:eastAsia="en-US" w:bidi="ar-SA"/>
              </w:rPr>
              <w:fldChar w:fldCharType="end"/>
            </w:r>
            <w:r>
              <w:rPr>
                <w:rFonts w:eastAsia="Calibri" w:cs=""/>
                <w:kern w:val="0"/>
                <w:sz w:val="24"/>
                <w:szCs w:val="24"/>
                <w:lang w:val="ru-RU" w:eastAsia="en-US" w:bidi="ar-SA"/>
              </w:rPr>
              <w:br/>
            </w:r>
            <w:hyperlink w:anchor="Прил01_ТехТребования">
              <w:r>
                <w:rPr>
                  <w:rStyle w:val="Style14"/>
                  <w:rFonts w:eastAsia="Calibri" w:cs=""/>
                  <w:kern w:val="0"/>
                  <w:sz w:val="24"/>
                  <w:szCs w:val="24"/>
                  <w:lang w:val="ru-RU" w:eastAsia="en-US" w:bidi="ar-SA"/>
                </w:rPr>
                <w:t>Приложение № 1</w:t>
              </w:r>
            </w:hyperlink>
          </w:p>
        </w:tc>
        <w:tc>
          <w:tcPr>
            <w:tcW w:w="2090" w:type="dxa"/>
            <w:tcBorders/>
          </w:tcPr>
          <w:p>
            <w:pPr>
              <w:pStyle w:val="Style30"/>
              <w:widowControl w:val="false"/>
              <w:suppressAutoHyphens w:val="true"/>
              <w:spacing w:before="60" w:after="60"/>
              <w:jc w:val="center"/>
              <w:rPr>
                <w:rFonts w:ascii="Times New Roman" w:hAnsi="Times New Roman"/>
                <w:sz w:val="24"/>
                <w:szCs w:val="24"/>
              </w:rPr>
            </w:pPr>
            <w:r>
              <w:rPr>
                <w:rFonts w:eastAsia="Calibri" w:cs=""/>
                <w:kern w:val="0"/>
                <w:sz w:val="24"/>
                <w:szCs w:val="24"/>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hanging="0" w:left="170"/>
              <w:jc w:val="center"/>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4"/>
                <w:szCs w:val="24"/>
                <w:lang w:val="ru-RU" w:eastAsia="en-US" w:bidi="ar-SA"/>
              </w:rPr>
              <w:t xml:space="preserve">Соответствие сроков (и (или) этапов) реализации Договора, предложенных Участником в Техническом предложении, указанным в </w:t>
            </w:r>
            <w:hyperlink w:anchor="Прил01_ТехТребования">
              <w:r>
                <w:rPr>
                  <w:rStyle w:val="Style14"/>
                  <w:rFonts w:eastAsia="Calibri" w:cs=""/>
                  <w:kern w:val="0"/>
                  <w:sz w:val="24"/>
                  <w:szCs w:val="24"/>
                  <w:lang w:val="ru-RU" w:eastAsia="en-US" w:bidi="ar-SA"/>
                </w:rPr>
                <w:t>Технических требованиях (Приложение № 1)</w:t>
              </w:r>
            </w:hyperlink>
            <w:r>
              <w:rPr>
                <w:rFonts w:eastAsia="Calibri" w:cs=""/>
                <w:kern w:val="0"/>
                <w:sz w:val="24"/>
                <w:szCs w:val="24"/>
                <w:lang w:val="ru-RU" w:eastAsia="en-US" w:bidi="ar-SA"/>
              </w:rPr>
              <w:t xml:space="preserve"> и (или) в </w:t>
            </w:r>
            <w:hyperlink w:anchor="Прил02_ПроектДоговора">
              <w:r>
                <w:rPr>
                  <w:rStyle w:val="Style14"/>
                  <w:rFonts w:eastAsia="Calibri" w:cs=""/>
                  <w:kern w:val="0"/>
                  <w:sz w:val="24"/>
                  <w:szCs w:val="24"/>
                  <w:lang w:val="ru-RU" w:eastAsia="en-US" w:bidi="ar-SA"/>
                </w:rPr>
                <w:t>Проекте договора (Приложение № 2)</w:t>
              </w:r>
            </w:hyperlink>
            <w:r>
              <w:rPr>
                <w:rFonts w:eastAsia="Calibri" w:cs=""/>
                <w:kern w:val="0"/>
                <w:sz w:val="24"/>
                <w:szCs w:val="24"/>
                <w:lang w:val="ru-RU" w:eastAsia="en-US" w:bidi="ar-SA"/>
              </w:rPr>
              <w:t>, или согласие с ними в Письме о подаче оферты</w:t>
            </w:r>
          </w:p>
        </w:tc>
        <w:tc>
          <w:tcPr>
            <w:tcW w:w="3117" w:type="dxa"/>
            <w:tcBorders/>
          </w:tcPr>
          <w:p>
            <w:pPr>
              <w:pStyle w:val="Style30"/>
              <w:widowControl w:val="false"/>
              <w:suppressAutoHyphens w:val="true"/>
              <w:spacing w:before="60" w:after="60"/>
              <w:jc w:val="center"/>
              <w:rPr/>
            </w:pPr>
            <w:hyperlink w:anchor="Прил01_ТехТребования">
              <w:r>
                <w:rPr>
                  <w:rStyle w:val="Style14"/>
                  <w:rFonts w:eastAsia="Calibri" w:cs=""/>
                  <w:kern w:val="0"/>
                  <w:sz w:val="24"/>
                  <w:szCs w:val="24"/>
                  <w:lang w:val="ru-RU" w:eastAsia="en-US" w:bidi="ar-SA"/>
                </w:rPr>
                <w:t>Приложение № 1</w:t>
              </w:r>
            </w:hyperlink>
            <w:r>
              <w:rPr>
                <w:rFonts w:eastAsia="Calibri" w:cs=""/>
                <w:kern w:val="0"/>
                <w:sz w:val="24"/>
                <w:szCs w:val="24"/>
                <w:lang w:val="ru-RU" w:eastAsia="en-US" w:bidi="ar-SA"/>
              </w:rPr>
              <w:t>,</w:t>
              <w:br/>
            </w:r>
            <w:hyperlink w:anchor="Прил02_ПроектДоговора">
              <w:r>
                <w:rPr>
                  <w:rStyle w:val="Style14"/>
                  <w:rFonts w:eastAsia="Calibri" w:cs=""/>
                  <w:kern w:val="0"/>
                  <w:sz w:val="24"/>
                  <w:szCs w:val="24"/>
                  <w:lang w:val="ru-RU" w:eastAsia="en-US" w:bidi="ar-SA"/>
                </w:rPr>
                <w:t>Приложение № 2</w:t>
              </w:r>
            </w:hyperlink>
          </w:p>
        </w:tc>
        <w:tc>
          <w:tcPr>
            <w:tcW w:w="2090" w:type="dxa"/>
            <w:tcBorders/>
          </w:tcPr>
          <w:p>
            <w:pPr>
              <w:pStyle w:val="Style30"/>
              <w:widowControl w:val="false"/>
              <w:suppressAutoHyphens w:val="true"/>
              <w:spacing w:before="60" w:after="60"/>
              <w:jc w:val="center"/>
              <w:rPr>
                <w:rFonts w:ascii="Times New Roman" w:hAnsi="Times New Roman"/>
                <w:sz w:val="24"/>
                <w:szCs w:val="24"/>
              </w:rPr>
            </w:pPr>
            <w:r>
              <w:rPr>
                <w:rFonts w:eastAsia="Calibri" w:cs=""/>
                <w:kern w:val="0"/>
                <w:sz w:val="24"/>
                <w:szCs w:val="24"/>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hanging="0" w:left="170"/>
              <w:jc w:val="center"/>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4"/>
                <w:szCs w:val="24"/>
                <w:lang w:val="ru-RU" w:eastAsia="en-US" w:bidi="ar-SA"/>
              </w:rPr>
              <w:t xml:space="preserve">Соответствие требованиям к гарантии на поставляемые материалы / оборудование и результаты выполненных работ, указанным в </w:t>
            </w:r>
            <w:hyperlink w:anchor="Прил01_ТехТребования">
              <w:r>
                <w:rPr>
                  <w:rStyle w:val="Style14"/>
                  <w:rFonts w:eastAsia="Calibri" w:cs=""/>
                  <w:kern w:val="0"/>
                  <w:sz w:val="24"/>
                  <w:szCs w:val="24"/>
                  <w:lang w:val="ru-RU" w:eastAsia="en-US" w:bidi="ar-SA"/>
                </w:rPr>
                <w:t>Технических требованиях (Приложение № 1)</w:t>
              </w:r>
            </w:hyperlink>
            <w:r>
              <w:rPr>
                <w:rFonts w:eastAsia="Calibri" w:cs=""/>
                <w:kern w:val="0"/>
                <w:sz w:val="24"/>
                <w:szCs w:val="24"/>
                <w:lang w:val="ru-RU" w:eastAsia="en-US" w:bidi="ar-SA"/>
              </w:rPr>
              <w:t xml:space="preserve"> и (или) в </w:t>
            </w:r>
            <w:hyperlink w:anchor="Прил02_ПроектДоговора">
              <w:r>
                <w:rPr>
                  <w:rStyle w:val="Style14"/>
                  <w:rFonts w:eastAsia="Calibri" w:cs=""/>
                  <w:kern w:val="0"/>
                  <w:sz w:val="24"/>
                  <w:szCs w:val="24"/>
                  <w:lang w:val="ru-RU" w:eastAsia="en-US" w:bidi="ar-SA"/>
                </w:rPr>
                <w:t>Проекте договора (Приложение № 2)</w:t>
              </w:r>
            </w:hyperlink>
          </w:p>
          <w:p>
            <w:pPr>
              <w:pStyle w:val="Style30"/>
              <w:widowControl w:val="false"/>
              <w:suppressAutoHyphens w:val="true"/>
              <w:spacing w:before="60" w:after="60"/>
              <w:rPr>
                <w:rFonts w:ascii="Times New Roman" w:hAnsi="Times New Roman"/>
                <w:sz w:val="24"/>
                <w:szCs w:val="24"/>
              </w:rPr>
            </w:pPr>
            <w:r>
              <w:rPr>
                <w:rFonts w:eastAsia="Calibri" w:cs=""/>
                <w:i/>
                <w:iCs/>
                <w:kern w:val="0"/>
                <w:sz w:val="24"/>
                <w:szCs w:val="24"/>
                <w:lang w:val="ru-RU" w:eastAsia="en-US" w:bidi="ar-SA"/>
              </w:rPr>
              <w:t>(пункт применяется только в случае установления соответствующих требований)</w:t>
            </w:r>
          </w:p>
        </w:tc>
        <w:tc>
          <w:tcPr>
            <w:tcW w:w="3117" w:type="dxa"/>
            <w:tcBorders/>
          </w:tcPr>
          <w:p>
            <w:pPr>
              <w:pStyle w:val="Style30"/>
              <w:widowControl w:val="false"/>
              <w:suppressAutoHyphens w:val="true"/>
              <w:spacing w:before="60" w:after="60"/>
              <w:jc w:val="center"/>
              <w:rPr/>
            </w:pPr>
            <w:hyperlink w:anchor="Прил01_ТехТребования">
              <w:r>
                <w:rPr>
                  <w:rStyle w:val="Style14"/>
                  <w:rFonts w:eastAsia="Calibri" w:cs=""/>
                  <w:kern w:val="0"/>
                  <w:sz w:val="24"/>
                  <w:szCs w:val="24"/>
                  <w:lang w:val="ru-RU" w:eastAsia="en-US" w:bidi="ar-SA"/>
                </w:rPr>
                <w:t>Приложение № 1</w:t>
              </w:r>
            </w:hyperlink>
            <w:r>
              <w:rPr>
                <w:rFonts w:eastAsia="Calibri" w:cs=""/>
                <w:kern w:val="0"/>
                <w:sz w:val="24"/>
                <w:szCs w:val="24"/>
                <w:lang w:val="ru-RU" w:eastAsia="en-US" w:bidi="ar-SA"/>
              </w:rPr>
              <w:t>,</w:t>
              <w:br/>
            </w:r>
            <w:hyperlink w:anchor="Прил02_ПроектДоговора">
              <w:r>
                <w:rPr>
                  <w:rStyle w:val="Style14"/>
                  <w:rFonts w:eastAsia="Calibri" w:cs=""/>
                  <w:kern w:val="0"/>
                  <w:sz w:val="24"/>
                  <w:szCs w:val="24"/>
                  <w:lang w:val="ru-RU" w:eastAsia="en-US" w:bidi="ar-SA"/>
                </w:rPr>
                <w:t>Приложение № 2</w:t>
              </w:r>
            </w:hyperlink>
          </w:p>
        </w:tc>
        <w:tc>
          <w:tcPr>
            <w:tcW w:w="2090" w:type="dxa"/>
            <w:tcBorders/>
          </w:tcPr>
          <w:p>
            <w:pPr>
              <w:pStyle w:val="Style30"/>
              <w:widowControl w:val="false"/>
              <w:suppressAutoHyphens w:val="true"/>
              <w:spacing w:before="60" w:after="60"/>
              <w:jc w:val="center"/>
              <w:rPr>
                <w:rFonts w:ascii="Times New Roman" w:hAnsi="Times New Roman"/>
                <w:sz w:val="24"/>
                <w:szCs w:val="24"/>
              </w:rPr>
            </w:pPr>
            <w:r>
              <w:rPr>
                <w:rFonts w:eastAsia="Calibri" w:cs=""/>
                <w:kern w:val="0"/>
                <w:sz w:val="24"/>
                <w:szCs w:val="24"/>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hanging="0" w:left="170"/>
              <w:jc w:val="center"/>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4"/>
                <w:szCs w:val="24"/>
                <w:lang w:val="ru-RU" w:eastAsia="en-US" w:bidi="ar-SA"/>
              </w:rPr>
              <w:t xml:space="preserve">Соответствие предлагаемой к поставке продукции иным требованиям, установленным в </w:t>
            </w:r>
            <w:hyperlink w:anchor="Прил01_ТехТребования">
              <w:r>
                <w:rPr>
                  <w:rStyle w:val="Style14"/>
                  <w:rFonts w:eastAsia="Calibri" w:cs=""/>
                  <w:kern w:val="0"/>
                  <w:sz w:val="24"/>
                  <w:szCs w:val="24"/>
                  <w:lang w:val="ru-RU" w:eastAsia="en-US" w:bidi="ar-SA"/>
                </w:rPr>
                <w:t>Технических требованиях (Приложение № 1)</w:t>
              </w:r>
            </w:hyperlink>
            <w:r>
              <w:rPr>
                <w:rFonts w:eastAsia="Calibri" w:cs=""/>
                <w:kern w:val="0"/>
                <w:sz w:val="24"/>
                <w:szCs w:val="24"/>
                <w:lang w:val="ru-RU" w:eastAsia="en-US" w:bidi="ar-SA"/>
              </w:rPr>
              <w:t>, с предоставлением требуемых подтверждающих документов / сведений</w:t>
            </w:r>
          </w:p>
          <w:p>
            <w:pPr>
              <w:pStyle w:val="Style30"/>
              <w:widowControl w:val="false"/>
              <w:suppressAutoHyphens w:val="true"/>
              <w:spacing w:before="60" w:after="60"/>
              <w:rPr>
                <w:rFonts w:ascii="Times New Roman" w:hAnsi="Times New Roman"/>
                <w:sz w:val="24"/>
                <w:szCs w:val="24"/>
              </w:rPr>
            </w:pPr>
            <w:r>
              <w:rPr>
                <w:rFonts w:eastAsia="Calibri" w:cs=""/>
                <w:i/>
                <w:iCs/>
                <w:kern w:val="0"/>
                <w:sz w:val="24"/>
                <w:szCs w:val="24"/>
                <w:lang w:val="ru-RU" w:eastAsia="en-US" w:bidi="ar-SA"/>
              </w:rPr>
              <w:t>(пункт применяется только в случае установления соответствующих требований)</w:t>
            </w:r>
          </w:p>
        </w:tc>
        <w:tc>
          <w:tcPr>
            <w:tcW w:w="3117" w:type="dxa"/>
            <w:tcBorders/>
          </w:tcPr>
          <w:p>
            <w:pPr>
              <w:pStyle w:val="Style30"/>
              <w:widowControl w:val="false"/>
              <w:suppressAutoHyphens w:val="true"/>
              <w:spacing w:before="60" w:after="60"/>
              <w:jc w:val="center"/>
              <w:rPr/>
            </w:pPr>
            <w:hyperlink w:anchor="Прил01_ТехТребования">
              <w:r>
                <w:rPr>
                  <w:rStyle w:val="Style14"/>
                  <w:rFonts w:eastAsia="Calibri" w:cs=""/>
                  <w:kern w:val="0"/>
                  <w:sz w:val="24"/>
                  <w:szCs w:val="24"/>
                  <w:lang w:val="ru-RU" w:eastAsia="en-US" w:bidi="ar-SA"/>
                </w:rPr>
                <w:t>Приложение № 1</w:t>
              </w:r>
            </w:hyperlink>
          </w:p>
        </w:tc>
        <w:tc>
          <w:tcPr>
            <w:tcW w:w="2090" w:type="dxa"/>
            <w:tcBorders/>
          </w:tcPr>
          <w:p>
            <w:pPr>
              <w:pStyle w:val="Style30"/>
              <w:widowControl w:val="false"/>
              <w:suppressAutoHyphens w:val="true"/>
              <w:spacing w:before="60" w:after="60"/>
              <w:jc w:val="center"/>
              <w:rPr>
                <w:rFonts w:ascii="Times New Roman" w:hAnsi="Times New Roman"/>
                <w:sz w:val="24"/>
                <w:szCs w:val="24"/>
              </w:rPr>
            </w:pPr>
            <w:r>
              <w:rPr>
                <w:rFonts w:eastAsia="Calibri" w:cs=""/>
                <w:kern w:val="0"/>
                <w:sz w:val="24"/>
                <w:szCs w:val="24"/>
                <w:lang w:val="ru-RU" w:eastAsia="en-US" w:bidi="ar-SA"/>
              </w:rPr>
              <w:t>Тех</w:t>
            </w:r>
          </w:p>
        </w:tc>
      </w:tr>
      <w:tr>
        <w:trPr/>
        <w:tc>
          <w:tcPr>
            <w:tcW w:w="9918" w:type="dxa"/>
            <w:gridSpan w:val="2"/>
            <w:tcBorders/>
          </w:tcPr>
          <w:p>
            <w:pPr>
              <w:pStyle w:val="Style30"/>
              <w:keepNext w:val="true"/>
              <w:widowControl w:val="false"/>
              <w:suppressAutoHyphens w:val="true"/>
              <w:spacing w:before="60" w:after="60"/>
              <w:rPr>
                <w:rFonts w:ascii="Times New Roman" w:hAnsi="Times New Roman"/>
                <w:sz w:val="24"/>
                <w:szCs w:val="24"/>
              </w:rPr>
            </w:pPr>
            <w:r>
              <w:rPr>
                <w:rFonts w:eastAsia="Calibri" w:cs=""/>
                <w:b/>
                <w:bCs/>
                <w:kern w:val="0"/>
                <w:sz w:val="24"/>
                <w:szCs w:val="24"/>
                <w:lang w:val="ru-RU" w:eastAsia="en-US" w:bidi="ar-SA"/>
              </w:rPr>
              <w:t>Соответствие Коммерческого предложения Участника требованиям Документации о закупке, в том числе:</w:t>
            </w:r>
          </w:p>
        </w:tc>
        <w:tc>
          <w:tcPr>
            <w:tcW w:w="3117" w:type="dxa"/>
            <w:tcBorders/>
          </w:tcPr>
          <w:p>
            <w:pPr>
              <w:pStyle w:val="Style30"/>
              <w:widowControl w:val="false"/>
              <w:suppressAutoHyphens w:val="true"/>
              <w:spacing w:before="60" w:after="60"/>
              <w:jc w:val="center"/>
              <w:rPr>
                <w:rFonts w:ascii="Times New Roman" w:hAnsi="Times New Roman"/>
                <w:sz w:val="24"/>
                <w:szCs w:val="24"/>
              </w:rPr>
            </w:pPr>
            <w:r>
              <w:rPr>
                <w:rFonts w:eastAsia="Calibri" w:cs=""/>
                <w:b/>
                <w:bCs/>
                <w:kern w:val="0"/>
                <w:sz w:val="24"/>
                <w:szCs w:val="24"/>
                <w:lang w:val="ru-RU" w:eastAsia="en-US" w:bidi="ar-SA"/>
              </w:rPr>
              <w:t>–</w:t>
            </w:r>
          </w:p>
        </w:tc>
        <w:tc>
          <w:tcPr>
            <w:tcW w:w="2090" w:type="dxa"/>
            <w:tcBorders/>
          </w:tcPr>
          <w:p>
            <w:pPr>
              <w:pStyle w:val="Style30"/>
              <w:widowControl w:val="false"/>
              <w:suppressAutoHyphens w:val="true"/>
              <w:spacing w:before="60" w:after="60"/>
              <w:jc w:val="center"/>
              <w:rPr>
                <w:rFonts w:ascii="Times New Roman" w:hAnsi="Times New Roman"/>
                <w:sz w:val="24"/>
                <w:szCs w:val="24"/>
              </w:rPr>
            </w:pPr>
            <w:r>
              <w:rPr>
                <w:rFonts w:eastAsia="Calibri" w:cs=""/>
                <w:b/>
                <w:bCs/>
                <w:kern w:val="0"/>
                <w:sz w:val="24"/>
                <w:szCs w:val="24"/>
                <w:lang w:val="ru-RU" w:eastAsia="en-US" w:bidi="ar-SA"/>
              </w:rPr>
              <w:t>–</w:t>
            </w:r>
          </w:p>
        </w:tc>
      </w:tr>
      <w:tr>
        <w:trPr/>
        <w:tc>
          <w:tcPr>
            <w:tcW w:w="1412" w:type="dxa"/>
            <w:tcBorders/>
          </w:tcPr>
          <w:p>
            <w:pPr>
              <w:pStyle w:val="Style30"/>
              <w:widowControl w:val="false"/>
              <w:numPr>
                <w:ilvl w:val="0"/>
                <w:numId w:val="6"/>
              </w:numPr>
              <w:suppressAutoHyphens w:val="true"/>
              <w:spacing w:before="60" w:after="60"/>
              <w:ind w:hanging="0" w:left="170"/>
              <w:jc w:val="center"/>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p>
        </w:tc>
        <w:tc>
          <w:tcPr>
            <w:tcW w:w="8506" w:type="dxa"/>
            <w:tcBorders/>
          </w:tcPr>
          <w:p>
            <w:pPr>
              <w:pStyle w:val="Style30"/>
              <w:widowControl w:val="false"/>
              <w:suppressAutoHyphens w:val="true"/>
              <w:spacing w:before="60" w:after="60"/>
              <w:rPr>
                <w:rFonts w:ascii="Times New Roman" w:hAnsi="Times New Roman"/>
                <w:sz w:val="24"/>
                <w:szCs w:val="24"/>
              </w:rPr>
            </w:pPr>
            <w:r>
              <w:rPr>
                <w:rFonts w:eastAsia="Calibri" w:cs=""/>
                <w:kern w:val="0"/>
                <w:sz w:val="24"/>
                <w:szCs w:val="24"/>
                <w:lang w:val="ru-RU" w:eastAsia="en-US" w:bidi="ar-SA"/>
              </w:rPr>
              <w:t>Соответствие Коммерческого предложения (проверка наличия в составе заявки всех необходимых документов, оценка правильности их оформления; проверка отсутствия противоречий в представленных в составе Коммерческого предложения (и приложениях к нему) документах).</w:t>
            </w:r>
          </w:p>
        </w:tc>
        <w:tc>
          <w:tcPr>
            <w:tcW w:w="3117" w:type="dxa"/>
            <w:tcBorders/>
          </w:tcPr>
          <w:p>
            <w:pPr>
              <w:pStyle w:val="Style30"/>
              <w:widowControl w:val="false"/>
              <w:suppressAutoHyphens w:val="true"/>
              <w:spacing w:before="60" w:after="60"/>
              <w:jc w:val="center"/>
              <w:rPr>
                <w:rFonts w:ascii="Times New Roman" w:hAnsi="Times New Roman"/>
                <w:sz w:val="24"/>
                <w:szCs w:val="24"/>
              </w:rPr>
            </w:pPr>
            <w:r>
              <w:rPr>
                <w:rFonts w:eastAsia="Calibri" w:cs=""/>
                <w:kern w:val="0"/>
                <w:sz w:val="24"/>
                <w:szCs w:val="24"/>
                <w:lang w:val="ru-RU" w:eastAsia="en-US" w:bidi="ar-SA"/>
              </w:rPr>
              <w:t>подразделы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_Ref130394681 \r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t>4.3</w:t>
            </w:r>
            <w:r>
              <w:rPr>
                <w:sz w:val="24"/>
                <w:kern w:val="0"/>
                <w:szCs w:val="24"/>
                <w:rFonts w:eastAsia="Calibri" w:cs=""/>
                <w:lang w:val="ru-RU" w:eastAsia="en-US" w:bidi="ar-SA"/>
              </w:rPr>
              <w:fldChar w:fldCharType="end"/>
            </w:r>
            <w:r>
              <w:rPr>
                <w:rFonts w:eastAsia="Calibri" w:cs=""/>
                <w:kern w:val="0"/>
                <w:sz w:val="24"/>
                <w:szCs w:val="24"/>
                <w:lang w:val="ru-RU" w:eastAsia="en-US" w:bidi="ar-SA"/>
              </w:rPr>
              <w:t xml:space="preserve">,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_Ref135749133 \r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t>4.9</w:t>
            </w:r>
            <w:r>
              <w:rPr>
                <w:sz w:val="24"/>
                <w:kern w:val="0"/>
                <w:szCs w:val="24"/>
                <w:rFonts w:eastAsia="Calibri" w:cs=""/>
                <w:lang w:val="ru-RU" w:eastAsia="en-US" w:bidi="ar-SA"/>
              </w:rPr>
              <w:fldChar w:fldCharType="end"/>
            </w:r>
          </w:p>
          <w:p>
            <w:pPr>
              <w:pStyle w:val="Style30"/>
              <w:widowControl w:val="false"/>
              <w:suppressAutoHyphens w:val="true"/>
              <w:spacing w:before="60" w:after="60"/>
              <w:jc w:val="center"/>
              <w:rPr/>
            </w:pPr>
            <w:r>
              <w:rPr>
                <w:rFonts w:eastAsia="Calibri" w:cs=""/>
                <w:kern w:val="0"/>
                <w:sz w:val="24"/>
                <w:szCs w:val="24"/>
                <w:lang w:val="ru-RU" w:eastAsia="en-US" w:bidi="ar-SA"/>
              </w:rPr>
              <w:t>Приложение №1,</w:t>
              <w:br/>
            </w:r>
            <w:hyperlink w:anchor="Прил04_ФормыЗаявки">
              <w:r>
                <w:rPr>
                  <w:rStyle w:val="Style14"/>
                  <w:rFonts w:eastAsia="Calibri" w:cs=""/>
                  <w:kern w:val="0"/>
                  <w:sz w:val="24"/>
                  <w:szCs w:val="24"/>
                  <w:lang w:val="ru-RU" w:eastAsia="en-US" w:bidi="ar-SA"/>
                </w:rPr>
                <w:t>Приложение № 4</w:t>
              </w:r>
            </w:hyperlink>
          </w:p>
        </w:tc>
        <w:tc>
          <w:tcPr>
            <w:tcW w:w="2090" w:type="dxa"/>
            <w:tcBorders/>
          </w:tcPr>
          <w:p>
            <w:pPr>
              <w:pStyle w:val="Style30"/>
              <w:widowControl w:val="false"/>
              <w:suppressAutoHyphens w:val="true"/>
              <w:spacing w:before="60" w:after="60"/>
              <w:jc w:val="center"/>
              <w:rPr>
                <w:rFonts w:ascii="Times New Roman" w:hAnsi="Times New Roman"/>
                <w:sz w:val="24"/>
                <w:szCs w:val="24"/>
              </w:rPr>
            </w:pPr>
            <w:r>
              <w:rPr>
                <w:rFonts w:eastAsia="Calibri" w:cs=""/>
                <w:kern w:val="0"/>
                <w:sz w:val="24"/>
                <w:szCs w:val="24"/>
                <w:lang w:val="ru-RU" w:eastAsia="en-US" w:bidi="ar-SA"/>
              </w:rPr>
              <w:t>Цена</w:t>
            </w:r>
          </w:p>
        </w:tc>
      </w:tr>
      <w:tr>
        <w:trPr/>
        <w:tc>
          <w:tcPr>
            <w:tcW w:w="1412" w:type="dxa"/>
            <w:tcBorders/>
          </w:tcPr>
          <w:p>
            <w:pPr>
              <w:pStyle w:val="Style30"/>
              <w:widowControl w:val="false"/>
              <w:numPr>
                <w:ilvl w:val="0"/>
                <w:numId w:val="6"/>
              </w:numPr>
              <w:suppressAutoHyphens w:val="true"/>
              <w:spacing w:before="60" w:after="60"/>
              <w:ind w:hanging="0" w:left="170"/>
              <w:jc w:val="center"/>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4"/>
                <w:szCs w:val="24"/>
                <w:lang w:val="ru-RU" w:eastAsia="en-US" w:bidi="ar-SA"/>
              </w:rPr>
              <w:t>Соответствие предложения установленным законодательством требованиям к предоставлению национального режима, в том числе в части указания сведений, которые подтверждают страну происхождения товара в составе заявке в форме Коммерческого предложения (</w:t>
            </w:r>
            <w:hyperlink w:anchor="Прил04_ФормыЗаявки">
              <w:r>
                <w:rPr>
                  <w:rStyle w:val="Style14"/>
                  <w:rFonts w:eastAsia="Calibri" w:cs=""/>
                  <w:kern w:val="0"/>
                  <w:sz w:val="24"/>
                  <w:szCs w:val="24"/>
                  <w:lang w:val="ru-RU" w:eastAsia="en-US" w:bidi="ar-SA"/>
                </w:rPr>
                <w:t>Приложение № 4</w:t>
              </w:r>
            </w:hyperlink>
            <w:r>
              <w:rPr>
                <w:rFonts w:eastAsia="Calibri" w:cs=""/>
                <w:kern w:val="0"/>
                <w:sz w:val="24"/>
                <w:szCs w:val="24"/>
                <w:lang w:val="ru-RU" w:eastAsia="en-US" w:bidi="ar-SA"/>
              </w:rPr>
              <w:t>)</w:t>
            </w:r>
          </w:p>
          <w:p>
            <w:pPr>
              <w:pStyle w:val="Style30"/>
              <w:widowControl w:val="false"/>
              <w:suppressAutoHyphens w:val="true"/>
              <w:spacing w:before="60" w:after="60"/>
              <w:rPr>
                <w:rFonts w:ascii="Times New Roman" w:hAnsi="Times New Roman"/>
                <w:sz w:val="24"/>
                <w:szCs w:val="24"/>
              </w:rPr>
            </w:pPr>
            <w:r>
              <w:rPr>
                <w:rFonts w:eastAsia="Calibri" w:cs=""/>
                <w:i/>
                <w:iCs/>
                <w:kern w:val="0"/>
                <w:sz w:val="24"/>
                <w:szCs w:val="24"/>
                <w:lang w:val="ru-RU" w:eastAsia="en-US" w:bidi="ar-SA"/>
              </w:rPr>
              <w:t>(пункт применяется только в случае установления режима запрета или ограничения закупки иностранной продукции, а также при исполнении Заказчиком норм в части минимальной обязательной доли закупок товаров российского происхождения (подраздел </w:t>
            </w:r>
            <w:r>
              <w:rPr>
                <w:rFonts w:eastAsia="Calibri" w:cs=""/>
                <w:i/>
                <w:iCs/>
                <w:kern w:val="0"/>
                <w:sz w:val="24"/>
                <w:szCs w:val="24"/>
                <w:lang w:val="ru-RU" w:eastAsia="en-US" w:bidi="ar-SA"/>
              </w:rPr>
              <w:fldChar w:fldCharType="begin"/>
            </w:r>
            <w:r>
              <w:rPr>
                <w:sz w:val="24"/>
                <w:i/>
                <w:kern w:val="0"/>
                <w:szCs w:val="24"/>
                <w:iCs/>
                <w:rFonts w:eastAsia="Calibri" w:cs=""/>
                <w:lang w:val="ru-RU" w:eastAsia="en-US" w:bidi="ar-SA"/>
              </w:rPr>
              <w:instrText xml:space="preserve"> REF _Ref186128193 \r \h </w:instrText>
            </w:r>
            <w:r>
              <w:rPr>
                <w:sz w:val="24"/>
                <w:i/>
                <w:kern w:val="0"/>
                <w:szCs w:val="24"/>
                <w:iCs/>
                <w:rFonts w:eastAsia="Calibri" w:cs=""/>
                <w:lang w:val="ru-RU" w:eastAsia="en-US" w:bidi="ar-SA"/>
              </w:rPr>
              <w:fldChar w:fldCharType="separate"/>
            </w:r>
            <w:r>
              <w:rPr>
                <w:sz w:val="24"/>
                <w:i/>
                <w:kern w:val="0"/>
                <w:szCs w:val="24"/>
                <w:iCs/>
                <w:rFonts w:eastAsia="Calibri" w:cs=""/>
                <w:lang w:val="ru-RU" w:eastAsia="en-US" w:bidi="ar-SA"/>
              </w:rPr>
              <w:t>4.13</w:t>
            </w:r>
            <w:r>
              <w:rPr>
                <w:sz w:val="24"/>
                <w:i/>
                <w:kern w:val="0"/>
                <w:szCs w:val="24"/>
                <w:iCs/>
                <w:rFonts w:eastAsia="Calibri" w:cs=""/>
                <w:lang w:val="ru-RU" w:eastAsia="en-US" w:bidi="ar-SA"/>
              </w:rPr>
              <w:fldChar w:fldCharType="end"/>
            </w:r>
            <w:r>
              <w:rPr>
                <w:rFonts w:eastAsia="Calibri" w:cs=""/>
                <w:i/>
                <w:iCs/>
                <w:kern w:val="0"/>
                <w:sz w:val="24"/>
                <w:szCs w:val="24"/>
                <w:lang w:val="ru-RU" w:eastAsia="en-US" w:bidi="ar-SA"/>
              </w:rPr>
              <w:t>))</w:t>
            </w:r>
          </w:p>
        </w:tc>
        <w:tc>
          <w:tcPr>
            <w:tcW w:w="3117" w:type="dxa"/>
            <w:tcBorders/>
          </w:tcPr>
          <w:p>
            <w:pPr>
              <w:pStyle w:val="Style30"/>
              <w:widowControl w:val="false"/>
              <w:suppressAutoHyphens w:val="true"/>
              <w:spacing w:before="60" w:after="60"/>
              <w:jc w:val="center"/>
              <w:rPr/>
            </w:pPr>
            <w:r>
              <w:rPr>
                <w:rFonts w:eastAsia="Calibri" w:cs=""/>
                <w:kern w:val="0"/>
                <w:sz w:val="24"/>
                <w:szCs w:val="24"/>
                <w:lang w:val="ru-RU" w:eastAsia="en-US" w:bidi="ar-SA"/>
              </w:rPr>
              <w:t>подразделы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_Ref130394681 \r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t>4.3</w:t>
            </w:r>
            <w:r>
              <w:rPr>
                <w:sz w:val="24"/>
                <w:kern w:val="0"/>
                <w:szCs w:val="24"/>
                <w:rFonts w:eastAsia="Calibri" w:cs=""/>
                <w:lang w:val="ru-RU" w:eastAsia="en-US" w:bidi="ar-SA"/>
              </w:rPr>
              <w:fldChar w:fldCharType="end"/>
            </w:r>
            <w:r>
              <w:rPr>
                <w:rFonts w:eastAsia="Calibri" w:cs=""/>
                <w:kern w:val="0"/>
                <w:sz w:val="24"/>
                <w:szCs w:val="24"/>
                <w:lang w:val="ru-RU" w:eastAsia="en-US" w:bidi="ar-SA"/>
              </w:rPr>
              <w:t xml:space="preserve">,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_Ref186128193 \r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t>4.13</w:t>
            </w:r>
            <w:r>
              <w:rPr>
                <w:sz w:val="24"/>
                <w:kern w:val="0"/>
                <w:szCs w:val="24"/>
                <w:rFonts w:eastAsia="Calibri" w:cs=""/>
                <w:lang w:val="ru-RU" w:eastAsia="en-US" w:bidi="ar-SA"/>
              </w:rPr>
              <w:fldChar w:fldCharType="end"/>
            </w:r>
            <w:r>
              <w:rPr>
                <w:rFonts w:eastAsia="Calibri" w:cs=""/>
                <w:kern w:val="0"/>
                <w:sz w:val="24"/>
                <w:szCs w:val="24"/>
                <w:lang w:val="ru-RU" w:eastAsia="en-US" w:bidi="ar-SA"/>
              </w:rPr>
              <w:br/>
            </w:r>
            <w:hyperlink w:anchor="Прил04_ФормыЗаявки">
              <w:r>
                <w:rPr>
                  <w:rStyle w:val="Style14"/>
                  <w:rFonts w:eastAsia="Calibri" w:cs=""/>
                  <w:kern w:val="0"/>
                  <w:sz w:val="24"/>
                  <w:szCs w:val="24"/>
                  <w:lang w:val="ru-RU" w:eastAsia="en-US" w:bidi="ar-SA"/>
                </w:rPr>
                <w:t>Приложение № 4</w:t>
              </w:r>
            </w:hyperlink>
            <w:r>
              <w:rPr>
                <w:rFonts w:eastAsia="Calibri" w:cs=""/>
                <w:kern w:val="0"/>
                <w:sz w:val="24"/>
                <w:szCs w:val="24"/>
                <w:lang w:val="ru-RU" w:eastAsia="en-US" w:bidi="ar-SA"/>
              </w:rPr>
              <w:br/>
              <w:t>(форма Коммерческого предложения)</w:t>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p>
        </w:tc>
      </w:tr>
      <w:tr>
        <w:trPr/>
        <w:tc>
          <w:tcPr>
            <w:tcW w:w="1412" w:type="dxa"/>
            <w:tcBorders/>
          </w:tcPr>
          <w:p>
            <w:pPr>
              <w:pStyle w:val="Style30"/>
              <w:widowControl w:val="false"/>
              <w:numPr>
                <w:ilvl w:val="0"/>
                <w:numId w:val="6"/>
              </w:numPr>
              <w:suppressAutoHyphens w:val="true"/>
              <w:spacing w:before="60" w:after="60"/>
              <w:ind w:hanging="0" w:left="170"/>
              <w:jc w:val="center"/>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4"/>
                <w:szCs w:val="24"/>
                <w:lang w:val="ru-RU" w:eastAsia="en-US" w:bidi="ar-SA"/>
              </w:rPr>
              <w:t>Соответствие подтверждающей документации, прилагаемой к</w:t>
            </w:r>
            <w:r>
              <w:rPr>
                <w:rFonts w:eastAsia="Calibri" w:cs=""/>
                <w:kern w:val="0"/>
                <w:sz w:val="24"/>
                <w:szCs w:val="24"/>
                <w:lang w:val="en-US" w:eastAsia="en-US" w:bidi="ar-SA"/>
              </w:rPr>
              <w:t> </w:t>
            </w:r>
            <w:r>
              <w:rPr>
                <w:rFonts w:eastAsia="Calibri" w:cs=""/>
                <w:kern w:val="0"/>
                <w:sz w:val="24"/>
                <w:szCs w:val="24"/>
                <w:lang w:val="ru-RU" w:eastAsia="en-US" w:bidi="ar-SA"/>
              </w:rPr>
              <w:t xml:space="preserve">Коммерческому приложению, требованиям, указанным в </w:t>
            </w:r>
            <w:hyperlink w:anchor="Прил01_ТехТребования">
              <w:r>
                <w:rPr>
                  <w:rStyle w:val="Style14"/>
                  <w:rFonts w:eastAsia="Calibri" w:cs=""/>
                  <w:kern w:val="0"/>
                  <w:sz w:val="24"/>
                  <w:szCs w:val="24"/>
                  <w:lang w:val="ru-RU" w:eastAsia="en-US" w:bidi="ar-SA"/>
                </w:rPr>
                <w:t>Технических требованиях (Приложение № 1)</w:t>
              </w:r>
            </w:hyperlink>
          </w:p>
          <w:p>
            <w:pPr>
              <w:pStyle w:val="Style30"/>
              <w:widowControl w:val="false"/>
              <w:suppressAutoHyphens w:val="true"/>
              <w:spacing w:before="60" w:after="60"/>
              <w:rPr/>
            </w:pPr>
            <w:r>
              <w:rPr>
                <w:rFonts w:eastAsia="Calibri" w:cs=""/>
                <w:i/>
                <w:iCs/>
                <w:kern w:val="0"/>
                <w:sz w:val="24"/>
                <w:szCs w:val="24"/>
                <w:lang w:val="ru-RU" w:eastAsia="en-US" w:bidi="ar-SA"/>
              </w:rPr>
              <w:t xml:space="preserve">(пункт применяется только в случае установления соответствующих требований в </w:t>
            </w:r>
            <w:hyperlink w:anchor="Прил01_ТехТребования">
              <w:r>
                <w:rPr>
                  <w:rStyle w:val="Style14"/>
                  <w:rFonts w:eastAsia="Calibri" w:cs=""/>
                  <w:i/>
                  <w:iCs/>
                  <w:kern w:val="0"/>
                  <w:sz w:val="24"/>
                  <w:szCs w:val="24"/>
                  <w:lang w:val="ru-RU" w:eastAsia="en-US" w:bidi="ar-SA"/>
                </w:rPr>
                <w:t>Технических требованиях (Приложение № 1)</w:t>
              </w:r>
            </w:hyperlink>
            <w:r>
              <w:rPr>
                <w:rFonts w:eastAsia="Calibri" w:cs=""/>
                <w:i/>
                <w:iCs/>
                <w:kern w:val="0"/>
                <w:sz w:val="24"/>
                <w:szCs w:val="24"/>
                <w:lang w:val="ru-RU" w:eastAsia="en-US" w:bidi="ar-SA"/>
              </w:rPr>
              <w:t>)</w:t>
            </w:r>
          </w:p>
        </w:tc>
        <w:tc>
          <w:tcPr>
            <w:tcW w:w="3117" w:type="dxa"/>
            <w:tcBorders/>
          </w:tcPr>
          <w:p>
            <w:pPr>
              <w:pStyle w:val="Style30"/>
              <w:widowControl w:val="false"/>
              <w:suppressAutoHyphens w:val="true"/>
              <w:spacing w:before="60" w:after="60"/>
              <w:jc w:val="center"/>
              <w:rPr/>
            </w:pPr>
            <w:hyperlink w:anchor="Прил01_ТехТребования">
              <w:r>
                <w:rPr>
                  <w:rStyle w:val="Style14"/>
                  <w:rFonts w:eastAsia="Calibri" w:cs=""/>
                  <w:kern w:val="0"/>
                  <w:sz w:val="24"/>
                  <w:szCs w:val="24"/>
                  <w:lang w:val="ru-RU" w:eastAsia="en-US" w:bidi="ar-SA"/>
                </w:rPr>
                <w:t>Приложение № 1</w:t>
              </w:r>
            </w:hyperlink>
          </w:p>
        </w:tc>
        <w:tc>
          <w:tcPr>
            <w:tcW w:w="2090" w:type="dxa"/>
            <w:tcBorders/>
          </w:tcPr>
          <w:p>
            <w:pPr>
              <w:pStyle w:val="Style30"/>
              <w:widowControl w:val="false"/>
              <w:suppressAutoHyphens w:val="true"/>
              <w:spacing w:before="60" w:after="60"/>
              <w:jc w:val="center"/>
              <w:rPr>
                <w:rFonts w:ascii="Times New Roman" w:hAnsi="Times New Roman"/>
                <w:sz w:val="24"/>
                <w:szCs w:val="24"/>
              </w:rPr>
            </w:pPr>
            <w:r>
              <w:rPr>
                <w:rFonts w:eastAsia="Calibri" w:cs=""/>
                <w:kern w:val="0"/>
                <w:sz w:val="24"/>
                <w:szCs w:val="24"/>
                <w:lang w:val="ru-RU" w:eastAsia="en-US" w:bidi="ar-SA"/>
              </w:rPr>
              <w:t>Цена</w:t>
            </w:r>
          </w:p>
        </w:tc>
      </w:tr>
    </w:tbl>
    <w:p>
      <w:pPr>
        <w:pStyle w:val="Style25"/>
        <w:rPr/>
      </w:pPr>
      <w:bookmarkStart w:id="376" w:name="_Toc229567086"/>
      <w:r>
        <w:rPr>
          <w:rStyle w:val="Style11"/>
          <w:i w:val="false"/>
          <w:iCs w:val="false"/>
          <w:sz w:val="24"/>
          <w:szCs w:val="24"/>
          <w:shd w:fill="auto" w:val="clear"/>
        </w:rPr>
        <w:t>Дополнительные критерии проверки заявок на соответствие условиям Документации о закупке</w:t>
      </w:r>
      <w:bookmarkEnd w:id="376"/>
    </w:p>
    <w:p>
      <w:pPr>
        <w:pStyle w:val="Style30"/>
        <w:keepNext w:val="true"/>
        <w:spacing w:before="120" w:after="120"/>
        <w:rPr>
          <w:rFonts w:ascii="Times New Roman" w:hAnsi="Times New Roman"/>
          <w:sz w:val="24"/>
          <w:szCs w:val="24"/>
        </w:rPr>
      </w:pPr>
      <w:r>
        <w:rPr>
          <w:sz w:val="24"/>
          <w:szCs w:val="24"/>
        </w:rPr>
        <w:t>Несоответствие одному или всем дополнительным критериям не является основанием для отклонения заявки.</w:t>
      </w:r>
    </w:p>
    <w:tbl>
      <w:tblPr>
        <w:tblStyle w:val="af6"/>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412"/>
        <w:gridCol w:w="8506"/>
        <w:gridCol w:w="3117"/>
        <w:gridCol w:w="2090"/>
      </w:tblGrid>
      <w:tr>
        <w:trPr>
          <w:cnfStyle w:val="100000000000" w:firstRow="1" w:lastRow="0" w:firstColumn="0" w:lastColumn="0" w:oddVBand="0" w:evenVBand="0" w:oddHBand="0" w:evenHBand="0" w:firstRowFirstColumn="0" w:firstRowLastColumn="0" w:lastRowFirstColumn="0" w:lastRowLastColumn="0"/>
        </w:trPr>
        <w:tc>
          <w:tcPr>
            <w:tcW w:w="1412" w:type="dxa"/>
            <w:tcBorders/>
          </w:tcPr>
          <w:p>
            <w:pPr>
              <w:pStyle w:val="Style30"/>
              <w:keepNext w:val="true"/>
              <w:keepLines w:val="false"/>
              <w:widowControl w:val="false"/>
              <w:suppressAutoHyphens w:val="true"/>
              <w:spacing w:before="60" w:after="60"/>
              <w:jc w:val="center"/>
              <w:rPr>
                <w:rFonts w:ascii="Times New Roman" w:hAnsi="Times New Roman"/>
                <w:sz w:val="24"/>
                <w:szCs w:val="24"/>
              </w:rPr>
            </w:pPr>
            <w:r>
              <w:rPr>
                <w:rFonts w:eastAsia="Calibri" w:cs=""/>
                <w:b/>
                <w:kern w:val="0"/>
                <w:sz w:val="24"/>
                <w:szCs w:val="24"/>
                <w:lang w:val="ru-RU" w:eastAsia="en-US" w:bidi="ar-SA"/>
              </w:rPr>
              <w:t>Номер</w:t>
              <w:br/>
              <w:t>критерия</w:t>
            </w:r>
          </w:p>
        </w:tc>
        <w:tc>
          <w:tcPr>
            <w:tcW w:w="8506" w:type="dxa"/>
            <w:tcBorders/>
          </w:tcPr>
          <w:p>
            <w:pPr>
              <w:pStyle w:val="Style30"/>
              <w:keepNext w:val="true"/>
              <w:keepLines w:val="false"/>
              <w:widowControl w:val="false"/>
              <w:suppressAutoHyphens w:val="true"/>
              <w:spacing w:before="60" w:after="60"/>
              <w:jc w:val="center"/>
              <w:rPr>
                <w:rFonts w:ascii="Times New Roman" w:hAnsi="Times New Roman"/>
                <w:sz w:val="24"/>
                <w:szCs w:val="24"/>
              </w:rPr>
            </w:pPr>
            <w:r>
              <w:rPr>
                <w:rFonts w:eastAsia="Calibri" w:cs=""/>
                <w:b/>
                <w:kern w:val="0"/>
                <w:sz w:val="24"/>
                <w:szCs w:val="24"/>
                <w:lang w:val="ru-RU" w:eastAsia="en-US" w:bidi="ar-SA"/>
              </w:rPr>
              <w:t>Наименование</w:t>
              <w:br/>
              <w:t>критерия проверки</w:t>
            </w:r>
          </w:p>
        </w:tc>
        <w:tc>
          <w:tcPr>
            <w:tcW w:w="3117" w:type="dxa"/>
            <w:tcBorders/>
          </w:tcPr>
          <w:p>
            <w:pPr>
              <w:pStyle w:val="Style30"/>
              <w:keepNext w:val="true"/>
              <w:keepLines w:val="false"/>
              <w:widowControl w:val="false"/>
              <w:suppressAutoHyphens w:val="true"/>
              <w:spacing w:before="60" w:after="60"/>
              <w:jc w:val="center"/>
              <w:rPr>
                <w:rFonts w:ascii="Times New Roman" w:hAnsi="Times New Roman"/>
                <w:sz w:val="24"/>
                <w:szCs w:val="24"/>
              </w:rPr>
            </w:pPr>
            <w:r>
              <w:rPr>
                <w:rFonts w:eastAsia="Calibri" w:cs=""/>
                <w:b/>
                <w:kern w:val="0"/>
                <w:sz w:val="24"/>
                <w:szCs w:val="24"/>
                <w:lang w:val="ru-RU" w:eastAsia="en-US" w:bidi="ar-SA"/>
              </w:rPr>
              <w:t>Номер пункта</w:t>
              <w:br/>
              <w:t>Документации о закупке</w:t>
            </w:r>
          </w:p>
        </w:tc>
        <w:tc>
          <w:tcPr>
            <w:tcW w:w="2090" w:type="dxa"/>
            <w:tcBorders/>
          </w:tcPr>
          <w:p>
            <w:pPr>
              <w:pStyle w:val="Style30"/>
              <w:keepNext w:val="true"/>
              <w:keepLines w:val="false"/>
              <w:widowControl w:val="false"/>
              <w:suppressAutoHyphens w:val="true"/>
              <w:spacing w:before="60" w:after="60"/>
              <w:jc w:val="center"/>
              <w:rPr>
                <w:rFonts w:ascii="Times New Roman" w:hAnsi="Times New Roman"/>
                <w:sz w:val="24"/>
                <w:szCs w:val="24"/>
              </w:rPr>
            </w:pPr>
            <w:r>
              <w:rPr>
                <w:rFonts w:eastAsia="Calibri" w:cs=""/>
                <w:b/>
                <w:kern w:val="0"/>
                <w:sz w:val="24"/>
                <w:szCs w:val="24"/>
                <w:lang w:val="ru-RU" w:eastAsia="en-US" w:bidi="ar-SA"/>
              </w:rPr>
              <w:t>Направления</w:t>
              <w:br/>
              <w:t>оценки заявок*</w:t>
            </w:r>
          </w:p>
        </w:tc>
      </w:tr>
      <w:tr>
        <w:trPr/>
        <w:tc>
          <w:tcPr>
            <w:tcW w:w="1412" w:type="dxa"/>
            <w:tcBorders/>
          </w:tcPr>
          <w:p>
            <w:pPr>
              <w:pStyle w:val="Style30"/>
              <w:widowControl w:val="false"/>
              <w:numPr>
                <w:ilvl w:val="0"/>
                <w:numId w:val="11"/>
              </w:numPr>
              <w:suppressAutoHyphens w:val="true"/>
              <w:spacing w:before="60" w:after="60"/>
              <w:ind w:hanging="0" w:left="170"/>
              <w:jc w:val="center"/>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p>
        </w:tc>
        <w:tc>
          <w:tcPr>
            <w:tcW w:w="8506" w:type="dxa"/>
            <w:tcBorders/>
          </w:tcPr>
          <w:p>
            <w:pPr>
              <w:pStyle w:val="Style30"/>
              <w:widowControl w:val="false"/>
              <w:suppressAutoHyphens w:val="true"/>
              <w:spacing w:before="60" w:after="60"/>
              <w:rPr>
                <w:rFonts w:ascii="Times New Roman" w:hAnsi="Times New Roman"/>
                <w:sz w:val="24"/>
                <w:szCs w:val="24"/>
              </w:rPr>
            </w:pPr>
            <w:r>
              <w:rPr>
                <w:rFonts w:eastAsia="Calibri" w:cs=""/>
                <w:kern w:val="0"/>
                <w:sz w:val="24"/>
                <w:szCs w:val="24"/>
                <w:lang w:val="ru-RU" w:eastAsia="en-US" w:bidi="ar-SA"/>
              </w:rPr>
              <w:t>Возможность применения преимущества, если в подразделе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_Ref125359973 \r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t>1.2</w:t>
            </w:r>
            <w:r>
              <w:rPr>
                <w:sz w:val="24"/>
                <w:kern w:val="0"/>
                <w:szCs w:val="24"/>
                <w:rFonts w:eastAsia="Calibri" w:cs=""/>
                <w:lang w:val="ru-RU" w:eastAsia="en-US" w:bidi="ar-SA"/>
              </w:rPr>
              <w:fldChar w:fldCharType="end"/>
            </w:r>
            <w:r>
              <w:rPr>
                <w:rFonts w:eastAsia="Calibri" w:cs=""/>
                <w:kern w:val="0"/>
                <w:sz w:val="24"/>
                <w:szCs w:val="24"/>
                <w:lang w:val="ru-RU" w:eastAsia="en-US" w:bidi="ar-SA"/>
              </w:rPr>
              <w:t xml:space="preserve"> установлен режим преимущества российской продукции, в отношении заявки с российской продукцией (на поставку товара российского происхождения (в том числе поставляемого при выполнении работ, оказании услуг))</w:t>
            </w:r>
          </w:p>
          <w:p>
            <w:pPr>
              <w:pStyle w:val="Style30"/>
              <w:widowControl w:val="false"/>
              <w:suppressAutoHyphens w:val="true"/>
              <w:spacing w:before="60" w:after="60"/>
              <w:rPr>
                <w:rFonts w:ascii="Times New Roman" w:hAnsi="Times New Roman"/>
                <w:sz w:val="24"/>
                <w:szCs w:val="24"/>
              </w:rPr>
            </w:pPr>
            <w:r>
              <w:rPr>
                <w:rFonts w:eastAsia="Calibri" w:cs=""/>
                <w:i/>
                <w:iCs/>
                <w:kern w:val="0"/>
                <w:sz w:val="24"/>
                <w:szCs w:val="24"/>
                <w:lang w:val="ru-RU" w:eastAsia="en-US" w:bidi="ar-SA"/>
              </w:rPr>
              <w:t>(пункт применяется только в случае установления режима преимущества российской продукции (подраздел </w:t>
            </w:r>
            <w:r>
              <w:rPr>
                <w:rFonts w:eastAsia="Calibri" w:cs=""/>
                <w:i/>
                <w:iCs/>
                <w:kern w:val="0"/>
                <w:sz w:val="24"/>
                <w:szCs w:val="24"/>
                <w:lang w:val="ru-RU" w:eastAsia="en-US" w:bidi="ar-SA"/>
              </w:rPr>
              <w:fldChar w:fldCharType="begin"/>
            </w:r>
            <w:r>
              <w:rPr>
                <w:sz w:val="24"/>
                <w:i/>
                <w:kern w:val="0"/>
                <w:szCs w:val="24"/>
                <w:iCs/>
                <w:rFonts w:eastAsia="Calibri" w:cs=""/>
                <w:lang w:val="ru-RU" w:eastAsia="en-US" w:bidi="ar-SA"/>
              </w:rPr>
              <w:instrText xml:space="preserve"> REF _Ref130985951 \r \h </w:instrText>
            </w:r>
            <w:r>
              <w:rPr>
                <w:sz w:val="24"/>
                <w:i/>
                <w:kern w:val="0"/>
                <w:szCs w:val="24"/>
                <w:iCs/>
                <w:rFonts w:eastAsia="Calibri" w:cs=""/>
                <w:lang w:val="ru-RU" w:eastAsia="en-US" w:bidi="ar-SA"/>
              </w:rPr>
              <w:fldChar w:fldCharType="separate"/>
            </w:r>
            <w:r>
              <w:rPr>
                <w:sz w:val="24"/>
                <w:i/>
                <w:kern w:val="0"/>
                <w:szCs w:val="24"/>
                <w:iCs/>
                <w:rFonts w:eastAsia="Calibri" w:cs=""/>
                <w:lang w:val="ru-RU" w:eastAsia="en-US" w:bidi="ar-SA"/>
              </w:rPr>
              <w:t>4.13</w:t>
            </w:r>
            <w:r>
              <w:rPr>
                <w:sz w:val="24"/>
                <w:i/>
                <w:kern w:val="0"/>
                <w:szCs w:val="24"/>
                <w:iCs/>
                <w:rFonts w:eastAsia="Calibri" w:cs=""/>
                <w:lang w:val="ru-RU" w:eastAsia="en-US" w:bidi="ar-SA"/>
              </w:rPr>
              <w:fldChar w:fldCharType="end"/>
            </w:r>
            <w:r>
              <w:rPr>
                <w:rFonts w:eastAsia="Calibri" w:cs=""/>
                <w:i/>
                <w:iCs/>
                <w:kern w:val="0"/>
                <w:sz w:val="24"/>
                <w:szCs w:val="24"/>
                <w:lang w:val="ru-RU" w:eastAsia="en-US" w:bidi="ar-SA"/>
              </w:rPr>
              <w:t>))</w:t>
            </w:r>
          </w:p>
        </w:tc>
        <w:tc>
          <w:tcPr>
            <w:tcW w:w="3117" w:type="dxa"/>
            <w:tcBorders/>
          </w:tcPr>
          <w:p>
            <w:pPr>
              <w:pStyle w:val="Style30"/>
              <w:widowControl w:val="false"/>
              <w:suppressAutoHyphens w:val="true"/>
              <w:spacing w:before="60" w:after="60"/>
              <w:jc w:val="center"/>
              <w:rPr>
                <w:rFonts w:ascii="Times New Roman" w:hAnsi="Times New Roman"/>
                <w:sz w:val="24"/>
                <w:szCs w:val="24"/>
              </w:rPr>
            </w:pPr>
            <w:r>
              <w:rPr>
                <w:rFonts w:eastAsia="Calibri" w:cs=""/>
                <w:bCs/>
                <w:kern w:val="0"/>
                <w:sz w:val="24"/>
                <w:szCs w:val="24"/>
                <w:lang w:val="ru-RU" w:eastAsia="en-US" w:bidi="ar-SA"/>
              </w:rPr>
              <w:t>подраздел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_Ref130985951 \r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t>4.13</w:t>
            </w:r>
            <w:r>
              <w:rPr>
                <w:sz w:val="24"/>
                <w:kern w:val="0"/>
                <w:szCs w:val="24"/>
                <w:rFonts w:eastAsia="Calibri" w:cs=""/>
                <w:lang w:val="ru-RU" w:eastAsia="en-US" w:bidi="ar-SA"/>
              </w:rPr>
              <w:fldChar w:fldCharType="end"/>
            </w:r>
          </w:p>
        </w:tc>
        <w:tc>
          <w:tcPr>
            <w:tcW w:w="2090" w:type="dxa"/>
            <w:tcBorders/>
          </w:tcPr>
          <w:p>
            <w:pPr>
              <w:pStyle w:val="Style30"/>
              <w:widowControl w:val="false"/>
              <w:suppressAutoHyphens w:val="true"/>
              <w:spacing w:before="60" w:after="60"/>
              <w:jc w:val="center"/>
              <w:rPr>
                <w:rFonts w:ascii="Times New Roman" w:hAnsi="Times New Roman"/>
                <w:sz w:val="24"/>
                <w:szCs w:val="24"/>
              </w:rPr>
            </w:pPr>
            <w:r>
              <w:rPr>
                <w:rFonts w:eastAsia="Calibri" w:cs=""/>
                <w:kern w:val="0"/>
                <w:sz w:val="24"/>
                <w:szCs w:val="24"/>
                <w:lang w:val="ru-RU" w:eastAsia="en-US" w:bidi="ar-SA"/>
              </w:rPr>
              <w:t>Тех</w:t>
            </w:r>
          </w:p>
        </w:tc>
      </w:tr>
    </w:tbl>
    <w:p>
      <w:pPr>
        <w:pStyle w:val="Style30"/>
        <w:keepNext w:val="true"/>
        <w:tabs>
          <w:tab w:val="clear" w:pos="708"/>
          <w:tab w:val="left" w:pos="851" w:leader="none"/>
        </w:tabs>
        <w:spacing w:before="240" w:after="0"/>
        <w:rPr>
          <w:rFonts w:ascii="Times New Roman" w:hAnsi="Times New Roman"/>
          <w:sz w:val="24"/>
          <w:szCs w:val="24"/>
        </w:rPr>
      </w:pPr>
      <w:r>
        <w:rPr>
          <w:b/>
          <w:bCs/>
          <w:sz w:val="24"/>
          <w:szCs w:val="24"/>
        </w:rPr>
        <w:t>* Направления оценки заявок:</w:t>
      </w:r>
    </w:p>
    <w:p>
      <w:pPr>
        <w:pStyle w:val="Style30"/>
        <w:tabs>
          <w:tab w:val="clear" w:pos="708"/>
          <w:tab w:val="left" w:pos="1134" w:leader="none"/>
        </w:tabs>
        <w:ind w:hanging="1701" w:left="1701"/>
        <w:rPr>
          <w:rFonts w:ascii="Times New Roman" w:hAnsi="Times New Roman"/>
          <w:sz w:val="24"/>
          <w:szCs w:val="24"/>
        </w:rPr>
      </w:pPr>
      <w:r>
        <w:rPr>
          <w:b/>
          <w:bCs/>
          <w:sz w:val="24"/>
          <w:szCs w:val="24"/>
        </w:rPr>
        <w:t>Орг</w:t>
      </w:r>
      <w:r>
        <w:rPr>
          <w:sz w:val="24"/>
          <w:szCs w:val="24"/>
        </w:rPr>
        <w:tab/>
        <w:t>–</w:t>
        <w:tab/>
        <w:t xml:space="preserve">проверка наличия в составе заявки необходимых документов для рассмотрения экспертом по своему направлению: проверка наличия в составе заявке и оценка правильности оформления Письма о подаче оферты; наличия обеспечения обязательств Участника, связанного с подачей заявки, в виде банковской гарантии (в том числе наличие сведений о ней в соответствующем реестре в ЕИС) – в случае отсутствия внесенных Участником денежных средств на индивидуальный счет, открытый Участнику Оператором ЭП в соответствии с Регламентом ЭП </w:t>
      </w:r>
      <w:r>
        <w:rPr>
          <w:i/>
          <w:iCs/>
          <w:sz w:val="24"/>
          <w:szCs w:val="24"/>
        </w:rPr>
        <w:t>(последние применяется только в случае установления соответствующих требований)</w:t>
      </w:r>
      <w:r>
        <w:rPr>
          <w:sz w:val="24"/>
          <w:szCs w:val="24"/>
        </w:rPr>
        <w:t>; наличие у Участника статуса «аккредитован», либо статуса «аккредитация не требуется» (или наличие заявки на аккредитацию (при необходимости)), участвует в процедуре актуализации статуса аккредитации (при необходимости); проверка отсутствие сведений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проверка наличия информации об</w:t>
      </w:r>
      <w:r>
        <w:rPr>
          <w:sz w:val="24"/>
          <w:szCs w:val="24"/>
          <w:lang w:val="en-US"/>
        </w:rPr>
        <w:t> </w:t>
      </w:r>
      <w:r>
        <w:rPr>
          <w:sz w:val="24"/>
          <w:szCs w:val="24"/>
        </w:rPr>
        <w:t>Участнике в Реестре МСП (https://rmsp.nalog.ru/index.html), а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 наличие информации на официальном сайте федерального органа исполнительной власти, уполномоченного по</w:t>
      </w:r>
      <w:r>
        <w:rPr>
          <w:sz w:val="24"/>
          <w:szCs w:val="24"/>
          <w:lang w:val="en-US"/>
        </w:rPr>
        <w:t> </w:t>
      </w:r>
      <w:r>
        <w:rPr>
          <w:sz w:val="24"/>
          <w:szCs w:val="24"/>
        </w:rPr>
        <w:t>контролю и надзору в области налогов и сборов, о применении ими такого налогового режима (https://npd.nalog.ru/check-status/);</w:t>
      </w:r>
    </w:p>
    <w:p>
      <w:pPr>
        <w:pStyle w:val="Style30"/>
        <w:tabs>
          <w:tab w:val="clear" w:pos="708"/>
          <w:tab w:val="left" w:pos="1134" w:leader="none"/>
        </w:tabs>
        <w:ind w:hanging="1701" w:left="1701"/>
        <w:rPr>
          <w:rFonts w:ascii="Times New Roman" w:hAnsi="Times New Roman"/>
          <w:sz w:val="24"/>
          <w:szCs w:val="24"/>
        </w:rPr>
      </w:pPr>
      <w:r>
        <w:rPr>
          <w:b/>
          <w:bCs/>
          <w:sz w:val="24"/>
          <w:szCs w:val="24"/>
        </w:rPr>
        <w:t>Тех</w:t>
      </w:r>
      <w:r>
        <w:rPr>
          <w:sz w:val="24"/>
          <w:szCs w:val="24"/>
        </w:rPr>
        <w:tab/>
        <w:t>–</w:t>
        <w:tab/>
        <w:t xml:space="preserve">проверка наличия в составе заявки всех необходимых документов для рассмотрения экспертом по своему направлению, а также правильности их оформления; </w:t>
      </w:r>
      <w:bookmarkStart w:id="377" w:name="_Hlk207284070"/>
      <w:r>
        <w:rPr>
          <w:sz w:val="24"/>
          <w:szCs w:val="24"/>
        </w:rPr>
        <w:t>в целях применения законодательства о национальном режиме: а) при закупке товаров (в том числе поставляемых при выполнении работ, оказании услуг) – оценка сведений о стране происхождения предлагаемого к поставке товара; б) при закупке работ, услуг – оценка сведений о стране регистрации Участника (стране регистрации лица, согласно заявке выполняющего работу, оказывающего услугу)</w:t>
      </w:r>
      <w:bookmarkEnd w:id="377"/>
      <w:r>
        <w:rPr>
          <w:sz w:val="24"/>
          <w:szCs w:val="24"/>
        </w:rPr>
        <w:t xml:space="preserve">; оценка Технических предложений и сведений, подтверждающих соответствия Участника квалификационным и специальным требованиям; </w:t>
      </w:r>
      <w:bookmarkStart w:id="378" w:name="_Hlk138342998"/>
      <w:r>
        <w:rPr>
          <w:sz w:val="24"/>
          <w:szCs w:val="24"/>
        </w:rPr>
        <w:t>проверка технической части подтверждающей документации, прилагаемой к Коммерческому предложению (при наличии), а также, при необходимости, технических условий исполнения Договора</w:t>
      </w:r>
      <w:bookmarkEnd w:id="378"/>
      <w:r>
        <w:rPr>
          <w:sz w:val="24"/>
          <w:szCs w:val="24"/>
        </w:rPr>
        <w:t>;</w:t>
      </w:r>
    </w:p>
    <w:p>
      <w:pPr>
        <w:pStyle w:val="Style30"/>
        <w:tabs>
          <w:tab w:val="clear" w:pos="708"/>
          <w:tab w:val="left" w:pos="1134" w:leader="none"/>
        </w:tabs>
        <w:ind w:hanging="1701" w:left="1701"/>
        <w:rPr>
          <w:rFonts w:ascii="Times New Roman" w:hAnsi="Times New Roman"/>
          <w:sz w:val="24"/>
          <w:szCs w:val="24"/>
        </w:rPr>
      </w:pPr>
      <w:r>
        <w:rPr>
          <w:b/>
          <w:bCs/>
          <w:sz w:val="24"/>
          <w:szCs w:val="24"/>
        </w:rPr>
        <w:t>Юр</w:t>
      </w:r>
      <w:r>
        <w:rPr>
          <w:sz w:val="24"/>
          <w:szCs w:val="24"/>
        </w:rPr>
        <w:tab/>
        <w:t>–</w:t>
        <w:tab/>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наличия должных печатей, подписей, формы заверения, языка заявки); оценка юридических аспектов заявки, в том числе оценка правомочности подписанта доверенности (при необходимости) на основании выписки из ЕГРЮЛ (выписка из ЕГРЮЛ доступна на официальном сервисе ФНС России https://egrul.nalog.ru/index.html);</w:t>
      </w:r>
    </w:p>
    <w:p>
      <w:pPr>
        <w:pStyle w:val="Style30"/>
        <w:keepNext w:val="true"/>
        <w:tabs>
          <w:tab w:val="clear" w:pos="708"/>
          <w:tab w:val="left" w:pos="1134" w:leader="none"/>
        </w:tabs>
        <w:ind w:hanging="1701" w:left="1701"/>
        <w:rPr>
          <w:rFonts w:ascii="Times New Roman" w:hAnsi="Times New Roman"/>
          <w:sz w:val="24"/>
          <w:szCs w:val="24"/>
        </w:rPr>
      </w:pPr>
      <w:r>
        <w:rPr>
          <w:b/>
          <w:bCs/>
          <w:sz w:val="24"/>
          <w:szCs w:val="24"/>
        </w:rPr>
        <w:t>Цена</w:t>
      </w:r>
      <w:r>
        <w:rPr>
          <w:sz w:val="24"/>
          <w:szCs w:val="24"/>
        </w:rPr>
        <w:tab/>
        <w:t>–</w:t>
        <w:tab/>
      </w:r>
      <w:bookmarkStart w:id="379" w:name="_Hlk207643647"/>
      <w:r>
        <w:rPr>
          <w:sz w:val="24"/>
          <w:szCs w:val="24"/>
        </w:rPr>
        <w:t xml:space="preserve">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языка и валюты заявки); </w:t>
      </w:r>
      <w:bookmarkStart w:id="380" w:name="_Hlk207616717"/>
      <w:r>
        <w:rPr>
          <w:sz w:val="24"/>
          <w:szCs w:val="24"/>
        </w:rPr>
        <w:t>проверка отсутствия противоречий в представленных в составе Коммерческого предложения (и приложениях к нему) документах; проверка соответствия подтверждающей документации (документации по ценообразованию), прилагаемой к Коммерческому приложению, требованиям, указанным в Технических требованиях (при наличии такой документации и если ее предоставление требовалось в Документации о закупке), в том числе в части</w:t>
      </w:r>
      <w:bookmarkEnd w:id="379"/>
      <w:bookmarkEnd w:id="380"/>
      <w:r>
        <w:rPr>
          <w:sz w:val="24"/>
          <w:szCs w:val="24"/>
        </w:rPr>
        <w:t xml:space="preserve"> непревышения ценового предложения участника установленного размера НМЦ.</w:t>
      </w:r>
    </w:p>
    <w:p>
      <w:pPr>
        <w:pStyle w:val="Style30"/>
        <w:tabs>
          <w:tab w:val="clear" w:pos="708"/>
          <w:tab w:val="left" w:pos="1134" w:leader="none"/>
        </w:tabs>
        <w:ind w:hanging="1701" w:left="1701"/>
        <w:rPr>
          <w:rFonts w:ascii="Times New Roman" w:hAnsi="Times New Roman"/>
          <w:sz w:val="24"/>
          <w:szCs w:val="24"/>
        </w:rPr>
      </w:pPr>
      <w:r>
        <w:rPr>
          <w:b/>
          <w:bCs/>
          <w:sz w:val="24"/>
          <w:szCs w:val="24"/>
        </w:rPr>
        <w:t>Фин</w:t>
      </w:r>
      <w:r>
        <w:rPr>
          <w:sz w:val="24"/>
          <w:szCs w:val="24"/>
        </w:rPr>
        <w:tab/>
        <w:t>–</w:t>
        <w:tab/>
        <w:t xml:space="preserve">оценка банковской гарантии, в том числе правильность оформления рассматриваемых документов (в т.ч. в части наличия должных печатей, подписей, формы заверения, языка и валюты заявки) </w:t>
      </w:r>
      <w:r>
        <w:rPr>
          <w:i/>
          <w:iCs/>
          <w:sz w:val="24"/>
          <w:szCs w:val="24"/>
        </w:rPr>
        <w:t>(финансовая экспертиза проводится по инициативе эксперта по направлениям Орг, в случае наличия в заявке банковской гарантии)</w:t>
      </w:r>
      <w:r>
        <w:rPr>
          <w:sz w:val="24"/>
          <w:szCs w:val="24"/>
        </w:rPr>
        <w:t>.</w:t>
      </w:r>
    </w:p>
    <w:p>
      <w:pPr>
        <w:sectPr>
          <w:headerReference w:type="default" r:id="rId30"/>
          <w:headerReference w:type="first" r:id="rId31"/>
          <w:footerReference w:type="default" r:id="rId32"/>
          <w:footerReference w:type="first" r:id="rId33"/>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Style w:val="Style30"/>
        <w:rPr>
          <w:rFonts w:ascii="Times New Roman" w:hAnsi="Times New Roman"/>
          <w:sz w:val="24"/>
          <w:szCs w:val="24"/>
        </w:rPr>
      </w:pPr>
      <w:r>
        <w:rPr>
          <w:sz w:val="24"/>
          <w:szCs w:val="24"/>
        </w:rPr>
        <w:t>В случае указания по одному критерию отбора сразу нескольких направлений оценки заявок – экспертиза на соответствие указанному критерию осуществляется в пределах компетенции эксперта (в рамках материалов (документов), являющихся предметом его экспертизы).</w:t>
      </w:r>
    </w:p>
    <w:p>
      <w:pPr>
        <w:pStyle w:val="Style24"/>
        <w:rPr>
          <w:rFonts w:ascii="Times New Roman" w:hAnsi="Times New Roman"/>
          <w:sz w:val="24"/>
          <w:szCs w:val="24"/>
        </w:rPr>
      </w:pPr>
      <w:bookmarkStart w:id="381" w:name="_Ref125361951"/>
      <w:bookmarkStart w:id="382" w:name="Прил08_ПорядокОценки"/>
      <w:bookmarkStart w:id="383" w:name="_Ref125361648"/>
      <w:bookmarkStart w:id="384" w:name="_Ref125368283"/>
      <w:bookmarkStart w:id="385" w:name="_Toc229567087"/>
      <w:bookmarkStart w:id="386" w:name="_Ref125369438"/>
      <w:bookmarkStart w:id="387" w:name="_Ref125369021"/>
      <w:bookmarkStart w:id="388" w:name="_Ref125368331"/>
      <w:bookmarkStart w:id="389" w:name="_Ref125368313"/>
      <w:bookmarkStart w:id="390" w:name="_Ref125368302"/>
      <w:bookmarkStart w:id="391" w:name="_Ref125368291"/>
      <w:bookmarkStart w:id="392" w:name="_Ref125368184"/>
      <w:bookmarkStart w:id="393" w:name="_Ref125368172"/>
      <w:bookmarkStart w:id="394" w:name="_Ref125368165"/>
      <w:bookmarkStart w:id="395" w:name="_Ref125368150"/>
      <w:bookmarkStart w:id="396" w:name="_Ref125368140"/>
      <w:bookmarkStart w:id="397" w:name="_Ref125366285"/>
      <w:bookmarkStart w:id="398" w:name="_Ref125366280"/>
      <w:bookmarkStart w:id="399" w:name="_Ref125366013"/>
      <w:bookmarkEnd w:id="382"/>
      <w:r>
        <w:rPr>
          <w:sz w:val="24"/>
          <w:szCs w:val="24"/>
        </w:rPr>
        <w:t>Приложение № 8 – Порядок и критерии оценки и сопоставления заявок</w:t>
      </w:r>
      <w:bookmarkEnd w:id="381"/>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Style25"/>
        <w:rPr>
          <w:rFonts w:ascii="Times New Roman" w:hAnsi="Times New Roman"/>
          <w:sz w:val="24"/>
          <w:szCs w:val="24"/>
        </w:rPr>
      </w:pPr>
      <w:bookmarkStart w:id="400" w:name="_Toc229567088"/>
      <w:r>
        <w:rPr>
          <w:sz w:val="24"/>
          <w:szCs w:val="24"/>
        </w:rPr>
        <w:t>Порядок и критерии оценки и сопоставления заявок</w:t>
      </w:r>
      <w:bookmarkEnd w:id="400"/>
    </w:p>
    <w:p>
      <w:pPr>
        <w:pStyle w:val="Style26"/>
        <w:rPr>
          <w:rFonts w:ascii="Times New Roman" w:hAnsi="Times New Roman"/>
          <w:sz w:val="24"/>
          <w:szCs w:val="24"/>
        </w:rPr>
      </w:pPr>
      <w:r>
        <w:rPr>
          <w:sz w:val="24"/>
          <w:szCs w:val="24"/>
        </w:rPr>
        <w:t>Расчет итоговой оценки предпочтительности каждой заявки, успешно прошедшей отборочную стадию (подраздел </w:t>
      </w:r>
      <w:r>
        <w:rPr>
          <w:sz w:val="24"/>
          <w:szCs w:val="24"/>
        </w:rPr>
        <w:fldChar w:fldCharType="begin"/>
      </w:r>
      <w:r>
        <w:rPr>
          <w:sz w:val="24"/>
          <w:szCs w:val="24"/>
        </w:rPr>
        <w:instrText xml:space="preserve"> REF _Ref125362364 \w \h </w:instrText>
      </w:r>
      <w:r>
        <w:rPr>
          <w:sz w:val="24"/>
          <w:szCs w:val="24"/>
        </w:rPr>
        <w:fldChar w:fldCharType="separate"/>
      </w:r>
      <w:r>
        <w:rPr>
          <w:sz w:val="24"/>
          <w:szCs w:val="24"/>
        </w:rPr>
        <w:t>4.9</w:t>
      </w:r>
      <w:r>
        <w:rPr>
          <w:sz w:val="24"/>
          <w:szCs w:val="24"/>
        </w:rPr>
        <w:fldChar w:fldCharType="end"/>
      </w:r>
      <w:r>
        <w:rPr>
          <w:sz w:val="24"/>
          <w:szCs w:val="24"/>
        </w:rPr>
        <w:t>), осуществляется по следующим критериям оценки и в соответствии со следующим порядком оценки предпочтительности и сопоставления заявок:</w:t>
      </w:r>
    </w:p>
    <w:p>
      <w:pPr>
        <w:pStyle w:val="Style26"/>
        <w:numPr>
          <w:ilvl w:val="0"/>
          <w:numId w:val="0"/>
        </w:numPr>
        <w:ind w:hanging="0" w:left="1134"/>
        <w:rPr>
          <w:rFonts w:ascii="Times New Roman" w:hAnsi="Times New Roman"/>
          <w:sz w:val="24"/>
          <w:szCs w:val="24"/>
        </w:rPr>
      </w:pPr>
      <w:r>
        <w:rPr>
          <w:sz w:val="24"/>
          <w:szCs w:val="24"/>
        </w:rPr>
      </w:r>
    </w:p>
    <w:tbl>
      <w:tblPr>
        <w:tblW w:w="1507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1078"/>
        <w:gridCol w:w="1405"/>
        <w:gridCol w:w="1404"/>
        <w:gridCol w:w="1396"/>
        <w:gridCol w:w="1129"/>
        <w:gridCol w:w="1832"/>
        <w:gridCol w:w="6833"/>
      </w:tblGrid>
      <w:tr>
        <w:trPr>
          <w:cantSplit w:val="true"/>
        </w:trPr>
        <w:tc>
          <w:tcPr>
            <w:tcW w:w="1078" w:type="dxa"/>
            <w:vMerge w:val="restart"/>
            <w:tcBorders>
              <w:top w:val="single" w:sz="4" w:space="0" w:color="00000A"/>
              <w:left w:val="single" w:sz="4" w:space="0" w:color="00000A"/>
              <w:bottom w:val="single" w:sz="4" w:space="0" w:color="00000A"/>
              <w:right w:val="single" w:sz="4" w:space="0" w:color="00000A"/>
            </w:tcBorders>
            <w:shd w:color="auto" w:fill="D5DCE4" w:val="clear"/>
          </w:tcPr>
          <w:p>
            <w:pPr>
              <w:pStyle w:val="3"/>
              <w:widowControl w:val="false"/>
              <w:numPr>
                <w:ilvl w:val="0"/>
                <w:numId w:val="0"/>
              </w:numPr>
              <w:spacing w:lineRule="auto" w:line="240" w:before="40" w:after="40"/>
              <w:ind w:hanging="0" w:left="0"/>
              <w:contextualSpacing/>
              <w:jc w:val="center"/>
              <w:rPr>
                <w:sz w:val="18"/>
                <w:szCs w:val="18"/>
                <w:lang w:eastAsia="ru-RU"/>
              </w:rPr>
            </w:pPr>
            <w:r>
              <w:rPr>
                <w:sz w:val="18"/>
                <w:szCs w:val="18"/>
                <w:lang w:eastAsia="ru-RU"/>
              </w:rPr>
              <w:t>Номер критерия оценки в структуре</w:t>
            </w:r>
          </w:p>
        </w:tc>
        <w:tc>
          <w:tcPr>
            <w:tcW w:w="1405" w:type="dxa"/>
            <w:vMerge w:val="restart"/>
            <w:tcBorders>
              <w:top w:val="single" w:sz="4" w:space="0" w:color="00000A"/>
              <w:left w:val="single" w:sz="4" w:space="0" w:color="00000A"/>
              <w:bottom w:val="single" w:sz="4" w:space="0" w:color="00000A"/>
              <w:right w:val="single" w:sz="4" w:space="0" w:color="00000A"/>
            </w:tcBorders>
            <w:shd w:color="auto" w:fill="D5DCE4" w:val="clear"/>
          </w:tcPr>
          <w:p>
            <w:pPr>
              <w:pStyle w:val="3"/>
              <w:widowControl w:val="false"/>
              <w:numPr>
                <w:ilvl w:val="0"/>
                <w:numId w:val="0"/>
              </w:numPr>
              <w:spacing w:lineRule="auto" w:line="240" w:before="40" w:after="40"/>
              <w:ind w:hanging="0" w:left="0"/>
              <w:contextualSpacing/>
              <w:jc w:val="center"/>
              <w:rPr>
                <w:sz w:val="18"/>
                <w:szCs w:val="18"/>
                <w:lang w:eastAsia="ru-RU"/>
              </w:rPr>
            </w:pPr>
            <w:r>
              <w:rPr>
                <w:sz w:val="18"/>
                <w:szCs w:val="18"/>
                <w:lang w:eastAsia="ru-RU"/>
              </w:rPr>
              <w:t>Вид критерия оценки / направление оценки заявок</w:t>
            </w:r>
          </w:p>
        </w:tc>
        <w:tc>
          <w:tcPr>
            <w:tcW w:w="2800" w:type="dxa"/>
            <w:gridSpan w:val="2"/>
            <w:tcBorders>
              <w:top w:val="single" w:sz="4" w:space="0" w:color="00000A"/>
              <w:left w:val="single" w:sz="4" w:space="0" w:color="00000A"/>
              <w:bottom w:val="single" w:sz="4" w:space="0" w:color="00000A"/>
              <w:right w:val="single" w:sz="4" w:space="0" w:color="00000A"/>
            </w:tcBorders>
            <w:shd w:color="auto" w:fill="D5DCE4" w:val="clear"/>
          </w:tcPr>
          <w:p>
            <w:pPr>
              <w:pStyle w:val="3"/>
              <w:widowControl w:val="false"/>
              <w:numPr>
                <w:ilvl w:val="0"/>
                <w:numId w:val="0"/>
              </w:numPr>
              <w:spacing w:lineRule="auto" w:line="240" w:before="40" w:after="40"/>
              <w:ind w:hanging="0" w:left="0"/>
              <w:contextualSpacing/>
              <w:jc w:val="center"/>
              <w:rPr>
                <w:sz w:val="18"/>
                <w:szCs w:val="18"/>
                <w:lang w:eastAsia="ru-RU"/>
              </w:rPr>
            </w:pPr>
            <w:r>
              <w:rPr>
                <w:sz w:val="18"/>
                <w:szCs w:val="18"/>
                <w:lang w:eastAsia="ru-RU"/>
              </w:rPr>
              <w:t>Наименование критерия оценки</w:t>
            </w:r>
          </w:p>
        </w:tc>
        <w:tc>
          <w:tcPr>
            <w:tcW w:w="1129" w:type="dxa"/>
            <w:vMerge w:val="restart"/>
            <w:tcBorders>
              <w:top w:val="single" w:sz="4" w:space="0" w:color="00000A"/>
              <w:left w:val="single" w:sz="4" w:space="0" w:color="00000A"/>
              <w:bottom w:val="single" w:sz="4" w:space="0" w:color="00000A"/>
              <w:right w:val="single" w:sz="4" w:space="0" w:color="00000A"/>
            </w:tcBorders>
            <w:shd w:color="auto" w:fill="D5DCE4" w:val="clear"/>
          </w:tcPr>
          <w:p>
            <w:pPr>
              <w:pStyle w:val="3"/>
              <w:widowControl w:val="false"/>
              <w:numPr>
                <w:ilvl w:val="0"/>
                <w:numId w:val="0"/>
              </w:numPr>
              <w:spacing w:lineRule="auto" w:line="240" w:before="40" w:after="40"/>
              <w:ind w:hanging="0" w:left="0"/>
              <w:contextualSpacing/>
              <w:jc w:val="center"/>
              <w:rPr>
                <w:sz w:val="18"/>
                <w:szCs w:val="18"/>
                <w:lang w:eastAsia="ru-RU"/>
              </w:rPr>
            </w:pPr>
            <w:r>
              <w:rPr>
                <w:sz w:val="18"/>
                <w:szCs w:val="18"/>
                <w:lang w:eastAsia="ru-RU"/>
              </w:rPr>
              <w:t>Значимость критерия оценки</w:t>
            </w:r>
          </w:p>
        </w:tc>
        <w:tc>
          <w:tcPr>
            <w:tcW w:w="1832" w:type="dxa"/>
            <w:vMerge w:val="restart"/>
            <w:tcBorders>
              <w:top w:val="single" w:sz="4" w:space="0" w:color="00000A"/>
              <w:left w:val="single" w:sz="4" w:space="0" w:color="00000A"/>
              <w:bottom w:val="single" w:sz="4" w:space="0" w:color="00000A"/>
              <w:right w:val="single" w:sz="4" w:space="0" w:color="00000A"/>
            </w:tcBorders>
            <w:shd w:color="auto" w:fill="D5DCE4" w:val="clear"/>
          </w:tcPr>
          <w:p>
            <w:pPr>
              <w:pStyle w:val="3"/>
              <w:widowControl w:val="false"/>
              <w:numPr>
                <w:ilvl w:val="0"/>
                <w:numId w:val="0"/>
              </w:numPr>
              <w:spacing w:lineRule="auto" w:line="240" w:before="40" w:after="40"/>
              <w:ind w:hanging="0" w:left="0"/>
              <w:contextualSpacing/>
              <w:jc w:val="center"/>
              <w:rPr>
                <w:sz w:val="18"/>
                <w:szCs w:val="18"/>
                <w:lang w:eastAsia="ru-RU"/>
              </w:rPr>
            </w:pPr>
            <w:r>
              <w:rPr>
                <w:sz w:val="18"/>
                <w:szCs w:val="18"/>
                <w:lang w:eastAsia="ru-RU"/>
              </w:rPr>
              <w:t>Содержание частного критерия оценки</w:t>
            </w:r>
          </w:p>
        </w:tc>
        <w:tc>
          <w:tcPr>
            <w:tcW w:w="6833" w:type="dxa"/>
            <w:vMerge w:val="restart"/>
            <w:tcBorders>
              <w:top w:val="single" w:sz="4" w:space="0" w:color="00000A"/>
              <w:left w:val="single" w:sz="4" w:space="0" w:color="00000A"/>
              <w:bottom w:val="single" w:sz="4" w:space="0" w:color="00000A"/>
              <w:right w:val="single" w:sz="4" w:space="0" w:color="00000A"/>
            </w:tcBorders>
            <w:shd w:color="auto" w:fill="D5DCE4" w:val="clear"/>
          </w:tcPr>
          <w:p>
            <w:pPr>
              <w:pStyle w:val="3"/>
              <w:widowControl w:val="false"/>
              <w:numPr>
                <w:ilvl w:val="0"/>
                <w:numId w:val="0"/>
              </w:numPr>
              <w:spacing w:lineRule="auto" w:line="240" w:before="40" w:after="40"/>
              <w:ind w:hanging="0" w:left="0"/>
              <w:contextualSpacing/>
              <w:jc w:val="center"/>
              <w:rPr>
                <w:sz w:val="18"/>
                <w:szCs w:val="18"/>
                <w:lang w:eastAsia="ru-RU"/>
              </w:rPr>
            </w:pPr>
            <w:r>
              <w:rPr>
                <w:sz w:val="18"/>
                <w:szCs w:val="18"/>
                <w:lang w:eastAsia="ru-RU"/>
              </w:rPr>
              <w:t>Расчет оценки предпочтительности заявки</w:t>
            </w:r>
          </w:p>
        </w:tc>
      </w:tr>
      <w:tr>
        <w:trPr>
          <w:cantSplit w:val="true"/>
        </w:trPr>
        <w:tc>
          <w:tcPr>
            <w:tcW w:w="1078" w:type="dxa"/>
            <w:vMerge w:val="continue"/>
            <w:tcBorders>
              <w:top w:val="single" w:sz="4" w:space="0" w:color="00000A"/>
              <w:left w:val="single" w:sz="4" w:space="0" w:color="00000A"/>
              <w:bottom w:val="single" w:sz="4" w:space="0" w:color="00000A"/>
              <w:right w:val="single" w:sz="4" w:space="0" w:color="00000A"/>
            </w:tcBorders>
            <w:shd w:color="auto" w:fill="D5DCE4" w:val="clear"/>
          </w:tcPr>
          <w:p>
            <w:pPr>
              <w:pStyle w:val="3"/>
              <w:widowControl w:val="false"/>
              <w:numPr>
                <w:ilvl w:val="0"/>
                <w:numId w:val="0"/>
              </w:numPr>
              <w:spacing w:lineRule="auto" w:line="240" w:before="40" w:after="40"/>
              <w:ind w:hanging="0" w:left="0"/>
              <w:contextualSpacing/>
              <w:jc w:val="center"/>
              <w:rPr>
                <w:rFonts w:ascii="Times New Roman" w:hAnsi="Times New Roman"/>
                <w:sz w:val="24"/>
                <w:szCs w:val="24"/>
                <w:lang w:eastAsia="ru-RU"/>
              </w:rPr>
            </w:pPr>
            <w:r>
              <w:rPr>
                <w:sz w:val="24"/>
                <w:szCs w:val="24"/>
                <w:lang w:eastAsia="ru-RU"/>
              </w:rPr>
            </w:r>
          </w:p>
        </w:tc>
        <w:tc>
          <w:tcPr>
            <w:tcW w:w="1405" w:type="dxa"/>
            <w:vMerge w:val="continue"/>
            <w:tcBorders>
              <w:top w:val="single" w:sz="4" w:space="0" w:color="00000A"/>
              <w:left w:val="single" w:sz="4" w:space="0" w:color="00000A"/>
              <w:bottom w:val="single" w:sz="4" w:space="0" w:color="00000A"/>
              <w:right w:val="single" w:sz="4" w:space="0" w:color="00000A"/>
            </w:tcBorders>
            <w:shd w:color="auto" w:fill="D5DCE4" w:val="clear"/>
          </w:tcPr>
          <w:p>
            <w:pPr>
              <w:pStyle w:val="3"/>
              <w:widowControl w:val="false"/>
              <w:numPr>
                <w:ilvl w:val="0"/>
                <w:numId w:val="0"/>
              </w:numPr>
              <w:spacing w:lineRule="auto" w:line="240" w:before="40" w:after="40"/>
              <w:ind w:hanging="0" w:left="0"/>
              <w:contextualSpacing/>
              <w:jc w:val="center"/>
              <w:rPr>
                <w:rFonts w:ascii="Times New Roman" w:hAnsi="Times New Roman"/>
                <w:sz w:val="24"/>
                <w:szCs w:val="24"/>
                <w:lang w:eastAsia="ru-RU"/>
              </w:rPr>
            </w:pPr>
            <w:r>
              <w:rPr>
                <w:sz w:val="24"/>
                <w:szCs w:val="24"/>
                <w:lang w:eastAsia="ru-RU"/>
              </w:rPr>
            </w:r>
          </w:p>
        </w:tc>
        <w:tc>
          <w:tcPr>
            <w:tcW w:w="1404" w:type="dxa"/>
            <w:tcBorders>
              <w:top w:val="single" w:sz="4" w:space="0" w:color="00000A"/>
              <w:left w:val="single" w:sz="4" w:space="0" w:color="00000A"/>
              <w:bottom w:val="single" w:sz="4" w:space="0" w:color="00000A"/>
              <w:right w:val="single" w:sz="4" w:space="0" w:color="00000A"/>
            </w:tcBorders>
            <w:shd w:color="auto" w:fill="D5DCE4" w:val="clear"/>
          </w:tcPr>
          <w:p>
            <w:pPr>
              <w:pStyle w:val="3"/>
              <w:widowControl w:val="false"/>
              <w:numPr>
                <w:ilvl w:val="0"/>
                <w:numId w:val="0"/>
              </w:numPr>
              <w:spacing w:lineRule="auto" w:line="240" w:before="40" w:after="40"/>
              <w:ind w:hanging="0" w:left="0"/>
              <w:contextualSpacing/>
              <w:jc w:val="center"/>
              <w:rPr>
                <w:sz w:val="18"/>
                <w:szCs w:val="18"/>
                <w:lang w:eastAsia="ru-RU"/>
              </w:rPr>
            </w:pPr>
            <w:r>
              <w:rPr>
                <w:sz w:val="18"/>
                <w:szCs w:val="18"/>
                <w:lang w:eastAsia="ru-RU"/>
              </w:rPr>
              <w:t>критерий оценки первого уровня</w:t>
            </w:r>
          </w:p>
        </w:tc>
        <w:tc>
          <w:tcPr>
            <w:tcW w:w="1396" w:type="dxa"/>
            <w:tcBorders>
              <w:top w:val="single" w:sz="4" w:space="0" w:color="00000A"/>
              <w:left w:val="single" w:sz="4" w:space="0" w:color="00000A"/>
              <w:bottom w:val="single" w:sz="4" w:space="0" w:color="00000A"/>
              <w:right w:val="single" w:sz="4" w:space="0" w:color="00000A"/>
            </w:tcBorders>
            <w:shd w:color="auto" w:fill="D5DCE4" w:val="clear"/>
          </w:tcPr>
          <w:p>
            <w:pPr>
              <w:pStyle w:val="3"/>
              <w:widowControl w:val="false"/>
              <w:numPr>
                <w:ilvl w:val="0"/>
                <w:numId w:val="0"/>
              </w:numPr>
              <w:spacing w:lineRule="auto" w:line="240" w:before="40" w:after="40"/>
              <w:ind w:hanging="0" w:left="0"/>
              <w:contextualSpacing/>
              <w:jc w:val="center"/>
              <w:rPr>
                <w:sz w:val="18"/>
                <w:szCs w:val="18"/>
                <w:lang w:eastAsia="ru-RU"/>
              </w:rPr>
            </w:pPr>
            <w:r>
              <w:rPr>
                <w:sz w:val="18"/>
                <w:szCs w:val="18"/>
                <w:lang w:eastAsia="ru-RU"/>
              </w:rPr>
              <w:t>критерий оценки второго уровня</w:t>
            </w:r>
          </w:p>
        </w:tc>
        <w:tc>
          <w:tcPr>
            <w:tcW w:w="1129" w:type="dxa"/>
            <w:vMerge w:val="continue"/>
            <w:tcBorders>
              <w:top w:val="single" w:sz="4" w:space="0" w:color="00000A"/>
              <w:left w:val="single" w:sz="4" w:space="0" w:color="00000A"/>
              <w:bottom w:val="single" w:sz="4" w:space="0" w:color="00000A"/>
              <w:right w:val="single" w:sz="4" w:space="0" w:color="00000A"/>
            </w:tcBorders>
            <w:shd w:color="auto" w:fill="D5DCE4" w:val="clear"/>
          </w:tcPr>
          <w:p>
            <w:pPr>
              <w:pStyle w:val="3"/>
              <w:widowControl w:val="false"/>
              <w:numPr>
                <w:ilvl w:val="0"/>
                <w:numId w:val="0"/>
              </w:numPr>
              <w:spacing w:lineRule="auto" w:line="240" w:before="40" w:after="40"/>
              <w:ind w:hanging="0" w:left="0"/>
              <w:contextualSpacing/>
              <w:jc w:val="center"/>
              <w:rPr>
                <w:rFonts w:ascii="Times New Roman" w:hAnsi="Times New Roman"/>
                <w:sz w:val="24"/>
                <w:szCs w:val="24"/>
                <w:lang w:eastAsia="ru-RU"/>
              </w:rPr>
            </w:pPr>
            <w:r>
              <w:rPr>
                <w:sz w:val="24"/>
                <w:szCs w:val="24"/>
                <w:lang w:eastAsia="ru-RU"/>
              </w:rPr>
            </w:r>
          </w:p>
        </w:tc>
        <w:tc>
          <w:tcPr>
            <w:tcW w:w="1832" w:type="dxa"/>
            <w:vMerge w:val="continue"/>
            <w:tcBorders>
              <w:top w:val="single" w:sz="4" w:space="0" w:color="00000A"/>
              <w:left w:val="single" w:sz="4" w:space="0" w:color="00000A"/>
              <w:bottom w:val="single" w:sz="4" w:space="0" w:color="00000A"/>
              <w:right w:val="single" w:sz="4" w:space="0" w:color="00000A"/>
            </w:tcBorders>
            <w:shd w:color="auto" w:fill="D5DCE4" w:val="clear"/>
          </w:tcPr>
          <w:p>
            <w:pPr>
              <w:pStyle w:val="3"/>
              <w:widowControl w:val="false"/>
              <w:numPr>
                <w:ilvl w:val="0"/>
                <w:numId w:val="0"/>
              </w:numPr>
              <w:spacing w:lineRule="auto" w:line="240" w:before="40" w:after="40"/>
              <w:ind w:hanging="0" w:left="0"/>
              <w:contextualSpacing/>
              <w:jc w:val="center"/>
              <w:rPr>
                <w:rFonts w:ascii="Times New Roman" w:hAnsi="Times New Roman"/>
                <w:sz w:val="24"/>
                <w:szCs w:val="24"/>
                <w:lang w:eastAsia="ru-RU"/>
              </w:rPr>
            </w:pPr>
            <w:r>
              <w:rPr>
                <w:sz w:val="24"/>
                <w:szCs w:val="24"/>
                <w:lang w:eastAsia="ru-RU"/>
              </w:rPr>
            </w:r>
          </w:p>
        </w:tc>
        <w:tc>
          <w:tcPr>
            <w:tcW w:w="6833" w:type="dxa"/>
            <w:vMerge w:val="continue"/>
            <w:tcBorders>
              <w:top w:val="single" w:sz="4" w:space="0" w:color="00000A"/>
              <w:left w:val="single" w:sz="4" w:space="0" w:color="00000A"/>
              <w:bottom w:val="single" w:sz="4" w:space="0" w:color="00000A"/>
              <w:right w:val="single" w:sz="4" w:space="0" w:color="00000A"/>
            </w:tcBorders>
            <w:shd w:color="auto" w:fill="D5DCE4" w:val="clear"/>
          </w:tcPr>
          <w:p>
            <w:pPr>
              <w:pStyle w:val="3"/>
              <w:widowControl w:val="false"/>
              <w:numPr>
                <w:ilvl w:val="0"/>
                <w:numId w:val="0"/>
              </w:numPr>
              <w:spacing w:lineRule="auto" w:line="240" w:before="40" w:after="40"/>
              <w:ind w:hanging="0" w:left="0"/>
              <w:contextualSpacing/>
              <w:jc w:val="center"/>
              <w:rPr>
                <w:rFonts w:ascii="Times New Roman" w:hAnsi="Times New Roman"/>
                <w:sz w:val="24"/>
                <w:szCs w:val="24"/>
                <w:lang w:eastAsia="ru-RU"/>
              </w:rPr>
            </w:pPr>
            <w:r>
              <w:rPr>
                <w:sz w:val="24"/>
                <w:szCs w:val="24"/>
                <w:lang w:eastAsia="ru-RU"/>
              </w:rPr>
            </w:r>
          </w:p>
        </w:tc>
      </w:tr>
      <w:tr>
        <w:trPr/>
        <w:tc>
          <w:tcPr>
            <w:tcW w:w="1078" w:type="dxa"/>
            <w:tcBorders>
              <w:top w:val="single" w:sz="4" w:space="0" w:color="00000A"/>
              <w:left w:val="single" w:sz="4" w:space="0" w:color="00000A"/>
              <w:bottom w:val="single" w:sz="4" w:space="0" w:color="00000A"/>
              <w:right w:val="single" w:sz="4" w:space="0" w:color="00000A"/>
            </w:tcBorders>
            <w:shd w:color="auto" w:fill="auto" w:val="clear"/>
          </w:tcPr>
          <w:p>
            <w:pPr>
              <w:pStyle w:val="3"/>
              <w:widowControl w:val="false"/>
              <w:numPr>
                <w:ilvl w:val="0"/>
                <w:numId w:val="0"/>
              </w:numPr>
              <w:spacing w:lineRule="auto" w:line="240" w:before="40" w:after="40"/>
              <w:ind w:hanging="0" w:left="0"/>
              <w:contextualSpacing/>
              <w:jc w:val="center"/>
              <w:rPr>
                <w:sz w:val="18"/>
                <w:szCs w:val="18"/>
                <w:lang w:eastAsia="ru-RU"/>
              </w:rPr>
            </w:pPr>
            <w:r>
              <w:rPr>
                <w:sz w:val="18"/>
                <w:szCs w:val="18"/>
                <w:lang w:eastAsia="ru-RU"/>
              </w:rPr>
              <w:t>1.</w:t>
            </w:r>
          </w:p>
        </w:tc>
        <w:tc>
          <w:tcPr>
            <w:tcW w:w="1405" w:type="dxa"/>
            <w:tcBorders>
              <w:top w:val="single" w:sz="4" w:space="0" w:color="00000A"/>
              <w:left w:val="single" w:sz="4" w:space="0" w:color="00000A"/>
              <w:bottom w:val="single" w:sz="4" w:space="0" w:color="00000A"/>
              <w:right w:val="single" w:sz="4" w:space="0" w:color="00000A"/>
            </w:tcBorders>
            <w:shd w:color="auto" w:fill="auto" w:val="clear"/>
          </w:tcPr>
          <w:p>
            <w:pPr>
              <w:pStyle w:val="3"/>
              <w:widowControl w:val="false"/>
              <w:numPr>
                <w:ilvl w:val="0"/>
                <w:numId w:val="0"/>
              </w:numPr>
              <w:spacing w:lineRule="auto" w:line="240" w:before="40" w:after="40"/>
              <w:ind w:hanging="0" w:left="0"/>
              <w:contextualSpacing/>
              <w:jc w:val="center"/>
              <w:rPr>
                <w:sz w:val="18"/>
                <w:szCs w:val="18"/>
                <w:lang w:eastAsia="ru-RU"/>
              </w:rPr>
            </w:pPr>
            <w:r>
              <w:rPr>
                <w:sz w:val="18"/>
                <w:szCs w:val="18"/>
                <w:lang w:eastAsia="ru-RU"/>
              </w:rPr>
              <w:t>Ценовой (стоимостный) частный критерий оценки первого уровня / ЦЕНА</w:t>
            </w:r>
          </w:p>
        </w:tc>
        <w:tc>
          <w:tcPr>
            <w:tcW w:w="1404" w:type="dxa"/>
            <w:tcBorders>
              <w:top w:val="single" w:sz="4" w:space="0" w:color="00000A"/>
              <w:left w:val="single" w:sz="4" w:space="0" w:color="00000A"/>
              <w:bottom w:val="single" w:sz="4" w:space="0" w:color="00000A"/>
              <w:right w:val="single" w:sz="4" w:space="0" w:color="00000A"/>
            </w:tcBorders>
            <w:shd w:color="auto" w:fill="auto" w:val="clear"/>
          </w:tcPr>
          <w:p>
            <w:pPr>
              <w:pStyle w:val="3"/>
              <w:widowControl w:val="false"/>
              <w:numPr>
                <w:ilvl w:val="0"/>
                <w:numId w:val="0"/>
              </w:numPr>
              <w:spacing w:lineRule="auto" w:line="240" w:before="40" w:after="40"/>
              <w:ind w:hanging="0" w:left="0"/>
              <w:contextualSpacing/>
              <w:jc w:val="center"/>
              <w:rPr>
                <w:sz w:val="18"/>
                <w:szCs w:val="18"/>
                <w:lang w:eastAsia="ru-RU"/>
              </w:rPr>
            </w:pPr>
            <w:r>
              <w:rPr>
                <w:sz w:val="18"/>
                <w:szCs w:val="18"/>
                <w:lang w:eastAsia="ru-RU"/>
              </w:rPr>
              <w:t>Цена договора (заявки)</w:t>
            </w:r>
          </w:p>
        </w:tc>
        <w:tc>
          <w:tcPr>
            <w:tcW w:w="1396" w:type="dxa"/>
            <w:tcBorders>
              <w:top w:val="single" w:sz="4" w:space="0" w:color="00000A"/>
              <w:left w:val="single" w:sz="4" w:space="0" w:color="00000A"/>
              <w:bottom w:val="single" w:sz="4" w:space="0" w:color="00000A"/>
              <w:right w:val="single" w:sz="4" w:space="0" w:color="00000A"/>
            </w:tcBorders>
            <w:shd w:color="auto" w:fill="auto" w:val="clear"/>
          </w:tcPr>
          <w:p>
            <w:pPr>
              <w:pStyle w:val="3"/>
              <w:widowControl w:val="false"/>
              <w:numPr>
                <w:ilvl w:val="0"/>
                <w:numId w:val="0"/>
              </w:numPr>
              <w:spacing w:lineRule="auto" w:line="240" w:before="40" w:after="40"/>
              <w:ind w:hanging="0" w:left="0"/>
              <w:contextualSpacing/>
              <w:jc w:val="center"/>
              <w:rPr>
                <w:i/>
                <w:i/>
                <w:sz w:val="18"/>
                <w:szCs w:val="18"/>
                <w:lang w:eastAsia="ru-RU"/>
              </w:rPr>
            </w:pPr>
            <w:r>
              <w:rPr>
                <w:i/>
                <w:sz w:val="18"/>
                <w:szCs w:val="18"/>
                <w:lang w:eastAsia="ru-RU"/>
              </w:rPr>
              <w:t>отсутствует</w:t>
            </w:r>
          </w:p>
        </w:tc>
        <w:tc>
          <w:tcPr>
            <w:tcW w:w="1129" w:type="dxa"/>
            <w:tcBorders>
              <w:top w:val="single" w:sz="4" w:space="0" w:color="00000A"/>
              <w:left w:val="single" w:sz="4" w:space="0" w:color="00000A"/>
              <w:bottom w:val="single" w:sz="4" w:space="0" w:color="00000A"/>
              <w:right w:val="single" w:sz="4" w:space="0" w:color="00000A"/>
            </w:tcBorders>
            <w:shd w:color="auto" w:fill="auto" w:val="clear"/>
          </w:tcPr>
          <w:p>
            <w:pPr>
              <w:pStyle w:val="3"/>
              <w:widowControl w:val="false"/>
              <w:numPr>
                <w:ilvl w:val="0"/>
                <w:numId w:val="0"/>
              </w:numPr>
              <w:spacing w:lineRule="auto" w:line="240" w:before="40" w:after="40"/>
              <w:ind w:hanging="0" w:left="0"/>
              <w:contextualSpacing/>
              <w:jc w:val="center"/>
              <w:rPr>
                <w:sz w:val="18"/>
                <w:szCs w:val="18"/>
                <w:lang w:eastAsia="ru-RU"/>
              </w:rPr>
            </w:pPr>
            <w:r>
              <w:rPr>
                <w:sz w:val="18"/>
                <w:szCs w:val="18"/>
                <w:lang w:eastAsia="ru-RU"/>
              </w:rPr>
              <w:t>90%</w:t>
              <w:br/>
              <w:t>(В</w:t>
            </w:r>
            <w:r>
              <w:rPr>
                <w:sz w:val="18"/>
                <w:szCs w:val="18"/>
                <w:vertAlign w:val="subscript"/>
                <w:lang w:eastAsia="ru-RU"/>
              </w:rPr>
              <w:t>1</w:t>
            </w:r>
            <w:r>
              <w:rPr>
                <w:sz w:val="18"/>
                <w:szCs w:val="18"/>
                <w:lang w:eastAsia="ru-RU"/>
              </w:rPr>
              <w:t xml:space="preserve"> = 0,90)</w:t>
            </w:r>
          </w:p>
        </w:tc>
        <w:tc>
          <w:tcPr>
            <w:tcW w:w="1832" w:type="dxa"/>
            <w:tcBorders>
              <w:top w:val="single" w:sz="4" w:space="0" w:color="00000A"/>
              <w:left w:val="single" w:sz="4" w:space="0" w:color="00000A"/>
              <w:bottom w:val="single" w:sz="4" w:space="0" w:color="00000A"/>
              <w:right w:val="single" w:sz="4" w:space="0" w:color="00000A"/>
            </w:tcBorders>
            <w:shd w:color="auto" w:fill="auto" w:val="clear"/>
          </w:tcPr>
          <w:p>
            <w:pPr>
              <w:pStyle w:val="3"/>
              <w:widowControl w:val="false"/>
              <w:numPr>
                <w:ilvl w:val="0"/>
                <w:numId w:val="0"/>
              </w:numPr>
              <w:spacing w:lineRule="auto" w:line="240" w:before="40" w:after="40"/>
              <w:ind w:hanging="0" w:left="0"/>
              <w:contextualSpacing/>
              <w:jc w:val="center"/>
              <w:rPr>
                <w:sz w:val="18"/>
                <w:szCs w:val="18"/>
                <w:lang w:eastAsia="ru-RU"/>
              </w:rPr>
            </w:pPr>
            <w:r>
              <w:rPr>
                <w:sz w:val="18"/>
                <w:szCs w:val="18"/>
                <w:lang w:eastAsia="ru-RU"/>
              </w:rPr>
              <w:t>Чем меньше цена заявки Участника, тем выше предпочтительность</w:t>
            </w:r>
          </w:p>
        </w:tc>
        <w:tc>
          <w:tcPr>
            <w:tcW w:w="6833" w:type="dxa"/>
            <w:tcBorders>
              <w:top w:val="single" w:sz="4" w:space="0" w:color="00000A"/>
              <w:left w:val="single" w:sz="4" w:space="0" w:color="00000A"/>
              <w:bottom w:val="single" w:sz="4" w:space="0" w:color="00000A"/>
              <w:right w:val="single" w:sz="4" w:space="0" w:color="00000A"/>
            </w:tcBorders>
            <w:shd w:color="auto" w:fill="auto" w:val="clear"/>
          </w:tcPr>
          <w:p>
            <w:pPr>
              <w:pStyle w:val="3"/>
              <w:widowControl w:val="false"/>
              <w:numPr>
                <w:ilvl w:val="0"/>
                <w:numId w:val="0"/>
              </w:numPr>
              <w:spacing w:lineRule="auto" w:line="240" w:before="96" w:after="96"/>
              <w:ind w:hanging="0" w:left="0"/>
              <w:contextualSpacing/>
              <w:jc w:val="left"/>
              <w:rPr>
                <w:sz w:val="18"/>
                <w:szCs w:val="18"/>
                <w:lang w:eastAsia="ru-RU"/>
              </w:rPr>
            </w:pPr>
            <w:r>
              <w:rPr>
                <w:sz w:val="18"/>
                <w:szCs w:val="18"/>
                <w:lang w:eastAsia="ru-RU"/>
              </w:rPr>
              <w:t>Расчет оценки предпочтительности по частному критерию по методу «Математическая формула, задающая «функцию ценности»»:</w:t>
            </w:r>
          </w:p>
          <w:p>
            <w:pPr>
              <w:pStyle w:val="2"/>
              <w:widowControl w:val="false"/>
              <w:numPr>
                <w:ilvl w:val="0"/>
                <w:numId w:val="0"/>
              </w:numPr>
              <w:spacing w:lineRule="auto" w:line="240" w:before="0" w:after="120"/>
              <w:ind w:hanging="0" w:left="0"/>
              <w:contextualSpacing/>
              <w:jc w:val="center"/>
              <w:rPr/>
            </w:pPr>
            <w:r>
              <w:rPr/>
            </w:r>
            <m:oMath xmlns:m="http://schemas.openxmlformats.org/officeDocument/2006/math">
              <m:sSub>
                <m:e>
                  <m:r>
                    <w:rPr>
                      <w:rFonts w:ascii="Cambria Math" w:hAnsi="Cambria Math"/>
                    </w:rPr>
                    <m:t xml:space="preserve">Б</m:t>
                  </m:r>
                </m:e>
                <m:sub>
                  <m:r>
                    <w:rPr>
                      <w:rFonts w:ascii="Cambria Math" w:hAnsi="Cambria Math"/>
                    </w:rPr>
                    <m:t xml:space="preserve">1</m:t>
                  </m:r>
                </m:sub>
              </m:sSub>
              <m:r>
                <w:rPr>
                  <w:rFonts w:ascii="Cambria Math" w:hAnsi="Cambria Math"/>
                </w:rPr>
                <m:t xml:space="preserve">=</m:t>
              </m:r>
              <m:f>
                <m:num>
                  <m:sSub>
                    <m:e>
                      <m:r>
                        <w:rPr>
                          <w:rFonts w:ascii="Cambria Math" w:hAnsi="Cambria Math"/>
                        </w:rPr>
                        <m:t xml:space="preserve">ЦЕНА</m:t>
                      </m:r>
                    </m:e>
                    <m:sub>
                      <m:r>
                        <w:rPr>
                          <w:rFonts w:ascii="Cambria Math" w:hAnsi="Cambria Math"/>
                        </w:rPr>
                        <m:t xml:space="preserve">min</m:t>
                      </m:r>
                    </m:sub>
                  </m:sSub>
                </m:num>
                <m:den>
                  <m:sSub>
                    <m:e>
                      <m:r>
                        <w:rPr>
                          <w:rFonts w:ascii="Cambria Math" w:hAnsi="Cambria Math"/>
                        </w:rPr>
                        <m:t xml:space="preserve">ЦЕНА</m:t>
                      </m:r>
                    </m:e>
                    <m:sub>
                      <m:r>
                        <w:rPr>
                          <w:rFonts w:ascii="Cambria Math" w:hAnsi="Cambria Math"/>
                        </w:rPr>
                        <m:t xml:space="preserve">i</m:t>
                      </m:r>
                    </m:sub>
                  </m:sSub>
                </m:den>
              </m:f>
              <m:r>
                <w:rPr>
                  <w:rFonts w:ascii="Cambria Math" w:hAnsi="Cambria Math"/>
                </w:rPr>
                <m:t xml:space="preserve">×</m:t>
              </m:r>
              <m:r>
                <w:rPr>
                  <w:rFonts w:ascii="Cambria Math" w:hAnsi="Cambria Math"/>
                </w:rPr>
                <m:t xml:space="preserve">Ш</m:t>
              </m:r>
              <m:r>
                <w:rPr>
                  <w:rFonts w:ascii="Cambria Math" w:hAnsi="Cambria Math"/>
                </w:rPr>
                <m:t xml:space="preserve">,</m:t>
              </m:r>
            </m:oMath>
            <w:r>
              <w:fldChar w:fldCharType="begin"/>
            </w:r>
            <w:r>
              <w:rPr/>
              <w:instrText xml:space="preserve">vnd.oasis.opendocument.field.UNHANDLED</w:instrText>
            </w:r>
            <w:r>
              <w:rPr/>
            </w:r>
            <w:r>
              <w:rPr/>
              <w:fldChar w:fldCharType="separate"/>
            </w:r>
            <w:r>
              <w:rPr/>
            </w:r>
            <w:r/>
            <w:r>
              <w:rPr/>
              <w:fldChar w:fldCharType="end"/>
            </w:r>
            <w:r>
              <w:rPr/>
            </w:r>
          </w:p>
          <w:p>
            <w:pPr>
              <w:pStyle w:val="2"/>
              <w:widowControl w:val="false"/>
              <w:numPr>
                <w:ilvl w:val="0"/>
                <w:numId w:val="0"/>
              </w:numPr>
              <w:spacing w:lineRule="auto" w:line="240" w:before="96" w:after="0"/>
              <w:ind w:hanging="0" w:left="0"/>
              <w:contextualSpacing/>
              <w:jc w:val="left"/>
              <w:rPr>
                <w:sz w:val="18"/>
                <w:szCs w:val="18"/>
                <w:lang w:eastAsia="ru-RU"/>
              </w:rPr>
            </w:pPr>
            <w:r>
              <w:rPr>
                <w:sz w:val="18"/>
                <w:szCs w:val="18"/>
                <w:lang w:eastAsia="ru-RU"/>
              </w:rPr>
              <w:t>где:</w:t>
            </w:r>
          </w:p>
          <w:p>
            <w:pPr>
              <w:pStyle w:val="2"/>
              <w:widowControl w:val="false"/>
              <w:numPr>
                <w:ilvl w:val="0"/>
                <w:numId w:val="0"/>
              </w:numPr>
              <w:tabs>
                <w:tab w:val="left" w:pos="360" w:leader="none"/>
                <w:tab w:val="left" w:pos="742" w:leader="none"/>
                <w:tab w:val="left" w:pos="1167" w:leader="none"/>
                <w:tab w:val="left" w:pos="1440" w:leader="none"/>
                <w:tab w:val="left" w:pos="2736" w:leader="none"/>
              </w:tabs>
              <w:spacing w:lineRule="auto" w:line="240" w:before="0" w:after="0"/>
              <w:ind w:hanging="0" w:left="0"/>
              <w:contextualSpacing/>
              <w:jc w:val="left"/>
              <w:rPr>
                <w:sz w:val="18"/>
                <w:szCs w:val="18"/>
                <w:lang w:eastAsia="ru-RU"/>
              </w:rPr>
            </w:pPr>
            <w:r>
              <w:rPr>
                <w:sz w:val="18"/>
                <w:szCs w:val="18"/>
                <w:lang w:eastAsia="ru-RU"/>
              </w:rPr>
              <w:t>Б</w:t>
            </w:r>
            <w:r>
              <w:rPr>
                <w:sz w:val="18"/>
                <w:szCs w:val="18"/>
                <w:vertAlign w:val="subscript"/>
                <w:lang w:eastAsia="ru-RU"/>
              </w:rPr>
              <w:t>1</w:t>
            </w:r>
            <w:r>
              <w:rPr>
                <w:sz w:val="18"/>
                <w:szCs w:val="18"/>
                <w:lang w:eastAsia="ru-RU"/>
              </w:rPr>
              <w:tab/>
              <w:t>–</w:t>
              <w:tab/>
              <w:t>рассчитанная оценка предпочтительности по данному частному критерию оценки в баллах;</w:t>
            </w:r>
          </w:p>
          <w:p>
            <w:pPr>
              <w:pStyle w:val="Normal"/>
              <w:widowControl w:val="false"/>
              <w:spacing w:lineRule="auto" w:line="252"/>
              <w:rPr>
                <w:sz w:val="18"/>
                <w:szCs w:val="18"/>
              </w:rPr>
            </w:pPr>
            <w:r>
              <w:rPr>
                <w:sz w:val="18"/>
                <w:szCs w:val="18"/>
              </w:rPr>
              <w:t>ЦЕНА</w:t>
            </w:r>
            <w:r>
              <w:rPr>
                <w:i/>
                <w:iCs/>
                <w:sz w:val="18"/>
                <w:szCs w:val="18"/>
                <w:vertAlign w:val="subscript"/>
                <w:lang w:val="en-US"/>
              </w:rPr>
              <w:t>i</w:t>
            </w:r>
            <w:r>
              <w:rPr>
                <w:sz w:val="18"/>
                <w:szCs w:val="18"/>
              </w:rPr>
              <w:t xml:space="preserve">  – </w:t>
            </w:r>
            <w:r>
              <w:rPr>
                <w:rFonts w:eastAsia="Calibri"/>
                <w:sz w:val="18"/>
                <w:szCs w:val="16"/>
              </w:rPr>
              <w:t xml:space="preserve">цена договора (заявки), указанная в </w:t>
            </w:r>
            <w:r>
              <w:rPr>
                <w:rFonts w:eastAsia="Calibri"/>
                <w:sz w:val="18"/>
                <w:szCs w:val="16"/>
                <w:lang w:val="en-US"/>
              </w:rPr>
              <w:t>i</w:t>
            </w:r>
            <w:r>
              <w:rPr>
                <w:rFonts w:eastAsia="Calibri"/>
                <w:sz w:val="18"/>
                <w:szCs w:val="16"/>
              </w:rPr>
              <w:t xml:space="preserve">-той заявке (в Коммерческом предложении по установленной в документации о закупке форме (форма 3) допущенного участника, </w:t>
            </w:r>
            <w:r>
              <w:rPr>
                <w:sz w:val="18"/>
                <w:szCs w:val="18"/>
              </w:rPr>
              <w:t>руб. без учета НДС ;</w:t>
            </w:r>
          </w:p>
          <w:p>
            <w:pPr>
              <w:pStyle w:val="Normal"/>
              <w:widowControl w:val="false"/>
              <w:spacing w:lineRule="auto" w:line="252"/>
              <w:rPr>
                <w:sz w:val="18"/>
                <w:szCs w:val="18"/>
              </w:rPr>
            </w:pPr>
            <w:r>
              <w:rPr>
                <w:sz w:val="18"/>
                <w:szCs w:val="18"/>
              </w:rPr>
              <w:t>ЦЕНА</w:t>
            </w:r>
            <w:r>
              <w:rPr>
                <w:vertAlign w:val="subscript"/>
                <w:lang w:val="en-US"/>
              </w:rPr>
              <w:t>min</w:t>
            </w:r>
            <w:r>
              <w:rPr>
                <w:vertAlign w:val="subscript"/>
              </w:rPr>
              <w:t xml:space="preserve"> </w:t>
            </w:r>
            <w:r>
              <w:rPr>
                <w:sz w:val="18"/>
                <w:szCs w:val="18"/>
              </w:rPr>
              <w:t>– минимальная цена договора (заявки) среди всех допущенных заявок участников, руб. без учета НДС;</w:t>
            </w:r>
          </w:p>
          <w:p>
            <w:pPr>
              <w:pStyle w:val="2"/>
              <w:widowControl w:val="false"/>
              <w:numPr>
                <w:ilvl w:val="0"/>
                <w:numId w:val="0"/>
              </w:numPr>
              <w:tabs>
                <w:tab w:val="left" w:pos="360" w:leader="none"/>
                <w:tab w:val="left" w:pos="742" w:leader="none"/>
                <w:tab w:val="left" w:pos="1167" w:leader="none"/>
                <w:tab w:val="left" w:pos="1440" w:leader="none"/>
                <w:tab w:val="left" w:pos="2736" w:leader="none"/>
              </w:tabs>
              <w:spacing w:lineRule="auto" w:line="240" w:before="0" w:after="0"/>
              <w:ind w:hanging="0" w:left="0"/>
              <w:contextualSpacing/>
              <w:jc w:val="left"/>
              <w:rPr>
                <w:sz w:val="18"/>
                <w:szCs w:val="18"/>
                <w:lang w:eastAsia="ru-RU"/>
              </w:rPr>
            </w:pPr>
            <w:r>
              <w:rPr>
                <w:sz w:val="18"/>
                <w:szCs w:val="18"/>
                <w:lang w:eastAsia="ru-RU"/>
              </w:rPr>
              <w:t>Ш</w:t>
              <w:tab/>
              <w:t>–</w:t>
              <w:tab/>
              <w:t>максимально возможный балл (максимальная возможная оценка предпочтительности) по шкале оценок (Ш = 5).</w:t>
            </w:r>
          </w:p>
          <w:p>
            <w:pPr>
              <w:pStyle w:val="3"/>
              <w:widowControl w:val="false"/>
              <w:numPr>
                <w:ilvl w:val="0"/>
                <w:numId w:val="0"/>
              </w:numPr>
              <w:spacing w:lineRule="auto" w:line="240" w:before="96" w:after="96"/>
              <w:ind w:hanging="0" w:left="0"/>
              <w:contextualSpacing/>
              <w:jc w:val="left"/>
              <w:rPr>
                <w:sz w:val="18"/>
                <w:szCs w:val="18"/>
                <w:lang w:eastAsia="ru-RU"/>
              </w:rPr>
            </w:pPr>
            <w:r>
              <w:rPr>
                <w:sz w:val="18"/>
                <w:szCs w:val="18"/>
                <w:lang w:eastAsia="ru-RU"/>
              </w:rPr>
              <w:t>Оценка предпочтительности заявок осуществляется в едином базисе сопоставления ценовых (стоимостных) предложений, установленном в документации о закупке: без учета НДС</w:t>
            </w:r>
            <w:r>
              <w:rPr>
                <w:color w:val="000000"/>
                <w:sz w:val="18"/>
              </w:rPr>
              <w:t>.</w:t>
            </w:r>
          </w:p>
          <w:p>
            <w:pPr>
              <w:pStyle w:val="3"/>
              <w:widowControl w:val="false"/>
              <w:numPr>
                <w:ilvl w:val="0"/>
                <w:numId w:val="0"/>
              </w:numPr>
              <w:spacing w:lineRule="auto" w:line="240" w:before="96" w:after="96"/>
              <w:ind w:hanging="0" w:left="0"/>
              <w:contextualSpacing/>
              <w:jc w:val="left"/>
              <w:rPr>
                <w:sz w:val="18"/>
                <w:szCs w:val="18"/>
                <w:lang w:eastAsia="ru-RU"/>
              </w:rPr>
            </w:pPr>
            <w:r>
              <w:rPr>
                <w:sz w:val="18"/>
                <w:szCs w:val="18"/>
                <w:lang w:eastAsia="ru-RU"/>
              </w:rPr>
              <w:t>Шкала оценок от 0 до 5 баллов.</w:t>
            </w:r>
          </w:p>
        </w:tc>
      </w:tr>
      <w:tr>
        <w:trPr/>
        <w:tc>
          <w:tcPr>
            <w:tcW w:w="1078" w:type="dxa"/>
            <w:tcBorders>
              <w:top w:val="single" w:sz="4" w:space="0" w:color="00000A"/>
              <w:left w:val="single" w:sz="4" w:space="0" w:color="00000A"/>
              <w:bottom w:val="single" w:sz="4" w:space="0" w:color="00000A"/>
              <w:right w:val="single" w:sz="4" w:space="0" w:color="00000A"/>
            </w:tcBorders>
            <w:shd w:color="auto" w:fill="auto" w:val="clear"/>
          </w:tcPr>
          <w:p>
            <w:pPr>
              <w:pStyle w:val="3"/>
              <w:widowControl w:val="false"/>
              <w:numPr>
                <w:ilvl w:val="0"/>
                <w:numId w:val="0"/>
              </w:numPr>
              <w:spacing w:lineRule="auto" w:line="240" w:before="40" w:after="40"/>
              <w:ind w:hanging="0" w:left="0"/>
              <w:contextualSpacing/>
              <w:jc w:val="center"/>
              <w:rPr>
                <w:sz w:val="18"/>
                <w:szCs w:val="18"/>
                <w:lang w:eastAsia="ru-RU"/>
              </w:rPr>
            </w:pPr>
            <w:r>
              <w:rPr>
                <w:sz w:val="18"/>
                <w:szCs w:val="18"/>
                <w:lang w:eastAsia="ru-RU"/>
              </w:rPr>
              <w:t>2.</w:t>
            </w:r>
          </w:p>
        </w:tc>
        <w:tc>
          <w:tcPr>
            <w:tcW w:w="1405" w:type="dxa"/>
            <w:tcBorders>
              <w:top w:val="single" w:sz="4" w:space="0" w:color="00000A"/>
              <w:left w:val="single" w:sz="4" w:space="0" w:color="00000A"/>
              <w:bottom w:val="single" w:sz="4" w:space="0" w:color="00000A"/>
              <w:right w:val="single" w:sz="4" w:space="0" w:color="00000A"/>
            </w:tcBorders>
            <w:shd w:color="auto" w:fill="auto" w:val="clear"/>
          </w:tcPr>
          <w:p>
            <w:pPr>
              <w:pStyle w:val="3"/>
              <w:widowControl w:val="false"/>
              <w:numPr>
                <w:ilvl w:val="0"/>
                <w:numId w:val="0"/>
              </w:numPr>
              <w:spacing w:lineRule="auto" w:line="240" w:before="40" w:after="40"/>
              <w:ind w:hanging="0" w:left="0"/>
              <w:contextualSpacing/>
              <w:jc w:val="center"/>
              <w:rPr>
                <w:sz w:val="18"/>
                <w:szCs w:val="18"/>
                <w:lang w:eastAsia="ru-RU"/>
              </w:rPr>
            </w:pPr>
            <w:r>
              <w:rPr>
                <w:sz w:val="18"/>
                <w:szCs w:val="18"/>
                <w:lang w:eastAsia="ru-RU"/>
              </w:rPr>
              <w:t>Неценовой критерий оценки первого уровня / ТЕХ</w:t>
            </w:r>
          </w:p>
        </w:tc>
        <w:tc>
          <w:tcPr>
            <w:tcW w:w="1404" w:type="dxa"/>
            <w:tcBorders>
              <w:top w:val="single" w:sz="4" w:space="0" w:color="00000A"/>
              <w:left w:val="single" w:sz="4" w:space="0" w:color="00000A"/>
              <w:bottom w:val="single" w:sz="4" w:space="0" w:color="00000A"/>
              <w:right w:val="single" w:sz="4" w:space="0" w:color="00000A"/>
            </w:tcBorders>
            <w:shd w:color="auto" w:fill="auto" w:val="clear"/>
          </w:tcPr>
          <w:p>
            <w:pPr>
              <w:pStyle w:val="3"/>
              <w:widowControl w:val="false"/>
              <w:numPr>
                <w:ilvl w:val="0"/>
                <w:numId w:val="0"/>
              </w:numPr>
              <w:spacing w:lineRule="auto" w:line="240" w:before="40" w:after="40"/>
              <w:ind w:hanging="0" w:left="0"/>
              <w:contextualSpacing/>
              <w:jc w:val="center"/>
              <w:rPr>
                <w:sz w:val="18"/>
                <w:szCs w:val="18"/>
                <w:lang w:eastAsia="ru-RU"/>
              </w:rPr>
            </w:pPr>
            <w:r>
              <w:rPr>
                <w:sz w:val="18"/>
                <w:szCs w:val="18"/>
                <w:lang w:eastAsia="ru-RU"/>
              </w:rPr>
              <w:t>Квалификация (предпочти-тельность) Участника</w:t>
            </w:r>
          </w:p>
        </w:tc>
        <w:tc>
          <w:tcPr>
            <w:tcW w:w="1396" w:type="dxa"/>
            <w:tcBorders>
              <w:top w:val="single" w:sz="4" w:space="0" w:color="00000A"/>
              <w:left w:val="single" w:sz="4" w:space="0" w:color="00000A"/>
              <w:bottom w:val="single" w:sz="4" w:space="0" w:color="00000A"/>
              <w:right w:val="single" w:sz="4" w:space="0" w:color="00000A"/>
            </w:tcBorders>
            <w:shd w:color="auto" w:fill="auto" w:val="clear"/>
          </w:tcPr>
          <w:p>
            <w:pPr>
              <w:pStyle w:val="3"/>
              <w:widowControl w:val="false"/>
              <w:numPr>
                <w:ilvl w:val="0"/>
                <w:numId w:val="0"/>
              </w:numPr>
              <w:spacing w:lineRule="auto" w:line="240" w:before="40" w:after="40"/>
              <w:ind w:hanging="0" w:left="0"/>
              <w:contextualSpacing/>
              <w:jc w:val="center"/>
              <w:rPr>
                <w:sz w:val="18"/>
                <w:szCs w:val="18"/>
                <w:lang w:eastAsia="ru-RU"/>
              </w:rPr>
            </w:pPr>
            <w:r>
              <w:rPr>
                <w:i/>
                <w:sz w:val="18"/>
                <w:szCs w:val="18"/>
                <w:lang w:eastAsia="ru-RU"/>
              </w:rPr>
              <w:t>отсутствует</w:t>
            </w:r>
          </w:p>
        </w:tc>
        <w:tc>
          <w:tcPr>
            <w:tcW w:w="1129" w:type="dxa"/>
            <w:tcBorders>
              <w:top w:val="single" w:sz="4" w:space="0" w:color="00000A"/>
              <w:left w:val="single" w:sz="4" w:space="0" w:color="00000A"/>
              <w:bottom w:val="single" w:sz="4" w:space="0" w:color="00000A"/>
              <w:right w:val="single" w:sz="4" w:space="0" w:color="00000A"/>
            </w:tcBorders>
            <w:shd w:color="auto" w:fill="auto" w:val="clear"/>
          </w:tcPr>
          <w:p>
            <w:pPr>
              <w:pStyle w:val="3"/>
              <w:widowControl w:val="false"/>
              <w:numPr>
                <w:ilvl w:val="0"/>
                <w:numId w:val="0"/>
              </w:numPr>
              <w:spacing w:lineRule="auto" w:line="240" w:before="40" w:after="40"/>
              <w:ind w:hanging="0" w:left="0"/>
              <w:contextualSpacing/>
              <w:jc w:val="center"/>
              <w:rPr>
                <w:sz w:val="18"/>
                <w:szCs w:val="18"/>
                <w:lang w:eastAsia="ru-RU"/>
              </w:rPr>
            </w:pPr>
            <w:r>
              <w:rPr>
                <w:sz w:val="18"/>
                <w:szCs w:val="18"/>
                <w:lang w:eastAsia="ru-RU"/>
              </w:rPr>
              <w:t>10%</w:t>
              <w:br/>
              <w:t>(В</w:t>
            </w:r>
            <w:r>
              <w:rPr>
                <w:sz w:val="18"/>
                <w:szCs w:val="18"/>
                <w:vertAlign w:val="subscript"/>
                <w:lang w:eastAsia="ru-RU"/>
              </w:rPr>
              <w:t>2</w:t>
            </w:r>
            <w:r>
              <w:rPr>
                <w:sz w:val="18"/>
                <w:szCs w:val="18"/>
                <w:lang w:eastAsia="ru-RU"/>
              </w:rPr>
              <w:t xml:space="preserve"> = 0,10)</w:t>
            </w:r>
          </w:p>
        </w:tc>
        <w:tc>
          <w:tcPr>
            <w:tcW w:w="1832" w:type="dxa"/>
            <w:tcBorders>
              <w:top w:val="single" w:sz="4" w:space="0" w:color="00000A"/>
              <w:left w:val="single" w:sz="4" w:space="0" w:color="00000A"/>
              <w:bottom w:val="single" w:sz="4" w:space="0" w:color="00000A"/>
              <w:right w:val="single" w:sz="4" w:space="0" w:color="00000A"/>
            </w:tcBorders>
            <w:shd w:color="auto" w:fill="auto" w:val="clear"/>
          </w:tcPr>
          <w:p>
            <w:pPr>
              <w:pStyle w:val="3"/>
              <w:widowControl w:val="false"/>
              <w:numPr>
                <w:ilvl w:val="0"/>
                <w:numId w:val="0"/>
              </w:numPr>
              <w:spacing w:lineRule="auto" w:line="240" w:before="40" w:after="40"/>
              <w:ind w:hanging="0" w:left="0"/>
              <w:contextualSpacing/>
              <w:jc w:val="center"/>
              <w:rPr>
                <w:sz w:val="18"/>
                <w:szCs w:val="18"/>
                <w:lang w:eastAsia="ru-RU"/>
              </w:rPr>
            </w:pPr>
            <w:r>
              <w:rPr>
                <w:sz w:val="18"/>
                <w:szCs w:val="18"/>
                <w:lang w:eastAsia="ru-RU"/>
              </w:rPr>
              <w:t>Чем больше опыт (до оцениваемого предела), тем выше предпочтительность</w:t>
            </w:r>
          </w:p>
        </w:tc>
        <w:tc>
          <w:tcPr>
            <w:tcW w:w="6833" w:type="dxa"/>
            <w:tcBorders>
              <w:top w:val="single" w:sz="4" w:space="0" w:color="00000A"/>
              <w:left w:val="single" w:sz="4" w:space="0" w:color="00000A"/>
              <w:bottom w:val="single" w:sz="4" w:space="0" w:color="00000A"/>
              <w:right w:val="single" w:sz="4" w:space="0" w:color="00000A"/>
            </w:tcBorders>
            <w:shd w:color="auto" w:fill="auto" w:val="clear"/>
          </w:tcPr>
          <w:p>
            <w:pPr>
              <w:pStyle w:val="3"/>
              <w:widowControl w:val="false"/>
              <w:numPr>
                <w:ilvl w:val="0"/>
                <w:numId w:val="0"/>
              </w:numPr>
              <w:spacing w:lineRule="auto" w:line="240" w:before="96" w:after="96"/>
              <w:ind w:hanging="0" w:left="0"/>
              <w:contextualSpacing/>
              <w:jc w:val="left"/>
              <w:rPr>
                <w:sz w:val="18"/>
                <w:szCs w:val="18"/>
                <w:lang w:eastAsia="ru-RU"/>
              </w:rPr>
            </w:pPr>
            <w:r>
              <w:rPr>
                <w:sz w:val="18"/>
                <w:szCs w:val="18"/>
                <w:lang w:eastAsia="ru-RU"/>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pPr>
              <w:pStyle w:val="3"/>
              <w:widowControl w:val="false"/>
              <w:numPr>
                <w:ilvl w:val="0"/>
                <w:numId w:val="0"/>
              </w:numPr>
              <w:spacing w:lineRule="auto" w:line="240" w:before="40" w:after="40"/>
              <w:ind w:hanging="0" w:left="0"/>
              <w:contextualSpacing/>
              <w:jc w:val="left"/>
              <w:rPr>
                <w:sz w:val="18"/>
                <w:szCs w:val="18"/>
                <w:lang w:eastAsia="ru-RU"/>
              </w:rPr>
            </w:pPr>
            <w:r>
              <w:rPr>
                <w:sz w:val="18"/>
                <w:szCs w:val="18"/>
                <w:lang w:eastAsia="ru-RU"/>
              </w:rPr>
              <w:t xml:space="preserve">Порядок осуществления оценки (значение оцениваемого параметра), в зависимости от предоставленных в </w:t>
            </w:r>
            <w:r>
              <w:rPr>
                <w:i/>
                <w:sz w:val="18"/>
                <w:szCs w:val="18"/>
                <w:lang w:val="en-US" w:eastAsia="ru-RU"/>
              </w:rPr>
              <w:t>i</w:t>
            </w:r>
            <w:r>
              <w:rPr>
                <w:sz w:val="18"/>
                <w:szCs w:val="18"/>
                <w:lang w:eastAsia="ru-RU"/>
              </w:rPr>
              <w:t>-ой заявке документов, подтверждающих опыт, требуемый в соответствии с Приложением №4 к</w:t>
            </w:r>
            <w:r>
              <w:rPr>
                <w:sz w:val="18"/>
                <w:szCs w:val="18"/>
                <w:lang w:val="en-US" w:eastAsia="ru-RU"/>
              </w:rPr>
              <w:t xml:space="preserve"> </w:t>
            </w:r>
            <w:r>
              <w:rPr>
                <w:sz w:val="18"/>
                <w:szCs w:val="18"/>
                <w:lang w:eastAsia="ru-RU"/>
              </w:rPr>
              <w:t>ТТ, на общую сумму:</w:t>
            </w:r>
          </w:p>
          <w:tbl>
            <w:tblPr>
              <w:tblW w:w="6412"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882"/>
              <w:gridCol w:w="5529"/>
            </w:tblGrid>
            <w:tr>
              <w:trPr>
                <w:cantSplit w:val="true"/>
              </w:trPr>
              <w:tc>
                <w:tcPr>
                  <w:tcW w:w="882" w:type="dxa"/>
                  <w:tcBorders>
                    <w:bottom w:val="single" w:sz="4" w:space="0" w:color="00000A"/>
                    <w:right w:val="single" w:sz="4" w:space="0" w:color="00000A"/>
                  </w:tcBorders>
                  <w:shd w:color="auto" w:fill="auto" w:val="clear"/>
                </w:tcPr>
                <w:p>
                  <w:pPr>
                    <w:pStyle w:val="3"/>
                    <w:widowControl w:val="false"/>
                    <w:numPr>
                      <w:ilvl w:val="0"/>
                      <w:numId w:val="0"/>
                    </w:numPr>
                    <w:spacing w:lineRule="auto" w:line="240" w:before="40" w:after="40"/>
                    <w:ind w:hanging="0" w:left="0"/>
                    <w:contextualSpacing/>
                    <w:jc w:val="center"/>
                    <w:rPr>
                      <w:sz w:val="18"/>
                      <w:szCs w:val="18"/>
                      <w:lang w:eastAsia="ru-RU"/>
                    </w:rPr>
                  </w:pPr>
                  <w:r>
                    <w:rPr>
                      <w:sz w:val="18"/>
                      <w:szCs w:val="18"/>
                      <w:lang w:eastAsia="ru-RU"/>
                    </w:rPr>
                    <w:t>Б</w:t>
                  </w:r>
                  <w:r>
                    <w:rPr>
                      <w:sz w:val="18"/>
                      <w:szCs w:val="18"/>
                      <w:vertAlign w:val="subscript"/>
                      <w:lang w:eastAsia="ru-RU"/>
                    </w:rPr>
                    <w:t>2</w:t>
                  </w:r>
                  <w:r>
                    <w:rPr>
                      <w:sz w:val="18"/>
                      <w:szCs w:val="18"/>
                      <w:lang w:eastAsia="ru-RU"/>
                    </w:rPr>
                    <w:t xml:space="preserve"> = 0</w:t>
                  </w:r>
                </w:p>
              </w:tc>
              <w:tc>
                <w:tcPr>
                  <w:tcW w:w="5529" w:type="dxa"/>
                  <w:tcBorders>
                    <w:left w:val="single" w:sz="4" w:space="0" w:color="00000A"/>
                    <w:bottom w:val="single" w:sz="4" w:space="0" w:color="00000A"/>
                    <w:right w:val="single" w:sz="4" w:space="0" w:color="00000A"/>
                  </w:tcBorders>
                  <w:shd w:color="auto" w:fill="auto" w:val="clear"/>
                  <w:tcMar>
                    <w:left w:w="103" w:type="dxa"/>
                  </w:tcMar>
                </w:tcPr>
                <w:p>
                  <w:pPr>
                    <w:pStyle w:val="-2"/>
                    <w:widowControl w:val="false"/>
                    <w:numPr>
                      <w:ilvl w:val="0"/>
                      <w:numId w:val="0"/>
                    </w:numPr>
                    <w:spacing w:lineRule="auto" w:line="240" w:before="40" w:after="40"/>
                    <w:ind w:hanging="0" w:left="284"/>
                    <w:contextualSpacing/>
                    <w:jc w:val="left"/>
                    <w:rPr>
                      <w:sz w:val="18"/>
                      <w:szCs w:val="18"/>
                      <w:lang w:eastAsia="ru-RU"/>
                    </w:rPr>
                  </w:pPr>
                  <w:r>
                    <w:rPr>
                      <w:color w:val="000000"/>
                      <w:sz w:val="18"/>
                    </w:rPr>
                    <w:t>До 5 000 441,76 руб., без учета НДС (включительно);</w:t>
                  </w:r>
                </w:p>
              </w:tc>
            </w:tr>
            <w:tr>
              <w:trPr>
                <w:cantSplit w:val="true"/>
              </w:trPr>
              <w:tc>
                <w:tcPr>
                  <w:tcW w:w="882" w:type="dxa"/>
                  <w:tcBorders>
                    <w:top w:val="single" w:sz="4" w:space="0" w:color="00000A"/>
                    <w:bottom w:val="single" w:sz="4" w:space="0" w:color="00000A"/>
                    <w:right w:val="single" w:sz="4" w:space="0" w:color="00000A"/>
                  </w:tcBorders>
                  <w:shd w:color="auto" w:fill="auto" w:val="clear"/>
                </w:tcPr>
                <w:p>
                  <w:pPr>
                    <w:pStyle w:val="3"/>
                    <w:widowControl w:val="false"/>
                    <w:numPr>
                      <w:ilvl w:val="0"/>
                      <w:numId w:val="0"/>
                    </w:numPr>
                    <w:spacing w:lineRule="auto" w:line="240" w:before="40" w:after="40"/>
                    <w:ind w:hanging="0" w:left="0"/>
                    <w:contextualSpacing/>
                    <w:jc w:val="center"/>
                    <w:rPr>
                      <w:sz w:val="18"/>
                      <w:szCs w:val="18"/>
                      <w:lang w:eastAsia="ru-RU"/>
                    </w:rPr>
                  </w:pPr>
                  <w:r>
                    <w:rPr>
                      <w:sz w:val="18"/>
                      <w:szCs w:val="18"/>
                      <w:lang w:eastAsia="ru-RU"/>
                    </w:rPr>
                    <w:t>Б</w:t>
                  </w:r>
                  <w:r>
                    <w:rPr>
                      <w:sz w:val="18"/>
                      <w:szCs w:val="18"/>
                      <w:vertAlign w:val="subscript"/>
                      <w:lang w:eastAsia="ru-RU"/>
                    </w:rPr>
                    <w:t>2</w:t>
                  </w:r>
                  <w:r>
                    <w:rPr>
                      <w:sz w:val="18"/>
                      <w:szCs w:val="18"/>
                      <w:lang w:eastAsia="ru-RU"/>
                    </w:rPr>
                    <w:t xml:space="preserve"> = 1</w:t>
                  </w:r>
                </w:p>
              </w:tc>
              <w:tc>
                <w:tcPr>
                  <w:tcW w:w="5529" w:type="dxa"/>
                  <w:tcBorders>
                    <w:top w:val="single" w:sz="4" w:space="0" w:color="00000A"/>
                    <w:left w:val="single" w:sz="4" w:space="0" w:color="00000A"/>
                    <w:bottom w:val="single" w:sz="4" w:space="0" w:color="00000A"/>
                    <w:right w:val="single" w:sz="4" w:space="0" w:color="00000A"/>
                  </w:tcBorders>
                  <w:shd w:color="auto" w:fill="auto" w:val="clear"/>
                  <w:tcMar>
                    <w:left w:w="103" w:type="dxa"/>
                  </w:tcMar>
                </w:tcPr>
                <w:p>
                  <w:pPr>
                    <w:pStyle w:val="-2"/>
                    <w:widowControl w:val="false"/>
                    <w:numPr>
                      <w:ilvl w:val="0"/>
                      <w:numId w:val="0"/>
                    </w:numPr>
                    <w:spacing w:lineRule="auto" w:line="240" w:before="40" w:after="40"/>
                    <w:ind w:hanging="0" w:left="284"/>
                    <w:contextualSpacing/>
                    <w:jc w:val="left"/>
                    <w:rPr>
                      <w:sz w:val="18"/>
                      <w:szCs w:val="18"/>
                      <w:lang w:eastAsia="ru-RU"/>
                    </w:rPr>
                  </w:pPr>
                  <w:r>
                    <w:rPr>
                      <w:color w:val="000000"/>
                      <w:sz w:val="18"/>
                    </w:rPr>
                    <w:t>Более 5 000 441,76 руб., без учета НДС, но менее 6 250 552,20 руб., без учета НДС (включительно);</w:t>
                  </w:r>
                </w:p>
              </w:tc>
            </w:tr>
            <w:tr>
              <w:trPr>
                <w:cantSplit w:val="true"/>
              </w:trPr>
              <w:tc>
                <w:tcPr>
                  <w:tcW w:w="882" w:type="dxa"/>
                  <w:tcBorders>
                    <w:top w:val="single" w:sz="4" w:space="0" w:color="00000A"/>
                    <w:bottom w:val="single" w:sz="4" w:space="0" w:color="00000A"/>
                    <w:right w:val="single" w:sz="4" w:space="0" w:color="00000A"/>
                  </w:tcBorders>
                  <w:shd w:color="auto" w:fill="auto" w:val="clear"/>
                </w:tcPr>
                <w:p>
                  <w:pPr>
                    <w:pStyle w:val="3"/>
                    <w:widowControl w:val="false"/>
                    <w:numPr>
                      <w:ilvl w:val="0"/>
                      <w:numId w:val="0"/>
                    </w:numPr>
                    <w:spacing w:lineRule="auto" w:line="240" w:before="40" w:after="40"/>
                    <w:ind w:hanging="0" w:left="0"/>
                    <w:contextualSpacing/>
                    <w:jc w:val="center"/>
                    <w:rPr>
                      <w:sz w:val="18"/>
                      <w:szCs w:val="18"/>
                      <w:lang w:eastAsia="ru-RU"/>
                    </w:rPr>
                  </w:pPr>
                  <w:r>
                    <w:rPr>
                      <w:sz w:val="18"/>
                      <w:szCs w:val="18"/>
                      <w:lang w:eastAsia="ru-RU"/>
                    </w:rPr>
                    <w:t>Б</w:t>
                  </w:r>
                  <w:r>
                    <w:rPr>
                      <w:sz w:val="18"/>
                      <w:szCs w:val="18"/>
                      <w:vertAlign w:val="subscript"/>
                      <w:lang w:eastAsia="ru-RU"/>
                    </w:rPr>
                    <w:t>2</w:t>
                  </w:r>
                  <w:r>
                    <w:rPr>
                      <w:sz w:val="18"/>
                      <w:szCs w:val="18"/>
                      <w:lang w:eastAsia="ru-RU"/>
                    </w:rPr>
                    <w:t xml:space="preserve"> = 2</w:t>
                  </w:r>
                </w:p>
              </w:tc>
              <w:tc>
                <w:tcPr>
                  <w:tcW w:w="5529" w:type="dxa"/>
                  <w:tcBorders>
                    <w:top w:val="single" w:sz="4" w:space="0" w:color="00000A"/>
                    <w:left w:val="single" w:sz="4" w:space="0" w:color="00000A"/>
                    <w:bottom w:val="single" w:sz="4" w:space="0" w:color="00000A"/>
                    <w:right w:val="single" w:sz="4" w:space="0" w:color="00000A"/>
                  </w:tcBorders>
                  <w:shd w:color="auto" w:fill="auto" w:val="clear"/>
                  <w:tcMar>
                    <w:left w:w="103" w:type="dxa"/>
                  </w:tcMar>
                </w:tcPr>
                <w:p>
                  <w:pPr>
                    <w:pStyle w:val="-2"/>
                    <w:widowControl w:val="false"/>
                    <w:numPr>
                      <w:ilvl w:val="0"/>
                      <w:numId w:val="0"/>
                    </w:numPr>
                    <w:spacing w:lineRule="auto" w:line="240" w:before="40" w:after="40"/>
                    <w:ind w:hanging="0" w:left="284"/>
                    <w:contextualSpacing/>
                    <w:jc w:val="left"/>
                    <w:rPr>
                      <w:sz w:val="18"/>
                      <w:szCs w:val="18"/>
                      <w:lang w:eastAsia="ru-RU"/>
                    </w:rPr>
                  </w:pPr>
                  <w:r>
                    <w:rPr>
                      <w:color w:val="000000"/>
                      <w:sz w:val="18"/>
                    </w:rPr>
                    <w:t>Более 6 250 552,20  руб., без учета НДС, но менее 7 500 662,64 руб., без учета НДС (включительно);</w:t>
                  </w:r>
                </w:p>
              </w:tc>
            </w:tr>
            <w:tr>
              <w:trPr>
                <w:cantSplit w:val="true"/>
              </w:trPr>
              <w:tc>
                <w:tcPr>
                  <w:tcW w:w="882" w:type="dxa"/>
                  <w:tcBorders>
                    <w:top w:val="single" w:sz="4" w:space="0" w:color="00000A"/>
                    <w:bottom w:val="single" w:sz="4" w:space="0" w:color="00000A"/>
                    <w:right w:val="single" w:sz="4" w:space="0" w:color="00000A"/>
                  </w:tcBorders>
                  <w:shd w:color="auto" w:fill="auto" w:val="clear"/>
                </w:tcPr>
                <w:p>
                  <w:pPr>
                    <w:pStyle w:val="3"/>
                    <w:widowControl w:val="false"/>
                    <w:numPr>
                      <w:ilvl w:val="0"/>
                      <w:numId w:val="0"/>
                    </w:numPr>
                    <w:spacing w:lineRule="auto" w:line="240" w:before="40" w:after="40"/>
                    <w:ind w:hanging="0" w:left="0"/>
                    <w:contextualSpacing/>
                    <w:jc w:val="center"/>
                    <w:rPr>
                      <w:sz w:val="18"/>
                      <w:szCs w:val="18"/>
                      <w:lang w:eastAsia="ru-RU"/>
                    </w:rPr>
                  </w:pPr>
                  <w:r>
                    <w:rPr>
                      <w:sz w:val="18"/>
                      <w:szCs w:val="18"/>
                      <w:lang w:eastAsia="ru-RU"/>
                    </w:rPr>
                    <w:t>Б</w:t>
                  </w:r>
                  <w:r>
                    <w:rPr>
                      <w:sz w:val="18"/>
                      <w:szCs w:val="18"/>
                      <w:vertAlign w:val="subscript"/>
                      <w:lang w:eastAsia="ru-RU"/>
                    </w:rPr>
                    <w:t>2</w:t>
                  </w:r>
                  <w:r>
                    <w:rPr>
                      <w:sz w:val="18"/>
                      <w:szCs w:val="18"/>
                      <w:lang w:eastAsia="ru-RU"/>
                    </w:rPr>
                    <w:t xml:space="preserve"> = 3</w:t>
                  </w:r>
                </w:p>
              </w:tc>
              <w:tc>
                <w:tcPr>
                  <w:tcW w:w="5529" w:type="dxa"/>
                  <w:tcBorders>
                    <w:top w:val="single" w:sz="4" w:space="0" w:color="00000A"/>
                    <w:left w:val="single" w:sz="4" w:space="0" w:color="00000A"/>
                    <w:bottom w:val="single" w:sz="4" w:space="0" w:color="00000A"/>
                    <w:right w:val="single" w:sz="4" w:space="0" w:color="00000A"/>
                  </w:tcBorders>
                  <w:shd w:color="auto" w:fill="auto" w:val="clear"/>
                  <w:tcMar>
                    <w:left w:w="103" w:type="dxa"/>
                  </w:tcMar>
                </w:tcPr>
                <w:p>
                  <w:pPr>
                    <w:pStyle w:val="-2"/>
                    <w:widowControl w:val="false"/>
                    <w:numPr>
                      <w:ilvl w:val="0"/>
                      <w:numId w:val="0"/>
                    </w:numPr>
                    <w:spacing w:lineRule="auto" w:line="240" w:before="40" w:after="40"/>
                    <w:ind w:hanging="0" w:left="284"/>
                    <w:contextualSpacing/>
                    <w:jc w:val="left"/>
                    <w:rPr>
                      <w:sz w:val="18"/>
                      <w:szCs w:val="18"/>
                      <w:lang w:eastAsia="ru-RU"/>
                    </w:rPr>
                  </w:pPr>
                  <w:r>
                    <w:rPr>
                      <w:color w:val="000000"/>
                      <w:sz w:val="18"/>
                    </w:rPr>
                    <w:t>Более 7 500 662,64  руб., без учета НДС, но менее 8 750 773,08 руб., без учета НДС (включительно);</w:t>
                  </w:r>
                </w:p>
              </w:tc>
            </w:tr>
            <w:tr>
              <w:trPr>
                <w:cantSplit w:val="true"/>
              </w:trPr>
              <w:tc>
                <w:tcPr>
                  <w:tcW w:w="882" w:type="dxa"/>
                  <w:tcBorders>
                    <w:top w:val="single" w:sz="4" w:space="0" w:color="00000A"/>
                    <w:bottom w:val="single" w:sz="4" w:space="0" w:color="00000A"/>
                    <w:right w:val="single" w:sz="4" w:space="0" w:color="00000A"/>
                  </w:tcBorders>
                  <w:shd w:color="auto" w:fill="auto" w:val="clear"/>
                </w:tcPr>
                <w:p>
                  <w:pPr>
                    <w:pStyle w:val="3"/>
                    <w:widowControl w:val="false"/>
                    <w:numPr>
                      <w:ilvl w:val="0"/>
                      <w:numId w:val="0"/>
                    </w:numPr>
                    <w:spacing w:lineRule="auto" w:line="240" w:before="40" w:after="40"/>
                    <w:ind w:hanging="0" w:left="0"/>
                    <w:contextualSpacing/>
                    <w:jc w:val="center"/>
                    <w:rPr>
                      <w:sz w:val="18"/>
                      <w:szCs w:val="18"/>
                      <w:lang w:eastAsia="ru-RU"/>
                    </w:rPr>
                  </w:pPr>
                  <w:r>
                    <w:rPr>
                      <w:sz w:val="18"/>
                      <w:szCs w:val="18"/>
                      <w:lang w:eastAsia="ru-RU"/>
                    </w:rPr>
                    <w:t>Б</w:t>
                  </w:r>
                  <w:r>
                    <w:rPr>
                      <w:sz w:val="18"/>
                      <w:szCs w:val="18"/>
                      <w:vertAlign w:val="subscript"/>
                      <w:lang w:eastAsia="ru-RU"/>
                    </w:rPr>
                    <w:t>2</w:t>
                  </w:r>
                  <w:r>
                    <w:rPr>
                      <w:sz w:val="18"/>
                      <w:szCs w:val="18"/>
                      <w:lang w:eastAsia="ru-RU"/>
                    </w:rPr>
                    <w:t xml:space="preserve"> = 4</w:t>
                  </w:r>
                </w:p>
              </w:tc>
              <w:tc>
                <w:tcPr>
                  <w:tcW w:w="5529" w:type="dxa"/>
                  <w:tcBorders>
                    <w:top w:val="single" w:sz="4" w:space="0" w:color="00000A"/>
                    <w:left w:val="single" w:sz="4" w:space="0" w:color="00000A"/>
                    <w:bottom w:val="single" w:sz="4" w:space="0" w:color="00000A"/>
                    <w:right w:val="single" w:sz="4" w:space="0" w:color="00000A"/>
                  </w:tcBorders>
                  <w:shd w:color="auto" w:fill="auto" w:val="clear"/>
                  <w:tcMar>
                    <w:left w:w="103" w:type="dxa"/>
                  </w:tcMar>
                </w:tcPr>
                <w:p>
                  <w:pPr>
                    <w:pStyle w:val="-2"/>
                    <w:widowControl w:val="false"/>
                    <w:numPr>
                      <w:ilvl w:val="0"/>
                      <w:numId w:val="0"/>
                    </w:numPr>
                    <w:spacing w:lineRule="auto" w:line="240" w:before="40" w:after="40"/>
                    <w:ind w:hanging="0" w:left="284"/>
                    <w:contextualSpacing/>
                    <w:jc w:val="left"/>
                    <w:rPr>
                      <w:sz w:val="18"/>
                      <w:szCs w:val="18"/>
                      <w:lang w:eastAsia="ru-RU"/>
                    </w:rPr>
                  </w:pPr>
                  <w:r>
                    <w:rPr>
                      <w:color w:val="000000"/>
                      <w:sz w:val="18"/>
                    </w:rPr>
                    <w:t>Более 8 750 773,08 руб., без учета НДС, но менее 10 000 883,52  руб., без учета НДС (включительно);</w:t>
                  </w:r>
                </w:p>
              </w:tc>
            </w:tr>
            <w:tr>
              <w:trPr>
                <w:cantSplit w:val="true"/>
              </w:trPr>
              <w:tc>
                <w:tcPr>
                  <w:tcW w:w="882" w:type="dxa"/>
                  <w:tcBorders>
                    <w:top w:val="single" w:sz="4" w:space="0" w:color="00000A"/>
                    <w:bottom w:val="single" w:sz="4" w:space="0" w:color="00000A"/>
                    <w:right w:val="single" w:sz="4" w:space="0" w:color="00000A"/>
                  </w:tcBorders>
                  <w:shd w:color="auto" w:fill="auto" w:val="clear"/>
                </w:tcPr>
                <w:p>
                  <w:pPr>
                    <w:pStyle w:val="3"/>
                    <w:widowControl w:val="false"/>
                    <w:numPr>
                      <w:ilvl w:val="0"/>
                      <w:numId w:val="0"/>
                    </w:numPr>
                    <w:spacing w:lineRule="auto" w:line="240" w:before="40" w:after="40"/>
                    <w:ind w:hanging="0" w:left="0"/>
                    <w:contextualSpacing/>
                    <w:jc w:val="center"/>
                    <w:rPr>
                      <w:sz w:val="18"/>
                      <w:szCs w:val="18"/>
                      <w:lang w:eastAsia="ru-RU"/>
                    </w:rPr>
                  </w:pPr>
                  <w:r>
                    <w:rPr>
                      <w:sz w:val="18"/>
                      <w:szCs w:val="18"/>
                      <w:lang w:eastAsia="ru-RU"/>
                    </w:rPr>
                    <w:t>Б</w:t>
                  </w:r>
                  <w:r>
                    <w:rPr>
                      <w:sz w:val="18"/>
                      <w:szCs w:val="18"/>
                      <w:vertAlign w:val="subscript"/>
                      <w:lang w:eastAsia="ru-RU"/>
                    </w:rPr>
                    <w:t>2</w:t>
                  </w:r>
                  <w:r>
                    <w:rPr>
                      <w:sz w:val="18"/>
                      <w:szCs w:val="18"/>
                      <w:lang w:eastAsia="ru-RU"/>
                    </w:rPr>
                    <w:t xml:space="preserve"> = 5</w:t>
                  </w:r>
                </w:p>
              </w:tc>
              <w:tc>
                <w:tcPr>
                  <w:tcW w:w="5529" w:type="dxa"/>
                  <w:tcBorders>
                    <w:top w:val="single" w:sz="4" w:space="0" w:color="00000A"/>
                    <w:left w:val="single" w:sz="4" w:space="0" w:color="00000A"/>
                    <w:bottom w:val="single" w:sz="4" w:space="0" w:color="00000A"/>
                    <w:right w:val="single" w:sz="4" w:space="0" w:color="00000A"/>
                  </w:tcBorders>
                  <w:shd w:color="auto" w:fill="auto" w:val="clear"/>
                  <w:tcMar>
                    <w:left w:w="103" w:type="dxa"/>
                  </w:tcMar>
                </w:tcPr>
                <w:p>
                  <w:pPr>
                    <w:pStyle w:val="-2"/>
                    <w:widowControl w:val="false"/>
                    <w:numPr>
                      <w:ilvl w:val="0"/>
                      <w:numId w:val="0"/>
                    </w:numPr>
                    <w:spacing w:lineRule="auto" w:line="240" w:before="40" w:after="40"/>
                    <w:ind w:hanging="0" w:left="284"/>
                    <w:contextualSpacing/>
                    <w:jc w:val="left"/>
                    <w:rPr>
                      <w:sz w:val="18"/>
                      <w:szCs w:val="18"/>
                      <w:lang w:eastAsia="ru-RU"/>
                    </w:rPr>
                  </w:pPr>
                  <w:r>
                    <w:rPr>
                      <w:sz w:val="18"/>
                      <w:szCs w:val="18"/>
                      <w:lang w:eastAsia="ru-RU"/>
                    </w:rPr>
                    <w:t>Более 10 000 883,52</w:t>
                  </w:r>
                  <w:r>
                    <w:rPr>
                      <w:color w:val="000000"/>
                      <w:sz w:val="18"/>
                      <w:szCs w:val="18"/>
                      <w:lang w:eastAsia="ru-RU"/>
                    </w:rPr>
                    <w:t xml:space="preserve"> </w:t>
                  </w:r>
                  <w:r>
                    <w:rPr>
                      <w:color w:val="000000"/>
                      <w:sz w:val="18"/>
                    </w:rPr>
                    <w:t xml:space="preserve"> </w:t>
                  </w:r>
                  <w:r>
                    <w:rPr>
                      <w:sz w:val="18"/>
                      <w:szCs w:val="18"/>
                      <w:lang w:eastAsia="ru-RU"/>
                    </w:rPr>
                    <w:t>руб., без учета НДС.</w:t>
                  </w:r>
                </w:p>
              </w:tc>
            </w:tr>
          </w:tbl>
          <w:p>
            <w:pPr>
              <w:pStyle w:val="2"/>
              <w:widowControl w:val="false"/>
              <w:numPr>
                <w:ilvl w:val="0"/>
                <w:numId w:val="0"/>
              </w:numPr>
              <w:spacing w:lineRule="auto" w:line="240" w:before="96" w:after="0"/>
              <w:ind w:hanging="0" w:left="0"/>
              <w:contextualSpacing/>
              <w:jc w:val="left"/>
              <w:rPr>
                <w:sz w:val="18"/>
                <w:szCs w:val="18"/>
                <w:lang w:eastAsia="ru-RU"/>
              </w:rPr>
            </w:pPr>
            <w:r>
              <w:rPr>
                <w:sz w:val="18"/>
                <w:szCs w:val="18"/>
                <w:lang w:eastAsia="ru-RU"/>
              </w:rPr>
              <w:t>где:</w:t>
            </w:r>
          </w:p>
          <w:p>
            <w:pPr>
              <w:pStyle w:val="2"/>
              <w:widowControl w:val="false"/>
              <w:numPr>
                <w:ilvl w:val="0"/>
                <w:numId w:val="0"/>
              </w:numPr>
              <w:tabs>
                <w:tab w:val="left" w:pos="360" w:leader="none"/>
                <w:tab w:val="left" w:pos="742" w:leader="none"/>
                <w:tab w:val="left" w:pos="1167" w:leader="none"/>
                <w:tab w:val="left" w:pos="1440" w:leader="none"/>
                <w:tab w:val="left" w:pos="2736" w:leader="none"/>
              </w:tabs>
              <w:spacing w:lineRule="auto" w:line="240" w:before="0" w:after="0"/>
              <w:ind w:hanging="0" w:left="0"/>
              <w:contextualSpacing/>
              <w:jc w:val="left"/>
              <w:rPr>
                <w:sz w:val="18"/>
                <w:szCs w:val="18"/>
                <w:lang w:eastAsia="ru-RU"/>
              </w:rPr>
            </w:pPr>
            <w:r>
              <w:rPr>
                <w:sz w:val="18"/>
                <w:szCs w:val="18"/>
                <w:lang w:eastAsia="ru-RU"/>
              </w:rPr>
              <w:t>Б</w:t>
            </w:r>
            <w:r>
              <w:rPr>
                <w:sz w:val="18"/>
                <w:szCs w:val="18"/>
                <w:vertAlign w:val="subscript"/>
                <w:lang w:eastAsia="ru-RU"/>
              </w:rPr>
              <w:t>2</w:t>
            </w:r>
            <w:r>
              <w:rPr>
                <w:sz w:val="18"/>
                <w:szCs w:val="18"/>
                <w:lang w:eastAsia="ru-RU"/>
              </w:rPr>
              <w:tab/>
              <w:t>–</w:t>
              <w:tab/>
              <w:t>рассчитанная оценка предпочтительности по данному частному критерию оценки в баллах.</w:t>
            </w:r>
          </w:p>
          <w:p>
            <w:pPr>
              <w:pStyle w:val="3"/>
              <w:widowControl w:val="false"/>
              <w:numPr>
                <w:ilvl w:val="0"/>
                <w:numId w:val="0"/>
              </w:numPr>
              <w:spacing w:lineRule="auto" w:line="240" w:before="40" w:after="40"/>
              <w:ind w:hanging="0" w:left="0"/>
              <w:contextualSpacing/>
              <w:jc w:val="left"/>
              <w:rPr>
                <w:sz w:val="18"/>
                <w:szCs w:val="18"/>
                <w:lang w:eastAsia="ru-RU"/>
              </w:rPr>
            </w:pPr>
            <w:r>
              <w:rPr>
                <w:sz w:val="18"/>
                <w:szCs w:val="18"/>
                <w:lang w:eastAsia="ru-RU"/>
              </w:rPr>
              <w:t>Опыт, несоответствующий установленным в документации о закупке требованиям (приложение №1 к ТТ), не оценивается.</w:t>
            </w:r>
          </w:p>
          <w:p>
            <w:pPr>
              <w:pStyle w:val="3"/>
              <w:widowControl w:val="false"/>
              <w:numPr>
                <w:ilvl w:val="0"/>
                <w:numId w:val="0"/>
              </w:numPr>
              <w:spacing w:lineRule="auto" w:line="240" w:before="40" w:after="40"/>
              <w:ind w:hanging="0" w:left="0"/>
              <w:contextualSpacing/>
              <w:jc w:val="left"/>
              <w:rPr>
                <w:sz w:val="18"/>
                <w:szCs w:val="18"/>
                <w:lang w:eastAsia="ru-RU"/>
              </w:rPr>
            </w:pPr>
            <w:r>
              <w:rPr>
                <w:sz w:val="18"/>
                <w:szCs w:val="18"/>
                <w:lang w:eastAsia="ru-RU"/>
              </w:rPr>
              <w:t>Шкала оценок от 0 до 5 баллов.</w:t>
            </w:r>
          </w:p>
        </w:tc>
      </w:tr>
      <w:tr>
        <w:trPr>
          <w:cantSplit w:val="true"/>
        </w:trPr>
        <w:tc>
          <w:tcPr>
            <w:tcW w:w="5283" w:type="dxa"/>
            <w:gridSpan w:val="4"/>
            <w:tcBorders>
              <w:top w:val="single" w:sz="4" w:space="0" w:color="00000A"/>
              <w:left w:val="single" w:sz="4" w:space="0" w:color="00000A"/>
              <w:bottom w:val="single" w:sz="4" w:space="0" w:color="00000A"/>
              <w:right w:val="single" w:sz="4" w:space="0" w:color="00000A"/>
            </w:tcBorders>
            <w:shd w:color="auto" w:fill="auto" w:val="clear"/>
          </w:tcPr>
          <w:p>
            <w:pPr>
              <w:pStyle w:val="3"/>
              <w:widowControl w:val="false"/>
              <w:numPr>
                <w:ilvl w:val="0"/>
                <w:numId w:val="0"/>
              </w:numPr>
              <w:spacing w:lineRule="auto" w:line="240" w:before="40" w:after="40"/>
              <w:ind w:hanging="0" w:left="0"/>
              <w:contextualSpacing/>
              <w:jc w:val="right"/>
              <w:rPr>
                <w:sz w:val="18"/>
                <w:szCs w:val="18"/>
                <w:lang w:eastAsia="ru-RU"/>
              </w:rPr>
            </w:pPr>
            <w:r>
              <w:rPr>
                <w:sz w:val="18"/>
                <w:szCs w:val="18"/>
                <w:lang w:eastAsia="ru-RU"/>
              </w:rPr>
              <w:t>Итоговая оценка предпочтительности заявки:</w:t>
            </w:r>
          </w:p>
        </w:tc>
        <w:tc>
          <w:tcPr>
            <w:tcW w:w="9794" w:type="dxa"/>
            <w:gridSpan w:val="3"/>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val="false"/>
              <w:spacing w:before="40" w:after="0"/>
              <w:rPr>
                <w:sz w:val="18"/>
                <w:szCs w:val="18"/>
              </w:rPr>
            </w:pPr>
            <w:r>
              <w:rPr>
                <w:sz w:val="18"/>
                <w:szCs w:val="18"/>
              </w:rPr>
              <w:t xml:space="preserve">Расчет итоговой оценки предпочтительности </w:t>
            </w:r>
            <w:r>
              <w:rPr>
                <w:i/>
                <w:sz w:val="18"/>
                <w:szCs w:val="18"/>
                <w:lang w:val="en-US"/>
              </w:rPr>
              <w:t>i</w:t>
            </w:r>
            <w:r>
              <w:rPr>
                <w:sz w:val="18"/>
                <w:szCs w:val="18"/>
              </w:rPr>
              <w:t>-ой заявки:</w:t>
            </w:r>
          </w:p>
          <w:p>
            <w:pPr>
              <w:pStyle w:val="Normal"/>
              <w:keepNext w:val="true"/>
              <w:widowControl w:val="false"/>
              <w:jc w:val="center"/>
              <w:rPr>
                <w:sz w:val="18"/>
                <w:szCs w:val="18"/>
              </w:rPr>
            </w:pPr>
            <w:r>
              <w:rPr>
                <w:sz w:val="18"/>
                <w:szCs w:val="18"/>
              </w:rPr>
            </w:r>
          </w:p>
          <w:p>
            <w:pPr>
              <w:pStyle w:val="Normal"/>
              <w:keepNext w:val="true"/>
              <w:widowControl w:val="false"/>
              <w:spacing w:before="96" w:after="0"/>
              <w:jc w:val="center"/>
              <w:rPr>
                <w:sz w:val="20"/>
                <w:szCs w:val="20"/>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ИТОГ</m:t>
                    </m:r>
                  </m:sub>
                </m:sSub>
                <m:r>
                  <w:rPr>
                    <w:rFonts w:ascii="Cambria Math" w:hAnsi="Cambria Math"/>
                  </w:rPr>
                  <m:t xml:space="preserve">=</m:t>
                </m:r>
                <m:nary>
                  <m:naryPr>
                    <m:chr m:val="∑"/>
                    <m:subHide m:val="1"/>
                    <m:supHide m:val="1"/>
                  </m:naryPr>
                  <m:sub/>
                  <m:sup/>
                  <m:e>
                    <m:d>
                      <m:dPr>
                        <m:begChr m:val="("/>
                        <m:endChr m:val=")"/>
                      </m:dPr>
                      <m:e>
                        <m:sSub>
                          <m:e>
                            <m:r>
                              <w:rPr>
                                <w:rFonts w:ascii="Cambria Math" w:hAnsi="Cambria Math"/>
                              </w:rPr>
                              <m:t xml:space="preserve">Б</m:t>
                            </m:r>
                          </m:e>
                          <m:sub>
                            <m:sSub>
                              <m:e>
                                <m:r>
                                  <w:rPr>
                                    <w:rFonts w:ascii="Cambria Math" w:hAnsi="Cambria Math"/>
                                  </w:rPr>
                                  <m:t xml:space="preserve">1</m:t>
                                </m:r>
                                <m:r>
                                  <w:rPr>
                                    <w:rFonts w:ascii="Cambria Math" w:hAnsi="Cambria Math"/>
                                  </w:rPr>
                                  <m:t xml:space="preserve">уровень</m:t>
                                </m:r>
                              </m:e>
                              <m:sub>
                                <m:r>
                                  <w:rPr>
                                    <w:rFonts w:ascii="Cambria Math" w:hAnsi="Cambria Math"/>
                                  </w:rPr>
                                  <m:t xml:space="preserve">k</m:t>
                                </m:r>
                              </m:sub>
                            </m:sSub>
                          </m:sub>
                        </m:sSub>
                        <m:r>
                          <w:rPr>
                            <w:rFonts w:ascii="Cambria Math" w:hAnsi="Cambria Math"/>
                          </w:rPr>
                          <m:t xml:space="preserve">×</m:t>
                        </m:r>
                        <m:sSub>
                          <m:e>
                            <m:r>
                              <w:rPr>
                                <w:rFonts w:ascii="Cambria Math" w:hAnsi="Cambria Math"/>
                              </w:rPr>
                              <m:t xml:space="preserve">В</m:t>
                            </m:r>
                          </m:e>
                          <m:sub>
                            <m:sSub>
                              <m:e>
                                <m:r>
                                  <w:rPr>
                                    <w:rFonts w:ascii="Cambria Math" w:hAnsi="Cambria Math"/>
                                  </w:rPr>
                                  <m:t xml:space="preserve">1</m:t>
                                </m:r>
                                <m:r>
                                  <w:rPr>
                                    <w:rFonts w:ascii="Cambria Math" w:hAnsi="Cambria Math"/>
                                  </w:rPr>
                                  <m:t xml:space="preserve">уровень</m:t>
                                </m:r>
                              </m:e>
                              <m:sub>
                                <m:r>
                                  <w:rPr>
                                    <w:rFonts w:ascii="Cambria Math" w:hAnsi="Cambria Math"/>
                                  </w:rPr>
                                  <m:t xml:space="preserve">k</m:t>
                                </m:r>
                              </m:sub>
                            </m:sSub>
                          </m:sub>
                        </m:sSub>
                      </m:e>
                    </m:d>
                  </m:e>
                </m:nary>
                <m:r>
                  <w:rPr>
                    <w:rFonts w:ascii="Cambria Math" w:hAnsi="Cambria Math"/>
                  </w:rPr>
                  <m:t xml:space="preserve">,</m:t>
                </m:r>
              </m:oMath>
            </m:oMathPara>
          </w:p>
          <w:p>
            <w:pPr>
              <w:pStyle w:val="Normal"/>
              <w:keepNext w:val="true"/>
              <w:widowControl w:val="false"/>
              <w:spacing w:before="96" w:after="0"/>
              <w:rPr>
                <w:sz w:val="18"/>
                <w:szCs w:val="18"/>
              </w:rPr>
            </w:pPr>
            <w:r>
              <w:rPr>
                <w:sz w:val="18"/>
                <w:szCs w:val="18"/>
              </w:rPr>
              <w:t>где:</w:t>
            </w:r>
          </w:p>
          <w:p>
            <w:pPr>
              <w:pStyle w:val="Normal"/>
              <w:widowControl w:val="false"/>
              <w:tabs>
                <w:tab w:val="clear" w:pos="708"/>
                <w:tab w:val="left" w:pos="742" w:leader="none"/>
                <w:tab w:val="left" w:pos="1167" w:leader="none"/>
              </w:tabs>
              <w:rPr>
                <w:sz w:val="18"/>
                <w:szCs w:val="18"/>
              </w:rPr>
            </w:pPr>
            <w:r>
              <w:rPr>
                <w:sz w:val="18"/>
                <w:szCs w:val="18"/>
              </w:rPr>
              <w:t>Б</w:t>
            </w:r>
            <w:r>
              <w:rPr>
                <w:sz w:val="18"/>
                <w:szCs w:val="18"/>
                <w:vertAlign w:val="subscript"/>
              </w:rPr>
              <w:t>ИТОГ</w:t>
            </w:r>
            <w:r>
              <w:rPr>
                <w:sz w:val="18"/>
                <w:szCs w:val="18"/>
              </w:rPr>
              <w:tab/>
              <w:t>–</w:t>
              <w:tab/>
              <w:t>рассчитанная итоговая оценка предпочтительности в баллах;</w:t>
            </w:r>
          </w:p>
          <w:p>
            <w:pPr>
              <w:pStyle w:val="Normal"/>
              <w:widowControl w:val="false"/>
              <w:tabs>
                <w:tab w:val="clear" w:pos="708"/>
                <w:tab w:val="left" w:pos="742" w:leader="none"/>
                <w:tab w:val="left" w:pos="1167" w:leader="none"/>
              </w:tabs>
              <w:rPr>
                <w:sz w:val="18"/>
                <w:szCs w:val="18"/>
              </w:rPr>
            </w:pPr>
            <w:r>
              <w:rPr>
                <w:sz w:val="18"/>
                <w:szCs w:val="18"/>
              </w:rPr>
              <w:t>Б</w:t>
            </w:r>
            <w:r>
              <w:rPr>
                <w:sz w:val="18"/>
                <w:szCs w:val="18"/>
                <w:vertAlign w:val="subscript"/>
              </w:rPr>
              <w:t>1 уровень k</w:t>
            </w:r>
            <w:r>
              <w:rPr>
                <w:sz w:val="18"/>
                <w:szCs w:val="18"/>
              </w:rPr>
              <w:tab/>
              <w:t>–</w:t>
              <w:tab/>
              <w:t>оценка предпочтительности по k-тому критерию оценки первого уровня в баллах;</w:t>
            </w:r>
          </w:p>
          <w:p>
            <w:pPr>
              <w:pStyle w:val="2"/>
              <w:widowControl w:val="false"/>
              <w:numPr>
                <w:ilvl w:val="0"/>
                <w:numId w:val="0"/>
              </w:numPr>
              <w:tabs>
                <w:tab w:val="left" w:pos="360" w:leader="none"/>
                <w:tab w:val="left" w:pos="742" w:leader="none"/>
                <w:tab w:val="left" w:pos="1167" w:leader="none"/>
                <w:tab w:val="left" w:pos="1440" w:leader="none"/>
                <w:tab w:val="left" w:pos="2736" w:leader="none"/>
              </w:tabs>
              <w:spacing w:lineRule="auto" w:line="240" w:before="0" w:after="120"/>
              <w:ind w:hanging="0" w:left="0"/>
              <w:contextualSpacing/>
              <w:jc w:val="left"/>
              <w:rPr>
                <w:sz w:val="18"/>
                <w:szCs w:val="18"/>
                <w:lang w:eastAsia="ru-RU"/>
              </w:rPr>
            </w:pPr>
            <w:r>
              <w:rPr>
                <w:sz w:val="18"/>
                <w:szCs w:val="18"/>
              </w:rPr>
              <w:t>В</w:t>
            </w:r>
            <w:r>
              <w:rPr>
                <w:sz w:val="18"/>
                <w:szCs w:val="18"/>
                <w:vertAlign w:val="subscript"/>
              </w:rPr>
              <w:t>1 уровень k</w:t>
            </w:r>
            <w:r>
              <w:rPr>
                <w:sz w:val="18"/>
                <w:szCs w:val="18"/>
              </w:rPr>
              <w:tab/>
              <w:t>–</w:t>
              <w:tab/>
              <w:t>значимость k-ого критерия оценки первого уровня, выраженная в диапазоне от 1% до 100% (или от 0,01 до 1,00) – вес k-ого критерия оценки первого уровня.</w:t>
            </w:r>
          </w:p>
          <w:p>
            <w:pPr>
              <w:pStyle w:val="2"/>
              <w:widowControl w:val="false"/>
              <w:numPr>
                <w:ilvl w:val="0"/>
                <w:numId w:val="0"/>
              </w:numPr>
              <w:tabs>
                <w:tab w:val="left" w:pos="360" w:leader="none"/>
                <w:tab w:val="left" w:pos="742" w:leader="none"/>
                <w:tab w:val="left" w:pos="1167" w:leader="none"/>
                <w:tab w:val="left" w:pos="1440" w:leader="none"/>
                <w:tab w:val="left" w:pos="2736" w:leader="none"/>
              </w:tabs>
              <w:spacing w:lineRule="auto" w:line="240" w:before="0" w:after="120"/>
              <w:ind w:hanging="0" w:left="0"/>
              <w:contextualSpacing/>
              <w:jc w:val="left"/>
              <w:rPr>
                <w:sz w:val="18"/>
                <w:szCs w:val="18"/>
                <w:lang w:eastAsia="ru-RU"/>
              </w:rPr>
            </w:pPr>
            <w:r>
              <w:rPr>
                <w:i/>
                <w:iCs/>
                <w:sz w:val="18"/>
                <w:szCs w:val="18"/>
              </w:rPr>
              <w:t>Расчет значений баллов по частным / обобщенным критериям оценки, а также итогового балла (итоговой оценки предпочтительности) производится до четвертого знака после запятой (в соответствии с математическими правилами округления).</w:t>
            </w:r>
          </w:p>
        </w:tc>
      </w:tr>
    </w:tbl>
    <w:p>
      <w:pPr>
        <w:pStyle w:val="Style26"/>
        <w:rPr>
          <w:rFonts w:ascii="Times New Roman" w:hAnsi="Times New Roman"/>
          <w:sz w:val="24"/>
          <w:szCs w:val="24"/>
        </w:rPr>
      </w:pPr>
      <w:r>
        <w:rPr>
          <w:sz w:val="24"/>
          <w:szCs w:val="24"/>
        </w:rPr>
        <w:t>Итоговая оценка предпочтительности заявки формируется путем взвешенного суммирования (суммирования в баллах, умноженных на соответствующий коэффициент значимости критерия), производимого в рамках критериев одного уровня. Общая значимость всех критериев одного уровня на одной ветке иерархии составляет 100%. Вычисление оценки предпочтительности по каждому критерию и итоговой оценки предпочтительности заявки производится с точностью до десятитысячных балла.</w:t>
      </w:r>
    </w:p>
    <w:p>
      <w:pPr>
        <w:pStyle w:val="Style26"/>
        <w:rPr>
          <w:rFonts w:ascii="Times New Roman" w:hAnsi="Times New Roman"/>
          <w:sz w:val="24"/>
          <w:szCs w:val="24"/>
        </w:rPr>
      </w:pPr>
      <w:r>
        <w:rPr>
          <w:sz w:val="24"/>
          <w:szCs w:val="24"/>
        </w:rPr>
        <w:t>В установленных случаях оценка и сопоставление заявок производится с учетом предоставления национального режима в соответствии с порядком, предусмотренном подразделом </w:t>
      </w:r>
      <w:r>
        <w:rPr>
          <w:sz w:val="24"/>
          <w:szCs w:val="24"/>
        </w:rPr>
        <w:fldChar w:fldCharType="begin"/>
      </w:r>
      <w:r>
        <w:rPr>
          <w:sz w:val="24"/>
          <w:szCs w:val="24"/>
        </w:rPr>
        <w:instrText xml:space="preserve"> REF _Ref130985951 \r \h </w:instrText>
      </w:r>
      <w:r>
        <w:rPr>
          <w:sz w:val="24"/>
          <w:szCs w:val="24"/>
        </w:rPr>
        <w:fldChar w:fldCharType="separate"/>
      </w:r>
      <w:r>
        <w:rPr>
          <w:sz w:val="24"/>
          <w:szCs w:val="24"/>
        </w:rPr>
        <w:t>4.13</w:t>
      </w:r>
      <w:r>
        <w:rPr>
          <w:sz w:val="24"/>
          <w:szCs w:val="24"/>
        </w:rPr>
        <w:fldChar w:fldCharType="end"/>
      </w:r>
      <w:r>
        <w:rPr>
          <w:sz w:val="24"/>
          <w:szCs w:val="24"/>
        </w:rPr>
        <w:t>.</w:t>
      </w:r>
    </w:p>
    <w:p>
      <w:pPr>
        <w:sectPr>
          <w:headerReference w:type="default" r:id="rId34"/>
          <w:headerReference w:type="first" r:id="rId35"/>
          <w:footerReference w:type="default" r:id="rId36"/>
          <w:footerReference w:type="first" r:id="rId37"/>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Style w:val="Style26"/>
        <w:rPr>
          <w:rFonts w:ascii="Times New Roman" w:hAnsi="Times New Roman"/>
          <w:sz w:val="24"/>
          <w:szCs w:val="24"/>
        </w:rPr>
      </w:pPr>
      <w:r>
        <w:rPr>
          <w:sz w:val="24"/>
          <w:szCs w:val="24"/>
        </w:rPr>
        <w:t>Заявки участников (из числа успешно прошедших отборочную стадию) ранжируются по количеству набранных баллов (от наибольшего к наименьшему), присвоенных заявкам по результатам оценки.</w:t>
      </w:r>
    </w:p>
    <w:p>
      <w:pPr>
        <w:pStyle w:val="Style24"/>
        <w:rPr>
          <w:rFonts w:ascii="Times New Roman" w:hAnsi="Times New Roman"/>
          <w:sz w:val="24"/>
          <w:szCs w:val="24"/>
        </w:rPr>
      </w:pPr>
      <w:bookmarkStart w:id="401" w:name="_Ref125360420"/>
      <w:bookmarkStart w:id="402" w:name="Прил09_ОбоснованиеНМЦ"/>
      <w:bookmarkStart w:id="403" w:name="_Toc229567090"/>
      <w:bookmarkStart w:id="404" w:name="_Toc136249260"/>
      <w:bookmarkStart w:id="405" w:name="_Toc136261689"/>
      <w:bookmarkStart w:id="406" w:name="_Toc136261766"/>
      <w:bookmarkStart w:id="407" w:name="_Toc136249261"/>
      <w:bookmarkStart w:id="408" w:name="_Toc136261690"/>
      <w:bookmarkStart w:id="409" w:name="_Toc136261767"/>
      <w:bookmarkStart w:id="410" w:name="_Toc136249262"/>
      <w:bookmarkStart w:id="411" w:name="_Toc136261691"/>
      <w:bookmarkStart w:id="412" w:name="_Toc136261768"/>
      <w:bookmarkStart w:id="413" w:name="_Toc136249263"/>
      <w:bookmarkStart w:id="414" w:name="_Toc136261692"/>
      <w:bookmarkStart w:id="415" w:name="_Toc136261769"/>
      <w:bookmarkEnd w:id="404"/>
      <w:bookmarkEnd w:id="405"/>
      <w:bookmarkEnd w:id="406"/>
      <w:bookmarkEnd w:id="407"/>
      <w:bookmarkEnd w:id="408"/>
      <w:bookmarkEnd w:id="409"/>
      <w:bookmarkEnd w:id="410"/>
      <w:bookmarkEnd w:id="411"/>
      <w:bookmarkEnd w:id="412"/>
      <w:bookmarkEnd w:id="413"/>
      <w:bookmarkEnd w:id="414"/>
      <w:bookmarkEnd w:id="415"/>
      <w:r>
        <w:rPr>
          <w:sz w:val="24"/>
          <w:szCs w:val="24"/>
        </w:rPr>
        <w:t>Приложение № 9 – Обоснование НМЦ</w:t>
      </w:r>
      <w:bookmarkEnd w:id="401"/>
      <w:bookmarkEnd w:id="402"/>
      <w:bookmarkEnd w:id="403"/>
    </w:p>
    <w:p>
      <w:pPr>
        <w:pStyle w:val="Style25"/>
        <w:rPr>
          <w:rFonts w:ascii="Times New Roman" w:hAnsi="Times New Roman"/>
          <w:sz w:val="24"/>
          <w:szCs w:val="24"/>
        </w:rPr>
      </w:pPr>
      <w:bookmarkStart w:id="416" w:name="_Toc229567091"/>
      <w:r>
        <w:rPr>
          <w:sz w:val="24"/>
          <w:szCs w:val="24"/>
        </w:rPr>
        <w:t>Пояснения к Обоснованию НМЦ</w:t>
      </w:r>
      <w:bookmarkEnd w:id="416"/>
    </w:p>
    <w:p>
      <w:pPr>
        <w:pStyle w:val="Style26"/>
        <w:rPr>
          <w:rFonts w:ascii="Times New Roman" w:hAnsi="Times New Roman"/>
          <w:sz w:val="24"/>
          <w:szCs w:val="24"/>
        </w:rPr>
      </w:pPr>
      <w:r>
        <w:rPr>
          <w:sz w:val="24"/>
          <w:szCs w:val="24"/>
        </w:rPr>
        <w:t>Обоснование НМЦ приведено в отдельном файле (предоставляется отдельным документом в составе Документации о закупке), являющимся Приложением № 9 к Документации о закупке.</w:t>
      </w:r>
    </w:p>
    <w:p>
      <w:pPr>
        <w:pStyle w:val="Style24"/>
        <w:rPr>
          <w:rFonts w:ascii="Times New Roman" w:hAnsi="Times New Roman"/>
          <w:sz w:val="24"/>
          <w:szCs w:val="24"/>
        </w:rPr>
      </w:pPr>
      <w:bookmarkStart w:id="417" w:name="_Toc229567092"/>
      <w:bookmarkStart w:id="418" w:name="Прил10_ЗаявкаНаАккредитацию"/>
      <w:bookmarkEnd w:id="418"/>
      <w:r>
        <w:rPr>
          <w:sz w:val="24"/>
          <w:szCs w:val="24"/>
        </w:rPr>
        <w:t>Приложение № 10 – Форма Заявки на аккредитацию</w:t>
      </w:r>
      <w:bookmarkEnd w:id="417"/>
    </w:p>
    <w:p>
      <w:pPr>
        <w:pStyle w:val="Style25"/>
        <w:rPr>
          <w:rFonts w:ascii="Times New Roman" w:hAnsi="Times New Roman"/>
          <w:sz w:val="24"/>
          <w:szCs w:val="24"/>
        </w:rPr>
      </w:pPr>
      <w:bookmarkStart w:id="419" w:name="_Toc229567093"/>
      <w:r>
        <w:rPr>
          <w:sz w:val="24"/>
          <w:szCs w:val="24"/>
        </w:rPr>
        <w:t>Пояснения к форме Заявки на аккредитацию</w:t>
      </w:r>
      <w:bookmarkEnd w:id="419"/>
    </w:p>
    <w:p>
      <w:pPr>
        <w:pStyle w:val="Style26"/>
        <w:rPr>
          <w:rFonts w:ascii="Times New Roman" w:hAnsi="Times New Roman"/>
          <w:sz w:val="24"/>
          <w:szCs w:val="24"/>
        </w:rPr>
      </w:pPr>
      <w:r>
        <w:rPr>
          <w:sz w:val="24"/>
          <w:szCs w:val="24"/>
        </w:rPr>
        <w:t xml:space="preserve">Форма Заявки на аккредитацию приведена в отдельном файле (предоставляется отдельным документом в составе Документации о закупке), являющимся Приложением № 10 к Документации о закупке. </w:t>
      </w:r>
    </w:p>
    <w:p>
      <w:pPr>
        <w:pStyle w:val="Style26"/>
        <w:rPr>
          <w:rFonts w:ascii="Times New Roman" w:hAnsi="Times New Roman"/>
          <w:sz w:val="24"/>
          <w:szCs w:val="24"/>
        </w:rPr>
      </w:pPr>
      <w:r>
        <w:rPr>
          <w:sz w:val="24"/>
          <w:szCs w:val="24"/>
        </w:rPr>
        <w:t xml:space="preserve">Заявка на аккредитацию предоставляется (в установленных Документацией о закупке случаях) Участником в составе своей заявки </w:t>
      </w:r>
      <w:bookmarkStart w:id="420" w:name="_Hlk207300788"/>
      <w:r>
        <w:rPr>
          <w:sz w:val="24"/>
          <w:szCs w:val="24"/>
        </w:rPr>
        <w:t xml:space="preserve">только в электронном виде в формате </w:t>
      </w:r>
      <w:r>
        <w:rPr>
          <w:sz w:val="24"/>
          <w:szCs w:val="24"/>
          <w:lang w:val="en-US"/>
        </w:rPr>
        <w:t>Microsoft</w:t>
      </w:r>
      <w:r>
        <w:rPr>
          <w:sz w:val="24"/>
          <w:szCs w:val="24"/>
        </w:rPr>
        <w:t xml:space="preserve"> </w:t>
      </w:r>
      <w:r>
        <w:rPr>
          <w:sz w:val="24"/>
          <w:szCs w:val="24"/>
          <w:lang w:val="en-US"/>
        </w:rPr>
        <w:t>Excel</w:t>
      </w:r>
      <w:r>
        <w:rPr>
          <w:sz w:val="24"/>
          <w:szCs w:val="24"/>
        </w:rPr>
        <w:t xml:space="preserve"> (*.</w:t>
      </w:r>
      <w:r>
        <w:rPr>
          <w:sz w:val="24"/>
          <w:szCs w:val="24"/>
          <w:lang w:val="en-US"/>
        </w:rPr>
        <w:t>xlsx</w:t>
      </w:r>
      <w:r>
        <w:rPr>
          <w:sz w:val="24"/>
          <w:szCs w:val="24"/>
        </w:rPr>
        <w:t>))</w:t>
      </w:r>
      <w:bookmarkEnd w:id="420"/>
      <w:r>
        <w:rPr>
          <w:sz w:val="24"/>
          <w:szCs w:val="24"/>
        </w:rPr>
        <w:t>.</w:t>
      </w:r>
    </w:p>
    <w:p>
      <w:pPr>
        <w:pStyle w:val="Style30"/>
        <w:jc w:val="center"/>
        <w:rPr>
          <w:rFonts w:ascii="Times New Roman" w:hAnsi="Times New Roman"/>
          <w:sz w:val="24"/>
          <w:szCs w:val="24"/>
        </w:rPr>
      </w:pPr>
      <w:r>
        <w:rPr/>
        <w:object>
          <v:shapetype id="_x0000_tole_rId38" coordsize="21600,21600" o:spt="ole_rId38"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38" type="_x0000_tole_rId38" style="width:79.25pt;height:49.6pt;mso-wrap-distance-right:0pt" filled="f" o:ole="">
            <v:imagedata r:id="rId39" o:title=""/>
          </v:shape>
          <o:OLEObject Type="Embed" ProgID="Excel.Sheet.12" ShapeID="ole_rId38" DrawAspect="Icon" ObjectID="_44750014" r:id="rId38"/>
        </w:object>
      </w:r>
    </w:p>
    <w:p>
      <w:pPr>
        <w:pStyle w:val="Normal"/>
        <w:rPr>
          <w:rFonts w:ascii="Times New Roman" w:hAnsi="Times New Roman"/>
          <w:sz w:val="24"/>
          <w:szCs w:val="24"/>
        </w:rPr>
      </w:pPr>
      <w:r>
        <w:rPr>
          <w:sz w:val="24"/>
          <w:szCs w:val="24"/>
        </w:rPr>
      </w:r>
    </w:p>
    <w:p>
      <w:pPr>
        <w:pStyle w:val="Style24"/>
        <w:rPr>
          <w:rFonts w:ascii="Times New Roman" w:hAnsi="Times New Roman"/>
          <w:sz w:val="24"/>
          <w:szCs w:val="24"/>
        </w:rPr>
      </w:pPr>
      <w:bookmarkStart w:id="421" w:name="_Toc229567094"/>
      <w:bookmarkStart w:id="422" w:name="Прил11_Данные_бухотчетность"/>
      <w:r>
        <w:rPr>
          <w:sz w:val="24"/>
          <w:szCs w:val="24"/>
        </w:rPr>
        <w:t xml:space="preserve">Приложение № 11 </w:t>
      </w:r>
      <w:bookmarkEnd w:id="422"/>
      <w:r>
        <w:rPr>
          <w:sz w:val="24"/>
          <w:szCs w:val="24"/>
        </w:rPr>
        <w:t>– форма Данных бухгалтерской (финансовой) отчетности</w:t>
      </w:r>
      <w:bookmarkEnd w:id="421"/>
    </w:p>
    <w:p>
      <w:pPr>
        <w:pStyle w:val="Style25"/>
        <w:rPr>
          <w:rFonts w:ascii="Times New Roman" w:hAnsi="Times New Roman"/>
          <w:sz w:val="24"/>
          <w:szCs w:val="24"/>
        </w:rPr>
      </w:pPr>
      <w:bookmarkStart w:id="423" w:name="_Toc229567095"/>
      <w:r>
        <w:rPr>
          <w:sz w:val="24"/>
          <w:szCs w:val="24"/>
        </w:rPr>
        <w:t>Пояснения к форме Данных бухгалтерской (финансовой) отчетности</w:t>
      </w:r>
      <w:bookmarkEnd w:id="423"/>
      <w:r>
        <w:rPr>
          <w:sz w:val="24"/>
          <w:szCs w:val="24"/>
        </w:rPr>
        <w:t xml:space="preserve"> </w:t>
      </w:r>
    </w:p>
    <w:p>
      <w:pPr>
        <w:pStyle w:val="Style26"/>
        <w:rPr>
          <w:rFonts w:ascii="Times New Roman" w:hAnsi="Times New Roman"/>
          <w:sz w:val="24"/>
          <w:szCs w:val="24"/>
        </w:rPr>
      </w:pPr>
      <w:r>
        <w:rPr>
          <w:sz w:val="24"/>
          <w:szCs w:val="24"/>
        </w:rPr>
        <w:t>Форма Данных бухгалтерской (финансовой) отчетности приведена в отдельном файле (предоставляется отдельным документом в составе Документации о закупке), являющимся Приложением № 11 к Документации о закупке.</w:t>
      </w:r>
    </w:p>
    <w:p>
      <w:pPr>
        <w:pStyle w:val="Normal"/>
        <w:rPr>
          <w:rFonts w:ascii="Times New Roman" w:hAnsi="Times New Roman"/>
          <w:sz w:val="24"/>
          <w:szCs w:val="24"/>
        </w:rPr>
      </w:pPr>
      <w:r>
        <w:rPr>
          <w:sz w:val="24"/>
          <w:szCs w:val="24"/>
        </w:rPr>
      </w:r>
      <w:bookmarkStart w:id="424" w:name="_MON_1821256687"/>
      <w:bookmarkStart w:id="425" w:name="_MON_1821256687"/>
      <w:bookmarkEnd w:id="425"/>
    </w:p>
    <w:p>
      <w:pPr>
        <w:pStyle w:val="Normal"/>
        <w:jc w:val="center"/>
        <w:rPr>
          <w:rFonts w:ascii="Times New Roman" w:hAnsi="Times New Roman"/>
          <w:sz w:val="24"/>
          <w:szCs w:val="24"/>
        </w:rPr>
      </w:pPr>
      <w:bookmarkStart w:id="426" w:name="_Hlk210644436"/>
      <w:bookmarkStart w:id="427" w:name="_MON_1821256687_Копия_1"/>
      <w:bookmarkEnd w:id="427"/>
      <w:r>
        <w:rPr/>
        <w:object>
          <v:shapetype id="_x0000_tole_rId40" coordsize="21600,21600" o:spt="ole_rId40"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40" type="_x0000_tole_rId40" style="width:79.25pt;height:49.6pt;mso-wrap-distance-right:0pt" filled="f" o:ole="">
            <v:imagedata r:id="rId41" o:title=""/>
          </v:shape>
          <o:OLEObject Type="Embed" ProgID="Word.Document.12" ShapeID="ole_rId40" DrawAspect="Icon" ObjectID="_2060115572" r:id="rId40"/>
        </w:object>
      </w:r>
      <w:bookmarkEnd w:id="426"/>
    </w:p>
    <w:p>
      <w:pPr>
        <w:pStyle w:val="Normal"/>
        <w:jc w:val="center"/>
        <w:rPr>
          <w:rFonts w:ascii="Times New Roman" w:hAnsi="Times New Roman"/>
          <w:sz w:val="24"/>
          <w:szCs w:val="24"/>
        </w:rPr>
      </w:pPr>
      <w:r>
        <w:rPr>
          <w:sz w:val="24"/>
          <w:szCs w:val="24"/>
        </w:rPr>
      </w:r>
    </w:p>
    <w:sectPr>
      <w:headerReference w:type="default" r:id="rId42"/>
      <w:headerReference w:type="first" r:id="rId43"/>
      <w:footerReference w:type="default" r:id="rId44"/>
      <w:footerReference w:type="first" r:id="rId45"/>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Segoe UI">
    <w:charset w:val="01"/>
    <w:family w:val="roman"/>
    <w:pitch w:val="variable"/>
  </w:font>
  <w:font w:name="Liberation Sans">
    <w:altName w:val="Arial"/>
    <w:charset w:val="01"/>
    <w:family w:val="roman"/>
    <w:pitch w:val="variable"/>
  </w:font>
  <w:font w:name="Calibri">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243929444"/>
    </w:sdtPr>
    <w:sdtContent>
      <w:p>
        <w:pPr>
          <w:pStyle w:val="Footer"/>
          <w:spacing w:before="120" w:after="0"/>
          <w:rPr/>
        </w:pPr>
        <w:r>
          <w:rPr/>
          <w:fldChar w:fldCharType="begin"/>
        </w:r>
        <w:r>
          <w:rPr/>
          <w:instrText xml:space="preserve"> PAGE </w:instrText>
        </w:r>
        <w:r>
          <w:rPr/>
          <w:fldChar w:fldCharType="separate"/>
        </w:r>
        <w:r>
          <w:rPr/>
          <w:t>10</w:t>
        </w:r>
        <w:r>
          <w:rPr/>
          <w:fldChar w:fldCharType="end"/>
        </w:r>
      </w:p>
    </w:sdtContent>
  </w:sdt>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463273359"/>
    </w:sdtPr>
    <w:sdtContent>
      <w:p>
        <w:pPr>
          <w:pStyle w:val="Footer"/>
          <w:spacing w:before="120" w:after="0"/>
          <w:rPr/>
        </w:pPr>
        <w:r>
          <w:rPr/>
          <w:fldChar w:fldCharType="begin"/>
        </w:r>
        <w:r>
          <w:rPr/>
          <w:instrText xml:space="preserve"> PAGE </w:instrText>
        </w:r>
        <w:r>
          <w:rPr/>
          <w:fldChar w:fldCharType="separate"/>
        </w:r>
        <w:r>
          <w:rPr/>
          <w:t>20</w:t>
        </w:r>
        <w:r>
          <w:rPr/>
          <w:fldChar w:fldCharType="end"/>
        </w:r>
      </w:p>
    </w:sdtContent>
  </w:sdt>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686005455"/>
    </w:sdtPr>
    <w:sdtContent>
      <w:p>
        <w:pPr>
          <w:pStyle w:val="Footer"/>
          <w:spacing w:before="120" w:after="0"/>
          <w:rPr/>
        </w:pPr>
        <w:r>
          <w:rPr/>
          <w:fldChar w:fldCharType="begin"/>
        </w:r>
        <w:r>
          <w:rPr/>
          <w:instrText xml:space="preserve"> PAGE </w:instrText>
        </w:r>
        <w:r>
          <w:rPr/>
          <w:fldChar w:fldCharType="separate"/>
        </w:r>
        <w:r>
          <w:rPr/>
          <w:t>41</w:t>
        </w:r>
        <w:r>
          <w:rPr/>
          <w:fldChar w:fldCharType="end"/>
        </w:r>
      </w:p>
    </w:sdtContent>
  </w:sdt>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003825751"/>
    </w:sdtPr>
    <w:sdtContent>
      <w:p>
        <w:pPr>
          <w:pStyle w:val="Footer"/>
          <w:spacing w:before="120" w:after="0"/>
          <w:rPr/>
        </w:pPr>
        <w:r>
          <w:rPr/>
          <w:fldChar w:fldCharType="begin"/>
        </w:r>
        <w:r>
          <w:rPr/>
          <w:instrText xml:space="preserve"> PAGE </w:instrText>
        </w:r>
        <w:r>
          <w:rPr/>
          <w:fldChar w:fldCharType="separate"/>
        </w:r>
        <w:r>
          <w:rPr/>
          <w:t>52</w:t>
        </w:r>
        <w:r>
          <w:rPr/>
          <w:fldChar w:fldCharType="end"/>
        </w:r>
      </w:p>
    </w:sdtContent>
  </w:sdt>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109599971"/>
    </w:sdtPr>
    <w:sdtContent>
      <w:p>
        <w:pPr>
          <w:pStyle w:val="Footer"/>
          <w:spacing w:before="120" w:after="0"/>
          <w:rPr/>
        </w:pPr>
        <w:r>
          <w:rPr/>
          <w:fldChar w:fldCharType="begin"/>
        </w:r>
        <w:r>
          <w:rPr/>
          <w:instrText xml:space="preserve"> PAGE </w:instrText>
        </w:r>
        <w:r>
          <w:rPr/>
          <w:fldChar w:fldCharType="separate"/>
        </w:r>
        <w:r>
          <w:rPr/>
          <w:t>56</w:t>
        </w:r>
        <w:r>
          <w:rPr/>
          <w:fldChar w:fldCharType="end"/>
        </w:r>
      </w:p>
    </w:sdtContent>
  </w:sdt>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2107711343"/>
    </w:sdtPr>
    <w:sdtContent>
      <w:p>
        <w:pPr>
          <w:pStyle w:val="Footer"/>
          <w:spacing w:before="120" w:after="0"/>
          <w:rPr/>
        </w:pPr>
        <w:r>
          <w:rPr/>
          <w:fldChar w:fldCharType="begin"/>
        </w:r>
        <w:r>
          <w:rPr/>
          <w:instrText xml:space="preserve"> PAGE </w:instrText>
        </w:r>
        <w:r>
          <w:rPr/>
          <w:fldChar w:fldCharType="separate"/>
        </w:r>
        <w:r>
          <w:rPr/>
          <w:t>62</w:t>
        </w:r>
        <w:r>
          <w:rPr/>
          <w:fldChar w:fldCharType="end"/>
        </w:r>
      </w:p>
    </w:sdtContent>
  </w:sdt>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054812596"/>
    </w:sdtPr>
    <w:sdtContent>
      <w:p>
        <w:pPr>
          <w:pStyle w:val="Footer"/>
          <w:spacing w:before="120" w:after="0"/>
          <w:rPr/>
        </w:pPr>
        <w:r>
          <w:rPr/>
          <w:fldChar w:fldCharType="begin"/>
        </w:r>
        <w:r>
          <w:rPr/>
          <w:instrText xml:space="preserve"> PAGE </w:instrText>
        </w:r>
        <w:r>
          <w:rPr/>
          <w:fldChar w:fldCharType="separate"/>
        </w:r>
        <w:r>
          <w:rPr/>
          <w:t>65</w:t>
        </w:r>
        <w:r>
          <w:rPr/>
          <w:fldChar w:fldCharType="end"/>
        </w:r>
      </w:p>
    </w:sdtContent>
  </w:sdt>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519440234"/>
    </w:sdtPr>
    <w:sdtContent>
      <w:p>
        <w:pPr>
          <w:pStyle w:val="Footer"/>
          <w:spacing w:before="120" w:after="0"/>
          <w:rPr/>
        </w:pPr>
        <w:r>
          <w:rPr/>
          <w:fldChar w:fldCharType="begin"/>
        </w:r>
        <w:r>
          <w:rPr/>
          <w:instrText xml:space="preserve"> PAGE </w:instrText>
        </w:r>
        <w:r>
          <w:rPr/>
          <w:fldChar w:fldCharType="separate"/>
        </w:r>
        <w:r>
          <w:rPr/>
          <w:t>66</w:t>
        </w:r>
        <w:r>
          <w:rPr/>
          <w:fldChar w:fldCharType="end"/>
        </w:r>
      </w:p>
    </w:sdtContent>
  </w:sdt>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Style32"/>
        <w:spacing w:before="80" w:after="0"/>
        <w:ind w:hanging="567" w:left="567"/>
        <w:jc w:val="both"/>
        <w:rPr/>
      </w:pPr>
      <w:r>
        <w:rPr>
          <w:rStyle w:val="Style13"/>
        </w:rPr>
        <w:footnoteRef/>
      </w:r>
      <w:r>
        <w:rPr/>
        <w:tab/>
        <w:t>Информационной Системой ЭДО ПАО «РусГидро» является «Диадок», с оператором которой ЗАО «ПФ «СКБ» Контур» заключено Соглашение о переходе на юридически значимый документооборот.</w:t>
      </w:r>
    </w:p>
  </w:footnote>
  <w:footnote w:id="3">
    <w:p>
      <w:pPr>
        <w:pStyle w:val="Style32"/>
        <w:spacing w:before="80" w:after="0"/>
        <w:ind w:hanging="567" w:left="567"/>
        <w:jc w:val="both"/>
        <w:rPr/>
      </w:pPr>
      <w:r>
        <w:rPr>
          <w:rStyle w:val="Style13"/>
        </w:rPr>
        <w:footnoteRef/>
      </w:r>
      <w:r>
        <w:rPr/>
        <w:tab/>
        <w:t>Определенные в соответствии с Законом 422-ФЗ.</w:t>
      </w:r>
    </w:p>
  </w:footnote>
  <w:footnote w:id="4">
    <w:p>
      <w:pPr>
        <w:pStyle w:val="Style32"/>
        <w:spacing w:before="80" w:after="0"/>
        <w:ind w:hanging="567" w:left="567"/>
        <w:jc w:val="both"/>
        <w:rPr/>
      </w:pPr>
      <w:r>
        <w:rPr>
          <w:rStyle w:val="Style13"/>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5">
    <w:p>
      <w:pPr>
        <w:pStyle w:val="Style32"/>
        <w:spacing w:before="80" w:after="0"/>
        <w:ind w:hanging="567" w:left="567"/>
        <w:jc w:val="both"/>
        <w:rPr/>
      </w:pPr>
      <w:r>
        <w:rPr>
          <w:rStyle w:val="Style13"/>
        </w:rPr>
        <w:footnoteRef/>
      </w:r>
      <w:r>
        <w:rPr/>
        <w:tab/>
        <w:t>При этом отклонение заявки за отсутствие в ней документов, требующихся исключительно для целей оценки и сопоставления заявок (подраздел </w:t>
      </w:r>
      <w:r>
        <w:rPr/>
        <w:fldChar w:fldCharType="begin"/>
      </w:r>
      <w:r>
        <w:rPr/>
        <w:instrText xml:space="preserve"> REF _Ref125362626 \w \h </w:instrText>
      </w:r>
      <w:r>
        <w:rPr/>
        <w:fldChar w:fldCharType="separate"/>
      </w:r>
      <w:r>
        <w:rPr/>
        <w:t>4.12</w:t>
      </w:r>
      <w:r>
        <w:rPr/>
        <w:fldChar w:fldCharType="end"/>
      </w:r>
      <w:r>
        <w:rPr/>
        <w:t>), не допускается.</w:t>
      </w:r>
    </w:p>
  </w:footnote>
  <w:footnote w:id="6">
    <w:p>
      <w:pPr>
        <w:pStyle w:val="Style32"/>
        <w:spacing w:before="80" w:after="0"/>
        <w:ind w:hanging="567" w:left="567"/>
        <w:jc w:val="both"/>
        <w:rPr/>
      </w:pPr>
      <w:r>
        <w:rPr>
          <w:rStyle w:val="Style13"/>
        </w:rPr>
        <w:footnoteRef/>
      </w:r>
      <w:r>
        <w:rPr/>
        <w:tab/>
        <w:t>С учетом пункта </w:t>
      </w:r>
      <w:r>
        <w:rPr/>
        <w:fldChar w:fldCharType="begin"/>
      </w:r>
      <w:r>
        <w:rPr/>
        <w:instrText xml:space="preserve"> REF _Ref125365558 \w \h </w:instrText>
      </w:r>
      <w:r>
        <w:rPr/>
        <w:fldChar w:fldCharType="separate"/>
      </w:r>
      <w:r>
        <w:rPr/>
        <w:t>Ошибка: источник перекрёстной ссылки не найден</w:t>
      </w:r>
      <w:r>
        <w:rPr/>
        <w:fldChar w:fldCharType="end"/>
      </w:r>
      <w:r>
        <w:rPr/>
        <w:t>.</w:t>
      </w:r>
    </w:p>
  </w:footnote>
  <w:footnote w:id="7">
    <w:p>
      <w:pPr>
        <w:pStyle w:val="Style32"/>
        <w:spacing w:before="80" w:after="0"/>
        <w:ind w:hanging="567" w:left="567"/>
        <w:jc w:val="both"/>
        <w:rPr/>
      </w:pPr>
      <w:r>
        <w:rPr>
          <w:rStyle w:val="Style13"/>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8">
    <w:p>
      <w:pPr>
        <w:pStyle w:val="Style32"/>
        <w:spacing w:before="80" w:after="0"/>
        <w:ind w:hanging="567" w:left="567"/>
        <w:jc w:val="both"/>
        <w:rPr/>
      </w:pPr>
      <w:r>
        <w:rPr>
          <w:rStyle w:val="Style13"/>
        </w:rPr>
        <w:footnoteRef/>
      </w:r>
      <w:r>
        <w:rPr/>
        <w:tab/>
        <w:t>В отношении предоставляемой Участником (в целях обеспечения проведения оценки его финансового состояния (устойчивости) в соответствии с Положением об аккредитации) бухгалтерской (финансовой) отчетности самостоятельные исправления арифметических ошибок не допускается (все изменения в отчетность должны вноситься в установленном законодательством порядке).</w:t>
      </w:r>
    </w:p>
  </w:footnote>
  <w:footnote w:id="9">
    <w:p>
      <w:pPr>
        <w:pStyle w:val="Style32"/>
        <w:spacing w:before="80" w:after="0"/>
        <w:rPr>
          <w:szCs w:val="22"/>
        </w:rPr>
      </w:pPr>
      <w:r>
        <w:rPr>
          <w:rStyle w:val="Style13"/>
        </w:rPr>
        <w:footnoteRef/>
      </w:r>
      <w:r>
        <w:rPr>
          <w:szCs w:val="22"/>
        </w:rPr>
        <w:tab/>
        <w:t>Увеличение на 15% (пятнадцать процентов) итоговой стоимости заявки (цены Договора) в случае подачи им предложения о размере платы, подлежащей внесению за заключение Договора.</w:t>
      </w:r>
    </w:p>
  </w:footnote>
  <w:footnote w:id="10">
    <w:p>
      <w:pPr>
        <w:pStyle w:val="Style32"/>
        <w:spacing w:before="80" w:after="0"/>
        <w:ind w:hanging="567" w:left="567"/>
        <w:jc w:val="both"/>
        <w:rPr/>
      </w:pPr>
      <w:r>
        <w:rPr>
          <w:rStyle w:val="Style13"/>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 и Победителя.</w:t>
      </w:r>
    </w:p>
  </w:footnote>
  <w:footnote w:id="11">
    <w:p>
      <w:pPr>
        <w:pStyle w:val="Style32"/>
        <w:spacing w:before="80" w:after="0"/>
        <w:ind w:hanging="567" w:left="567"/>
        <w:jc w:val="both"/>
        <w:rPr/>
      </w:pPr>
      <w:r>
        <w:rPr>
          <w:rStyle w:val="Style13"/>
        </w:rPr>
        <w:footnoteRef/>
      </w:r>
      <w:r>
        <w:rPr/>
        <w:tab/>
        <w:t>https://minfin.gov.ru/ru/perfomance/tax_relations/policy/bankwarranty/</w:t>
      </w:r>
    </w:p>
  </w:footnote>
  <w:footnote w:id="12">
    <w:p>
      <w:pPr>
        <w:pStyle w:val="Style32"/>
        <w:spacing w:before="80" w:after="0"/>
        <w:ind w:hanging="567" w:left="567"/>
        <w:jc w:val="both"/>
        <w:rPr/>
      </w:pPr>
      <w:r>
        <w:rPr>
          <w:rStyle w:val="Style13"/>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13">
    <w:p>
      <w:pPr>
        <w:pStyle w:val="Style32"/>
        <w:spacing w:before="80" w:after="0"/>
        <w:ind w:hanging="567" w:left="567"/>
        <w:jc w:val="both"/>
        <w:rPr/>
      </w:pPr>
      <w:r>
        <w:rPr>
          <w:rStyle w:val="Style13"/>
        </w:rPr>
        <w:footnoteRef/>
      </w:r>
      <w:bookmarkStart w:id="428" w:name="_Hlk139028796_Копия_1_Копия_1_Копия_1_Ко"/>
      <w:r>
        <w:rPr/>
        <w:tab/>
        <w:t>Во исполнение Указа Президента Российской Федерации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bookmarkEnd w:id="428"/>
    </w:p>
  </w:footnote>
  <w:footnote w:id="14">
    <w:p>
      <w:pPr>
        <w:pStyle w:val="Style32"/>
        <w:spacing w:before="80" w:after="0"/>
        <w:ind w:hanging="567" w:left="567"/>
        <w:jc w:val="both"/>
        <w:rPr/>
      </w:pPr>
      <w:r>
        <w:rPr>
          <w:rStyle w:val="Style13"/>
        </w:rPr>
        <w:footnoteRef/>
      </w:r>
      <w:bookmarkStart w:id="429" w:name="_Hlk139028804_Копия_1_Копия_1_Копия_1_Ко"/>
      <w:bookmarkStart w:id="430" w:name="_Hlk139028803_Копия_1_Копия_1_Копия_1_Ко"/>
      <w:r>
        <w:rPr/>
        <w:tab/>
        <w:t>Перед заключением договора Заказчик дополнительно проводит проверку Победителя (данная норма применима также в отношении Единственного участника несостоявшейся закупки, с которым принято решение о заключении договора) на основании документов, предоставляемых в соответствии с подразделом </w:t>
      </w:r>
      <w:r>
        <w:rPr/>
        <w:fldChar w:fldCharType="begin"/>
      </w:r>
      <w:r>
        <w:rPr/>
        <w:instrText xml:space="preserve"> REF _Ref138232981 \r \h </w:instrText>
      </w:r>
      <w:r>
        <w:rPr/>
        <w:fldChar w:fldCharType="separate"/>
      </w:r>
      <w:r>
        <w:rPr/>
        <w:t>5.2</w:t>
      </w:r>
      <w:r>
        <w:rPr/>
        <w:fldChar w:fldCharType="end"/>
      </w:r>
      <w:r>
        <w:rPr/>
        <w:t>. Если по результатам такой проверки Участник не отвечает установленным требованиям,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bookmarkEnd w:id="429"/>
      <w:bookmarkEnd w:id="430"/>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Style24"/>
      <w:numFmt w:val="decimal"/>
      <w:lvlText w:val="%1."/>
      <w:lvlJc w:val="left"/>
      <w:pPr>
        <w:tabs>
          <w:tab w:val="num" w:pos="1134"/>
        </w:tabs>
        <w:ind w:left="1134" w:hanging="1134"/>
      </w:pPr>
      <w:rPr/>
    </w:lvl>
    <w:lvl w:ilvl="1">
      <w:start w:val="1"/>
      <w:pStyle w:val="Style25"/>
      <w:numFmt w:val="decimal"/>
      <w:lvlText w:val="%1.%2"/>
      <w:lvlJc w:val="left"/>
      <w:pPr>
        <w:tabs>
          <w:tab w:val="num" w:pos="1134"/>
        </w:tabs>
        <w:ind w:left="1134" w:hanging="1134"/>
      </w:pPr>
      <w:rPr/>
    </w:lvl>
    <w:lvl w:ilvl="2">
      <w:start w:val="1"/>
      <w:pStyle w:val="Style26"/>
      <w:numFmt w:val="decimal"/>
      <w:lvlText w:val="%1.%2.%3"/>
      <w:lvlJc w:val="left"/>
      <w:pPr>
        <w:tabs>
          <w:tab w:val="num" w:pos="1134"/>
        </w:tabs>
        <w:ind w:left="1134" w:hanging="1134"/>
      </w:pPr>
      <w:rPr/>
    </w:lvl>
    <w:lvl w:ilvl="3">
      <w:start w:val="1"/>
      <w:pStyle w:val="Style27"/>
      <w:numFmt w:val="russianLower"/>
      <w:lvlText w:val="%4)"/>
      <w:lvlJc w:val="left"/>
      <w:pPr>
        <w:tabs>
          <w:tab w:val="num" w:pos="1701"/>
        </w:tabs>
        <w:ind w:left="1701" w:hanging="567"/>
      </w:pPr>
      <w:rPr/>
    </w:lvl>
    <w:lvl w:ilvl="4">
      <w:start w:val="1"/>
      <w:pStyle w:val="Style28"/>
      <w:numFmt w:val="bullet"/>
      <w:lvlText w:val=""/>
      <w:lvlJc w:val="left"/>
      <w:pPr>
        <w:tabs>
          <w:tab w:val="num" w:pos="2268"/>
        </w:tabs>
        <w:ind w:left="2268" w:hanging="567"/>
      </w:pPr>
      <w:rPr>
        <w:rFonts w:ascii="Symbol" w:hAnsi="Symbol" w:cs="Symbol" w:hint="default"/>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7">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2">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lvl w:ilvl="0">
      <w:start w:val="1"/>
      <w:numFmt w:val="russianLower"/>
      <w:lvlText w:val="%1)"/>
      <w:lvlJc w:val="left"/>
      <w:pPr>
        <w:tabs>
          <w:tab w:val="num" w:pos="0"/>
        </w:tabs>
        <w:ind w:left="1918" w:hanging="360"/>
      </w:pPr>
      <w:rPr/>
    </w:lvl>
    <w:lvl w:ilvl="1">
      <w:start w:val="1"/>
      <w:numFmt w:val="lowerLetter"/>
      <w:lvlText w:val="%2."/>
      <w:lvlJc w:val="left"/>
      <w:pPr>
        <w:tabs>
          <w:tab w:val="num" w:pos="0"/>
        </w:tabs>
        <w:ind w:left="2638" w:hanging="360"/>
      </w:pPr>
      <w:rPr/>
    </w:lvl>
    <w:lvl w:ilvl="2">
      <w:start w:val="1"/>
      <w:numFmt w:val="lowerRoman"/>
      <w:lvlText w:val="%3."/>
      <w:lvlJc w:val="right"/>
      <w:pPr>
        <w:tabs>
          <w:tab w:val="num" w:pos="0"/>
        </w:tabs>
        <w:ind w:left="3358" w:hanging="180"/>
      </w:pPr>
      <w:rPr/>
    </w:lvl>
    <w:lvl w:ilvl="3">
      <w:start w:val="1"/>
      <w:numFmt w:val="decimal"/>
      <w:lvlText w:val="%4."/>
      <w:lvlJc w:val="left"/>
      <w:pPr>
        <w:tabs>
          <w:tab w:val="num" w:pos="0"/>
        </w:tabs>
        <w:ind w:left="4078" w:hanging="360"/>
      </w:pPr>
      <w:rPr/>
    </w:lvl>
    <w:lvl w:ilvl="4">
      <w:start w:val="1"/>
      <w:numFmt w:val="lowerLetter"/>
      <w:lvlText w:val="%5."/>
      <w:lvlJc w:val="left"/>
      <w:pPr>
        <w:tabs>
          <w:tab w:val="num" w:pos="0"/>
        </w:tabs>
        <w:ind w:left="4798" w:hanging="360"/>
      </w:pPr>
      <w:rPr/>
    </w:lvl>
    <w:lvl w:ilvl="5">
      <w:start w:val="1"/>
      <w:numFmt w:val="lowerRoman"/>
      <w:lvlText w:val="%6."/>
      <w:lvlJc w:val="right"/>
      <w:pPr>
        <w:tabs>
          <w:tab w:val="num" w:pos="0"/>
        </w:tabs>
        <w:ind w:left="5518" w:hanging="180"/>
      </w:pPr>
      <w:rPr/>
    </w:lvl>
    <w:lvl w:ilvl="6">
      <w:start w:val="1"/>
      <w:numFmt w:val="decimal"/>
      <w:lvlText w:val="%7."/>
      <w:lvlJc w:val="left"/>
      <w:pPr>
        <w:tabs>
          <w:tab w:val="num" w:pos="0"/>
        </w:tabs>
        <w:ind w:left="6238" w:hanging="360"/>
      </w:pPr>
      <w:rPr/>
    </w:lvl>
    <w:lvl w:ilvl="7">
      <w:start w:val="1"/>
      <w:numFmt w:val="lowerLetter"/>
      <w:lvlText w:val="%8."/>
      <w:lvlJc w:val="left"/>
      <w:pPr>
        <w:tabs>
          <w:tab w:val="num" w:pos="0"/>
        </w:tabs>
        <w:ind w:left="6958" w:hanging="360"/>
      </w:pPr>
      <w:rPr/>
    </w:lvl>
    <w:lvl w:ilvl="8">
      <w:start w:val="1"/>
      <w:numFmt w:val="lowerRoman"/>
      <w:lvlText w:val="%9."/>
      <w:lvlJc w:val="right"/>
      <w:pPr>
        <w:tabs>
          <w:tab w:val="num" w:pos="0"/>
        </w:tabs>
        <w:ind w:left="7678" w:hanging="180"/>
      </w:pPr>
      <w:rPr/>
    </w:lvl>
  </w:abstractNum>
  <w:abstractNum w:abstractNumId="15">
    <w:lvl w:ilvl="0">
      <w:start w:val="1"/>
      <w:numFmt w:val="decimal"/>
      <w:lvlText w:val="%1."/>
      <w:lvlJc w:val="left"/>
      <w:pPr>
        <w:tabs>
          <w:tab w:val="num" w:pos="851"/>
        </w:tabs>
        <w:ind w:left="0" w:hanging="0"/>
      </w:pPr>
      <w:rPr/>
    </w:lvl>
    <w:lvl w:ilvl="1">
      <w:start w:val="1"/>
      <w:numFmt w:val="decimal"/>
      <w:lvlText w:val="%1.%2."/>
      <w:lvlJc w:val="left"/>
      <w:pPr>
        <w:tabs>
          <w:tab w:val="num" w:pos="0"/>
        </w:tabs>
        <w:ind w:left="1418" w:hanging="1418"/>
      </w:pPr>
      <w:rPr>
        <w:smallCaps w:val="false"/>
        <w:caps w:val="false"/>
        <w:dstrike w:val="false"/>
        <w:strike w:val="false"/>
        <w:vertAlign w:val="baseline"/>
        <w:position w:val="0"/>
        <w:sz w:val="28"/>
        <w:sz w:val="28"/>
        <w:spacing w:val="0"/>
        <w:i w:val="false"/>
        <w:u w:val="none"/>
        <w:b/>
        <w:kern w:val="0"/>
        <w:effect w:val="none"/>
        <w:szCs w:val="28"/>
        <w:iCs w:val="false"/>
        <w:bCs/>
        <w:em w:val="none"/>
        <w:vanish w:val="false"/>
        <w:rFonts w:ascii="Times New Roman" w:hAnsi="Times New Roman" w:cs="Times New Roman"/>
        <w:color w:val="000000"/>
        <w:lang w:bidi="x-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1"/>
        </w:tabs>
        <w:ind w:left="1418" w:hanging="1418"/>
      </w:pPr>
      <w:rPr>
        <w:sz w:val="28"/>
        <w:b w:val="false"/>
        <w:szCs w:val="28"/>
        <w:bCs/>
      </w:rPr>
    </w:lvl>
    <w:lvl w:ilvl="3">
      <w:start w:val="1"/>
      <w:numFmt w:val="decimal"/>
      <w:lvlText w:val="%1.%2.%3.%4."/>
      <w:lvlJc w:val="left"/>
      <w:pPr>
        <w:tabs>
          <w:tab w:val="num" w:pos="1701"/>
        </w:tabs>
        <w:ind w:left="1418" w:hanging="1418"/>
      </w:pPr>
      <w:rPr>
        <w:smallCaps w:val="false"/>
        <w:caps w:val="false"/>
        <w:dstrike w:val="false"/>
        <w:strike w:val="false"/>
        <w:vertAlign w:val="baseline"/>
        <w:position w:val="0"/>
        <w:sz w:val="28"/>
        <w:sz w:val="28"/>
        <w:spacing w:val="0"/>
        <w:i w:val="false"/>
        <w:u w:val="none"/>
        <w:b w:val="false"/>
        <w:kern w:val="0"/>
        <w:effect w:val="none"/>
        <w:szCs w:val="28"/>
        <w:iCs w:val="false"/>
        <w:bCs/>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4">
      <w:start w:val="1"/>
      <w:numFmt w:val="russianLower"/>
      <w:lvlText w:val="%5)"/>
      <w:lvlJc w:val="left"/>
      <w:pPr>
        <w:tabs>
          <w:tab w:val="num" w:pos="1985"/>
        </w:tabs>
        <w:ind w:left="1985" w:hanging="567"/>
      </w:pPr>
      <w:rPr>
        <w:smallCaps w:val="false"/>
        <w:caps w:val="false"/>
        <w:outline w:val="false"/>
        <w:dstrike w:val="false"/>
        <w:strike w:val="false"/>
        <w:vertAlign w:val="baseline"/>
        <w:position w:val="0"/>
        <w:sz w:val="26"/>
        <w:sz w:val="26"/>
        <w:spacing w:val="0"/>
        <w:i w:val="false"/>
        <w:shadow w:val="false"/>
        <w:u w:val="none"/>
        <w:b w:val="false"/>
        <w:kern w:val="0"/>
        <w:effect w:val="none"/>
        <w:iCs w:val="false"/>
        <w:bCs w:val="false"/>
        <w:em w:val="none"/>
        <w:emboss w:val="false"/>
        <w:imprint w:val="false"/>
        <w:vanish w:val="false"/>
        <w:rFonts w:ascii="Times New Roman" w:hAnsi="Times New Roman" w:cs="Times New Roman"/>
        <w14:cntxtAlts>
          <w14:cntxtAlts/>
        </w14:cntxtAlts>
        <w14:glow w14:rad="0">
          <w14:srgbClr w14:val="000000"/>
        </w14:glow>
        <w14:ligatures w14:val="none"/>
        <w14:numForm w14:val="default"/>
        <w14:numSpacing w14:val="default"/>
        <w14:props3d w14:extrusionH="0" w14:contourW="0" w14:prstMaterial="none"/>
        <w14:reflection w14:blurRad="0" w14:stA="0" w14:stPos="0" w14:endA="0" w14:endPos="0" w14:dist="0" w14:dir="0" w14:fadeDir="0" w14:sx="0" w14:sy="0" w14:kx="0" w14:ky="0" w14:algn="none"/>
        <w14:scene3d>
          <w14:camera w14:prst="orthographicFront"/>
          <w14:lightRig w14:rig="threePt" w14:dir="t">
            <w14:rot w14:lat="0" w14:lon="0" w14:rev="0"/>
          </w14:lightRig>
        </w14:scene3d>
        <w14:shadow w14:blurRad="0" w14:dist="0" w14:dir="0" w14:sx="0" w14:sy="0" w14:kx="0" w14:ky="0" w14:algn="none">
          <w14:srgbClr w14:val="000000"/>
        </w14:shadow>
        <w14:stylisticSets/>
        <w14:textOutline w14:w="0" w14:cap="rnd" w14:cmpd="sng" w14:algn="ctr">
          <w14:noFill/>
          <w14:prstDash w14:val="solid"/>
          <w14:bevel/>
        </w14:textOutline>
      </w:rPr>
    </w:lvl>
    <w:lvl w:ilvl="5">
      <w:start w:val="1"/>
      <w:numFmt w:val="bullet"/>
      <w:lvlText w:val=""/>
      <w:lvlJc w:val="left"/>
      <w:pPr>
        <w:tabs>
          <w:tab w:val="num" w:pos="1985"/>
        </w:tabs>
        <w:ind w:left="1985" w:hanging="567"/>
      </w:pPr>
      <w:rPr>
        <w:rFonts w:ascii="Symbol" w:hAnsi="Symbol" w:cs="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6">
    <w:lvl w:ilvl="0">
      <w:start w:val="1"/>
      <w:numFmt w:val="decimal"/>
      <w:lvlText w:val="%1)"/>
      <w:lvlJc w:val="left"/>
      <w:pPr>
        <w:tabs>
          <w:tab w:val="num" w:pos="0"/>
        </w:tabs>
        <w:ind w:left="2705" w:hanging="360"/>
      </w:pPr>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abstractNum w:abstractNumId="17">
    <w:lvl w:ilvl="0">
      <w:start w:val="1"/>
      <w:numFmt w:val="bullet"/>
      <w:lvlText w:val=""/>
      <w:lvlJc w:val="left"/>
      <w:pPr>
        <w:tabs>
          <w:tab w:val="num" w:pos="0"/>
        </w:tabs>
        <w:ind w:left="2705" w:hanging="360"/>
      </w:pPr>
      <w:rPr>
        <w:rFonts w:ascii="Symbol" w:hAnsi="Symbol" w:cs="Symbol" w:hint="default"/>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w="http://schemas.openxmlformats.org/wordprocessingml/2006/main">
  <w:zoom w:percent="154"/>
  <w:defaultTabStop w:val="708"/>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 w:cstheme="minorBidi" w:eastAsiaTheme="minorHAnsi"/>
        <w:sz w:val="26"/>
        <w:szCs w:val="22"/>
        <w:lang w:val="ru-RU" w:eastAsia="en-US" w:bidi="ar-SA"/>
      </w:rPr>
    </w:rPrDefault>
    <w:pPrDefault>
      <w:pPr>
        <w:suppressAutoHyphens w:val="true"/>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uiPriority="9" w:semiHidden="1" w:unhideWhenUsed="1" w:qFormat="1"/>
    <w:lsdException w:name="heading 3" w:locked="0" w:uiPriority="9" w:semiHidden="1" w:unhideWhenUsed="1" w:qFormat="1"/>
    <w:lsdException w:name="heading 4" w:locked="0" w:uiPriority="9" w:semiHidden="1" w:unhideWhenUsed="1" w:qFormat="1"/>
    <w:lsdException w:name="heading 5" w:locked="0" w:uiPriority="9" w:semiHidden="1" w:unhideWhenUsed="1" w:qFormat="1"/>
    <w:lsdException w:name="heading 6" w:locked="0" w:uiPriority="9" w:semiHidden="1" w:unhideWhenUsed="1" w:qFormat="1"/>
    <w:lsdException w:name="heading 7" w:locked="0" w:uiPriority="9" w:semiHidden="1" w:unhideWhenUsed="1" w:qFormat="1"/>
    <w:lsdException w:name="heading 8" w:locked="0" w:uiPriority="9" w:semiHidden="1" w:unhideWhenUsed="1" w:qFormat="1"/>
    <w:lsdException w:name="heading 9" w:locked="0" w:uiPriority="9" w:semiHidden="1"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uiPriority="39" w:semiHidden="1" w:unhideWhenUsed="1"/>
    <w:lsdException w:name="toc 2" w:locked="0" w:uiPriority="39" w:semiHidden="1" w:unhideWhenUsed="1"/>
    <w:lsdException w:name="toc 3" w:locked="0" w:uiPriority="39" w:semiHidden="1" w:unhideWhenUsed="1"/>
    <w:lsdException w:name="toc 4" w:locked="0" w:uiPriority="39" w:semiHidden="1" w:unhideWhenUsed="1"/>
    <w:lsdException w:name="toc 5" w:locked="0" w:uiPriority="39" w:semiHidden="1" w:unhideWhenUsed="1"/>
    <w:lsdException w:name="toc 6" w:locked="0" w:uiPriority="39" w:semiHidden="1" w:unhideWhenUsed="1"/>
    <w:lsdException w:name="toc 7" w:locked="0" w:uiPriority="39" w:semiHidden="1" w:unhideWhenUsed="1"/>
    <w:lsdException w:name="toc 8" w:locked="0" w:uiPriority="39" w:semiHidden="1" w:unhideWhenUsed="1"/>
    <w:lsdException w:name="toc 9" w:locked="0" w:uiPriority="39" w:semiHidden="1"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uiPriority="35" w:semiHidden="1"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uiPriority="0" w:semiHidden="1" w:unhideWhenUsed="1"/>
    <w:lsdException w:name="annotation reference" w:locked="0" w:uiPriority="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uiPriority="1" w:semiHidden="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uiPriority="37" w:semiHidden="1" w:unhideWhenUsed="1"/>
    <w:lsdException w:name="TOC Heading" w:locked="0"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styleId="Normal" w:default="1">
    <w:name w:val="Normal"/>
    <w:qFormat/>
    <w:rsid w:val="00917933"/>
    <w:pPr>
      <w:widowControl/>
      <w:suppressAutoHyphens w:val="true"/>
      <w:bidi w:val="0"/>
      <w:spacing w:before="120" w:after="0"/>
      <w:jc w:val="left"/>
    </w:pPr>
    <w:rPr>
      <w:rFonts w:ascii="Times New Roman" w:hAnsi="Times New Roman" w:eastAsia="Calibri" w:cs="" w:cstheme="minorBidi" w:eastAsiaTheme="minorHAnsi"/>
      <w:color w:val="auto"/>
      <w:kern w:val="0"/>
      <w:sz w:val="26"/>
      <w:szCs w:val="22"/>
      <w:lang w:val="ru-RU" w:eastAsia="en-US" w:bidi="ar-SA"/>
    </w:rPr>
  </w:style>
  <w:style w:type="character" w:styleId="DefaultParagraphFont" w:default="1">
    <w:name w:val="Default Paragraph Font"/>
    <w:uiPriority w:val="1"/>
    <w:semiHidden/>
    <w:unhideWhenUsed/>
    <w:qFormat/>
    <w:rPr/>
  </w:style>
  <w:style w:type="character" w:styleId="Style9" w:customStyle="1">
    <w:name w:val="Верхний колонтитул Знак"/>
    <w:basedOn w:val="DefaultParagraphFont"/>
    <w:uiPriority w:val="99"/>
    <w:qFormat/>
    <w:rsid w:val="00c95e18"/>
    <w:rPr/>
  </w:style>
  <w:style w:type="character" w:styleId="Style10" w:customStyle="1">
    <w:name w:val="Нижний колонтитул Знак"/>
    <w:basedOn w:val="DefaultParagraphFont"/>
    <w:uiPriority w:val="99"/>
    <w:qFormat/>
    <w:rsid w:val="008364e8"/>
    <w:rPr/>
  </w:style>
  <w:style w:type="character" w:styleId="Style11" w:customStyle="1">
    <w:name w:val="[РГ] Инструкция для организатора"/>
    <w:basedOn w:val="DefaultParagraphFont"/>
    <w:uiPriority w:val="1"/>
    <w:qFormat/>
    <w:rsid w:val="00277346"/>
    <w:rPr>
      <w:i/>
      <w:iCs/>
      <w:shd w:fill="FFFF99" w:val="clear"/>
      <w:lang w:val="ru-RU"/>
    </w:rPr>
  </w:style>
  <w:style w:type="character" w:styleId="Style12" w:customStyle="1">
    <w:name w:val="Текст сноски Знак"/>
    <w:basedOn w:val="DefaultParagraphFont"/>
    <w:uiPriority w:val="99"/>
    <w:semiHidden/>
    <w:qFormat/>
    <w:rsid w:val="006608d1"/>
    <w:rPr>
      <w:sz w:val="20"/>
      <w:szCs w:val="20"/>
    </w:rPr>
  </w:style>
  <w:style w:type="character" w:styleId="Style13">
    <w:name w:val="Символ сноски"/>
    <w:unhideWhenUsed/>
    <w:qFormat/>
    <w:rsid w:val="006608d1"/>
    <w:rPr>
      <w:vertAlign w:val="superscript"/>
    </w:rPr>
  </w:style>
  <w:style w:type="character" w:styleId="FootnoteReference">
    <w:name w:val="Footnote Reference"/>
    <w:rPr>
      <w:vertAlign w:val="superscript"/>
    </w:rPr>
  </w:style>
  <w:style w:type="character" w:styleId="Hyperlink">
    <w:name w:val="Hyperlink"/>
    <w:basedOn w:val="DefaultParagraphFont"/>
    <w:uiPriority w:val="99"/>
    <w:unhideWhenUsed/>
    <w:rsid w:val="00cc7f55"/>
    <w:rPr>
      <w:color w:val="0563C1" w:themeColor="hyperlink"/>
      <w:u w:val="single"/>
    </w:rPr>
  </w:style>
  <w:style w:type="character" w:styleId="UnresolvedMention">
    <w:name w:val="Unresolved Mention"/>
    <w:basedOn w:val="DefaultParagraphFont"/>
    <w:uiPriority w:val="99"/>
    <w:semiHidden/>
    <w:unhideWhenUsed/>
    <w:qFormat/>
    <w:rsid w:val="00cc7f55"/>
    <w:rPr>
      <w:color w:val="605E5C"/>
      <w:shd w:fill="E1DFDD" w:val="clear"/>
    </w:rPr>
  </w:style>
  <w:style w:type="character" w:styleId="PlaceholderText">
    <w:name w:val="Placeholder Text"/>
    <w:basedOn w:val="DefaultParagraphFont"/>
    <w:uiPriority w:val="99"/>
    <w:semiHidden/>
    <w:qFormat/>
    <w:rsid w:val="00984d97"/>
    <w:rPr>
      <w:color w:val="808080"/>
    </w:rPr>
  </w:style>
  <w:style w:type="character" w:styleId="Style14" w:customStyle="1">
    <w:name w:val="[РГ] Отсылка"/>
    <w:basedOn w:val="DefaultParagraphFont"/>
    <w:uiPriority w:val="1"/>
    <w:qFormat/>
    <w:rsid w:val="00c558e6"/>
    <w:rPr>
      <w:color w:val="000000"/>
      <w:spacing w:val="0"/>
      <w:u w:val="dotted" w:color="4472C4"/>
      <w:shd w:fill="auto" w:val="clear"/>
      <w:lang w:val="ru-RU"/>
    </w:rPr>
  </w:style>
  <w:style w:type="character" w:styleId="Annotationreference">
    <w:name w:val="annotation reference"/>
    <w:basedOn w:val="DefaultParagraphFont"/>
    <w:unhideWhenUsed/>
    <w:qFormat/>
    <w:rsid w:val="007e365e"/>
    <w:rPr>
      <w:sz w:val="16"/>
      <w:szCs w:val="16"/>
    </w:rPr>
  </w:style>
  <w:style w:type="character" w:styleId="Style15" w:customStyle="1">
    <w:name w:val="Текст примечания Знак"/>
    <w:basedOn w:val="DefaultParagraphFont"/>
    <w:link w:val="Annotationtext"/>
    <w:uiPriority w:val="99"/>
    <w:qFormat/>
    <w:rsid w:val="007e365e"/>
    <w:rPr>
      <w:sz w:val="20"/>
      <w:szCs w:val="20"/>
    </w:rPr>
  </w:style>
  <w:style w:type="character" w:styleId="Style16" w:customStyle="1">
    <w:name w:val="Тема примечания Знак"/>
    <w:basedOn w:val="Style15"/>
    <w:link w:val="Annotationsubject"/>
    <w:uiPriority w:val="99"/>
    <w:semiHidden/>
    <w:qFormat/>
    <w:rsid w:val="007e365e"/>
    <w:rPr>
      <w:b/>
      <w:bCs/>
      <w:sz w:val="20"/>
      <w:szCs w:val="20"/>
    </w:rPr>
  </w:style>
  <w:style w:type="character" w:styleId="Style17" w:customStyle="1">
    <w:name w:val="[РГ] Инструкция для участника"/>
    <w:basedOn w:val="DefaultParagraphFont"/>
    <w:uiPriority w:val="1"/>
    <w:qFormat/>
    <w:rsid w:val="005864e9"/>
    <w:rPr>
      <w:i/>
      <w:shd w:fill="D0CECE" w:val="clear"/>
      <w:lang w:val="ru-RU"/>
    </w:rPr>
  </w:style>
  <w:style w:type="character" w:styleId="FollowedHyperlink">
    <w:name w:val="FollowedHyperlink"/>
    <w:basedOn w:val="DefaultParagraphFont"/>
    <w:uiPriority w:val="99"/>
    <w:semiHidden/>
    <w:unhideWhenUsed/>
    <w:rsid w:val="006d25e1"/>
    <w:rPr>
      <w:color w:val="954F72" w:themeColor="followedHyperlink"/>
      <w:u w:val="single"/>
    </w:rPr>
  </w:style>
  <w:style w:type="character" w:styleId="Style18" w:customStyle="1">
    <w:name w:val="Текст выноски Знак"/>
    <w:basedOn w:val="DefaultParagraphFont"/>
    <w:link w:val="BalloonText"/>
    <w:uiPriority w:val="99"/>
    <w:semiHidden/>
    <w:qFormat/>
    <w:rsid w:val="0079507d"/>
    <w:rPr>
      <w:rFonts w:ascii="Segoe UI" w:hAnsi="Segoe UI" w:cs="Segoe UI"/>
      <w:sz w:val="18"/>
      <w:szCs w:val="18"/>
    </w:rPr>
  </w:style>
  <w:style w:type="character" w:styleId="Style19" w:customStyle="1">
    <w:name w:val="РГ_ЕПоЗ_а) Знак"/>
    <w:basedOn w:val="DefaultParagraphFont"/>
    <w:link w:val="Style34"/>
    <w:qFormat/>
    <w:rsid w:val="006509a2"/>
    <w:rPr>
      <w:rFonts w:eastAsia="Calibri" w:cs="Times New Roman"/>
      <w:sz w:val="28"/>
      <w:szCs w:val="28"/>
    </w:rPr>
  </w:style>
  <w:style w:type="character" w:styleId="-" w:customStyle="1">
    <w:name w:val="РГ_ЕПоЗ_- Знак"/>
    <w:basedOn w:val="DefaultParagraphFont"/>
    <w:link w:val="-1"/>
    <w:qFormat/>
    <w:rsid w:val="006509a2"/>
    <w:rPr>
      <w:rFonts w:eastAsia="Times New Roman" w:cs="Times New Roman"/>
      <w:sz w:val="28"/>
      <w:szCs w:val="20"/>
      <w:lang w:eastAsia="ru-RU"/>
    </w:rPr>
  </w:style>
  <w:style w:type="character" w:styleId="Style20">
    <w:name w:val="Ссылка указателя"/>
    <w:qFormat/>
    <w:rPr/>
  </w:style>
  <w:style w:type="character" w:styleId="Emphasis">
    <w:name w:val="Emphasis"/>
    <w:qFormat/>
    <w:rPr>
      <w:i/>
      <w:iCs/>
    </w:rPr>
  </w:style>
  <w:style w:type="character" w:styleId="Style21">
    <w:name w:val="Символ концевой сноски"/>
    <w:qFormat/>
    <w:rPr>
      <w:vertAlign w:val="superscript"/>
    </w:rPr>
  </w:style>
  <w:style w:type="character" w:styleId="EndnoteReference">
    <w:name w:val="Endnote Reference"/>
    <w:rPr>
      <w:vertAlign w:val="superscript"/>
    </w:rPr>
  </w:style>
  <w:style w:type="paragraph" w:styleId="Style22">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23">
    <w:name w:val="Указатель"/>
    <w:basedOn w:val="Normal"/>
    <w:qFormat/>
    <w:pPr>
      <w:suppressLineNumbers/>
    </w:pPr>
    <w:rPr>
      <w:rFonts w:cs="Arial Unicode MS"/>
    </w:rPr>
  </w:style>
  <w:style w:type="paragraph" w:styleId="Style24" w:customStyle="1">
    <w:name w:val="[РГ] Раздел"/>
    <w:basedOn w:val="Normal"/>
    <w:next w:val="Style25"/>
    <w:qFormat/>
    <w:rsid w:val="00c95e18"/>
    <w:pPr>
      <w:keepNext w:val="true"/>
      <w:pageBreakBefore/>
      <w:numPr>
        <w:ilvl w:val="0"/>
        <w:numId w:val="1"/>
      </w:numPr>
      <w:spacing w:before="0" w:after="360"/>
      <w:jc w:val="both"/>
      <w:outlineLvl w:val="0"/>
    </w:pPr>
    <w:rPr>
      <w:b/>
      <w:bCs/>
      <w:caps/>
    </w:rPr>
  </w:style>
  <w:style w:type="paragraph" w:styleId="Style25" w:customStyle="1">
    <w:name w:val="[РГ] Подраздел"/>
    <w:basedOn w:val="Normal"/>
    <w:next w:val="Style26"/>
    <w:qFormat/>
    <w:rsid w:val="00891546"/>
    <w:pPr>
      <w:keepNext w:val="true"/>
      <w:numPr>
        <w:ilvl w:val="1"/>
        <w:numId w:val="1"/>
      </w:numPr>
      <w:spacing w:before="360" w:after="0"/>
      <w:jc w:val="both"/>
      <w:outlineLvl w:val="1"/>
    </w:pPr>
    <w:rPr>
      <w:b/>
      <w:bCs/>
    </w:rPr>
  </w:style>
  <w:style w:type="paragraph" w:styleId="Style26" w:customStyle="1">
    <w:name w:val="[РГ] Пункт"/>
    <w:basedOn w:val="Normal"/>
    <w:qFormat/>
    <w:rsid w:val="00891546"/>
    <w:pPr>
      <w:numPr>
        <w:ilvl w:val="2"/>
        <w:numId w:val="1"/>
      </w:numPr>
      <w:jc w:val="both"/>
      <w:outlineLvl w:val="2"/>
    </w:pPr>
    <w:rPr/>
  </w:style>
  <w:style w:type="paragraph" w:styleId="Style27" w:customStyle="1">
    <w:name w:val="[РГ] Подпункт"/>
    <w:basedOn w:val="Normal"/>
    <w:qFormat/>
    <w:rsid w:val="00891546"/>
    <w:pPr>
      <w:numPr>
        <w:ilvl w:val="3"/>
        <w:numId w:val="1"/>
      </w:numPr>
      <w:jc w:val="both"/>
      <w:outlineLvl w:val="3"/>
    </w:pPr>
    <w:rPr/>
  </w:style>
  <w:style w:type="paragraph" w:styleId="Style28" w:customStyle="1">
    <w:name w:val="[РГ] Перечисление"/>
    <w:basedOn w:val="Normal"/>
    <w:qFormat/>
    <w:rsid w:val="00891546"/>
    <w:pPr>
      <w:numPr>
        <w:ilvl w:val="4"/>
        <w:numId w:val="1"/>
      </w:numPr>
      <w:jc w:val="both"/>
      <w:outlineLvl w:val="4"/>
    </w:pPr>
    <w:rPr/>
  </w:style>
  <w:style w:type="paragraph" w:styleId="Style29" w:customStyle="1">
    <w:name w:val="[РГ] Заголовок"/>
    <w:basedOn w:val="Normal"/>
    <w:next w:val="Style30"/>
    <w:qFormat/>
    <w:rsid w:val="00f87384"/>
    <w:pPr>
      <w:keepNext w:val="true"/>
      <w:pageBreakBefore/>
      <w:spacing w:before="0" w:after="360"/>
      <w:jc w:val="both"/>
    </w:pPr>
    <w:rPr>
      <w:b/>
      <w:bCs/>
      <w:caps/>
    </w:rPr>
  </w:style>
  <w:style w:type="paragraph" w:styleId="Style30" w:customStyle="1">
    <w:name w:val="[РГ] Текст"/>
    <w:basedOn w:val="Normal"/>
    <w:qFormat/>
    <w:rsid w:val="00891546"/>
    <w:pPr>
      <w:jc w:val="both"/>
    </w:pPr>
    <w:rPr/>
  </w:style>
  <w:style w:type="paragraph" w:styleId="Style31">
    <w:name w:val="Колонтитул"/>
    <w:basedOn w:val="Normal"/>
    <w:qFormat/>
    <w:pPr/>
    <w:rPr/>
  </w:style>
  <w:style w:type="paragraph" w:styleId="Header">
    <w:name w:val="Header"/>
    <w:basedOn w:val="Normal"/>
    <w:link w:val="Style9"/>
    <w:uiPriority w:val="99"/>
    <w:unhideWhenUsed/>
    <w:rsid w:val="00c95e18"/>
    <w:pPr>
      <w:spacing w:before="0" w:after="120"/>
      <w:jc w:val="center"/>
    </w:pPr>
    <w:rPr/>
  </w:style>
  <w:style w:type="paragraph" w:styleId="Footer">
    <w:name w:val="Footer"/>
    <w:basedOn w:val="Normal"/>
    <w:link w:val="Style10"/>
    <w:uiPriority w:val="99"/>
    <w:unhideWhenUsed/>
    <w:rsid w:val="008364e8"/>
    <w:pPr>
      <w:jc w:val="right"/>
    </w:pPr>
    <w:rPr/>
  </w:style>
  <w:style w:type="paragraph" w:styleId="FootnoteText">
    <w:name w:val="Footnote Text"/>
    <w:basedOn w:val="Normal"/>
    <w:link w:val="Style12"/>
    <w:uiPriority w:val="99"/>
    <w:semiHidden/>
    <w:unhideWhenUsed/>
    <w:rsid w:val="006608d1"/>
    <w:pPr>
      <w:spacing w:before="0" w:after="0"/>
    </w:pPr>
    <w:rPr>
      <w:sz w:val="20"/>
      <w:szCs w:val="20"/>
    </w:rPr>
  </w:style>
  <w:style w:type="paragraph" w:styleId="Style32" w:customStyle="1">
    <w:name w:val="[РГ] Сноска"/>
    <w:basedOn w:val="FootnoteText"/>
    <w:qFormat/>
    <w:rsid w:val="006608d1"/>
    <w:pPr>
      <w:spacing w:before="80" w:after="0"/>
      <w:ind w:hanging="567" w:left="567"/>
      <w:jc w:val="both"/>
    </w:pPr>
    <w:rPr>
      <w:sz w:val="22"/>
    </w:rPr>
  </w:style>
  <w:style w:type="paragraph" w:styleId="TOC2">
    <w:name w:val="TOC 2"/>
    <w:basedOn w:val="Normal"/>
    <w:next w:val="Normal"/>
    <w:autoRedefine/>
    <w:uiPriority w:val="39"/>
    <w:unhideWhenUsed/>
    <w:rsid w:val="002c4b1b"/>
    <w:pPr>
      <w:tabs>
        <w:tab w:val="clear" w:pos="708"/>
        <w:tab w:val="left" w:pos="851" w:leader="none"/>
        <w:tab w:val="right" w:pos="9923" w:leader="none"/>
      </w:tabs>
      <w:spacing w:before="120" w:after="120"/>
      <w:ind w:hanging="851" w:left="851"/>
    </w:pPr>
    <w:rPr/>
  </w:style>
  <w:style w:type="paragraph" w:styleId="TOC1">
    <w:name w:val="TOC 1"/>
    <w:basedOn w:val="Normal"/>
    <w:next w:val="Normal"/>
    <w:autoRedefine/>
    <w:uiPriority w:val="39"/>
    <w:unhideWhenUsed/>
    <w:rsid w:val="00bd294b"/>
    <w:pPr>
      <w:keepNext w:val="true"/>
      <w:tabs>
        <w:tab w:val="clear" w:pos="708"/>
        <w:tab w:val="left" w:pos="851" w:leader="none"/>
        <w:tab w:val="right" w:pos="9923" w:leader="none"/>
      </w:tabs>
      <w:spacing w:before="120" w:after="120"/>
      <w:ind w:hanging="851" w:left="851"/>
    </w:pPr>
    <w:rPr>
      <w:b/>
      <w:caps/>
    </w:rPr>
  </w:style>
  <w:style w:type="paragraph" w:styleId="TOC3">
    <w:name w:val="TOC 3"/>
    <w:basedOn w:val="Normal"/>
    <w:next w:val="Normal"/>
    <w:autoRedefine/>
    <w:uiPriority w:val="39"/>
    <w:unhideWhenUsed/>
    <w:rsid w:val="009c217f"/>
    <w:pPr>
      <w:spacing w:lineRule="auto" w:line="259" w:before="0" w:after="100"/>
      <w:ind w:hanging="0" w:left="440"/>
    </w:pPr>
    <w:rPr>
      <w:rFonts w:ascii="Calibri" w:hAnsi="Calibri" w:eastAsia="" w:asciiTheme="minorHAnsi" w:eastAsiaTheme="minorEastAsia" w:hAnsiTheme="minorHAnsi"/>
      <w:sz w:val="22"/>
      <w:lang w:eastAsia="ru-RU"/>
    </w:rPr>
  </w:style>
  <w:style w:type="paragraph" w:styleId="TOC4">
    <w:name w:val="TOC 4"/>
    <w:basedOn w:val="Normal"/>
    <w:next w:val="Normal"/>
    <w:autoRedefine/>
    <w:uiPriority w:val="39"/>
    <w:unhideWhenUsed/>
    <w:rsid w:val="009c217f"/>
    <w:pPr>
      <w:spacing w:lineRule="auto" w:line="259" w:before="0" w:after="100"/>
      <w:ind w:hanging="0" w:left="660"/>
    </w:pPr>
    <w:rPr>
      <w:rFonts w:ascii="Calibri" w:hAnsi="Calibri" w:eastAsia="" w:asciiTheme="minorHAnsi" w:eastAsiaTheme="minorEastAsia" w:hAnsiTheme="minorHAnsi"/>
      <w:sz w:val="22"/>
      <w:lang w:eastAsia="ru-RU"/>
    </w:rPr>
  </w:style>
  <w:style w:type="paragraph" w:styleId="TOC5">
    <w:name w:val="TOC 5"/>
    <w:basedOn w:val="Normal"/>
    <w:next w:val="Normal"/>
    <w:autoRedefine/>
    <w:uiPriority w:val="39"/>
    <w:unhideWhenUsed/>
    <w:rsid w:val="009c217f"/>
    <w:pPr>
      <w:spacing w:lineRule="auto" w:line="259" w:before="0" w:after="100"/>
      <w:ind w:hanging="0" w:left="880"/>
    </w:pPr>
    <w:rPr>
      <w:rFonts w:ascii="Calibri" w:hAnsi="Calibri" w:eastAsia="" w:asciiTheme="minorHAnsi" w:eastAsiaTheme="minorEastAsia" w:hAnsiTheme="minorHAnsi"/>
      <w:sz w:val="22"/>
      <w:lang w:eastAsia="ru-RU"/>
    </w:rPr>
  </w:style>
  <w:style w:type="paragraph" w:styleId="TOC6">
    <w:name w:val="TOC 6"/>
    <w:basedOn w:val="Normal"/>
    <w:next w:val="Normal"/>
    <w:autoRedefine/>
    <w:uiPriority w:val="39"/>
    <w:unhideWhenUsed/>
    <w:rsid w:val="009c217f"/>
    <w:pPr>
      <w:spacing w:lineRule="auto" w:line="259" w:before="0" w:after="100"/>
      <w:ind w:hanging="0" w:left="1100"/>
    </w:pPr>
    <w:rPr>
      <w:rFonts w:ascii="Calibri" w:hAnsi="Calibri" w:eastAsia="" w:asciiTheme="minorHAnsi" w:eastAsiaTheme="minorEastAsia" w:hAnsiTheme="minorHAnsi"/>
      <w:sz w:val="22"/>
      <w:lang w:eastAsia="ru-RU"/>
    </w:rPr>
  </w:style>
  <w:style w:type="paragraph" w:styleId="TOC7">
    <w:name w:val="TOC 7"/>
    <w:basedOn w:val="Normal"/>
    <w:next w:val="Normal"/>
    <w:autoRedefine/>
    <w:uiPriority w:val="39"/>
    <w:unhideWhenUsed/>
    <w:rsid w:val="009c217f"/>
    <w:pPr>
      <w:spacing w:lineRule="auto" w:line="259" w:before="0" w:after="100"/>
      <w:ind w:hanging="0" w:left="1320"/>
    </w:pPr>
    <w:rPr>
      <w:rFonts w:ascii="Calibri" w:hAnsi="Calibri" w:eastAsia="" w:asciiTheme="minorHAnsi" w:eastAsiaTheme="minorEastAsia" w:hAnsiTheme="minorHAnsi"/>
      <w:sz w:val="22"/>
      <w:lang w:eastAsia="ru-RU"/>
    </w:rPr>
  </w:style>
  <w:style w:type="paragraph" w:styleId="TOC8">
    <w:name w:val="TOC 8"/>
    <w:basedOn w:val="Normal"/>
    <w:next w:val="Normal"/>
    <w:autoRedefine/>
    <w:uiPriority w:val="39"/>
    <w:unhideWhenUsed/>
    <w:rsid w:val="009c217f"/>
    <w:pPr>
      <w:spacing w:lineRule="auto" w:line="259" w:before="0" w:after="100"/>
      <w:ind w:hanging="0" w:left="1540"/>
    </w:pPr>
    <w:rPr>
      <w:rFonts w:ascii="Calibri" w:hAnsi="Calibri" w:eastAsia="" w:asciiTheme="minorHAnsi" w:eastAsiaTheme="minorEastAsia" w:hAnsiTheme="minorHAnsi"/>
      <w:sz w:val="22"/>
      <w:lang w:eastAsia="ru-RU"/>
    </w:rPr>
  </w:style>
  <w:style w:type="paragraph" w:styleId="TOC9">
    <w:name w:val="TOC 9"/>
    <w:basedOn w:val="Normal"/>
    <w:next w:val="Normal"/>
    <w:autoRedefine/>
    <w:uiPriority w:val="39"/>
    <w:unhideWhenUsed/>
    <w:rsid w:val="009c217f"/>
    <w:pPr>
      <w:spacing w:lineRule="auto" w:line="259" w:before="0" w:after="100"/>
      <w:ind w:hanging="0" w:left="1760"/>
    </w:pPr>
    <w:rPr>
      <w:rFonts w:ascii="Calibri" w:hAnsi="Calibri" w:eastAsia="" w:asciiTheme="minorHAnsi" w:eastAsiaTheme="minorEastAsia" w:hAnsiTheme="minorHAnsi"/>
      <w:sz w:val="22"/>
      <w:lang w:eastAsia="ru-RU"/>
    </w:rPr>
  </w:style>
  <w:style w:type="paragraph" w:styleId="Annotationtext">
    <w:name w:val="annotation text"/>
    <w:basedOn w:val="Normal"/>
    <w:link w:val="Style15"/>
    <w:uiPriority w:val="99"/>
    <w:unhideWhenUsed/>
    <w:qFormat/>
    <w:rsid w:val="007e365e"/>
    <w:pPr/>
    <w:rPr>
      <w:sz w:val="20"/>
      <w:szCs w:val="20"/>
    </w:rPr>
  </w:style>
  <w:style w:type="paragraph" w:styleId="Annotationsubject">
    <w:name w:val="annotation subject"/>
    <w:basedOn w:val="Annotationtext"/>
    <w:next w:val="Annotationtext"/>
    <w:link w:val="Style16"/>
    <w:uiPriority w:val="99"/>
    <w:semiHidden/>
    <w:unhideWhenUsed/>
    <w:qFormat/>
    <w:rsid w:val="007e365e"/>
    <w:pPr/>
    <w:rPr>
      <w:b/>
      <w:bCs/>
    </w:rPr>
  </w:style>
  <w:style w:type="paragraph" w:styleId="Style33" w:customStyle="1">
    <w:name w:val="[РГ] Альтернатива / Дополнение"/>
    <w:basedOn w:val="Style30"/>
    <w:next w:val="Style30"/>
    <w:qFormat/>
    <w:rsid w:val="00a932a1"/>
    <w:pPr/>
    <w:rPr>
      <w:i/>
      <w:shd w:fill="CCECFF" w:val="clear"/>
    </w:rPr>
  </w:style>
  <w:style w:type="paragraph" w:styleId="Revision">
    <w:name w:val="Revision"/>
    <w:uiPriority w:val="99"/>
    <w:semiHidden/>
    <w:qFormat/>
    <w:rsid w:val="00537a41"/>
    <w:pPr>
      <w:widowControl/>
      <w:suppressAutoHyphens w:val="true"/>
      <w:bidi w:val="0"/>
      <w:spacing w:before="0" w:after="0"/>
      <w:jc w:val="left"/>
    </w:pPr>
    <w:rPr>
      <w:rFonts w:ascii="Times New Roman" w:hAnsi="Times New Roman" w:eastAsia="Calibri" w:cs="" w:cstheme="minorBidi" w:eastAsiaTheme="minorHAnsi"/>
      <w:color w:val="auto"/>
      <w:kern w:val="0"/>
      <w:sz w:val="26"/>
      <w:szCs w:val="22"/>
      <w:lang w:val="ru-RU" w:eastAsia="en-US" w:bidi="ar-SA"/>
    </w:rPr>
  </w:style>
  <w:style w:type="paragraph" w:styleId="ListParagraph">
    <w:name w:val="List Paragraph"/>
    <w:basedOn w:val="Normal"/>
    <w:uiPriority w:val="34"/>
    <w:qFormat/>
    <w:rsid w:val="00bb1e37"/>
    <w:pPr>
      <w:spacing w:before="120" w:after="0"/>
      <w:ind w:hanging="0" w:left="720"/>
      <w:contextualSpacing/>
    </w:pPr>
    <w:rPr/>
  </w:style>
  <w:style w:type="paragraph" w:styleId="BalloonText">
    <w:name w:val="Balloon Text"/>
    <w:basedOn w:val="Normal"/>
    <w:link w:val="Style18"/>
    <w:uiPriority w:val="99"/>
    <w:semiHidden/>
    <w:unhideWhenUsed/>
    <w:qFormat/>
    <w:rsid w:val="0079507d"/>
    <w:pPr>
      <w:spacing w:before="0" w:after="0"/>
    </w:pPr>
    <w:rPr>
      <w:rFonts w:ascii="Segoe UI" w:hAnsi="Segoe UI" w:cs="Segoe UI"/>
      <w:sz w:val="18"/>
      <w:szCs w:val="18"/>
    </w:rPr>
  </w:style>
  <w:style w:type="paragraph" w:styleId="1" w:customStyle="1">
    <w:name w:val="РГ_ЕПоЗ_1."/>
    <w:basedOn w:val="Normal"/>
    <w:qFormat/>
    <w:rsid w:val="006509a2"/>
    <w:pPr>
      <w:keepNext w:val="true"/>
      <w:numPr>
        <w:ilvl w:val="0"/>
        <w:numId w:val="15"/>
      </w:numPr>
      <w:tabs>
        <w:tab w:val="clear" w:pos="708"/>
        <w:tab w:val="left" w:pos="1418" w:leader="none"/>
      </w:tabs>
      <w:spacing w:before="480" w:after="0"/>
      <w:jc w:val="both"/>
      <w:outlineLvl w:val="0"/>
    </w:pPr>
    <w:rPr>
      <w:rFonts w:eastAsia="Times New Roman" w:cs="Times New Roman"/>
      <w:b/>
      <w:sz w:val="28"/>
      <w:szCs w:val="28"/>
      <w:lang w:eastAsia="ru-RU"/>
    </w:rPr>
  </w:style>
  <w:style w:type="paragraph" w:styleId="11" w:customStyle="1">
    <w:name w:val="РГ_ЕПоЗ_1.1"/>
    <w:basedOn w:val="Normal"/>
    <w:qFormat/>
    <w:rsid w:val="006509a2"/>
    <w:pPr>
      <w:keepNext w:val="true"/>
      <w:numPr>
        <w:ilvl w:val="1"/>
        <w:numId w:val="15"/>
      </w:numPr>
      <w:tabs>
        <w:tab w:val="clear" w:pos="708"/>
        <w:tab w:val="left" w:pos="1418" w:leader="none"/>
      </w:tabs>
      <w:spacing w:before="360" w:after="0"/>
      <w:ind w:hanging="567" w:left="1134"/>
      <w:jc w:val="both"/>
      <w:outlineLvl w:val="1"/>
    </w:pPr>
    <w:rPr>
      <w:rFonts w:eastAsia="Times New Roman" w:cs="Times New Roman"/>
      <w:b/>
      <w:sz w:val="28"/>
      <w:szCs w:val="28"/>
      <w:lang w:eastAsia="ru-RU"/>
    </w:rPr>
  </w:style>
  <w:style w:type="paragraph" w:styleId="Style34" w:customStyle="1">
    <w:name w:val="РГ_ЕПоЗ_а)"/>
    <w:basedOn w:val="ListParagraph"/>
    <w:link w:val="Style19"/>
    <w:qFormat/>
    <w:rsid w:val="006509a2"/>
    <w:pPr>
      <w:numPr>
        <w:ilvl w:val="4"/>
        <w:numId w:val="15"/>
      </w:numPr>
      <w:spacing w:before="120" w:after="0"/>
      <w:contextualSpacing w:val="false"/>
      <w:jc w:val="both"/>
    </w:pPr>
    <w:rPr>
      <w:rFonts w:eastAsia="Calibri" w:cs="Times New Roman"/>
      <w:sz w:val="28"/>
      <w:szCs w:val="28"/>
    </w:rPr>
  </w:style>
  <w:style w:type="paragraph" w:styleId="1111" w:customStyle="1">
    <w:name w:val="РГ_ЕПоЗ_1.1.1.1"/>
    <w:basedOn w:val="Normal"/>
    <w:qFormat/>
    <w:rsid w:val="006509a2"/>
    <w:pPr>
      <w:numPr>
        <w:ilvl w:val="3"/>
        <w:numId w:val="15"/>
      </w:numPr>
      <w:tabs>
        <w:tab w:val="clear" w:pos="708"/>
        <w:tab w:val="left" w:pos="1843" w:leader="none"/>
      </w:tabs>
      <w:jc w:val="both"/>
    </w:pPr>
    <w:rPr>
      <w:rFonts w:eastAsia="Times New Roman" w:cs="Times New Roman"/>
      <w:sz w:val="28"/>
      <w:szCs w:val="28"/>
      <w:lang w:eastAsia="ru-RU"/>
    </w:rPr>
  </w:style>
  <w:style w:type="paragraph" w:styleId="-1" w:customStyle="1">
    <w:name w:val="РГ_ЕПоЗ_-"/>
    <w:basedOn w:val="Normal"/>
    <w:link w:val="-"/>
    <w:qFormat/>
    <w:rsid w:val="006509a2"/>
    <w:pPr>
      <w:numPr>
        <w:ilvl w:val="5"/>
        <w:numId w:val="15"/>
      </w:numPr>
      <w:tabs>
        <w:tab w:val="clear" w:pos="708"/>
        <w:tab w:val="left" w:pos="2552" w:leader="none"/>
      </w:tabs>
      <w:spacing w:before="0" w:after="0"/>
      <w:jc w:val="both"/>
    </w:pPr>
    <w:rPr>
      <w:rFonts w:eastAsia="Times New Roman" w:cs="Times New Roman"/>
      <w:sz w:val="28"/>
      <w:szCs w:val="20"/>
      <w:lang w:eastAsia="ru-RU"/>
    </w:rPr>
  </w:style>
  <w:style w:type="paragraph" w:styleId="111" w:customStyle="1">
    <w:name w:val="РГ_ЕПоЗ_1.1.1"/>
    <w:basedOn w:val="Normal"/>
    <w:qFormat/>
    <w:rsid w:val="006509a2"/>
    <w:pPr>
      <w:numPr>
        <w:ilvl w:val="2"/>
        <w:numId w:val="15"/>
      </w:numPr>
      <w:tabs>
        <w:tab w:val="clear" w:pos="708"/>
        <w:tab w:val="left" w:pos="1134" w:leader="none"/>
      </w:tabs>
      <w:jc w:val="both"/>
    </w:pPr>
    <w:rPr>
      <w:rFonts w:eastAsia="Times New Roman" w:cs="Times New Roman"/>
      <w:sz w:val="28"/>
      <w:szCs w:val="28"/>
      <w:lang w:eastAsia="ru-RU"/>
    </w:rPr>
  </w:style>
  <w:style w:type="paragraph" w:styleId="Tableheader">
    <w:name w:val="Table_header"/>
    <w:basedOn w:val="Normal"/>
    <w:qFormat/>
    <w:pPr/>
    <w:rPr>
      <w:b/>
      <w:sz w:val="20"/>
      <w:szCs w:val="24"/>
    </w:rPr>
  </w:style>
  <w:style w:type="paragraph" w:styleId="3">
    <w:name w:val="УРОВЕНЬ_Абзац_тип3"/>
    <w:basedOn w:val="ListParagraph"/>
    <w:qFormat/>
    <w:pPr>
      <w:tabs>
        <w:tab w:val="clear" w:pos="708"/>
        <w:tab w:val="left" w:pos="1440" w:leader="none"/>
        <w:tab w:val="left" w:pos="2880" w:leader="none"/>
      </w:tabs>
      <w:spacing w:lineRule="exact" w:line="360" w:before="120" w:after="0"/>
      <w:ind w:hanging="1440" w:left="0"/>
      <w:contextualSpacing w:val="false"/>
      <w:jc w:val="both"/>
    </w:pPr>
    <w:rPr>
      <w:rFonts w:cs="Times New Roman"/>
      <w:szCs w:val="28"/>
    </w:rPr>
  </w:style>
  <w:style w:type="paragraph" w:styleId="2">
    <w:name w:val="УРОВЕНЬ_Абзац_тип2"/>
    <w:basedOn w:val="ListParagraph"/>
    <w:qFormat/>
    <w:pPr>
      <w:tabs>
        <w:tab w:val="clear" w:pos="708"/>
        <w:tab w:val="left" w:pos="360" w:leader="none"/>
        <w:tab w:val="left" w:pos="1440" w:leader="none"/>
        <w:tab w:val="left" w:pos="2736" w:leader="none"/>
      </w:tabs>
      <w:spacing w:lineRule="exact" w:line="360" w:before="120" w:after="0"/>
      <w:ind w:hanging="1440" w:left="1701"/>
      <w:contextualSpacing w:val="false"/>
      <w:jc w:val="both"/>
    </w:pPr>
    <w:rPr>
      <w:rFonts w:cs="Times New Roman"/>
      <w:szCs w:val="28"/>
    </w:rPr>
  </w:style>
  <w:style w:type="paragraph" w:styleId="-2">
    <w:name w:val="УРОВЕНЬ_-"/>
    <w:basedOn w:val="ListParagraph"/>
    <w:qFormat/>
    <w:pPr>
      <w:tabs>
        <w:tab w:val="clear" w:pos="708"/>
        <w:tab w:val="left" w:pos="360" w:leader="none"/>
        <w:tab w:val="left" w:pos="1077" w:leader="none"/>
        <w:tab w:val="left" w:pos="1576" w:leader="none"/>
      </w:tabs>
      <w:spacing w:lineRule="exact" w:line="360" w:before="120" w:after="0"/>
      <w:ind w:hanging="567" w:left="2268"/>
      <w:contextualSpacing w:val="false"/>
      <w:jc w:val="both"/>
      <w:outlineLvl w:val="4"/>
    </w:pPr>
    <w:rPr>
      <w:rFonts w:cs="Times New Roman"/>
      <w:szCs w:val="28"/>
    </w:rPr>
  </w:style>
  <w:style w:type="numbering" w:styleId="NoList" w:default="1">
    <w:name w:val="No List"/>
    <w:uiPriority w:val="99"/>
    <w:semiHidden/>
    <w:unhideWhenUsed/>
    <w:qFormat/>
  </w:style>
  <w:style w:type="table" w:default="1" w:styleId="a7">
    <w:name w:val="Normal Table"/>
    <w:uiPriority w:val="99"/>
    <w:semiHidden/>
    <w:unhideWhenUsed/>
    <w:tblPr>
      <w:tblCellMar>
        <w:top w:w="0" w:type="dxa"/>
        <w:left w:w="108" w:type="dxa"/>
        <w:bottom w:w="0" w:type="dxa"/>
        <w:right w:w="108" w:type="dxa"/>
      </w:tblCellMar>
    </w:tblPr>
  </w:style>
  <w:style w:type="table" w:customStyle="1" w:styleId="af6">
    <w:name w:val="[РГ] Таблица"/>
    <w:basedOn w:val="a7"/>
    <w:uiPriority w:val="99"/>
    <w:rsid w:val="006173b0"/>
    <w:pPr>
      <w:spacing w:before="60" w:after="60"/>
    </w:pPr>
    <w:tblPr>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57" w:type="dxa"/>
        <w:right w:w="57" w:type="dxa"/>
      </w:tblCellMar>
    </w:tblPr>
    <w:tblStylePr w:type="firstRow">
      <w:pPr>
        <w:wordWrap/>
        <w:jc w:val="center"/>
      </w:pPr>
      <w:rPr>
        <w:b/>
      </w:rPr>
      <w:tblPr/>
    </w:tblStylePr>
  </w:style>
  <w:style w:type="table" w:styleId="af7">
    <w:name w:val="Table Grid"/>
    <w:basedOn w:val="a7"/>
    <w:uiPriority w:val="39"/>
    <w:rsid w:val="006173b0"/>
    <w:pPr>
      <w:spacing w:before="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OFFICE@RUSHYDRO.RU" TargetMode="External"/><Relationship Id="rId4" Type="http://schemas.openxmlformats.org/officeDocument/2006/relationships/hyperlink" Target="mailto:KukushkinaVB@rushydro.ru" TargetMode="External"/><Relationship Id="rId5" Type="http://schemas.openxmlformats.org/officeDocument/2006/relationships/hyperlink" Target="mailto:KukushkinaVB@rushydro.ru" TargetMode="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package" Target="embeddings/oleObject1.docx"/><Relationship Id="rId13" Type="http://schemas.openxmlformats.org/officeDocument/2006/relationships/image" Target="media/image2.wmf"/><Relationship Id="rId14" Type="http://schemas.openxmlformats.org/officeDocument/2006/relationships/header" Target="header4.xml"/><Relationship Id="rId15" Type="http://schemas.openxmlformats.org/officeDocument/2006/relationships/header" Target="header5.xml"/><Relationship Id="rId16" Type="http://schemas.openxmlformats.org/officeDocument/2006/relationships/footer" Target="footer4.xml"/><Relationship Id="rId17" Type="http://schemas.openxmlformats.org/officeDocument/2006/relationships/footer" Target="footer5.xml"/><Relationship Id="rId18" Type="http://schemas.openxmlformats.org/officeDocument/2006/relationships/header" Target="header6.xml"/><Relationship Id="rId19" Type="http://schemas.openxmlformats.org/officeDocument/2006/relationships/header" Target="header7.xml"/><Relationship Id="rId20" Type="http://schemas.openxmlformats.org/officeDocument/2006/relationships/footer" Target="footer6.xml"/><Relationship Id="rId21" Type="http://schemas.openxmlformats.org/officeDocument/2006/relationships/footer" Target="footer7.xml"/><Relationship Id="rId22" Type="http://schemas.openxmlformats.org/officeDocument/2006/relationships/package" Target="embeddings/oleObject2.docx"/><Relationship Id="rId23" Type="http://schemas.openxmlformats.org/officeDocument/2006/relationships/image" Target="media/image3.wmf"/><Relationship Id="rId24" Type="http://schemas.openxmlformats.org/officeDocument/2006/relationships/package" Target="embeddings/oleObject3.docx"/><Relationship Id="rId25" Type="http://schemas.openxmlformats.org/officeDocument/2006/relationships/image" Target="media/image4.wmf"/><Relationship Id="rId26" Type="http://schemas.openxmlformats.org/officeDocument/2006/relationships/header" Target="header8.xml"/><Relationship Id="rId27" Type="http://schemas.openxmlformats.org/officeDocument/2006/relationships/header" Target="header9.xml"/><Relationship Id="rId28" Type="http://schemas.openxmlformats.org/officeDocument/2006/relationships/footer" Target="footer8.xml"/><Relationship Id="rId29" Type="http://schemas.openxmlformats.org/officeDocument/2006/relationships/footer" Target="footer9.xml"/><Relationship Id="rId30" Type="http://schemas.openxmlformats.org/officeDocument/2006/relationships/header" Target="header10.xml"/><Relationship Id="rId31" Type="http://schemas.openxmlformats.org/officeDocument/2006/relationships/header" Target="header11.xml"/><Relationship Id="rId32" Type="http://schemas.openxmlformats.org/officeDocument/2006/relationships/footer" Target="footer10.xml"/><Relationship Id="rId33" Type="http://schemas.openxmlformats.org/officeDocument/2006/relationships/footer" Target="footer11.xml"/><Relationship Id="rId34" Type="http://schemas.openxmlformats.org/officeDocument/2006/relationships/header" Target="header12.xml"/><Relationship Id="rId35" Type="http://schemas.openxmlformats.org/officeDocument/2006/relationships/header" Target="header13.xml"/><Relationship Id="rId36" Type="http://schemas.openxmlformats.org/officeDocument/2006/relationships/footer" Target="footer12.xml"/><Relationship Id="rId37" Type="http://schemas.openxmlformats.org/officeDocument/2006/relationships/footer" Target="footer13.xml"/><Relationship Id="rId38" Type="http://schemas.openxmlformats.org/officeDocument/2006/relationships/package" Target="embeddings/oleObject4.xlsx"/><Relationship Id="rId39" Type="http://schemas.openxmlformats.org/officeDocument/2006/relationships/image" Target="media/image5.wmf"/><Relationship Id="rId40" Type="http://schemas.openxmlformats.org/officeDocument/2006/relationships/package" Target="embeddings/oleObject5.docx"/><Relationship Id="rId41" Type="http://schemas.openxmlformats.org/officeDocument/2006/relationships/image" Target="media/image6.wmf"/><Relationship Id="rId42" Type="http://schemas.openxmlformats.org/officeDocument/2006/relationships/header" Target="header14.xml"/><Relationship Id="rId43" Type="http://schemas.openxmlformats.org/officeDocument/2006/relationships/header" Target="header15.xml"/><Relationship Id="rId44" Type="http://schemas.openxmlformats.org/officeDocument/2006/relationships/footer" Target="footer14.xml"/><Relationship Id="rId45" Type="http://schemas.openxmlformats.org/officeDocument/2006/relationships/footer" Target="footer15.xml"/><Relationship Id="rId46" Type="http://schemas.openxmlformats.org/officeDocument/2006/relationships/footnotes" Target="footnotes.xml"/><Relationship Id="rId47" Type="http://schemas.openxmlformats.org/officeDocument/2006/relationships/numbering" Target="numbering.xml"/><Relationship Id="rId48" Type="http://schemas.openxmlformats.org/officeDocument/2006/relationships/fontTable" Target="fontTable.xml"/><Relationship Id="rId49" Type="http://schemas.openxmlformats.org/officeDocument/2006/relationships/settings" Target="settings.xml"/><Relationship Id="rId50" Type="http://schemas.openxmlformats.org/officeDocument/2006/relationships/theme" Target="theme/theme1.xml"/><Relationship Id="rId51"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DD93D3-FD98-4A4A-9B54-FE4F67868E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Application>AlterOffice/2026.2.1.0$Linux_X86_64 LibreOffice_project/f008988ffacaa0b2bf57911c2759d08ca79831df</Application>
  <AppVersion>15.0000</AppVersion>
  <Pages>68</Pages>
  <Words>19550</Words>
  <Characters>135718</Characters>
  <CharactersWithSpaces>153695</CharactersWithSpaces>
  <Paragraphs>1085</Paragraphs>
  <Company>ПАО РусГидро; ИнКонТех</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2026-05-06T09:12:00Z</dcterms:created>
  <dc:creator>Владимир Щербаков</dc:creator>
  <dc:description/>
  <cp:keywords>Типовая форма</cp:keywords>
  <dc:language>ru-RU</dc:language>
  <cp:lastModifiedBy>kukushkinavb@corp.gidroogk.com</cp:lastModifiedBy>
  <dcterms:modified xsi:type="dcterms:W3CDTF">2026-10-07T13:39:43Z</dcterms:modified>
  <cp:revision>18</cp:revision>
  <dc:subject>Альбом типовых форм</dc:subject>
  <dc:title>Документация о закупке</dc:title>
</cp:coreProperties>
</file>

<file path=docProps/custom.xml><?xml version="1.0" encoding="utf-8"?>
<Properties xmlns="http://schemas.openxmlformats.org/officeDocument/2006/custom-properties" xmlns:vt="http://schemas.openxmlformats.org/officeDocument/2006/docPropsVTypes"/>
</file>