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header6.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xml" ContentType="application/vnd.openxmlformats-officedocument.wordprocessingml.footer+xml"/>
  <Override PartName="/word/styles.xml" ContentType="application/vnd.openxmlformats-officedocument.wordprocessingml.styles+xml"/>
  <Override PartName="/word/header5.xml" ContentType="application/vnd.openxmlformats-officedocument.wordprocessingml.header+xml"/>
  <Override PartName="/word/settings.xml" ContentType="application/vnd.openxmlformats-officedocument.wordprocessingml.settings+xml"/>
  <Override PartName="/word/header1.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header3.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customXml/_rels/item5.xml.rels" ContentType="application/vnd.openxmlformats-package.relationships+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customXml/itemProps5.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Override PartName="/customXml/item5.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tabs>
          <w:tab w:val="clear" w:pos="709"/>
          <w:tab w:val="left" w:pos="3148" w:leader="none"/>
          <w:tab w:val="center" w:pos="4818" w:leader="none"/>
          <w:tab w:val="left" w:pos="6926" w:leader="none"/>
        </w:tabs>
        <w:spacing w:lineRule="auto" w:line="240"/>
        <w:ind w:hanging="0"/>
        <w:jc w:val="right"/>
        <w:rPr>
          <w:b/>
          <w:bCs/>
          <w:color w:val="000000"/>
          <w:sz w:val="24"/>
          <w:szCs w:val="24"/>
        </w:rPr>
      </w:pPr>
      <w:r>
        <w:rPr>
          <w:b/>
          <w:bCs/>
          <w:color w:val="000000"/>
          <w:sz w:val="24"/>
          <w:szCs w:val="24"/>
        </w:rPr>
      </w:r>
    </w:p>
    <w:p>
      <w:pPr>
        <w:pStyle w:val="Normal"/>
        <w:shd w:val="clear" w:color="auto" w:fill="FFFFFF"/>
        <w:tabs>
          <w:tab w:val="clear" w:pos="709"/>
          <w:tab w:val="left" w:pos="3148" w:leader="none"/>
          <w:tab w:val="center" w:pos="4818" w:leader="none"/>
          <w:tab w:val="left" w:pos="6926" w:leader="none"/>
        </w:tabs>
        <w:spacing w:lineRule="auto" w:line="240"/>
        <w:ind w:hanging="0"/>
        <w:jc w:val="center"/>
        <w:rPr>
          <w:b/>
          <w:bCs/>
          <w:color w:val="000000"/>
          <w:sz w:val="24"/>
          <w:szCs w:val="24"/>
        </w:rPr>
      </w:pPr>
      <w:r>
        <w:rPr>
          <w:b/>
          <w:bCs/>
          <w:color w:val="000000"/>
          <w:sz w:val="24"/>
          <w:szCs w:val="24"/>
        </w:rPr>
        <w:t>Договор подряда № ____</w:t>
      </w:r>
    </w:p>
    <w:p>
      <w:pPr>
        <w:pStyle w:val="Normal"/>
        <w:shd w:val="clear" w:color="auto" w:fill="FFFFFF"/>
        <w:tabs>
          <w:tab w:val="clear" w:pos="709"/>
          <w:tab w:val="left" w:pos="3148" w:leader="none"/>
          <w:tab w:val="center" w:pos="4818" w:leader="none"/>
          <w:tab w:val="left" w:pos="6926" w:leader="none"/>
        </w:tabs>
        <w:spacing w:lineRule="auto" w:line="240"/>
        <w:ind w:hanging="0"/>
        <w:jc w:val="center"/>
        <w:rPr>
          <w:b/>
          <w:sz w:val="24"/>
          <w:szCs w:val="24"/>
        </w:rPr>
      </w:pPr>
      <w:r>
        <w:rPr>
          <w:b/>
          <w:bCs/>
          <w:color w:val="000000"/>
          <w:sz w:val="24"/>
          <w:szCs w:val="24"/>
        </w:rPr>
        <w:t xml:space="preserve">на выполнение проектных работ </w:t>
      </w:r>
    </w:p>
    <w:p>
      <w:pPr>
        <w:pStyle w:val="Normal"/>
        <w:shd w:val="clear" w:color="auto" w:fill="FFFFFF"/>
        <w:spacing w:lineRule="auto" w:line="240"/>
        <w:ind w:hanging="0"/>
        <w:rPr>
          <w:b/>
          <w:bCs/>
          <w:color w:val="000000"/>
          <w:sz w:val="24"/>
          <w:szCs w:val="24"/>
        </w:rPr>
      </w:pPr>
      <w:r>
        <w:rPr>
          <w:b/>
          <w:bCs/>
          <w:color w:val="000000"/>
          <w:sz w:val="24"/>
          <w:szCs w:val="24"/>
        </w:rPr>
      </w:r>
    </w:p>
    <w:p>
      <w:pPr>
        <w:pStyle w:val="Normal"/>
        <w:shd w:val="clear" w:color="auto" w:fill="FFFFFF"/>
        <w:tabs>
          <w:tab w:val="clear" w:pos="709"/>
          <w:tab w:val="right" w:pos="993" w:leader="none"/>
        </w:tabs>
        <w:spacing w:lineRule="auto" w:line="240"/>
        <w:ind w:hanging="0"/>
        <w:rPr>
          <w:bCs/>
          <w:color w:val="000000"/>
          <w:sz w:val="24"/>
          <w:szCs w:val="24"/>
        </w:rPr>
      </w:pPr>
      <w:r>
        <w:rPr>
          <w:bCs/>
          <w:color w:val="000000"/>
          <w:sz w:val="24"/>
          <w:szCs w:val="24"/>
        </w:rPr>
        <w:t>г. _________</w:t>
        <w:tab/>
        <w:tab/>
        <w:tab/>
        <w:tab/>
        <w:tab/>
        <w:tab/>
        <w:tab/>
        <w:t xml:space="preserve">                      «___» _________ 20__ г.</w:t>
      </w:r>
    </w:p>
    <w:p>
      <w:pPr>
        <w:pStyle w:val="Normal"/>
        <w:shd w:val="clear" w:color="auto" w:fill="FFFFFF"/>
        <w:tabs>
          <w:tab w:val="clear" w:pos="709"/>
          <w:tab w:val="right" w:pos="9639" w:leader="none"/>
        </w:tabs>
        <w:spacing w:lineRule="auto" w:line="240"/>
        <w:ind w:hanging="0"/>
        <w:rPr>
          <w:bCs/>
          <w:color w:val="000000"/>
          <w:sz w:val="24"/>
          <w:szCs w:val="24"/>
        </w:rPr>
      </w:pPr>
      <w:r>
        <w:rPr>
          <w:bCs/>
          <w:color w:val="000000"/>
          <w:sz w:val="24"/>
          <w:szCs w:val="24"/>
        </w:rPr>
      </w:r>
    </w:p>
    <w:p>
      <w:pPr>
        <w:pStyle w:val="BodyText3"/>
        <w:ind w:firstLine="708"/>
        <w:rPr>
          <w:color w:val="auto"/>
        </w:rPr>
      </w:pPr>
      <w:r>
        <w:rPr>
          <w:b/>
          <w:color w:val="auto"/>
          <w:lang w:val="ru-RU"/>
        </w:rPr>
        <w:t xml:space="preserve">Публичное </w:t>
      </w:r>
      <w:r>
        <w:rPr>
          <w:b/>
          <w:color w:val="auto"/>
        </w:rPr>
        <w:t xml:space="preserve">акционерное общество «Федеральная гидрогенерирующая компания </w:t>
      </w:r>
      <w:r>
        <w:rPr>
          <w:b/>
          <w:color w:val="auto"/>
          <w:lang w:val="ru-RU"/>
        </w:rPr>
        <w:t>–</w:t>
      </w:r>
      <w:r>
        <w:rPr>
          <w:b/>
          <w:color w:val="auto"/>
        </w:rPr>
        <w:t xml:space="preserve"> РусГидро» </w:t>
      </w:r>
      <w:r>
        <w:rPr>
          <w:color w:val="auto"/>
        </w:rPr>
        <w:t>(</w:t>
      </w:r>
      <w:r>
        <w:rPr>
          <w:color w:val="auto"/>
          <w:lang w:val="ru-RU"/>
        </w:rPr>
        <w:t>П</w:t>
      </w:r>
      <w:r>
        <w:rPr>
          <w:color w:val="auto"/>
        </w:rPr>
        <w:t xml:space="preserve">АО «РусГидро») (далее – «Заказчик»), в лице _______________ действующего на основании ______________, с одной стороны, и </w:t>
      </w:r>
    </w:p>
    <w:p>
      <w:pPr>
        <w:pStyle w:val="BodyText3"/>
        <w:ind w:firstLine="708"/>
        <w:rPr>
          <w:color w:val="auto"/>
        </w:rPr>
      </w:pPr>
      <w:r>
        <w:rPr>
          <w:color w:val="auto"/>
        </w:rPr>
        <w:t>________________________ (далее – «Подрядчик»), в лице ________________, действую</w:t>
      </w:r>
      <w:r>
        <w:rPr>
          <w:color w:val="000000"/>
          <w:shd w:fill="auto" w:val="clear"/>
        </w:rPr>
        <w:t xml:space="preserve">щего на основании ______________, с другой стороны, </w:t>
      </w:r>
    </w:p>
    <w:p>
      <w:pPr>
        <w:pStyle w:val="BodyText3"/>
        <w:ind w:firstLine="708"/>
        <w:rPr>
          <w:highlight w:val="none"/>
          <w:shd w:fill="auto" w:val="clear"/>
        </w:rPr>
      </w:pPr>
      <w:r>
        <w:rPr>
          <w:color w:val="000000"/>
          <w:shd w:fill="auto" w:val="clear"/>
        </w:rPr>
        <w:t xml:space="preserve">совместно в дальнейшем именуемые «Стороны», а по отдельности – «Сторона», по результатам проведенной Заказчиком </w:t>
      </w:r>
      <w:r>
        <w:rPr>
          <w:bCs/>
          <w:color w:val="000000"/>
          <w:shd w:fill="auto" w:val="clear"/>
          <w:lang w:val="ru-RU"/>
        </w:rPr>
        <w:t xml:space="preserve"> </w:t>
      </w:r>
      <w:r>
        <w:rPr>
          <w:bCs/>
          <w:color w:val="000000"/>
          <w:shd w:fill="auto" w:val="clear"/>
          <w:lang w:val="ru-RU"/>
        </w:rPr>
        <w:t>состязательного отбора по лоту №6-ТПИР-ПИР-2026-БурГЭС,</w:t>
      </w:r>
      <w:r>
        <w:rPr>
          <w:bCs/>
          <w:color w:val="000000"/>
          <w:shd w:fill="auto" w:val="clear"/>
          <w:lang w:val="ru-RU"/>
        </w:rPr>
        <w:t xml:space="preserve"> </w:t>
      </w:r>
      <w:r>
        <w:rPr>
          <w:bCs/>
          <w:color w:val="000000"/>
          <w:shd w:fill="auto" w:val="clear"/>
          <w:lang w:val="ru-RU"/>
        </w:rPr>
        <w:t>и</w:t>
      </w:r>
      <w:r>
        <w:rPr>
          <w:bCs/>
          <w:color w:val="000000"/>
          <w:shd w:fill="auto" w:val="clear"/>
          <w:lang w:val="ru-RU"/>
        </w:rPr>
        <w:t xml:space="preserve"> </w:t>
      </w:r>
      <w:r>
        <w:rPr>
          <w:bCs/>
          <w:color w:val="000000"/>
          <w:shd w:fill="auto" w:val="clear"/>
          <w:lang w:val="ru-RU"/>
        </w:rPr>
        <w:t>на основании Протокола о результатах __________ №_______ от «___»__________ года</w:t>
      </w:r>
    </w:p>
    <w:p>
      <w:pPr>
        <w:pStyle w:val="BodyText3"/>
        <w:ind w:firstLine="708"/>
        <w:rPr>
          <w:color w:val="auto"/>
          <w:lang w:val="ru-RU"/>
        </w:rPr>
      </w:pPr>
      <w:r>
        <w:rPr>
          <w:color w:val="000000"/>
          <w:shd w:fill="auto" w:val="clear"/>
        </w:rPr>
        <w:t>заключили настоящий договор (</w:t>
      </w:r>
      <w:r>
        <w:rPr>
          <w:color w:val="auto"/>
        </w:rPr>
        <w:t>далее – «Договор») о нижеследующем:</w:t>
      </w:r>
    </w:p>
    <w:p>
      <w:pPr>
        <w:pStyle w:val="ListParagraph"/>
        <w:shd w:val="clear" w:color="auto" w:fill="FFFFFF"/>
        <w:tabs>
          <w:tab w:val="clear" w:pos="709"/>
          <w:tab w:val="left" w:pos="284" w:leader="none"/>
        </w:tabs>
        <w:ind w:hanging="0" w:left="0"/>
        <w:jc w:val="center"/>
        <w:rPr>
          <w:b/>
          <w:bCs/>
        </w:rPr>
      </w:pPr>
      <w:r>
        <w:rPr>
          <w:b/>
          <w:bCs/>
        </w:rPr>
      </w:r>
    </w:p>
    <w:p>
      <w:pPr>
        <w:pStyle w:val="ListParagraph"/>
        <w:shd w:val="clear" w:color="auto" w:fill="FFFFFF"/>
        <w:tabs>
          <w:tab w:val="clear" w:pos="709"/>
          <w:tab w:val="left" w:pos="284" w:leader="none"/>
        </w:tabs>
        <w:ind w:hanging="0" w:left="0"/>
        <w:jc w:val="center"/>
        <w:rPr>
          <w:b/>
          <w:bCs/>
        </w:rPr>
      </w:pPr>
      <w:r>
        <w:rPr>
          <w:b/>
          <w:bCs/>
        </w:rPr>
        <w:t>Термины и определения</w:t>
      </w:r>
    </w:p>
    <w:p>
      <w:pPr>
        <w:pStyle w:val="BodyText3"/>
        <w:ind w:firstLine="708"/>
        <w:rPr>
          <w:color w:val="auto"/>
          <w:lang w:val="ru-RU"/>
        </w:rPr>
      </w:pPr>
      <w:r>
        <w:rPr>
          <w:color w:val="auto"/>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widowControl w:val="false"/>
        <w:shd w:val="clear" w:color="auto" w:fill="FFFFFF"/>
        <w:tabs>
          <w:tab w:val="clear" w:pos="709"/>
          <w:tab w:val="left" w:pos="567" w:leader="none"/>
          <w:tab w:val="left" w:pos="1134" w:leader="none"/>
        </w:tabs>
        <w:overflowPunct w:val="false"/>
        <w:ind w:firstLine="708" w:left="0"/>
        <w:jc w:val="both"/>
        <w:textAlignment w:val="baseline"/>
        <w:rPr>
          <w:lang w:eastAsia="en-US"/>
        </w:rPr>
      </w:pPr>
      <w:r>
        <w:rPr>
          <w:b/>
          <w:lang w:eastAsia="en-US"/>
        </w:rPr>
        <w:t>«Банковская гарантия»</w:t>
      </w:r>
      <w:r>
        <w:rPr>
          <w:lang w:eastAsia="en-US"/>
        </w:rPr>
        <w:t xml:space="preserve"> – независимая гарантия, выданная в обеспечение исполнения Подрядчиком обязательств по Договору согласованным с Заказчиком банком (Гарантом), которая регулируется Унифицированными правилами для гарантий по требованию, включая типовые формы (URDG 758) (Публикация Международной торговой палаты N 758), в той мере, в какой указанные правила не противоречат законодательству Российской Федерации и условиям настоящего Договора</w:t>
      </w:r>
    </w:p>
    <w:p>
      <w:pPr>
        <w:pStyle w:val="ListParagraph"/>
        <w:widowControl w:val="false"/>
        <w:shd w:val="clear" w:color="auto" w:fill="FFFFFF"/>
        <w:tabs>
          <w:tab w:val="clear" w:pos="709"/>
          <w:tab w:val="left" w:pos="567" w:leader="none"/>
          <w:tab w:val="left" w:pos="1134" w:leader="none"/>
        </w:tabs>
        <w:overflowPunct w:val="false"/>
        <w:ind w:firstLine="708" w:left="0"/>
        <w:jc w:val="both"/>
        <w:textAlignment w:val="baseline"/>
        <w:rPr>
          <w:lang w:eastAsia="en-US"/>
        </w:rPr>
      </w:pPr>
      <w:r>
        <w:rPr>
          <w:b/>
          <w:lang w:eastAsia="en-US"/>
        </w:rPr>
        <w:t>«Договор»</w:t>
      </w:r>
      <w:r>
        <w:rPr>
          <w:lang w:eastAsia="en-US"/>
        </w:rPr>
        <w:t xml:space="preserve"> – настоящий договор, подписанный Заказчиком и Подрядчиком,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widowControl w:val="false"/>
        <w:shd w:val="clear" w:color="auto" w:fill="FFFFFF"/>
        <w:tabs>
          <w:tab w:val="clear" w:pos="709"/>
          <w:tab w:val="left" w:pos="567" w:leader="none"/>
          <w:tab w:val="left" w:pos="1134" w:leader="none"/>
        </w:tabs>
        <w:overflowPunct w:val="false"/>
        <w:ind w:firstLine="708" w:left="0"/>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 </w:t>
      </w:r>
    </w:p>
    <w:p>
      <w:pPr>
        <w:pStyle w:val="ListParagraph"/>
        <w:widowControl w:val="false"/>
        <w:shd w:val="clear" w:color="auto" w:fill="FFFFFF"/>
        <w:tabs>
          <w:tab w:val="clear" w:pos="709"/>
          <w:tab w:val="left" w:pos="567" w:leader="none"/>
          <w:tab w:val="left" w:pos="1134" w:leader="none"/>
        </w:tabs>
        <w:overflowPunct w:val="false"/>
        <w:ind w:firstLine="708" w:left="0"/>
        <w:jc w:val="both"/>
        <w:textAlignment w:val="baseline"/>
        <w:rPr>
          <w:lang w:eastAsia="en-US"/>
        </w:rPr>
      </w:pPr>
      <w:r>
        <w:rPr>
          <w:b/>
          <w:bCs/>
          <w:lang w:eastAsia="en-US"/>
        </w:rPr>
        <w:t>«Национальный режим»</w:t>
      </w:r>
      <w:r>
        <w:rPr>
          <w:bCs/>
          <w:lang w:eastAsia="en-US"/>
        </w:rPr>
        <w:t xml:space="preserve"> - установленные законодательством Российской Федерации условия, обеспечивающие предоставление (или непредоставление) для происходящей из иностранного государства продукции прав участия в закупке, равных с правами для продукции российского происхождения.</w:t>
      </w:r>
    </w:p>
    <w:p>
      <w:pPr>
        <w:pStyle w:val="ListParagraph"/>
        <w:widowControl w:val="false"/>
        <w:shd w:val="clear" w:color="auto" w:fill="FFFFFF"/>
        <w:tabs>
          <w:tab w:val="clear" w:pos="709"/>
          <w:tab w:val="left" w:pos="567" w:leader="none"/>
          <w:tab w:val="left" w:pos="1134" w:leader="none"/>
        </w:tabs>
        <w:overflowPunct w:val="false"/>
        <w:ind w:firstLine="708" w:left="0"/>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(далее – «ГК РФ») в случаях, установленных Договором. </w:t>
      </w:r>
    </w:p>
    <w:p>
      <w:pPr>
        <w:pStyle w:val="Heading3"/>
        <w:keepNext w:val="false"/>
        <w:widowControl w:val="false"/>
        <w:tabs>
          <w:tab w:val="clear" w:pos="709"/>
          <w:tab w:val="left" w:pos="567" w:leader="none"/>
        </w:tabs>
        <w:overflowPunct w:val="false"/>
        <w:spacing w:before="0" w:after="0"/>
        <w:ind w:firstLine="708"/>
        <w:jc w:val="both"/>
        <w:textAlignment w:val="baseline"/>
        <w:rPr>
          <w:b w:val="false"/>
          <w:sz w:val="24"/>
          <w:szCs w:val="24"/>
          <w:lang w:val="ru-RU" w:eastAsia="en-US"/>
        </w:rPr>
      </w:pPr>
      <w:r>
        <w:rPr>
          <w:sz w:val="24"/>
          <w:szCs w:val="24"/>
          <w:lang w:val="ru-RU" w:eastAsia="en-US"/>
        </w:rPr>
        <w:t>«Применимое право»</w:t>
      </w:r>
      <w:r>
        <w:rPr>
          <w:b w:val="false"/>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а также строительные нормы и правила (СНиП), методическая документация в строительстве (МДС), руководящие документы (РД), своды правил по проектированию и строительству (СП), технические регламенты, национальные стандарты (ГОСТ Р), иные нормативно-правовые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производства работ и охраны труда персонала, относящиеся к Работам.</w:t>
      </w:r>
    </w:p>
    <w:p>
      <w:pPr>
        <w:pStyle w:val="Heading3"/>
        <w:keepNext w:val="false"/>
        <w:widowControl w:val="false"/>
        <w:tabs>
          <w:tab w:val="clear" w:pos="709"/>
          <w:tab w:val="left" w:pos="567" w:leader="none"/>
        </w:tabs>
        <w:overflowPunct w:val="false"/>
        <w:spacing w:before="0" w:after="0"/>
        <w:ind w:firstLine="708"/>
        <w:jc w:val="both"/>
        <w:textAlignment w:val="baseline"/>
        <w:rPr>
          <w:sz w:val="24"/>
          <w:szCs w:val="24"/>
          <w:lang w:eastAsia="ru-RU"/>
        </w:rPr>
      </w:pPr>
      <w:r>
        <w:rPr>
          <w:sz w:val="24"/>
          <w:szCs w:val="24"/>
          <w:lang w:val="ru-RU" w:eastAsia="en-US"/>
        </w:rPr>
        <w:t>«Работы»</w:t>
      </w:r>
      <w:r>
        <w:rPr>
          <w:b w:val="false"/>
          <w:sz w:val="24"/>
          <w:szCs w:val="24"/>
          <w:lang w:val="ru-RU" w:eastAsia="en-US"/>
        </w:rPr>
        <w:t xml:space="preserve"> – все выполняемые Подрядчиком на свой риск, с использованием своих и / или привлеченных за свой счет сил и средств (оборудования, инструмента), в соответствии с условиями Договора и Применимым правом работы, в том числе: работы по исправлению</w:t>
      </w:r>
      <w:r>
        <w:rPr>
          <w:sz w:val="24"/>
          <w:szCs w:val="24"/>
          <w:lang w:eastAsia="ru-RU"/>
        </w:rPr>
        <w:t xml:space="preserve"> </w:t>
      </w:r>
      <w:r>
        <w:rPr>
          <w:b w:val="false"/>
          <w:sz w:val="24"/>
          <w:szCs w:val="24"/>
          <w:lang w:val="ru-RU" w:eastAsia="ru-RU"/>
        </w:rPr>
        <w:t>выявленных</w:t>
      </w:r>
      <w:r>
        <w:rPr>
          <w:sz w:val="24"/>
          <w:szCs w:val="24"/>
          <w:lang w:val="ru-RU" w:eastAsia="ru-RU"/>
        </w:rPr>
        <w:t xml:space="preserve"> </w:t>
      </w:r>
      <w:r>
        <w:rPr>
          <w:b w:val="false"/>
          <w:sz w:val="24"/>
          <w:szCs w:val="24"/>
          <w:lang w:eastAsia="ru-RU"/>
        </w:rPr>
        <w:t>недостатков, несоответстви</w:t>
      </w:r>
      <w:r>
        <w:rPr>
          <w:b w:val="false"/>
          <w:sz w:val="24"/>
          <w:szCs w:val="24"/>
          <w:lang w:val="ru-RU" w:eastAsia="ru-RU"/>
        </w:rPr>
        <w:t>й</w:t>
      </w:r>
      <w:r>
        <w:rPr>
          <w:b w:val="false"/>
          <w:sz w:val="24"/>
          <w:szCs w:val="24"/>
          <w:lang w:eastAsia="ru-RU"/>
        </w:rPr>
        <w:t xml:space="preserve"> в </w:t>
      </w:r>
      <w:r>
        <w:rPr>
          <w:b w:val="false"/>
          <w:sz w:val="24"/>
          <w:szCs w:val="24"/>
          <w:lang w:val="ru-RU" w:eastAsia="ru-RU"/>
        </w:rPr>
        <w:t>Результате</w:t>
      </w:r>
      <w:r>
        <w:rPr>
          <w:b w:val="false"/>
          <w:sz w:val="24"/>
          <w:szCs w:val="24"/>
          <w:lang w:eastAsia="ru-RU"/>
        </w:rPr>
        <w:t xml:space="preserve"> </w:t>
      </w:r>
      <w:r>
        <w:rPr>
          <w:b w:val="false"/>
          <w:sz w:val="24"/>
          <w:szCs w:val="24"/>
          <w:lang w:val="ru-RU" w:eastAsia="ru-RU"/>
        </w:rPr>
        <w:t>работ</w:t>
      </w:r>
      <w:r>
        <w:rPr>
          <w:b w:val="false"/>
          <w:sz w:val="24"/>
          <w:szCs w:val="24"/>
          <w:lang w:eastAsia="ru-RU"/>
        </w:rPr>
        <w:t xml:space="preserve">, а также любые иные работы, необходимые для выполнения Подрядчиком своих обязательств по Договору, независимо от </w:t>
      </w:r>
      <w:r>
        <w:rPr>
          <w:b w:val="false"/>
          <w:sz w:val="24"/>
          <w:szCs w:val="24"/>
          <w:lang w:val="ru-RU" w:eastAsia="ru-RU"/>
        </w:rPr>
        <w:t>их</w:t>
      </w:r>
      <w:r>
        <w:rPr>
          <w:b w:val="false"/>
          <w:sz w:val="24"/>
          <w:szCs w:val="24"/>
          <w:lang w:eastAsia="ru-RU"/>
        </w:rPr>
        <w:t xml:space="preserve"> прямо</w:t>
      </w:r>
      <w:r>
        <w:rPr>
          <w:b w:val="false"/>
          <w:sz w:val="24"/>
          <w:szCs w:val="24"/>
          <w:lang w:val="ru-RU" w:eastAsia="ru-RU"/>
        </w:rPr>
        <w:t>го указания</w:t>
      </w:r>
      <w:r>
        <w:rPr>
          <w:b w:val="false"/>
          <w:sz w:val="24"/>
          <w:szCs w:val="24"/>
          <w:lang w:eastAsia="ru-RU"/>
        </w:rPr>
        <w:t xml:space="preserve"> в Договоре.</w:t>
      </w:r>
      <w:r>
        <w:rPr>
          <w:sz w:val="24"/>
          <w:szCs w:val="24"/>
          <w:lang w:eastAsia="ru-RU"/>
        </w:rPr>
        <w:t xml:space="preserve"> </w:t>
      </w:r>
    </w:p>
    <w:p>
      <w:pPr>
        <w:pStyle w:val="Normal"/>
        <w:widowControl w:val="false"/>
        <w:tabs>
          <w:tab w:val="clear" w:pos="709"/>
          <w:tab w:val="left" w:pos="567" w:leader="none"/>
        </w:tabs>
        <w:spacing w:lineRule="auto" w:line="240"/>
        <w:ind w:firstLine="708"/>
        <w:rPr>
          <w:sz w:val="24"/>
          <w:szCs w:val="24"/>
        </w:rPr>
      </w:pPr>
      <w:r>
        <w:rPr>
          <w:sz w:val="24"/>
          <w:szCs w:val="24"/>
        </w:rPr>
        <w:t xml:space="preserve">Термин «Работы» включает в себя упомянутые в настоящем пункте обязанности Подрядчика независимо от возможного использования в тексте Договора терминов, обозначающих такие обязанности, совместно с термином «Работы». </w:t>
      </w:r>
    </w:p>
    <w:p>
      <w:pPr>
        <w:pStyle w:val="Normal"/>
        <w:widowControl w:val="false"/>
        <w:tabs>
          <w:tab w:val="clear" w:pos="709"/>
          <w:tab w:val="left" w:pos="567" w:leader="none"/>
        </w:tabs>
        <w:spacing w:lineRule="auto" w:line="240"/>
        <w:ind w:firstLine="708"/>
        <w:rPr>
          <w:highlight w:val="none"/>
          <w:shd w:fill="auto" w:val="clear"/>
        </w:rPr>
      </w:pPr>
      <w:r>
        <w:rPr>
          <w:b/>
          <w:sz w:val="24"/>
          <w:szCs w:val="24"/>
          <w:shd w:fill="auto" w:val="clear"/>
          <w:lang w:eastAsia="en-US"/>
        </w:rPr>
        <w:t xml:space="preserve">«Рабочая документация» – </w:t>
      </w:r>
      <w:r>
        <w:rPr>
          <w:sz w:val="24"/>
          <w:szCs w:val="24"/>
          <w:shd w:fill="auto" w:val="clear"/>
          <w:lang w:eastAsia="en-US"/>
        </w:rPr>
        <w:t xml:space="preserve">совокупность текстовых и графических документов на русском языке, обеспечивающих реализацию принятых в утвержденной Проектной документации технических решений объекта капитального строительства, необходимых для производства строительных и монтажных работ, обеспечения строительства оборудованием, изделиями и материалами и / или изготовления строительных изделий, содержащая: </w:t>
      </w:r>
    </w:p>
    <w:p>
      <w:pPr>
        <w:pStyle w:val="ListParagraph"/>
        <w:widowControl w:val="false"/>
        <w:numPr>
          <w:ilvl w:val="0"/>
          <w:numId w:val="8"/>
        </w:numPr>
        <w:shd w:val="clear" w:color="auto" w:fill="FFFFFF"/>
        <w:tabs>
          <w:tab w:val="clear" w:pos="709"/>
          <w:tab w:val="left" w:pos="567" w:leader="none"/>
          <w:tab w:val="left" w:pos="1134" w:leader="none"/>
        </w:tabs>
        <w:overflowPunct w:val="false"/>
        <w:ind w:firstLine="708" w:left="0"/>
        <w:jc w:val="both"/>
        <w:textAlignment w:val="baseline"/>
        <w:rPr>
          <w:highlight w:val="none"/>
          <w:shd w:fill="auto" w:val="clear"/>
        </w:rPr>
      </w:pPr>
      <w:r>
        <w:rPr>
          <w:shd w:fill="auto" w:val="clear"/>
          <w:lang w:eastAsia="en-US"/>
        </w:rPr>
        <w:t>рабочие чертежи основного комплекта, спецификации оборудования и изделий;</w:t>
      </w:r>
    </w:p>
    <w:p>
      <w:pPr>
        <w:pStyle w:val="ListParagraph"/>
        <w:widowControl w:val="false"/>
        <w:numPr>
          <w:ilvl w:val="0"/>
          <w:numId w:val="8"/>
        </w:numPr>
        <w:shd w:val="clear" w:color="auto" w:fill="FFFFFF"/>
        <w:tabs>
          <w:tab w:val="clear" w:pos="709"/>
          <w:tab w:val="left" w:pos="567" w:leader="none"/>
          <w:tab w:val="left" w:pos="1134" w:leader="none"/>
        </w:tabs>
        <w:overflowPunct w:val="false"/>
        <w:ind w:firstLine="708" w:left="0"/>
        <w:jc w:val="both"/>
        <w:textAlignment w:val="baseline"/>
        <w:rPr>
          <w:highlight w:val="none"/>
          <w:shd w:fill="auto" w:val="clear"/>
        </w:rPr>
      </w:pPr>
      <w:r>
        <w:rPr>
          <w:shd w:fill="auto" w:val="clear"/>
          <w:lang w:eastAsia="en-US"/>
        </w:rPr>
        <w:t>документы, разработанные в дополнение к рабочим чертежам основного комплекта;</w:t>
      </w:r>
    </w:p>
    <w:p>
      <w:pPr>
        <w:pStyle w:val="ListParagraph"/>
        <w:widowControl w:val="false"/>
        <w:numPr>
          <w:ilvl w:val="0"/>
          <w:numId w:val="8"/>
        </w:numPr>
        <w:shd w:val="clear" w:color="auto" w:fill="FFFFFF"/>
        <w:tabs>
          <w:tab w:val="clear" w:pos="709"/>
          <w:tab w:val="left" w:pos="567" w:leader="none"/>
          <w:tab w:val="left" w:pos="1134" w:leader="none"/>
        </w:tabs>
        <w:overflowPunct w:val="false"/>
        <w:ind w:firstLine="708" w:left="0"/>
        <w:jc w:val="both"/>
        <w:textAlignment w:val="baseline"/>
        <w:rPr>
          <w:highlight w:val="none"/>
          <w:shd w:fill="auto" w:val="clear"/>
        </w:rPr>
      </w:pPr>
      <w:r>
        <w:rPr>
          <w:shd w:fill="auto" w:val="clear"/>
          <w:lang w:eastAsia="en-US"/>
        </w:rPr>
        <w:t>сметную документацию.</w:t>
      </w:r>
    </w:p>
    <w:p>
      <w:pPr>
        <w:pStyle w:val="Normal"/>
        <w:widowControl w:val="false"/>
        <w:tabs>
          <w:tab w:val="clear" w:pos="709"/>
          <w:tab w:val="left" w:pos="567" w:leader="none"/>
        </w:tabs>
        <w:spacing w:lineRule="auto" w:line="240"/>
        <w:ind w:firstLine="708"/>
        <w:rPr>
          <w:sz w:val="24"/>
          <w:szCs w:val="24"/>
        </w:rPr>
      </w:pPr>
      <w:r>
        <w:rPr>
          <w:b/>
          <w:sz w:val="24"/>
          <w:szCs w:val="24"/>
        </w:rPr>
        <w:t>«Рабочий день»</w:t>
      </w:r>
      <w:r>
        <w:rPr>
          <w:sz w:val="24"/>
          <w:szCs w:val="24"/>
        </w:rPr>
        <w:t xml:space="preserve"> – день, который в соответствии с Применимым правом, является рабочим днем в Российской Федерации.</w:t>
      </w:r>
    </w:p>
    <w:p>
      <w:pPr>
        <w:pStyle w:val="Heading3"/>
        <w:keepNext w:val="false"/>
        <w:widowControl w:val="false"/>
        <w:tabs>
          <w:tab w:val="clear" w:pos="709"/>
          <w:tab w:val="left" w:pos="567" w:leader="none"/>
        </w:tabs>
        <w:overflowPunct w:val="false"/>
        <w:spacing w:before="0" w:after="0"/>
        <w:ind w:firstLine="708"/>
        <w:jc w:val="both"/>
        <w:textAlignment w:val="baseline"/>
        <w:rPr>
          <w:b w:val="false"/>
          <w:sz w:val="24"/>
          <w:szCs w:val="24"/>
          <w:lang w:val="ru-RU" w:eastAsia="en-US"/>
        </w:rPr>
      </w:pPr>
      <w:r>
        <w:rPr>
          <w:sz w:val="24"/>
          <w:szCs w:val="24"/>
          <w:lang w:val="ru-RU" w:eastAsia="en-US"/>
        </w:rPr>
        <w:t>«Результат Работ»</w:t>
      </w:r>
      <w:r>
        <w:rPr>
          <w:b w:val="false"/>
          <w:sz w:val="24"/>
          <w:szCs w:val="24"/>
          <w:lang w:val="ru-RU" w:eastAsia="en-US"/>
        </w:rPr>
        <w:t xml:space="preserve"> – вы</w:t>
      </w:r>
      <w:r>
        <w:rPr>
          <w:b w:val="false"/>
          <w:sz w:val="24"/>
          <w:szCs w:val="24"/>
          <w:shd w:fill="auto" w:val="clear"/>
          <w:lang w:val="ru-RU" w:eastAsia="en-US"/>
        </w:rPr>
        <w:t>полненная Подрядчиком и принятая Заказчиком по Акту сдачи-приемки выполненных работ Рабочая документация или иной результат Работ, соответствующий требованиям, изложенным в Техническом задании (Приложение № 1 к Договору), в том числе требованиям к отчет</w:t>
      </w:r>
      <w:r>
        <w:rPr>
          <w:b w:val="false"/>
          <w:sz w:val="24"/>
          <w:szCs w:val="24"/>
          <w:lang w:val="ru-RU" w:eastAsia="en-US"/>
        </w:rPr>
        <w:t>ным документам (состав, количество, формат, носитель и т.д.), подлежащим передаче Подрядчиком Заказчику в составе Результата Работ.</w:t>
      </w:r>
    </w:p>
    <w:p>
      <w:pPr>
        <w:pStyle w:val="Normal"/>
        <w:spacing w:lineRule="auto" w:line="240"/>
        <w:ind w:firstLine="708"/>
        <w:rPr>
          <w:sz w:val="24"/>
          <w:szCs w:val="24"/>
          <w:lang w:eastAsia="en-US"/>
        </w:rPr>
      </w:pPr>
      <w:r>
        <w:rPr>
          <w:b/>
          <w:sz w:val="24"/>
          <w:szCs w:val="24"/>
          <w:lang w:eastAsia="en-US"/>
        </w:rPr>
        <w:t>«Субъект МСП»</w:t>
      </w:r>
      <w:r>
        <w:rPr>
          <w:sz w:val="24"/>
          <w:szCs w:val="24"/>
          <w:lang w:eastAsia="en-US"/>
        </w:rPr>
        <w:t xml:space="preserve"> – субъект малого и среднего предпринимательства.</w:t>
      </w:r>
    </w:p>
    <w:p>
      <w:pPr>
        <w:pStyle w:val="Heading3"/>
        <w:keepNext w:val="false"/>
        <w:widowControl w:val="false"/>
        <w:tabs>
          <w:tab w:val="clear" w:pos="709"/>
          <w:tab w:val="left" w:pos="567" w:leader="none"/>
        </w:tabs>
        <w:overflowPunct w:val="false"/>
        <w:spacing w:before="0" w:after="0"/>
        <w:ind w:firstLine="708"/>
        <w:jc w:val="both"/>
        <w:textAlignment w:val="baseline"/>
        <w:rPr>
          <w:b w:val="false"/>
          <w:sz w:val="24"/>
          <w:szCs w:val="24"/>
          <w:lang w:val="ru-RU" w:eastAsia="en-US"/>
        </w:rPr>
      </w:pPr>
      <w:r>
        <w:rPr>
          <w:sz w:val="24"/>
          <w:szCs w:val="24"/>
          <w:lang w:val="ru-RU" w:eastAsia="en-US"/>
        </w:rPr>
        <w:t>«Смета»</w:t>
      </w:r>
      <w:r>
        <w:rPr>
          <w:b w:val="false"/>
          <w:sz w:val="24"/>
          <w:szCs w:val="24"/>
          <w:lang w:val="ru-RU" w:eastAsia="en-US"/>
        </w:rPr>
        <w:t xml:space="preserve"> – сметный расчет стоимости Работ, составляемый в соответствии с требованиями Заказчика к оформлению и составлению сметной документации на выполнение проектных работ и не подлежащий корректировке после приемки Заказчиком Результата работ по Договору.</w:t>
      </w:r>
    </w:p>
    <w:p>
      <w:pPr>
        <w:pStyle w:val="Heading3"/>
        <w:keepNext w:val="false"/>
        <w:widowControl w:val="false"/>
        <w:tabs>
          <w:tab w:val="clear" w:pos="709"/>
          <w:tab w:val="left" w:pos="567" w:leader="none"/>
        </w:tabs>
        <w:overflowPunct w:val="false"/>
        <w:spacing w:before="0" w:after="0"/>
        <w:ind w:firstLine="708"/>
        <w:jc w:val="both"/>
        <w:textAlignment w:val="baseline"/>
        <w:rPr>
          <w:b w:val="false"/>
          <w:sz w:val="24"/>
          <w:szCs w:val="24"/>
          <w:lang w:val="ru-RU" w:eastAsia="en-US"/>
        </w:rPr>
      </w:pPr>
      <w:r>
        <w:rPr>
          <w:sz w:val="24"/>
          <w:szCs w:val="24"/>
          <w:lang w:val="ru-RU" w:eastAsia="en-US"/>
        </w:rPr>
        <w:t>«Сводная смета»</w:t>
      </w:r>
      <w:r>
        <w:rPr>
          <w:b w:val="false"/>
          <w:sz w:val="24"/>
          <w:szCs w:val="24"/>
          <w:lang w:val="ru-RU" w:eastAsia="en-US"/>
        </w:rPr>
        <w:t xml:space="preserve"> – сметный расчет, составляемый в случае, если комплект сметной документации на выполнение Работ по Договору включает в себя несколько Смет.</w:t>
      </w:r>
    </w:p>
    <w:p>
      <w:pPr>
        <w:pStyle w:val="Heading3"/>
        <w:keepNext w:val="false"/>
        <w:widowControl w:val="false"/>
        <w:tabs>
          <w:tab w:val="clear" w:pos="709"/>
          <w:tab w:val="left" w:pos="567" w:leader="none"/>
        </w:tabs>
        <w:overflowPunct w:val="false"/>
        <w:spacing w:before="0" w:after="0"/>
        <w:ind w:firstLine="708"/>
        <w:jc w:val="both"/>
        <w:textAlignment w:val="baseline"/>
        <w:rPr>
          <w:b w:val="false"/>
          <w:sz w:val="24"/>
          <w:szCs w:val="24"/>
          <w:lang w:val="ru-RU" w:eastAsia="en-US"/>
        </w:rPr>
      </w:pPr>
      <w:r>
        <w:rPr>
          <w:sz w:val="24"/>
          <w:szCs w:val="24"/>
          <w:lang w:val="ru-RU" w:eastAsia="en-US"/>
        </w:rPr>
        <w:t>«Субподрядчик»</w:t>
      </w:r>
      <w:r>
        <w:rPr>
          <w:b w:val="false"/>
          <w:sz w:val="24"/>
          <w:szCs w:val="24"/>
          <w:lang w:val="ru-RU" w:eastAsia="en-US"/>
        </w:rPr>
        <w:t xml:space="preserve"> – юридическое лицо или индивидуальный предприниматель, нанятые Подрядчиком посредством заключения договора для выполнения части обязательств Подрядчика по Договору, в том числе для выполнения любых Работ по Договору.</w:t>
      </w:r>
    </w:p>
    <w:p>
      <w:pPr>
        <w:pStyle w:val="Heading3"/>
        <w:keepNext w:val="false"/>
        <w:widowControl w:val="false"/>
        <w:tabs>
          <w:tab w:val="clear" w:pos="709"/>
          <w:tab w:val="left" w:pos="567" w:leader="none"/>
        </w:tabs>
        <w:overflowPunct w:val="false"/>
        <w:spacing w:before="0" w:after="0"/>
        <w:ind w:firstLine="708"/>
        <w:jc w:val="both"/>
        <w:textAlignment w:val="baseline"/>
        <w:rPr>
          <w:b w:val="false"/>
          <w:sz w:val="24"/>
          <w:szCs w:val="24"/>
          <w:lang w:val="ru-RU" w:eastAsia="en-US"/>
        </w:rPr>
      </w:pPr>
      <w:r>
        <w:rPr>
          <w:sz w:val="24"/>
          <w:szCs w:val="24"/>
          <w:lang w:val="ru-RU" w:eastAsia="en-US"/>
        </w:rPr>
        <w:t>«Техническое задание»</w:t>
      </w:r>
      <w:r>
        <w:rPr>
          <w:b w:val="false"/>
          <w:sz w:val="24"/>
          <w:szCs w:val="24"/>
          <w:lang w:val="ru-RU" w:eastAsia="en-US"/>
        </w:rPr>
        <w:t xml:space="preserve"> – документ, содержащий исходные данные, объем и состав Работ по Договору, а также требования Заказчика к выполнению Подрядчиком Работ по Договору в целом.</w:t>
      </w:r>
    </w:p>
    <w:p>
      <w:pPr>
        <w:pStyle w:val="Heading3"/>
        <w:keepNext w:val="false"/>
        <w:widowControl w:val="false"/>
        <w:tabs>
          <w:tab w:val="clear" w:pos="709"/>
          <w:tab w:val="left" w:pos="567" w:leader="none"/>
        </w:tabs>
        <w:overflowPunct w:val="false"/>
        <w:spacing w:before="0" w:after="0"/>
        <w:ind w:firstLine="708"/>
        <w:jc w:val="both"/>
        <w:textAlignment w:val="baseline"/>
        <w:rPr>
          <w:highlight w:val="none"/>
          <w:shd w:fill="auto" w:val="clear"/>
        </w:rPr>
      </w:pPr>
      <w:r>
        <w:rPr>
          <w:rFonts w:eastAsia="Times New Roman" w:cs="Times New Roman"/>
          <w:b/>
          <w:color w:val="000000"/>
          <w:kern w:val="0"/>
          <w:sz w:val="24"/>
          <w:szCs w:val="24"/>
          <w:shd w:fill="auto" w:val="clear"/>
          <w:lang w:val="ru-RU" w:eastAsia="en-US" w:bidi="ar-SA"/>
        </w:rPr>
        <w:t xml:space="preserve">«Универсальный передаточный документ», «УПД» </w:t>
      </w:r>
      <w:r>
        <w:rPr>
          <w:rFonts w:eastAsia="Times New Roman" w:cs="Times New Roman"/>
          <w:b w:val="false"/>
          <w:color w:val="000000"/>
          <w:kern w:val="0"/>
          <w:sz w:val="24"/>
          <w:szCs w:val="24"/>
          <w:shd w:fill="auto" w:val="clear"/>
          <w:lang w:val="ru-RU" w:eastAsia="en-US" w:bidi="ar-SA"/>
        </w:rPr>
        <w:t>–</w:t>
      </w:r>
      <w:r>
        <w:rPr>
          <w:rFonts w:eastAsia="Times New Roman" w:cs="Times New Roman"/>
          <w:b/>
          <w:color w:val="000000"/>
          <w:kern w:val="0"/>
          <w:sz w:val="24"/>
          <w:szCs w:val="24"/>
          <w:shd w:fill="auto" w:val="clear"/>
          <w:lang w:val="ru-RU" w:eastAsia="en-US" w:bidi="ar-SA"/>
        </w:rPr>
        <w:t xml:space="preserve"> </w:t>
      </w:r>
      <w:r>
        <w:rPr>
          <w:rFonts w:eastAsia="Times New Roman" w:cs="Times New Roman"/>
          <w:b w:val="false"/>
          <w:color w:val="000000"/>
          <w:kern w:val="0"/>
          <w:sz w:val="24"/>
          <w:szCs w:val="24"/>
          <w:shd w:fill="auto" w:val="clear"/>
          <w:lang w:val="ru-RU" w:eastAsia="en-US" w:bidi="ar-SA"/>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eastAsia="Times New Roman" w:cs="Times New Roman"/>
          <w:b w:val="false"/>
          <w:bCs w:val="false"/>
          <w:color w:val="000000"/>
          <w:kern w:val="0"/>
          <w:sz w:val="24"/>
          <w:szCs w:val="24"/>
          <w:shd w:fill="auto" w:val="clear"/>
          <w:lang w:val="ru-RU" w:eastAsia="en-US" w:bidi="ar-SA"/>
        </w:rPr>
        <w:t>.</w:t>
      </w:r>
    </w:p>
    <w:p>
      <w:pPr>
        <w:pStyle w:val="Heading3"/>
        <w:widowControl w:val="false"/>
        <w:tabs>
          <w:tab w:val="clear" w:pos="709"/>
          <w:tab w:val="left" w:pos="567" w:leader="none"/>
        </w:tabs>
        <w:overflowPunct w:val="false"/>
        <w:spacing w:before="0" w:after="0"/>
        <w:ind w:firstLine="708"/>
        <w:jc w:val="both"/>
        <w:textAlignment w:val="baseline"/>
        <w:rPr>
          <w:b w:val="false"/>
          <w:sz w:val="24"/>
          <w:szCs w:val="24"/>
          <w:lang w:val="ru-RU" w:eastAsia="en-US"/>
        </w:rPr>
      </w:pPr>
      <w:r>
        <w:rPr>
          <w:sz w:val="24"/>
          <w:szCs w:val="24"/>
          <w:lang w:val="ru-RU" w:eastAsia="en-US"/>
        </w:rPr>
        <w:t>«Цена Договора»</w:t>
      </w:r>
      <w:r>
        <w:rPr>
          <w:b w:val="false"/>
          <w:sz w:val="24"/>
          <w:szCs w:val="24"/>
          <w:lang w:val="ru-RU" w:eastAsia="en-US"/>
        </w:rPr>
        <w:t xml:space="preserve"> – определяемая в соответствии с разделом 3 Договора сумма, которую Заказчик обязуется уплатить Подрядчику в порядке и на условиях, установленных Договором, компенсацию всех издержек Подрядчика и причитающееся ему вознаграждение, а также инфляционные риски</w:t>
      </w:r>
      <w:r>
        <w:rPr>
          <w:sz w:val="24"/>
          <w:szCs w:val="24"/>
        </w:rPr>
        <w:t xml:space="preserve"> </w:t>
      </w:r>
      <w:r>
        <w:rPr>
          <w:b w:val="false"/>
          <w:sz w:val="24"/>
          <w:szCs w:val="24"/>
          <w:lang w:val="ru-RU" w:eastAsia="en-US"/>
        </w:rPr>
        <w:t xml:space="preserve">на весь период действия Договора. </w:t>
      </w:r>
    </w:p>
    <w:p>
      <w:pPr>
        <w:pStyle w:val="Normal"/>
        <w:spacing w:lineRule="auto" w:line="240"/>
        <w:rPr>
          <w:lang w:eastAsia="en-US"/>
        </w:rPr>
      </w:pPr>
      <w:r>
        <w:rPr>
          <w:lang w:eastAsia="en-US"/>
        </w:rPr>
      </w:r>
    </w:p>
    <w:p>
      <w:pPr>
        <w:pStyle w:val="ListParagraph"/>
        <w:numPr>
          <w:ilvl w:val="0"/>
          <w:numId w:val="4"/>
        </w:numPr>
        <w:shd w:val="clear" w:color="auto" w:fill="FFFFFF"/>
        <w:tabs>
          <w:tab w:val="clear" w:pos="709"/>
          <w:tab w:val="left" w:pos="284" w:leader="none"/>
        </w:tabs>
        <w:ind w:hanging="0" w:left="0"/>
        <w:jc w:val="center"/>
        <w:rPr>
          <w:b/>
          <w:bCs/>
        </w:rPr>
      </w:pPr>
      <w:r>
        <w:rPr>
          <w:b/>
          <w:bCs/>
        </w:rPr>
        <w:t>Предмет Договора</w:t>
      </w:r>
    </w:p>
    <w:p>
      <w:pPr>
        <w:pStyle w:val="ListParagraph"/>
        <w:numPr>
          <w:ilvl w:val="1"/>
          <w:numId w:val="4"/>
        </w:numPr>
        <w:shd w:val="clear" w:color="auto" w:fill="FFFFFF"/>
        <w:tabs>
          <w:tab w:val="clear" w:pos="709"/>
          <w:tab w:val="left" w:pos="1134" w:leader="none"/>
        </w:tabs>
        <w:ind w:firstLine="709" w:left="0"/>
        <w:jc w:val="both"/>
        <w:rPr>
          <w:bCs/>
        </w:rPr>
      </w:pPr>
      <w:bookmarkStart w:id="0" w:name="_Ref361410951"/>
      <w:r>
        <w:rPr>
          <w:bCs/>
        </w:rPr>
        <w:t>Подрядч</w:t>
      </w:r>
      <w:r>
        <w:rPr>
          <w:bCs/>
          <w:shd w:fill="auto" w:val="clear"/>
        </w:rPr>
        <w:t xml:space="preserve">ик обязуется по заданию Заказчика в соответствии с Техническим заданием (Приложение № 1 к Договору) выполнить </w:t>
      </w:r>
      <w:r>
        <w:rPr>
          <w:bCs/>
          <w:i w:val="false"/>
          <w:iCs w:val="false"/>
          <w:shd w:fill="auto" w:val="clear"/>
        </w:rPr>
        <w:t>работы по разработке рабочей документации на модернизацию силового трансформатора ТДЦ-400000/500 № 6 Бурейской ГЭС путем установки оборудования системы защиты от взрывов и пожаров "SERGI"</w:t>
      </w:r>
      <w:r>
        <w:rPr>
          <w:bCs/>
          <w:shd w:fill="auto" w:val="clear"/>
        </w:rPr>
        <w:t xml:space="preserve"> (далее по тексту – «Работы»), а также сдать Результат работ Заказчику, а Заказчик обязуется создать Подрядчику указанные в Договоре условия для выполнения Работ, принять Результат работ и уплатить Цену Договора.</w:t>
      </w:r>
      <w:bookmarkEnd w:id="0"/>
    </w:p>
    <w:p>
      <w:pPr>
        <w:pStyle w:val="ListParagraph"/>
        <w:numPr>
          <w:ilvl w:val="1"/>
          <w:numId w:val="4"/>
        </w:numPr>
        <w:shd w:val="clear" w:color="auto" w:fill="FFFFFF"/>
        <w:tabs>
          <w:tab w:val="clear" w:pos="709"/>
          <w:tab w:val="left" w:pos="1134" w:leader="none"/>
        </w:tabs>
        <w:ind w:firstLine="709" w:left="0"/>
        <w:jc w:val="both"/>
        <w:rPr>
          <w:highlight w:val="none"/>
          <w:shd w:fill="auto" w:val="clear"/>
        </w:rPr>
      </w:pPr>
      <w:r>
        <w:rPr>
          <w:bCs/>
          <w:shd w:fill="auto" w:val="clear"/>
        </w:rPr>
        <w:t>В состав Работ по Договору входят:</w:t>
      </w:r>
    </w:p>
    <w:p>
      <w:pPr>
        <w:pStyle w:val="ListParagraph"/>
        <w:numPr>
          <w:ilvl w:val="2"/>
          <w:numId w:val="4"/>
        </w:numPr>
        <w:shd w:val="clear" w:color="auto" w:fill="FFFFFF"/>
        <w:tabs>
          <w:tab w:val="clear" w:pos="709"/>
          <w:tab w:val="left" w:pos="1418" w:leader="none"/>
        </w:tabs>
        <w:ind w:firstLine="709" w:left="0"/>
        <w:jc w:val="both"/>
        <w:rPr>
          <w:highlight w:val="none"/>
          <w:shd w:fill="auto" w:val="clear"/>
        </w:rPr>
      </w:pPr>
      <w:r>
        <w:rPr>
          <w:bCs/>
          <w:shd w:fill="auto" w:val="clear"/>
        </w:rPr>
        <w:t>Предпроектное обследование</w:t>
      </w:r>
      <w:r>
        <w:rPr>
          <w:bCs/>
          <w:shd w:fill="auto" w:val="clear"/>
        </w:rPr>
        <w:t>;</w:t>
      </w:r>
    </w:p>
    <w:p>
      <w:pPr>
        <w:pStyle w:val="ListParagraph"/>
        <w:numPr>
          <w:ilvl w:val="2"/>
          <w:numId w:val="4"/>
        </w:numPr>
        <w:shd w:val="clear" w:color="auto" w:fill="FFFFFF"/>
        <w:tabs>
          <w:tab w:val="clear" w:pos="709"/>
          <w:tab w:val="left" w:pos="1418" w:leader="none"/>
        </w:tabs>
        <w:ind w:firstLine="709" w:left="0"/>
        <w:jc w:val="both"/>
        <w:rPr>
          <w:highlight w:val="none"/>
          <w:shd w:fill="auto" w:val="clear"/>
        </w:rPr>
      </w:pPr>
      <w:r>
        <w:rPr>
          <w:bCs/>
          <w:shd w:fill="auto" w:val="clear"/>
        </w:rPr>
        <w:t>Разработка технического задания на разработку рабочей документации;</w:t>
      </w:r>
    </w:p>
    <w:p>
      <w:pPr>
        <w:pStyle w:val="ListParagraph"/>
        <w:numPr>
          <w:ilvl w:val="2"/>
          <w:numId w:val="4"/>
        </w:numPr>
        <w:shd w:val="clear" w:color="auto" w:fill="FFFFFF"/>
        <w:tabs>
          <w:tab w:val="clear" w:pos="709"/>
          <w:tab w:val="left" w:pos="1418" w:leader="none"/>
        </w:tabs>
        <w:ind w:firstLine="710" w:left="0"/>
        <w:jc w:val="both"/>
        <w:rPr>
          <w:highlight w:val="none"/>
          <w:shd w:fill="auto" w:val="clear"/>
        </w:rPr>
      </w:pPr>
      <w:r>
        <w:rPr>
          <w:bCs/>
          <w:shd w:fill="auto" w:val="clear"/>
        </w:rPr>
        <w:t>Разработка Рабочей документации</w:t>
      </w:r>
      <w:r>
        <w:rPr>
          <w:shd w:fill="auto" w:val="clear"/>
          <w:lang w:eastAsia="en-US"/>
        </w:rPr>
        <w:t>.</w:t>
      </w:r>
    </w:p>
    <w:p>
      <w:pPr>
        <w:pStyle w:val="ListParagraph"/>
        <w:numPr>
          <w:ilvl w:val="1"/>
          <w:numId w:val="4"/>
        </w:numPr>
        <w:shd w:val="clear" w:color="auto" w:fill="FFFFFF"/>
        <w:tabs>
          <w:tab w:val="clear" w:pos="709"/>
          <w:tab w:val="left" w:pos="1134" w:leader="none"/>
        </w:tabs>
        <w:ind w:firstLine="709" w:left="0"/>
        <w:jc w:val="both"/>
        <w:rPr>
          <w:bCs/>
        </w:rPr>
      </w:pPr>
      <w:r>
        <w:rPr>
          <w:bCs/>
          <w:shd w:fill="auto" w:val="clear"/>
        </w:rPr>
        <w:t>Объем и состав Работ по Договору определяется Техническим заданием (Приложение № 1 к Договору). Работы по Договору подлежат выполнению Подрядчиком в строгом соответствии с требованиями Применимого права и указаниями Заказчика.</w:t>
      </w:r>
    </w:p>
    <w:p>
      <w:pPr>
        <w:pStyle w:val="ListParagraph"/>
        <w:numPr>
          <w:ilvl w:val="1"/>
          <w:numId w:val="4"/>
        </w:numPr>
        <w:shd w:val="clear" w:color="auto" w:fill="FFFFFF"/>
        <w:tabs>
          <w:tab w:val="clear" w:pos="709"/>
          <w:tab w:val="left" w:pos="1134" w:leader="none"/>
        </w:tabs>
        <w:ind w:firstLine="709" w:left="0"/>
        <w:jc w:val="both"/>
        <w:rPr>
          <w:highlight w:val="none"/>
          <w:shd w:fill="auto" w:val="clear"/>
        </w:rPr>
      </w:pPr>
      <w:r>
        <w:rPr>
          <w:bCs/>
          <w:shd w:fill="auto" w:val="clear"/>
        </w:rPr>
        <w:t xml:space="preserve">Работы по Договору выполняются для нужд </w:t>
      </w:r>
      <w:r>
        <w:rPr>
          <w:bCs/>
          <w:shd w:fill="auto" w:val="clear"/>
        </w:rPr>
        <w:t>Филиала ПАО «РусГидро» - «Бурейская ГЭС»</w:t>
      </w:r>
      <w:r>
        <w:rPr>
          <w:bCs/>
          <w:shd w:fill="auto" w:val="clear"/>
        </w:rPr>
        <w:t xml:space="preserve">. </w:t>
      </w:r>
    </w:p>
    <w:p>
      <w:pPr>
        <w:pStyle w:val="ListParagraph"/>
        <w:numPr>
          <w:ilvl w:val="1"/>
          <w:numId w:val="4"/>
        </w:numPr>
        <w:shd w:val="clear" w:color="auto" w:fill="FFFFFF"/>
        <w:tabs>
          <w:tab w:val="clear" w:pos="709"/>
          <w:tab w:val="left" w:pos="1134" w:leader="none"/>
        </w:tabs>
        <w:ind w:firstLine="709" w:left="0"/>
        <w:jc w:val="both"/>
        <w:rPr>
          <w:highlight w:val="none"/>
          <w:shd w:fill="auto" w:val="clear"/>
        </w:rPr>
      </w:pPr>
      <w:bookmarkStart w:id="1" w:name="_Ref361320424"/>
      <w:r>
        <w:rPr>
          <w:bCs/>
          <w:shd w:fill="auto" w:val="clear"/>
        </w:rPr>
        <w:t>Работы выполняются Подрядчиком в следующие сроки:</w:t>
      </w:r>
      <w:bookmarkEnd w:id="1"/>
    </w:p>
    <w:p>
      <w:pPr>
        <w:pStyle w:val="ListParagraph"/>
        <w:numPr>
          <w:ilvl w:val="2"/>
          <w:numId w:val="4"/>
        </w:numPr>
        <w:shd w:val="clear" w:color="auto" w:fill="FFFFFF"/>
        <w:tabs>
          <w:tab w:val="clear" w:pos="709"/>
          <w:tab w:val="left" w:pos="1418" w:leader="none"/>
        </w:tabs>
        <w:ind w:firstLine="709" w:left="0"/>
        <w:jc w:val="both"/>
        <w:rPr>
          <w:highlight w:val="none"/>
          <w:shd w:fill="auto" w:val="clear"/>
        </w:rPr>
      </w:pPr>
      <w:r>
        <w:rPr>
          <w:bCs/>
          <w:shd w:fill="auto" w:val="clear"/>
        </w:rPr>
        <w:t xml:space="preserve">начало выполнения Работ: </w:t>
      </w:r>
      <w:r>
        <w:rPr>
          <w:shd w:fill="auto" w:val="clear"/>
        </w:rPr>
        <w:t>с даты, следующей за датой заключения Договора;</w:t>
      </w:r>
    </w:p>
    <w:p>
      <w:pPr>
        <w:pStyle w:val="ListParagraph"/>
        <w:numPr>
          <w:ilvl w:val="2"/>
          <w:numId w:val="4"/>
        </w:numPr>
        <w:shd w:val="clear" w:color="auto" w:fill="FFFFFF"/>
        <w:tabs>
          <w:tab w:val="clear" w:pos="709"/>
          <w:tab w:val="left" w:pos="1418" w:leader="none"/>
        </w:tabs>
        <w:ind w:firstLine="709" w:left="0"/>
        <w:jc w:val="both"/>
        <w:rPr>
          <w:highlight w:val="none"/>
          <w:shd w:fill="auto" w:val="clear"/>
        </w:rPr>
      </w:pPr>
      <w:r>
        <w:rPr>
          <w:bCs/>
          <w:shd w:fill="auto" w:val="clear"/>
        </w:rPr>
        <w:t xml:space="preserve">окончание выполнения Работ: </w:t>
      </w:r>
      <w:r>
        <w:rPr>
          <w:bCs/>
          <w:shd w:fill="auto" w:val="clear"/>
        </w:rPr>
        <w:t>«04» мая 2027г</w:t>
      </w:r>
      <w:r>
        <w:rPr>
          <w:shd w:fill="auto" w:val="clear"/>
        </w:rPr>
        <w:t>.</w:t>
      </w:r>
    </w:p>
    <w:p>
      <w:pPr>
        <w:pStyle w:val="ListParagraph"/>
        <w:widowControl w:val="false"/>
        <w:numPr>
          <w:ilvl w:val="1"/>
          <w:numId w:val="4"/>
        </w:numPr>
        <w:shd w:val="clear" w:color="auto" w:fill="FFFFFF"/>
        <w:tabs>
          <w:tab w:val="clear" w:pos="709"/>
          <w:tab w:val="left" w:pos="1134" w:leader="none"/>
        </w:tabs>
        <w:ind w:firstLine="709" w:left="0"/>
        <w:jc w:val="both"/>
        <w:rPr>
          <w:highlight w:val="none"/>
          <w:shd w:fill="auto" w:val="clear"/>
        </w:rPr>
      </w:pPr>
      <w:r>
        <w:rPr>
          <w:bCs/>
          <w:shd w:fill="auto" w:val="clear"/>
        </w:rPr>
        <w:t>Выполнение Работ осуществляется в один этап.</w:t>
      </w:r>
    </w:p>
    <w:p>
      <w:pPr>
        <w:pStyle w:val="ListParagraph"/>
        <w:widowControl w:val="false"/>
        <w:shd w:val="clear" w:color="auto" w:fill="FFFFFF"/>
        <w:tabs>
          <w:tab w:val="clear" w:pos="709"/>
          <w:tab w:val="left" w:pos="1134" w:leader="none"/>
        </w:tabs>
        <w:ind w:hanging="0" w:left="567"/>
        <w:jc w:val="both"/>
        <w:rPr>
          <w:highlight w:val="none"/>
          <w:shd w:fill="auto" w:val="clear"/>
        </w:rPr>
      </w:pPr>
      <w:r>
        <w:rPr>
          <w:shd w:fill="auto" w:val="clear"/>
        </w:rPr>
      </w:r>
    </w:p>
    <w:p>
      <w:pPr>
        <w:pStyle w:val="ListParagraph"/>
        <w:numPr>
          <w:ilvl w:val="0"/>
          <w:numId w:val="4"/>
        </w:numPr>
        <w:shd w:val="clear" w:color="auto" w:fill="FFFFFF"/>
        <w:tabs>
          <w:tab w:val="clear" w:pos="709"/>
          <w:tab w:val="left" w:pos="284" w:leader="none"/>
        </w:tabs>
        <w:ind w:hanging="0" w:left="0"/>
        <w:jc w:val="center"/>
        <w:rPr>
          <w:b/>
          <w:bCs/>
        </w:rPr>
      </w:pPr>
      <w:r>
        <w:rPr>
          <w:b/>
          <w:bCs/>
        </w:rPr>
        <w:t xml:space="preserve">Права и обязанности Сторон </w:t>
      </w:r>
    </w:p>
    <w:p>
      <w:pPr>
        <w:pStyle w:val="ListParagraph"/>
        <w:numPr>
          <w:ilvl w:val="1"/>
          <w:numId w:val="4"/>
        </w:numPr>
        <w:shd w:val="clear" w:color="auto" w:fill="FFFFFF"/>
        <w:tabs>
          <w:tab w:val="clear" w:pos="709"/>
          <w:tab w:val="left" w:pos="1134" w:leader="none"/>
        </w:tabs>
        <w:ind w:firstLine="709" w:left="0"/>
        <w:jc w:val="both"/>
        <w:rPr>
          <w:bCs/>
        </w:rPr>
      </w:pPr>
      <w:r>
        <w:rPr>
          <w:bCs/>
          <w:u w:val="single"/>
        </w:rPr>
        <w:t>Заказчик обязан</w:t>
      </w:r>
      <w:r>
        <w:rPr>
          <w:bCs/>
        </w:rPr>
        <w:t>:</w:t>
      </w:r>
    </w:p>
    <w:p>
      <w:pPr>
        <w:pStyle w:val="ListParagraph"/>
        <w:numPr>
          <w:ilvl w:val="2"/>
          <w:numId w:val="4"/>
        </w:numPr>
        <w:shd w:val="clear" w:color="auto" w:fill="FFFFFF"/>
        <w:tabs>
          <w:tab w:val="clear" w:pos="709"/>
          <w:tab w:val="left" w:pos="1418" w:leader="none"/>
        </w:tabs>
        <w:ind w:firstLine="709" w:left="0"/>
        <w:jc w:val="both"/>
        <w:rPr>
          <w:bCs/>
        </w:rPr>
      </w:pPr>
      <w:r>
        <w:rPr>
          <w:bCs/>
        </w:rPr>
        <w:t>Сообщить Подрядчику контакты и должность представителей Заказчика уполномоченных на оперативное рассмотрение и решение технических и организационных вопросов, свя</w:t>
      </w:r>
      <w:r>
        <w:rPr>
          <w:bCs/>
          <w:shd w:fill="auto" w:val="clear"/>
        </w:rPr>
        <w:t xml:space="preserve">занных с выполнением Работ. </w:t>
      </w:r>
    </w:p>
    <w:p>
      <w:pPr>
        <w:pStyle w:val="ListParagraph"/>
        <w:numPr>
          <w:ilvl w:val="2"/>
          <w:numId w:val="4"/>
        </w:numPr>
        <w:shd w:val="clear" w:color="auto" w:fill="FFFFFF"/>
        <w:tabs>
          <w:tab w:val="clear" w:pos="709"/>
          <w:tab w:val="left" w:pos="1418" w:leader="none"/>
        </w:tabs>
        <w:ind w:firstLine="709" w:left="0"/>
        <w:jc w:val="both"/>
        <w:rPr>
          <w:bCs/>
        </w:rPr>
      </w:pPr>
      <w:bookmarkStart w:id="2" w:name="_Ref361401696"/>
      <w:bookmarkStart w:id="3" w:name="_Ref361320734"/>
      <w:bookmarkStart w:id="4" w:name="_Ref361396847"/>
      <w:r>
        <w:rPr>
          <w:bCs/>
          <w:shd w:fill="auto" w:val="clear"/>
        </w:rPr>
        <w:t xml:space="preserve">В течение 3 (трех) рабочих дней с даты вступления Договора в силу передать (предоставить) Подрядчику техническую и иную документацию, указанную в Техническом задании (Приложение № 1 </w:t>
      </w:r>
      <w:r>
        <w:rPr>
          <w:bCs/>
        </w:rPr>
        <w:t>к Договору), содержащую исходные данные для выполнения Подрядчиком Работ по Договору, по Акту сдачи-приемки технической и иной документации (Приложение № 3 к Договору).</w:t>
      </w:r>
      <w:bookmarkEnd w:id="2"/>
      <w:bookmarkEnd w:id="3"/>
      <w:bookmarkEnd w:id="4"/>
    </w:p>
    <w:p>
      <w:pPr>
        <w:pStyle w:val="ListParagraph"/>
        <w:numPr>
          <w:ilvl w:val="2"/>
          <w:numId w:val="4"/>
        </w:numPr>
        <w:shd w:val="clear" w:color="auto" w:fill="FFFFFF"/>
        <w:tabs>
          <w:tab w:val="clear" w:pos="709"/>
          <w:tab w:val="left" w:pos="1418" w:leader="none"/>
        </w:tabs>
        <w:ind w:firstLine="709" w:left="0"/>
        <w:jc w:val="both"/>
        <w:rPr>
          <w:bCs/>
        </w:rPr>
      </w:pPr>
      <w:r>
        <w:rPr>
          <w:bCs/>
        </w:rPr>
        <w:t xml:space="preserve">Ознакомить Подрядчика с локальными нормативными актами Заказчика, устанавливающими требования по охране труда, промышленной и пожарной безопасности, правилами пропускного и внутриобъектового режима Заказчика. </w:t>
      </w:r>
    </w:p>
    <w:p>
      <w:pPr>
        <w:pStyle w:val="ListParagraph"/>
        <w:numPr>
          <w:ilvl w:val="2"/>
          <w:numId w:val="4"/>
        </w:numPr>
        <w:shd w:val="clear" w:color="auto" w:fill="FFFFFF"/>
        <w:tabs>
          <w:tab w:val="left" w:pos="709" w:leader="none"/>
        </w:tabs>
        <w:ind w:firstLine="709" w:left="0"/>
        <w:jc w:val="both"/>
        <w:rPr>
          <w:bCs/>
        </w:rPr>
      </w:pPr>
      <w:r>
        <w:rPr>
          <w:bCs/>
        </w:rPr>
        <w:t>Принять и оплатить выполненные Подрядчиком Работы на условиях, по цене и в сроки, предусмотренные Договором.</w:t>
      </w:r>
    </w:p>
    <w:p>
      <w:pPr>
        <w:pStyle w:val="ListParagraph"/>
        <w:numPr>
          <w:ilvl w:val="2"/>
          <w:numId w:val="4"/>
        </w:numPr>
        <w:shd w:val="clear" w:color="auto" w:fill="FFFFFF"/>
        <w:tabs>
          <w:tab w:val="left" w:pos="709" w:leader="none"/>
        </w:tabs>
        <w:ind w:firstLine="710" w:left="0"/>
        <w:jc w:val="both"/>
        <w:rPr>
          <w:bCs/>
        </w:rPr>
      </w:pPr>
      <w:r>
        <w:rPr>
          <w:bCs/>
        </w:rPr>
        <w:t>В случае необходимости выдать Подрядчику доверенность на совершение действий, необходимых для выполнения последним своих обязательств по Договору.</w:t>
      </w:r>
    </w:p>
    <w:p>
      <w:pPr>
        <w:pStyle w:val="ListParagraph"/>
        <w:numPr>
          <w:ilvl w:val="2"/>
          <w:numId w:val="4"/>
        </w:numPr>
        <w:shd w:val="clear" w:color="auto" w:fill="FFFFFF"/>
        <w:tabs>
          <w:tab w:val="left" w:pos="709" w:leader="none"/>
        </w:tabs>
        <w:ind w:firstLine="709" w:left="0"/>
        <w:jc w:val="both"/>
        <w:rPr>
          <w:bCs/>
        </w:rPr>
      </w:pPr>
      <w:r>
        <w:rPr>
          <w:bCs/>
        </w:rPr>
        <w:t>Выполнять иные обязанности, предусмотренные Договором.</w:t>
      </w:r>
    </w:p>
    <w:p>
      <w:pPr>
        <w:pStyle w:val="Normal"/>
        <w:tabs>
          <w:tab w:val="left" w:pos="709" w:leader="none"/>
        </w:tabs>
        <w:spacing w:lineRule="auto" w:line="240"/>
        <w:ind w:hanging="0"/>
        <w:rPr>
          <w:b/>
          <w:sz w:val="24"/>
          <w:szCs w:val="24"/>
        </w:rPr>
      </w:pPr>
      <w:r>
        <w:rPr>
          <w:b/>
          <w:sz w:val="24"/>
          <w:szCs w:val="24"/>
        </w:rPr>
      </w:r>
    </w:p>
    <w:p>
      <w:pPr>
        <w:pStyle w:val="ListParagraph"/>
        <w:numPr>
          <w:ilvl w:val="1"/>
          <w:numId w:val="4"/>
        </w:numPr>
        <w:shd w:val="clear" w:color="auto" w:fill="FFFFFF"/>
        <w:tabs>
          <w:tab w:val="clear" w:pos="709"/>
          <w:tab w:val="left" w:pos="1134" w:leader="none"/>
        </w:tabs>
        <w:ind w:firstLine="709" w:left="0"/>
        <w:jc w:val="both"/>
        <w:rPr>
          <w:bCs/>
        </w:rPr>
      </w:pPr>
      <w:r>
        <w:rPr>
          <w:bCs/>
          <w:u w:val="single"/>
        </w:rPr>
        <w:t>Заказчик имеет право</w:t>
      </w:r>
      <w:r>
        <w:rPr>
          <w:bCs/>
        </w:rPr>
        <w:t>:</w:t>
      </w:r>
    </w:p>
    <w:p>
      <w:pPr>
        <w:pStyle w:val="ListParagraph"/>
        <w:numPr>
          <w:ilvl w:val="2"/>
          <w:numId w:val="4"/>
        </w:numPr>
        <w:shd w:val="clear" w:color="auto" w:fill="FFFFFF"/>
        <w:tabs>
          <w:tab w:val="clear" w:pos="709"/>
          <w:tab w:val="left" w:pos="1418" w:leader="none"/>
        </w:tabs>
        <w:ind w:firstLine="709" w:left="0"/>
        <w:jc w:val="both"/>
        <w:rPr>
          <w:bCs/>
        </w:rPr>
      </w:pPr>
      <w:r>
        <w:rPr>
          <w:bCs/>
        </w:rPr>
        <w:t>Самостоятельно или с привлечением третьих лиц осуществлять контроль и надзор за ходом и качеством выполняемых Подрядчиком и Субподрядчиками по Договору Работ, соблюдением сроков выполнения, не вмешиваясь при этом в их оперативно-хозяйственную деятельность. Проведение Заказчиком контроля не снимает с Подрядчика ответственности за ненадлежащее выполнение Работ.</w:t>
      </w:r>
    </w:p>
    <w:p>
      <w:pPr>
        <w:pStyle w:val="ListParagraph"/>
        <w:numPr>
          <w:ilvl w:val="2"/>
          <w:numId w:val="4"/>
        </w:numPr>
        <w:shd w:val="clear" w:color="auto" w:fill="FFFFFF"/>
        <w:tabs>
          <w:tab w:val="clear" w:pos="709"/>
          <w:tab w:val="left" w:pos="1418" w:leader="none"/>
        </w:tabs>
        <w:ind w:firstLine="709" w:left="0"/>
        <w:jc w:val="both"/>
        <w:rPr>
          <w:bCs/>
        </w:rPr>
      </w:pPr>
      <w:bookmarkStart w:id="5" w:name="_Ref361334652"/>
      <w:r>
        <w:rPr>
          <w:bCs/>
        </w:rPr>
        <w:t>Приостанавливать осуществление любых платежей (независимо от наличия оснований и наступления сроков таких платежей) и производство Работ по Договору путем направления Подрядчику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выполнения Работ, требований Технического задания (Приложение № 1 к Договору), Применимого права, до устранения таких нарушений или их последствий, устанавливать сроки устранения таких нарушений. При этом Заказчик не будет считаться просрочившим и / или нарушившим свои обязательства по Договору. Приостановка Работ по причинам, указанным в настоящем пункте, не является основанием для продления сроков выполнения Подрядчиком Работ, установленных Договором. В случае, когда в результате такой приостановки становится очевидной невозможность завершения Работ в срок, установленный Договором, Заказчик вправе отказаться от его исполнения и потребовать возмещения причиненных убытков.</w:t>
      </w:r>
      <w:bookmarkEnd w:id="5"/>
      <w:r>
        <w:rPr>
          <w:bCs/>
        </w:rPr>
        <w:t xml:space="preserve"> </w:t>
      </w:r>
    </w:p>
    <w:p>
      <w:pPr>
        <w:pStyle w:val="ListParagraph"/>
        <w:numPr>
          <w:ilvl w:val="2"/>
          <w:numId w:val="4"/>
        </w:numPr>
        <w:shd w:val="clear" w:color="auto" w:fill="FFFFFF"/>
        <w:tabs>
          <w:tab w:val="clear" w:pos="709"/>
          <w:tab w:val="left" w:pos="1418" w:leader="none"/>
        </w:tabs>
        <w:ind w:firstLine="709" w:left="0"/>
        <w:jc w:val="both"/>
        <w:rPr>
          <w:bCs/>
        </w:rPr>
      </w:pPr>
      <w:bookmarkStart w:id="6" w:name="_Ref361334468"/>
      <w:r>
        <w:rPr>
          <w:bCs/>
        </w:rPr>
        <w:t>Изымать пропуска и не допускать на территорию Заказчика работников Подрядчика и / или привлеченных им Субподрядчиков при выявлении нарушений такими работниками пропускного и внутриобъектового режима, требований охраны труда, пожарной и промышленной безопасности, природоохранного законодательства, на период до принятия совместного решения Сторон о возобновлении допуска.</w:t>
      </w:r>
      <w:bookmarkEnd w:id="6"/>
    </w:p>
    <w:p>
      <w:pPr>
        <w:pStyle w:val="ListParagraph"/>
        <w:numPr>
          <w:ilvl w:val="2"/>
          <w:numId w:val="4"/>
        </w:numPr>
        <w:shd w:val="clear" w:color="auto" w:fill="FFFFFF"/>
        <w:tabs>
          <w:tab w:val="clear" w:pos="709"/>
          <w:tab w:val="left" w:pos="1418" w:leader="none"/>
        </w:tabs>
        <w:ind w:firstLine="709" w:left="0"/>
        <w:jc w:val="both"/>
        <w:rPr>
          <w:bCs/>
        </w:rPr>
      </w:pPr>
      <w:bookmarkStart w:id="7" w:name="_Ref361319348"/>
      <w:r>
        <w:rPr>
          <w:bCs/>
        </w:rPr>
        <w:t>Вносить изменения в Техническое задание (Приложение № 1 к Договору) при условии, если вызываемые этим дополнительные работы не меняют характера предусмотренных в Договоре Работ таким образом, что выполнение указаний Заказчика потребовало бы от Подрядчика получения отсутствующих у него допусков, разрешений и / или лицензий. В целях внесения соответствующих изменений Заказчик обязан направить Подрядчику письменное распоряжение, обязательное к выполнению Подрядчиком.</w:t>
      </w:r>
      <w:bookmarkEnd w:id="7"/>
      <w:r>
        <w:rPr>
          <w:bCs/>
        </w:rPr>
        <w:t xml:space="preserve"> </w:t>
      </w:r>
    </w:p>
    <w:p>
      <w:pPr>
        <w:pStyle w:val="ListParagraph"/>
        <w:numPr>
          <w:ilvl w:val="2"/>
          <w:numId w:val="4"/>
        </w:numPr>
        <w:shd w:val="clear" w:color="auto" w:fill="FFFFFF"/>
        <w:tabs>
          <w:tab w:val="clear" w:pos="709"/>
          <w:tab w:val="left" w:pos="1418" w:leader="none"/>
        </w:tabs>
        <w:ind w:firstLine="709" w:left="0"/>
        <w:jc w:val="both"/>
        <w:rPr>
          <w:bCs/>
        </w:rPr>
      </w:pPr>
      <w:r>
        <w:rPr>
          <w:bCs/>
        </w:rPr>
        <w:t>Давать Подрядчику указания о способе выполнения Работ, если такие указания не противоречат условиям Договора и не являются вмешательством в деятельность Подрядчика.</w:t>
      </w:r>
    </w:p>
    <w:p>
      <w:pPr>
        <w:pStyle w:val="ListParagraph"/>
        <w:numPr>
          <w:ilvl w:val="2"/>
          <w:numId w:val="4"/>
        </w:numPr>
        <w:shd w:val="clear" w:color="auto" w:fill="FFFFFF"/>
        <w:tabs>
          <w:tab w:val="clear" w:pos="709"/>
          <w:tab w:val="left" w:pos="1418" w:leader="none"/>
        </w:tabs>
        <w:ind w:firstLine="710" w:left="0"/>
        <w:jc w:val="both"/>
        <w:rPr>
          <w:bCs/>
        </w:rPr>
      </w:pPr>
      <w:r>
        <w:rPr>
          <w:bCs/>
        </w:rPr>
        <w:t>В течение действия Договора обращаться к Подрядчику с устными и письменными запросами с целью разъяснения (уточнения, конкретизации) расчетов, заключений, выводов, содержащихся в Результате работ, в том числе в Результате работ.</w:t>
      </w:r>
    </w:p>
    <w:p>
      <w:pPr>
        <w:pStyle w:val="ListParagraph"/>
        <w:numPr>
          <w:ilvl w:val="2"/>
          <w:numId w:val="4"/>
        </w:numPr>
        <w:shd w:val="clear" w:color="auto" w:fill="FFFFFF"/>
        <w:tabs>
          <w:tab w:val="left" w:pos="709" w:leader="none"/>
        </w:tabs>
        <w:ind w:firstLine="709" w:left="0"/>
        <w:jc w:val="both"/>
        <w:rPr>
          <w:bCs/>
        </w:rPr>
      </w:pPr>
      <w:r>
        <w:rPr>
          <w:bCs/>
        </w:rPr>
        <w:t>Требовать от Подрядчика представления информации и пояснений о ходе выполнения Работ, требовать представления Заказчику документов, полученных Подрядчиком в ходе выполнения своих обязательств по Договору, в том числе копий предписаний контролирующих и надзорных органов, выданных Подрядчику и / или привлеченным им Субподрядчикам.</w:t>
      </w:r>
    </w:p>
    <w:p>
      <w:pPr>
        <w:pStyle w:val="ListParagraph"/>
        <w:numPr>
          <w:ilvl w:val="2"/>
          <w:numId w:val="4"/>
        </w:numPr>
        <w:shd w:val="clear" w:color="auto" w:fill="FFFFFF"/>
        <w:tabs>
          <w:tab w:val="left" w:pos="709" w:leader="none"/>
        </w:tabs>
        <w:ind w:firstLine="709" w:left="0"/>
        <w:jc w:val="both"/>
        <w:rPr>
          <w:bCs/>
        </w:rPr>
      </w:pPr>
      <w:r>
        <w:rPr>
          <w:bCs/>
        </w:rPr>
        <w:t>Использовать Результат работ по своему усмотрению, в том числе передавать Результат работ третьим лицам без письменного согласия Подрядчика.</w:t>
      </w:r>
    </w:p>
    <w:p>
      <w:pPr>
        <w:pStyle w:val="ListParagraph"/>
        <w:shd w:val="clear" w:color="auto" w:fill="FFFFFF"/>
        <w:tabs>
          <w:tab w:val="clear" w:pos="709"/>
          <w:tab w:val="left" w:pos="567" w:leader="none"/>
        </w:tabs>
        <w:ind w:firstLine="567" w:left="0"/>
        <w:jc w:val="both"/>
        <w:rPr>
          <w:bCs/>
          <w:color w:val="FF0000"/>
        </w:rPr>
      </w:pPr>
      <w:r>
        <w:rPr>
          <w:bCs/>
          <w:color w:val="FF0000"/>
        </w:rPr>
      </w:r>
    </w:p>
    <w:p>
      <w:pPr>
        <w:pStyle w:val="ListParagraph"/>
        <w:numPr>
          <w:ilvl w:val="1"/>
          <w:numId w:val="4"/>
        </w:numPr>
        <w:shd w:val="clear" w:color="auto" w:fill="FFFFFF"/>
        <w:tabs>
          <w:tab w:val="clear" w:pos="709"/>
          <w:tab w:val="left" w:pos="1134" w:leader="none"/>
        </w:tabs>
        <w:ind w:firstLine="709" w:left="0"/>
        <w:jc w:val="both"/>
        <w:rPr>
          <w:bCs/>
        </w:rPr>
      </w:pPr>
      <w:r>
        <w:rPr>
          <w:bCs/>
          <w:u w:val="single"/>
        </w:rPr>
        <w:t>Подрядчик обязан</w:t>
      </w:r>
      <w:r>
        <w:rPr>
          <w:bCs/>
        </w:rPr>
        <w:t>:</w:t>
      </w:r>
    </w:p>
    <w:p>
      <w:pPr>
        <w:pStyle w:val="ListParagraph"/>
        <w:numPr>
          <w:ilvl w:val="2"/>
          <w:numId w:val="4"/>
        </w:numPr>
        <w:shd w:val="clear" w:color="auto" w:fill="FFFFFF"/>
        <w:tabs>
          <w:tab w:val="clear" w:pos="709"/>
          <w:tab w:val="left" w:pos="1418" w:leader="none"/>
        </w:tabs>
        <w:ind w:firstLine="709" w:left="0"/>
        <w:jc w:val="both"/>
        <w:rPr>
          <w:bCs/>
        </w:rPr>
      </w:pPr>
      <w:r>
        <w:rPr>
          <w:bCs/>
        </w:rPr>
        <w:t>Выполнить Работы в объеме, сроки и с качеством, соответствующим требованиям Договора и Применимого права</w:t>
      </w:r>
      <w:r>
        <w:rPr/>
        <w:t xml:space="preserve"> </w:t>
      </w:r>
      <w:r>
        <w:rPr>
          <w:bCs/>
        </w:rPr>
        <w:t>и сдать их результат Заказчику.</w:t>
      </w:r>
    </w:p>
    <w:p>
      <w:pPr>
        <w:pStyle w:val="ListParagraph"/>
        <w:numPr>
          <w:ilvl w:val="2"/>
          <w:numId w:val="4"/>
        </w:numPr>
        <w:shd w:val="clear" w:color="auto" w:fill="FFFFFF"/>
        <w:tabs>
          <w:tab w:val="clear" w:pos="709"/>
          <w:tab w:val="left" w:pos="1418" w:leader="none"/>
        </w:tabs>
        <w:ind w:firstLine="709" w:left="0"/>
        <w:jc w:val="both"/>
        <w:rPr>
          <w:bCs/>
        </w:rPr>
      </w:pPr>
      <w:r>
        <w:rPr>
          <w:bCs/>
        </w:rPr>
        <w:t>Принять от Заказчика на время выполнения Работ по Договору техническую и иную документацию, указанную в Техническом задании (Приложение № 1 к Договору) по Акту сдачи-приемки технической и иной документации (Приложение № 3 к Договору).</w:t>
      </w:r>
    </w:p>
    <w:p>
      <w:pPr>
        <w:pStyle w:val="ListParagraph"/>
        <w:numPr>
          <w:ilvl w:val="2"/>
          <w:numId w:val="4"/>
        </w:numPr>
        <w:shd w:val="clear" w:color="auto" w:fill="FFFFFF"/>
        <w:tabs>
          <w:tab w:val="clear" w:pos="709"/>
          <w:tab w:val="left" w:pos="1418" w:leader="none"/>
        </w:tabs>
        <w:ind w:firstLine="709" w:left="0"/>
        <w:jc w:val="both"/>
        <w:rPr>
          <w:bCs/>
        </w:rPr>
      </w:pPr>
      <w:r>
        <w:rPr>
          <w:bCs/>
        </w:rPr>
        <w:t>Выдать заме</w:t>
      </w:r>
      <w:r>
        <w:rPr>
          <w:bCs/>
          <w:shd w:fill="auto" w:val="clear"/>
        </w:rPr>
        <w:t>чания в отношении технической и иной документации, предоставленной Заказчиком, в течение 10 (десяти) рабочих дней с даты принятия ее по Акту сдачи-приемки технической и иной документации (Приложение № 3 к Договору). Отсутствие таких замечаний в указанный с</w:t>
      </w:r>
      <w:r>
        <w:rPr>
          <w:bCs/>
        </w:rPr>
        <w:t>рок свидетельствует о проверке Подрядчиком технической и иной документации и лишает Подрядчика права ссылаться на недостатки данной документации в дальнейшем.</w:t>
      </w:r>
    </w:p>
    <w:p>
      <w:pPr>
        <w:pStyle w:val="Normal"/>
        <w:widowControl w:val="false"/>
        <w:numPr>
          <w:ilvl w:val="2"/>
          <w:numId w:val="4"/>
        </w:numPr>
        <w:tabs>
          <w:tab w:val="left" w:pos="709" w:leader="none"/>
          <w:tab w:val="left" w:pos="1430" w:leader="none"/>
        </w:tabs>
        <w:spacing w:lineRule="auto" w:line="240"/>
        <w:ind w:firstLine="709" w:left="0"/>
        <w:rPr>
          <w:sz w:val="24"/>
          <w:szCs w:val="24"/>
        </w:rPr>
      </w:pPr>
      <w:r>
        <w:rPr>
          <w:sz w:val="24"/>
          <w:szCs w:val="24"/>
        </w:rPr>
        <w:t>Запрашивать и получать все исходные данные, необходимые для выполнения Работ по Договору, за исключением исходных данных, содержащихся в технической и иной документации, которую в соответствии с Техническим заданием (Приложение № 1 к Договору) должен предоставить Заказчик.</w:t>
      </w:r>
    </w:p>
    <w:p>
      <w:pPr>
        <w:pStyle w:val="Normal"/>
        <w:widowControl w:val="false"/>
        <w:numPr>
          <w:ilvl w:val="2"/>
          <w:numId w:val="4"/>
        </w:numPr>
        <w:tabs>
          <w:tab w:val="left" w:pos="709" w:leader="none"/>
          <w:tab w:val="left" w:pos="1430" w:leader="none"/>
        </w:tabs>
        <w:spacing w:lineRule="auto" w:line="240"/>
        <w:ind w:firstLine="709" w:left="0"/>
        <w:rPr>
          <w:bCs/>
          <w:sz w:val="24"/>
          <w:szCs w:val="24"/>
        </w:rPr>
      </w:pPr>
      <w:r>
        <w:rPr>
          <w:bCs/>
          <w:sz w:val="24"/>
          <w:szCs w:val="24"/>
        </w:rPr>
        <w:t>До фактического начала выполнения Работ предоставить Заказчику контакты и должность представителей Подрядчика, уполномоченных на оперативное рассмотрение и решение технических и организационных вопросов, связанных с выполнением Работ.</w:t>
      </w:r>
    </w:p>
    <w:p>
      <w:pPr>
        <w:pStyle w:val="ListParagraph"/>
        <w:numPr>
          <w:ilvl w:val="2"/>
          <w:numId w:val="4"/>
        </w:numPr>
        <w:shd w:val="clear" w:color="auto" w:fill="FFFFFF"/>
        <w:tabs>
          <w:tab w:val="clear" w:pos="709"/>
          <w:tab w:val="left" w:pos="1418" w:leader="none"/>
        </w:tabs>
        <w:ind w:firstLine="709" w:left="0"/>
        <w:jc w:val="both"/>
        <w:rPr>
          <w:bCs/>
        </w:rPr>
      </w:pPr>
      <w:r>
        <w:rPr>
          <w:bCs/>
        </w:rPr>
        <w:t xml:space="preserve">Обеспечить сохранность переданной Заказчиком по Актам сдачи-приемки технической и иной документации, а также возврат ее Заказчику не позднее даты окончания выполнения Работ, указанной в пункте 1.5.2 Договора, либо в случаях прекращения (расторжения) Договора, указанных в пункте 2.2.2 и разделе 15 Договора, – не позднее 3 (трех) рабочих дней с даты получения соответствующего требования Заказчика. </w:t>
      </w:r>
    </w:p>
    <w:p>
      <w:pPr>
        <w:pStyle w:val="ListParagraph"/>
        <w:numPr>
          <w:ilvl w:val="2"/>
          <w:numId w:val="4"/>
        </w:numPr>
        <w:shd w:val="clear" w:color="auto" w:fill="FFFFFF"/>
        <w:tabs>
          <w:tab w:val="clear" w:pos="709"/>
          <w:tab w:val="left" w:pos="1418" w:leader="none"/>
        </w:tabs>
        <w:ind w:firstLine="709" w:left="0"/>
        <w:jc w:val="both"/>
        <w:rPr/>
      </w:pPr>
      <w:r>
        <w:rPr/>
        <w:t>Обеспечить наличие допусков, разрешений и лицензий, необходимых для производства Работ.</w:t>
      </w:r>
    </w:p>
    <w:p>
      <w:pPr>
        <w:pStyle w:val="ListParagraph"/>
        <w:shd w:val="clear" w:color="auto" w:fill="FFFFFF"/>
        <w:tabs>
          <w:tab w:val="clear" w:pos="709"/>
          <w:tab w:val="left" w:pos="1418" w:leader="none"/>
        </w:tabs>
        <w:ind w:firstLine="709" w:left="0"/>
        <w:jc w:val="both"/>
        <w:rPr/>
      </w:pPr>
      <w:r>
        <w:rPr/>
        <w:t>Подрядчик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или утрате по другим основаниям допусков, разрешений и лицензий, необходимых для надлежащего исполнения Подрядчиком своих обязательств по Договору</w:t>
      </w:r>
      <w:r>
        <w:rPr>
          <w:bCs/>
        </w:rPr>
        <w:t>, в том числе указанных в Приложении № 4 к Договору</w:t>
      </w:r>
      <w:r>
        <w:rPr/>
        <w:t xml:space="preserve">, а также в разумный срок обеспечить получение соответствующих допусков, разрешений и лицензий в срок, обеспечивающих надлежащее исполнение Подрядчиком обязательств по Договору. </w:t>
      </w:r>
    </w:p>
    <w:p>
      <w:pPr>
        <w:pStyle w:val="ListParagraph"/>
        <w:shd w:val="clear" w:color="auto" w:fill="FFFFFF"/>
        <w:tabs>
          <w:tab w:val="clear" w:pos="709"/>
          <w:tab w:val="left" w:pos="1418" w:leader="none"/>
        </w:tabs>
        <w:ind w:firstLine="709" w:left="0"/>
        <w:jc w:val="both"/>
        <w:rPr/>
      </w:pPr>
      <w:r>
        <w:rPr/>
        <w:t>Если в процессе выполнения Работ по Договору законом или иным нормативным правовым актом будет установлена обязанность Подрядчика получить дополнительные допуски, разрешения и / или лицензии, Подрядчик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w:t>
      </w:r>
    </w:p>
    <w:p>
      <w:pPr>
        <w:pStyle w:val="ListParagraph"/>
        <w:shd w:val="clear" w:color="auto" w:fill="FFFFFF"/>
        <w:tabs>
          <w:tab w:val="clear" w:pos="709"/>
          <w:tab w:val="left" w:pos="1418" w:leader="none"/>
        </w:tabs>
        <w:ind w:firstLine="709" w:left="0"/>
        <w:jc w:val="both"/>
        <w:rPr/>
      </w:pPr>
      <w:r>
        <w:rPr/>
        <w:t>Во избежание сомнений, принятие соответствующего закона или иного нормативного правового акта не будет рассматриваться для целей Договора как обстоятельство непреодолимой силы (форс-мажор), указанное в пункте 12.1 Договора, и Подрядчик не будет иметь права на продление сроков выполнения Работ или увеличение стоимости Работ, если Сторонами письменно не согласовано иное.</w:t>
      </w:r>
    </w:p>
    <w:p>
      <w:pPr>
        <w:pStyle w:val="ListParagraph"/>
        <w:numPr>
          <w:ilvl w:val="2"/>
          <w:numId w:val="4"/>
        </w:numPr>
        <w:shd w:val="clear" w:color="auto" w:fill="FFFFFF"/>
        <w:tabs>
          <w:tab w:val="clear" w:pos="709"/>
          <w:tab w:val="left" w:pos="1418" w:leader="none"/>
        </w:tabs>
        <w:ind w:firstLine="709" w:left="0"/>
        <w:jc w:val="both"/>
        <w:rPr>
          <w:bCs/>
        </w:rPr>
      </w:pPr>
      <w:r>
        <w:rPr/>
        <w:t>Выполнять</w:t>
      </w:r>
      <w:r>
        <w:rPr>
          <w:bCs/>
        </w:rPr>
        <w:t xml:space="preserve"> Работы силами квалифицированных специалистов (в том числе, с учетом требований пункта 2.3.7 Договора), прошедших соответствующую подготовку, квалификация, опыт и компетенция которых позволяет обеспечить надлежащее и качественное выполнение Работ. </w:t>
      </w:r>
    </w:p>
    <w:p>
      <w:pPr>
        <w:pStyle w:val="ListParagraph"/>
        <w:numPr>
          <w:ilvl w:val="2"/>
          <w:numId w:val="4"/>
        </w:numPr>
        <w:shd w:val="clear" w:color="auto" w:fill="FFFFFF"/>
        <w:tabs>
          <w:tab w:val="clear" w:pos="709"/>
          <w:tab w:val="left" w:pos="1418" w:leader="none"/>
        </w:tabs>
        <w:ind w:firstLine="709" w:left="0"/>
        <w:jc w:val="both"/>
        <w:rPr>
          <w:bCs/>
        </w:rPr>
      </w:pPr>
      <w:r>
        <w:rPr>
          <w:bCs/>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производстве Работ.</w:t>
      </w:r>
    </w:p>
    <w:p>
      <w:pPr>
        <w:pStyle w:val="ListParagraph"/>
        <w:numPr>
          <w:ilvl w:val="2"/>
          <w:numId w:val="4"/>
        </w:numPr>
        <w:shd w:val="clear" w:color="auto" w:fill="FFFFFF"/>
        <w:tabs>
          <w:tab w:val="clear" w:pos="709"/>
          <w:tab w:val="left" w:pos="1418" w:leader="none"/>
        </w:tabs>
        <w:ind w:firstLine="709" w:left="0"/>
        <w:jc w:val="both"/>
        <w:rPr>
          <w:bCs/>
        </w:rPr>
      </w:pPr>
      <w:r>
        <w:rPr>
          <w:bCs/>
        </w:rPr>
        <w:t>Провести инструктаж персонала, задействованного при выполнении Работ на территории Заказчика, обеспечить соблюдение (в том числе указанным персоналом) правил эксплуатации электроустановок, требований охраны труда, пожарной и промышленной безопасности, экологических, санитарных требований и правил, а также иных нормативных правовых актов и требований локальных нормативных актов Заказчика.</w:t>
      </w:r>
    </w:p>
    <w:p>
      <w:pPr>
        <w:pStyle w:val="ListParagraph"/>
        <w:numPr>
          <w:ilvl w:val="2"/>
          <w:numId w:val="4"/>
        </w:numPr>
        <w:shd w:val="clear" w:color="auto" w:fill="FFFFFF"/>
        <w:tabs>
          <w:tab w:val="clear" w:pos="709"/>
          <w:tab w:val="left" w:pos="1418" w:leader="none"/>
        </w:tabs>
        <w:ind w:firstLine="709" w:left="0"/>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4"/>
        </w:numPr>
        <w:shd w:val="clear" w:color="auto" w:fill="FFFFFF"/>
        <w:tabs>
          <w:tab w:val="clear" w:pos="709"/>
          <w:tab w:val="left" w:pos="1418" w:leader="none"/>
        </w:tabs>
        <w:ind w:firstLine="709" w:left="0"/>
        <w:jc w:val="both"/>
        <w:rPr>
          <w:bCs/>
        </w:rPr>
      </w:pPr>
      <w:r>
        <w:rPr>
          <w:bCs/>
        </w:rPr>
        <w:t>В случае применения контролирующими органами штрафных санкций к Заказчику по фактам нарушения Подрядчиком требований охраны труда, электробезопасности, пожарной и промышленной безопасности, природоохранного законодательства или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pPr>
        <w:pStyle w:val="ListParagraph"/>
        <w:numPr>
          <w:ilvl w:val="2"/>
          <w:numId w:val="4"/>
        </w:numPr>
        <w:shd w:val="clear" w:color="auto" w:fill="FFFFFF"/>
        <w:tabs>
          <w:tab w:val="clear" w:pos="709"/>
          <w:tab w:val="left" w:pos="1418" w:leader="none"/>
        </w:tabs>
        <w:ind w:firstLine="709" w:left="0"/>
        <w:jc w:val="both"/>
        <w:rPr>
          <w:bCs/>
        </w:rPr>
      </w:pPr>
      <w:r>
        <w:rPr>
          <w:bCs/>
        </w:rPr>
        <w:t xml:space="preserve">Передать Заказчику Результат работ, соответствующий требованиям Договора. </w:t>
      </w:r>
    </w:p>
    <w:p>
      <w:pPr>
        <w:pStyle w:val="ListParagraph"/>
        <w:numPr>
          <w:ilvl w:val="2"/>
          <w:numId w:val="4"/>
        </w:numPr>
        <w:shd w:val="clear" w:color="auto" w:fill="FFFFFF"/>
        <w:tabs>
          <w:tab w:val="clear" w:pos="709"/>
          <w:tab w:val="left" w:pos="1418" w:leader="none"/>
        </w:tabs>
        <w:ind w:firstLine="709" w:left="0"/>
        <w:jc w:val="both"/>
        <w:rPr>
          <w:bCs/>
        </w:rPr>
      </w:pPr>
      <w:r>
        <w:rPr>
          <w:bCs/>
        </w:rPr>
        <w:t>Выполнять полученные в ходе исполнения Договора указания Заказчика</w:t>
      </w:r>
      <w:r>
        <w:rPr/>
        <w:t xml:space="preserve"> </w:t>
      </w:r>
      <w:r>
        <w:rPr>
          <w:bCs/>
        </w:rPr>
        <w:t xml:space="preserve">если такие указания не противоречат условиям Договора и не представляют собой вмешательства в деятельность Подрядчика. </w:t>
      </w:r>
    </w:p>
    <w:p>
      <w:pPr>
        <w:pStyle w:val="Normal"/>
        <w:shd w:val="clear" w:color="auto" w:fill="FFFFFF"/>
        <w:tabs>
          <w:tab w:val="clear" w:pos="709"/>
          <w:tab w:val="left" w:pos="1418" w:leader="none"/>
        </w:tabs>
        <w:spacing w:lineRule="auto" w:line="240"/>
        <w:ind w:firstLine="709"/>
        <w:rPr>
          <w:bCs/>
        </w:rPr>
      </w:pPr>
      <w:r>
        <w:rPr>
          <w:bCs/>
          <w:sz w:val="24"/>
          <w:szCs w:val="24"/>
        </w:rPr>
        <w:t xml:space="preserve">В случае, если такие указания могут привести к увеличению Цены Договора и сроков выполнения Работ, Подрядчик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Normal"/>
        <w:shd w:val="clear" w:color="auto" w:fill="FFFFFF"/>
        <w:tabs>
          <w:tab w:val="clear" w:pos="709"/>
          <w:tab w:val="left" w:pos="1418" w:leader="none"/>
        </w:tabs>
        <w:spacing w:lineRule="auto" w:line="240"/>
        <w:ind w:firstLine="709"/>
        <w:rPr>
          <w:bCs/>
          <w:sz w:val="24"/>
          <w:szCs w:val="24"/>
        </w:rPr>
      </w:pPr>
      <w:r>
        <w:rPr>
          <w:bCs/>
          <w:sz w:val="24"/>
          <w:szCs w:val="24"/>
        </w:rPr>
        <w:t xml:space="preserve">Подрядчик не несет ответственности за возможные убытки, возникшие в результате исполнения указаний Заказчика, только если Подрядчик письменно известил Заказчика о возможных негативных последствиях исполнения таких указаний в соответствии с пунктом 2.3.16.1 Договора. </w:t>
      </w:r>
    </w:p>
    <w:p>
      <w:pPr>
        <w:pStyle w:val="ListParagraph"/>
        <w:shd w:val="clear" w:color="auto" w:fill="FFFFFF"/>
        <w:tabs>
          <w:tab w:val="clear" w:pos="709"/>
          <w:tab w:val="left" w:pos="1418" w:leader="none"/>
        </w:tabs>
        <w:ind w:firstLine="709" w:left="0"/>
        <w:jc w:val="both"/>
        <w:rPr>
          <w:bCs/>
        </w:rPr>
      </w:pPr>
      <w:r>
        <w:rPr>
          <w:bCs/>
        </w:rPr>
        <w:t xml:space="preserve">Подрядчик не вправе отказаться от выполнения или задержать выполнение указаний Заказчика в части сокращения объемов Работ, прекращения и / или исключения отдельных видов Работ, кроме случая, указанного в пункте 2.3.16.1 Договора. </w:t>
      </w:r>
    </w:p>
    <w:p>
      <w:pPr>
        <w:pStyle w:val="ListParagraph"/>
        <w:numPr>
          <w:ilvl w:val="2"/>
          <w:numId w:val="4"/>
        </w:numPr>
        <w:shd w:val="clear" w:color="auto" w:fill="FFFFFF"/>
        <w:tabs>
          <w:tab w:val="clear" w:pos="709"/>
          <w:tab w:val="left" w:pos="1418" w:leader="none"/>
        </w:tabs>
        <w:ind w:firstLine="709" w:left="0"/>
        <w:jc w:val="both"/>
        <w:rPr>
          <w:bCs/>
        </w:rPr>
      </w:pPr>
      <w:r>
        <w:rPr>
          <w:bCs/>
        </w:rPr>
        <w:t>Письменно известить Заказчика и до получения от него необходимых указаний приостановить Работу при обнаружении:</w:t>
      </w:r>
    </w:p>
    <w:p>
      <w:pPr>
        <w:pStyle w:val="ListParagraph"/>
        <w:numPr>
          <w:ilvl w:val="3"/>
          <w:numId w:val="4"/>
        </w:numPr>
        <w:shd w:val="clear" w:color="auto" w:fill="FFFFFF"/>
        <w:tabs>
          <w:tab w:val="clear" w:pos="709"/>
          <w:tab w:val="left" w:pos="1701" w:leader="none"/>
        </w:tabs>
        <w:ind w:firstLine="709" w:left="0"/>
        <w:jc w:val="both"/>
        <w:rPr>
          <w:bCs/>
        </w:rPr>
      </w:pPr>
      <w:r>
        <w:rPr>
          <w:bCs/>
        </w:rPr>
        <w:t xml:space="preserve">возможных неблагоприятных для Заказчика последствий выполнения его указаний – в любом случае не позднее момента начала выполнения таких указаний; </w:t>
      </w:r>
    </w:p>
    <w:p>
      <w:pPr>
        <w:pStyle w:val="ListParagraph"/>
        <w:numPr>
          <w:ilvl w:val="3"/>
          <w:numId w:val="4"/>
        </w:numPr>
        <w:shd w:val="clear" w:color="auto" w:fill="FFFFFF"/>
        <w:tabs>
          <w:tab w:val="clear" w:pos="709"/>
          <w:tab w:val="left" w:pos="1701" w:leader="none"/>
        </w:tabs>
        <w:ind w:firstLine="709" w:left="0"/>
        <w:jc w:val="both"/>
        <w:rPr>
          <w:bCs/>
        </w:rPr>
      </w:pPr>
      <w:r>
        <w:rPr>
          <w:bCs/>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 таких отклонений;</w:t>
      </w:r>
    </w:p>
    <w:p>
      <w:pPr>
        <w:pStyle w:val="ListParagraph"/>
        <w:numPr>
          <w:ilvl w:val="3"/>
          <w:numId w:val="4"/>
        </w:numPr>
        <w:shd w:val="clear" w:color="auto" w:fill="FFFFFF"/>
        <w:tabs>
          <w:tab w:val="clear" w:pos="709"/>
          <w:tab w:val="left" w:pos="1701" w:leader="none"/>
        </w:tabs>
        <w:ind w:firstLine="709" w:left="0"/>
        <w:jc w:val="both"/>
        <w:rPr>
          <w:bCs/>
        </w:rPr>
      </w:pPr>
      <w:r>
        <w:rPr>
          <w:bCs/>
        </w:rPr>
        <w:t>любых иных обстоятельств, угрожающих годности или безопасности Результата работ, либо способных повлечь изменение объемов, сроков, качества или стоимости выполнения Работ, предусмотренных Договором – в любом случае не позднее следующего рабочего дня после обнаружения таких обстоятельств.</w:t>
      </w:r>
    </w:p>
    <w:p>
      <w:pPr>
        <w:pStyle w:val="ListParagraph"/>
        <w:shd w:val="clear" w:color="auto" w:fill="FFFFFF"/>
        <w:tabs>
          <w:tab w:val="clear" w:pos="709"/>
          <w:tab w:val="left" w:pos="567" w:leader="none"/>
        </w:tabs>
        <w:ind w:firstLine="709" w:left="0"/>
        <w:jc w:val="both"/>
        <w:rPr>
          <w:bCs/>
        </w:rPr>
      </w:pPr>
      <w:r>
        <w:rPr>
          <w:bCs/>
        </w:rPr>
        <w:t>Невыполнение Подрядчиком требований пункта 2.3.16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4"/>
        </w:numPr>
        <w:shd w:val="clear" w:color="auto" w:fill="FFFFFF"/>
        <w:tabs>
          <w:tab w:val="clear" w:pos="709"/>
          <w:tab w:val="left" w:pos="1418" w:leader="none"/>
        </w:tabs>
        <w:ind w:firstLine="709" w:left="0"/>
        <w:jc w:val="both"/>
        <w:rPr>
          <w:bCs/>
        </w:rPr>
      </w:pPr>
      <w:r>
        <w:rPr>
          <w:bCs/>
        </w:rPr>
        <w:t>Письменно уведомлять</w:t>
      </w:r>
      <w:r>
        <w:rPr/>
        <w:t xml:space="preserve"> Заказчика о любых внеплановых событиях и происшествиях, возникших в ходе исполнения Договора, включая, но не ограничиваясь:</w:t>
      </w:r>
    </w:p>
    <w:p>
      <w:pPr>
        <w:pStyle w:val="ListParagraph"/>
        <w:numPr>
          <w:ilvl w:val="0"/>
          <w:numId w:val="15"/>
        </w:numPr>
        <w:tabs>
          <w:tab w:val="clear" w:pos="709"/>
          <w:tab w:val="left" w:pos="1134" w:leader="none"/>
        </w:tabs>
        <w:ind w:firstLine="709" w:left="0" w:right="23"/>
        <w:jc w:val="both"/>
        <w:rPr/>
      </w:pPr>
      <w:r>
        <w:rPr/>
        <w:t>аварии – в течение 2 (двух) часов;</w:t>
      </w:r>
    </w:p>
    <w:p>
      <w:pPr>
        <w:pStyle w:val="ListParagraph"/>
        <w:numPr>
          <w:ilvl w:val="0"/>
          <w:numId w:val="15"/>
        </w:numPr>
        <w:tabs>
          <w:tab w:val="clear" w:pos="709"/>
          <w:tab w:val="left" w:pos="1134" w:leader="none"/>
        </w:tabs>
        <w:ind w:firstLine="709" w:left="0" w:right="23"/>
        <w:jc w:val="both"/>
        <w:rPr/>
      </w:pPr>
      <w:r>
        <w:rPr/>
        <w:t>любом несчастном случае независимо от степени его тяжести – в течение суток по форме Приложения, установленной Минтрудом России, а после окончания расследования предоставлять копии соответствующих материалов;</w:t>
      </w:r>
    </w:p>
    <w:p>
      <w:pPr>
        <w:pStyle w:val="ListParagraph"/>
        <w:numPr>
          <w:ilvl w:val="0"/>
          <w:numId w:val="15"/>
        </w:numPr>
        <w:tabs>
          <w:tab w:val="clear" w:pos="709"/>
          <w:tab w:val="left" w:pos="1134" w:leader="none"/>
        </w:tabs>
        <w:ind w:firstLine="709" w:left="0" w:right="23"/>
        <w:jc w:val="both"/>
        <w:rPr/>
      </w:pPr>
      <w:r>
        <w:rPr/>
        <w:t>хищении и иных противоправных действиях – в течение 24 (двадцати четырех) часов;</w:t>
      </w:r>
    </w:p>
    <w:p>
      <w:pPr>
        <w:pStyle w:val="ListParagraph"/>
        <w:numPr>
          <w:ilvl w:val="0"/>
          <w:numId w:val="15"/>
        </w:numPr>
        <w:tabs>
          <w:tab w:val="clear" w:pos="709"/>
          <w:tab w:val="left" w:pos="1134" w:leader="none"/>
        </w:tabs>
        <w:ind w:firstLine="709" w:left="0" w:right="23"/>
        <w:jc w:val="both"/>
        <w:rPr/>
      </w:pPr>
      <w:r>
        <w:rP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pPr>
        <w:pStyle w:val="ListParagraph"/>
        <w:numPr>
          <w:ilvl w:val="0"/>
          <w:numId w:val="15"/>
        </w:numPr>
        <w:tabs>
          <w:tab w:val="clear" w:pos="709"/>
          <w:tab w:val="left" w:pos="1134" w:leader="none"/>
        </w:tabs>
        <w:ind w:firstLine="709" w:left="0" w:right="23"/>
        <w:jc w:val="both"/>
        <w:rPr/>
      </w:pPr>
      <w:r>
        <w:rPr/>
        <w:t>забастовке персонала Субподрядчика, 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pPr>
        <w:pStyle w:val="ListParagraph"/>
        <w:numPr>
          <w:ilvl w:val="0"/>
          <w:numId w:val="15"/>
        </w:numPr>
        <w:tabs>
          <w:tab w:val="clear" w:pos="709"/>
          <w:tab w:val="left" w:pos="1134" w:leader="none"/>
        </w:tabs>
        <w:ind w:firstLine="709" w:left="0" w:right="23"/>
        <w:jc w:val="both"/>
        <w:rPr/>
      </w:pPr>
      <w:r>
        <w:rPr/>
        <w:t>иных обстоятельствах, фактах, сообщениях в средствах массовой информации – в течение 24 (двадцати четырех) часов.</w:t>
      </w:r>
    </w:p>
    <w:p>
      <w:pPr>
        <w:pStyle w:val="ListParagraph"/>
        <w:numPr>
          <w:ilvl w:val="2"/>
          <w:numId w:val="4"/>
        </w:numPr>
        <w:shd w:val="clear" w:color="auto" w:fill="FFFFFF"/>
        <w:tabs>
          <w:tab w:val="clear" w:pos="709"/>
          <w:tab w:val="left" w:pos="1418" w:leader="none"/>
        </w:tabs>
        <w:ind w:firstLine="709" w:left="0"/>
        <w:jc w:val="both"/>
        <w:rPr>
          <w:bCs/>
        </w:rPr>
      </w:pPr>
      <w:r>
        <w:rPr/>
        <w:t xml:space="preserve">По требованию и в сроки, установленные Заказчиком, своими силами, средствами и за свой счет устранять недостатки, несоответствия, выявленные Заказчиком, а также недостатки и несоответствия, связанные с несогласованными с Заказчиком отступлениями от </w:t>
      </w:r>
      <w:r>
        <w:rPr>
          <w:bCs/>
        </w:rPr>
        <w:t>требований Договора.</w:t>
      </w:r>
    </w:p>
    <w:p>
      <w:pPr>
        <w:pStyle w:val="ListParagraph"/>
        <w:numPr>
          <w:ilvl w:val="2"/>
          <w:numId w:val="4"/>
        </w:numPr>
        <w:shd w:val="clear" w:color="auto" w:fill="FFFFFF"/>
        <w:tabs>
          <w:tab w:val="clear" w:pos="709"/>
          <w:tab w:val="left" w:pos="1418" w:leader="none"/>
        </w:tabs>
        <w:ind w:firstLine="709" w:left="0"/>
        <w:jc w:val="both"/>
        <w:rPr>
          <w:bCs/>
        </w:rPr>
      </w:pPr>
      <w:r>
        <w:rPr>
          <w:bCs/>
        </w:rPr>
        <w:t>Незамедлительно приступить к устранению недостатков Результата работ, о которых ему стало известно.</w:t>
      </w:r>
    </w:p>
    <w:p>
      <w:pPr>
        <w:pStyle w:val="ListParagraph"/>
        <w:shd w:val="clear" w:color="auto" w:fill="FFFFFF"/>
        <w:tabs>
          <w:tab w:val="clear" w:pos="709"/>
          <w:tab w:val="left" w:pos="1418" w:leader="none"/>
        </w:tabs>
        <w:ind w:firstLine="709" w:left="0"/>
        <w:jc w:val="both"/>
        <w:rPr>
          <w:bCs/>
        </w:rPr>
      </w:pPr>
      <w:r>
        <w:rPr>
          <w:bCs/>
        </w:rPr>
        <w:t>Подрядчик несет ответственность за несоответствие Результата работ Техническому заданию (Приложение № 1 к Договору), предоставленным Заказчиком или полученным Подрядчиком в рамках исполнения Догово</w:t>
      </w:r>
      <w:r>
        <w:rPr>
          <w:bCs/>
          <w:shd w:fill="auto" w:val="clear"/>
        </w:rPr>
        <w:t xml:space="preserve">ра исходным данным для проектирования, положениям Применимого права. Подрядчик несет ответственность за недостатки </w:t>
      </w:r>
      <w:r>
        <w:rPr>
          <w:shd w:fill="auto" w:val="clear"/>
          <w:lang w:eastAsia="en-US"/>
        </w:rPr>
        <w:t>Рабочей документации</w:t>
      </w:r>
      <w:r>
        <w:rPr>
          <w:bCs/>
          <w:shd w:fill="auto" w:val="clear"/>
        </w:rPr>
        <w:t xml:space="preserve">, включая обнаруженные в последствии в ходе строительства / реконструкции, а также в процессе эксплуатации Объекта, созданного на основе </w:t>
      </w:r>
      <w:r>
        <w:rPr>
          <w:shd w:fill="auto" w:val="clear"/>
          <w:lang w:eastAsia="en-US"/>
        </w:rPr>
        <w:t>Рабочей документации</w:t>
      </w:r>
      <w:r>
        <w:rPr>
          <w:bCs/>
          <w:shd w:fill="auto" w:val="clear"/>
        </w:rPr>
        <w:t>.</w:t>
      </w:r>
    </w:p>
    <w:p>
      <w:pPr>
        <w:pStyle w:val="ListParagraph"/>
        <w:numPr>
          <w:ilvl w:val="2"/>
          <w:numId w:val="4"/>
        </w:numPr>
        <w:shd w:val="clear" w:color="auto" w:fill="FFFFFF"/>
        <w:tabs>
          <w:tab w:val="clear" w:pos="709"/>
          <w:tab w:val="left" w:pos="1418" w:leader="none"/>
        </w:tabs>
        <w:ind w:firstLine="709" w:left="0"/>
        <w:jc w:val="both"/>
        <w:rPr>
          <w:bCs/>
        </w:rPr>
      </w:pPr>
      <w:r>
        <w:rPr>
          <w:bCs/>
          <w:shd w:fill="auto" w:val="clear"/>
        </w:rPr>
        <w:t>В случае предъявления налоговыми органами претензий и требований к Заказчику, связанных с недобросовестностью Субп</w:t>
      </w:r>
      <w:r>
        <w:rPr>
          <w:bCs/>
        </w:rPr>
        <w:t>одрядчиков (любого лица из цепочки субподрядчиков),</w:t>
      </w:r>
      <w:r>
        <w:rPr/>
        <w:t xml:space="preserve"> </w:t>
      </w:r>
      <w:r>
        <w:rPr>
          <w:bCs/>
        </w:rPr>
        <w:t xml:space="preserve">привлеченных Подрядчиком к выполнению Работ по Договору, компенсировать все убытки Заказчика, вызванные такими претензиями и требованиями.  </w:t>
      </w:r>
    </w:p>
    <w:p>
      <w:pPr>
        <w:pStyle w:val="ListParagraph"/>
        <w:numPr>
          <w:ilvl w:val="2"/>
          <w:numId w:val="4"/>
        </w:numPr>
        <w:ind w:firstLine="709" w:left="0"/>
        <w:jc w:val="both"/>
        <w:rPr>
          <w:color w:val="000000"/>
        </w:rPr>
      </w:pPr>
      <w:r>
        <w:rPr>
          <w:color w:val="000000"/>
        </w:rPr>
        <w:t>Предоставить Заказчику банковские гарантии в соответствии с разделом 6 Договора.</w:t>
      </w:r>
    </w:p>
    <w:p>
      <w:pPr>
        <w:pStyle w:val="ListParagraph"/>
        <w:numPr>
          <w:ilvl w:val="2"/>
          <w:numId w:val="4"/>
        </w:numPr>
        <w:shd w:val="clear" w:color="auto" w:fill="FFFFFF"/>
        <w:tabs>
          <w:tab w:val="clear" w:pos="709"/>
          <w:tab w:val="left" w:pos="1418" w:leader="none"/>
        </w:tabs>
        <w:ind w:firstLine="710" w:left="0"/>
        <w:jc w:val="both"/>
        <w:rPr/>
      </w:pPr>
      <w:r>
        <w:rPr/>
        <w:t>Не передавать Результат работ, а также иные документы, оформленные или полученные в ходе выполнения Подрядчиком обязательств по Договору, третьим лицам без письменного согласия Заказчика, за исключением случаев, когда такая передача предусмотрена законодательством Российской Федерации и / или Договором.</w:t>
      </w:r>
    </w:p>
    <w:p>
      <w:pPr>
        <w:pStyle w:val="ListParagraph"/>
        <w:numPr>
          <w:ilvl w:val="2"/>
          <w:numId w:val="4"/>
        </w:numPr>
        <w:shd w:val="clear" w:color="auto" w:fill="FFFFFF"/>
        <w:tabs>
          <w:tab w:val="clear" w:pos="709"/>
          <w:tab w:val="left" w:pos="1418" w:leader="none"/>
        </w:tabs>
        <w:ind w:firstLine="710" w:left="0"/>
        <w:jc w:val="both"/>
        <w:rPr/>
      </w:pPr>
      <w:r>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numPr>
          <w:ilvl w:val="2"/>
          <w:numId w:val="4"/>
        </w:numPr>
        <w:shd w:val="clear" w:color="auto" w:fill="FFFFFF"/>
        <w:tabs>
          <w:tab w:val="clear" w:pos="709"/>
          <w:tab w:val="left" w:pos="1418" w:leader="none"/>
        </w:tabs>
        <w:ind w:firstLine="709" w:left="0"/>
        <w:jc w:val="both"/>
        <w:rPr/>
      </w:pPr>
      <w:r>
        <w:rPr/>
        <w:t xml:space="preserve">Исполнять иные обязанности, предусмотренные Договором и </w:t>
      </w:r>
      <w:r>
        <w:rPr>
          <w:bCs/>
        </w:rPr>
        <w:t>законодательством Российской Федерации.</w:t>
      </w:r>
      <w:r>
        <w:rPr/>
        <w:t xml:space="preserve"> </w:t>
      </w:r>
    </w:p>
    <w:p>
      <w:pPr>
        <w:pStyle w:val="Normal"/>
        <w:spacing w:lineRule="auto" w:line="240"/>
        <w:rPr>
          <w:sz w:val="24"/>
          <w:szCs w:val="24"/>
        </w:rPr>
      </w:pPr>
      <w:r>
        <w:rPr>
          <w:sz w:val="24"/>
          <w:szCs w:val="24"/>
        </w:rPr>
      </w:r>
    </w:p>
    <w:p>
      <w:pPr>
        <w:pStyle w:val="ListParagraph"/>
        <w:numPr>
          <w:ilvl w:val="1"/>
          <w:numId w:val="4"/>
        </w:numPr>
        <w:shd w:val="clear" w:color="auto" w:fill="FFFFFF"/>
        <w:tabs>
          <w:tab w:val="clear" w:pos="709"/>
          <w:tab w:val="left" w:pos="1134" w:leader="none"/>
        </w:tabs>
        <w:ind w:firstLine="709" w:left="0"/>
        <w:jc w:val="both"/>
        <w:rPr>
          <w:bCs/>
        </w:rPr>
      </w:pPr>
      <w:r>
        <w:rPr>
          <w:bCs/>
          <w:u w:val="single"/>
        </w:rPr>
        <w:t>Подрядчик имеет право</w:t>
      </w:r>
      <w:r>
        <w:rPr>
          <w:bCs/>
        </w:rPr>
        <w:t>:</w:t>
      </w:r>
    </w:p>
    <w:p>
      <w:pPr>
        <w:pStyle w:val="ListParagraph"/>
        <w:numPr>
          <w:ilvl w:val="2"/>
          <w:numId w:val="4"/>
        </w:numPr>
        <w:shd w:val="clear" w:color="auto" w:fill="FFFFFF"/>
        <w:tabs>
          <w:tab w:val="clear" w:pos="709"/>
          <w:tab w:val="left" w:pos="1418" w:leader="none"/>
        </w:tabs>
        <w:ind w:firstLine="709" w:left="0"/>
        <w:jc w:val="both"/>
        <w:rPr/>
      </w:pPr>
      <w:r>
        <w:rPr>
          <w:bCs/>
        </w:rPr>
        <w:t>Самостоятельно организовать выполнение Работ.</w:t>
      </w:r>
    </w:p>
    <w:p>
      <w:pPr>
        <w:pStyle w:val="ListParagraph"/>
        <w:numPr>
          <w:ilvl w:val="2"/>
          <w:numId w:val="4"/>
        </w:numPr>
        <w:shd w:val="clear" w:color="auto" w:fill="FFFFFF"/>
        <w:tabs>
          <w:tab w:val="clear" w:pos="709"/>
          <w:tab w:val="left" w:pos="851" w:leader="none"/>
        </w:tabs>
        <w:ind w:firstLine="709" w:left="0"/>
        <w:jc w:val="both"/>
        <w:rPr/>
      </w:pPr>
      <w:r>
        <w:rPr>
          <w:bCs/>
        </w:rPr>
        <w:t>При необходимости по пре</w:t>
      </w:r>
      <w:r>
        <w:rPr>
          <w:bCs/>
          <w:shd w:fill="auto" w:val="clear"/>
        </w:rPr>
        <w:t xml:space="preserve">дварительному письменному согласованию с Заказчиком заключать договоры субподряда в совокупности не более чем на </w:t>
      </w:r>
      <w:r>
        <w:rPr>
          <w:bCs/>
          <w:shd w:fill="auto" w:val="clear"/>
        </w:rPr>
        <w:t>10</w:t>
      </w:r>
      <w:r>
        <w:rPr>
          <w:bCs/>
          <w:shd w:fill="auto" w:val="clear"/>
        </w:rPr>
        <w:t xml:space="preserve"> (</w:t>
      </w:r>
      <w:r>
        <w:rPr>
          <w:bCs/>
          <w:shd w:fill="auto" w:val="clear"/>
        </w:rPr>
        <w:t>десять</w:t>
      </w:r>
      <w:r>
        <w:rPr>
          <w:bCs/>
          <w:shd w:fill="auto" w:val="clear"/>
        </w:rPr>
        <w:t>) процентов</w:t>
      </w:r>
      <w:r>
        <w:rPr>
          <w:bCs/>
          <w:shd w:fill="auto" w:val="clear"/>
          <w:vertAlign w:val="superscript"/>
        </w:rPr>
        <w:t xml:space="preserve"> </w:t>
      </w:r>
      <w:r>
        <w:rPr>
          <w:bCs/>
          <w:shd w:fill="auto" w:val="clear"/>
        </w:rPr>
        <w:t>от Цены Договора, неся при этом ответственность за действия Субподрядчиков, как за свои собственные.</w:t>
      </w:r>
    </w:p>
    <w:p>
      <w:pPr>
        <w:pStyle w:val="ListParagraph"/>
        <w:shd w:val="clear" w:color="auto" w:fill="FFFFFF"/>
        <w:tabs>
          <w:tab w:val="clear" w:pos="709"/>
          <w:tab w:val="left" w:pos="851" w:leader="none"/>
        </w:tabs>
        <w:ind w:firstLine="709" w:left="0"/>
        <w:jc w:val="both"/>
        <w:rPr/>
      </w:pPr>
      <w:r>
        <w:rPr>
          <w:bCs/>
        </w:rPr>
        <w:t xml:space="preserve">При согласовании привлечения Субподрядчика Подрядчик представляет Заказчику: </w:t>
      </w:r>
    </w:p>
    <w:p>
      <w:pPr>
        <w:pStyle w:val="ListParagraph"/>
        <w:numPr>
          <w:ilvl w:val="0"/>
          <w:numId w:val="19"/>
        </w:numPr>
        <w:shd w:val="clear" w:color="auto" w:fill="FFFFFF"/>
        <w:tabs>
          <w:tab w:val="left" w:pos="709" w:leader="none"/>
          <w:tab w:val="left" w:pos="1418" w:leader="none"/>
        </w:tabs>
        <w:ind w:firstLine="709" w:left="0"/>
        <w:jc w:val="both"/>
        <w:rPr/>
      </w:pPr>
      <w:r>
        <w:rPr>
          <w:bCs/>
        </w:rPr>
        <w:t>проект договора с Субподрядчиком;</w:t>
      </w:r>
    </w:p>
    <w:p>
      <w:pPr>
        <w:pStyle w:val="ListParagraph"/>
        <w:numPr>
          <w:ilvl w:val="0"/>
          <w:numId w:val="19"/>
        </w:numPr>
        <w:shd w:val="clear" w:color="auto" w:fill="FFFFFF"/>
        <w:tabs>
          <w:tab w:val="left" w:pos="709" w:leader="none"/>
          <w:tab w:val="left" w:pos="1418" w:leader="none"/>
        </w:tabs>
        <w:ind w:firstLine="709" w:left="0"/>
        <w:jc w:val="both"/>
        <w:rPr/>
      </w:pPr>
      <w:r>
        <w:rPr>
          <w:bCs/>
        </w:rPr>
        <w:t>сведения об объемах выполнения работ Субподрядчиком;</w:t>
      </w:r>
    </w:p>
    <w:p>
      <w:pPr>
        <w:pStyle w:val="ListParagraph"/>
        <w:numPr>
          <w:ilvl w:val="0"/>
          <w:numId w:val="19"/>
        </w:numPr>
        <w:tabs>
          <w:tab w:val="left" w:pos="709" w:leader="none"/>
        </w:tabs>
        <w:ind w:firstLine="709" w:left="0"/>
        <w:jc w:val="both"/>
        <w:rPr/>
      </w:pPr>
      <w:r>
        <w:rPr>
          <w:bCs/>
        </w:rPr>
        <w:t>пофамильный перечень персонала Субподрядчика, который будет задействован при производстве Работ;</w:t>
      </w:r>
    </w:p>
    <w:p>
      <w:pPr>
        <w:pStyle w:val="ListParagraph"/>
        <w:numPr>
          <w:ilvl w:val="0"/>
          <w:numId w:val="18"/>
        </w:numPr>
        <w:tabs>
          <w:tab w:val="left" w:pos="709" w:leader="none"/>
        </w:tabs>
        <w:ind w:firstLine="709" w:left="0"/>
        <w:jc w:val="both"/>
        <w:rPr>
          <w:bCs/>
        </w:rPr>
      </w:pPr>
      <w:r>
        <w:rPr>
          <w:bCs/>
        </w:rPr>
        <w:t>копии документов, подтверждающих наличие у Субподрядчика и его персонала допусков, разрешений и лицензий, необходимых для выполнения Работ.</w:t>
      </w:r>
    </w:p>
    <w:p>
      <w:pPr>
        <w:pStyle w:val="ListParagraph"/>
        <w:numPr>
          <w:ilvl w:val="0"/>
          <w:numId w:val="0"/>
        </w:numPr>
        <w:ind w:hanging="0" w:left="0"/>
        <w:jc w:val="both"/>
        <w:rPr/>
      </w:pPr>
      <w:r>
        <w:rPr/>
      </w:r>
    </w:p>
    <w:p>
      <w:pPr>
        <w:pStyle w:val="ListParagraph"/>
        <w:numPr>
          <w:ilvl w:val="0"/>
          <w:numId w:val="4"/>
        </w:numPr>
        <w:shd w:val="clear" w:color="auto" w:fill="FFFFFF"/>
        <w:tabs>
          <w:tab w:val="clear" w:pos="709"/>
          <w:tab w:val="left" w:pos="284" w:leader="none"/>
        </w:tabs>
        <w:ind w:hanging="0" w:left="0"/>
        <w:jc w:val="center"/>
        <w:rPr/>
      </w:pPr>
      <w:r>
        <w:rPr>
          <w:b/>
          <w:bCs/>
        </w:rPr>
        <w:t>Цена Договора и порядок расчетов</w:t>
      </w:r>
    </w:p>
    <w:p>
      <w:pPr>
        <w:pStyle w:val="ListParagraph"/>
        <w:numPr>
          <w:ilvl w:val="1"/>
          <w:numId w:val="4"/>
        </w:numPr>
        <w:shd w:val="clear" w:color="auto" w:fill="FFFFFF"/>
        <w:tabs>
          <w:tab w:val="clear" w:pos="709"/>
          <w:tab w:val="left" w:pos="1134" w:leader="none"/>
        </w:tabs>
        <w:ind w:firstLine="709" w:left="0"/>
        <w:jc w:val="both"/>
        <w:rPr>
          <w:highlight w:val="none"/>
          <w:shd w:fill="auto" w:val="clear"/>
        </w:rPr>
      </w:pPr>
      <w:bookmarkStart w:id="8" w:name="_Ref361335465"/>
      <w:r>
        <w:rPr>
          <w:bCs/>
          <w:shd w:fill="auto" w:val="clear"/>
        </w:rPr>
        <w:t xml:space="preserve">Цена </w:t>
      </w:r>
      <w:r>
        <w:rPr>
          <w:shd w:fill="auto" w:val="clear"/>
        </w:rPr>
        <w:t xml:space="preserve">Договора </w:t>
      </w:r>
      <w:r>
        <w:rPr>
          <w:bCs/>
          <w:shd w:fill="auto" w:val="clear"/>
        </w:rPr>
        <w:t xml:space="preserve">в соответствии со Сводной сметой с приложениями (Приложение № 2 к Договору) является предельной / твердой и составляет </w:t>
      </w:r>
      <w:r>
        <w:rPr>
          <w:shd w:fill="auto" w:val="clear"/>
        </w:rPr>
        <w:t>_______</w:t>
      </w:r>
      <w:r>
        <w:rPr>
          <w:bCs/>
          <w:shd w:fill="auto" w:val="clear"/>
        </w:rPr>
        <w:t xml:space="preserve"> (</w:t>
      </w:r>
      <w:r>
        <w:rPr>
          <w:shd w:fill="auto" w:val="clear"/>
        </w:rPr>
        <w:t>__________________</w:t>
      </w:r>
      <w:r>
        <w:rPr>
          <w:bCs/>
          <w:shd w:fill="auto" w:val="clear"/>
        </w:rPr>
        <w:t xml:space="preserve">) рублей </w:t>
      </w:r>
      <w:r>
        <w:rPr>
          <w:shd w:fill="auto" w:val="clear"/>
        </w:rPr>
        <w:t>___</w:t>
      </w:r>
      <w:r>
        <w:rPr>
          <w:bCs/>
          <w:shd w:fill="auto" w:val="clear"/>
        </w:rPr>
        <w:t xml:space="preserve"> копеек без учета НДС, при этом НДС исчисляется дополнительно по ставке, установленной статьей 164 Налогового кодекса РФ (далее </w:t>
      </w:r>
      <w:r>
        <w:rPr>
          <w:shd w:fill="auto" w:val="clear"/>
          <w:lang w:eastAsia="en-US"/>
        </w:rPr>
        <w:t>– «НК РФ»)</w:t>
      </w:r>
      <w:r>
        <w:rPr>
          <w:bCs/>
          <w:shd w:fill="auto" w:val="clear"/>
        </w:rPr>
        <w:t xml:space="preserve">.  </w:t>
      </w:r>
    </w:p>
    <w:p>
      <w:pPr>
        <w:pStyle w:val="ListParagraph"/>
        <w:numPr>
          <w:ilvl w:val="2"/>
          <w:numId w:val="4"/>
        </w:numPr>
        <w:shd w:val="clear" w:color="auto" w:fill="FFFFFF"/>
        <w:tabs>
          <w:tab w:val="clear" w:pos="709"/>
          <w:tab w:val="left" w:pos="1418" w:leader="none"/>
        </w:tabs>
        <w:ind w:firstLine="709" w:left="0"/>
        <w:jc w:val="both"/>
        <w:rPr>
          <w:highlight w:val="none"/>
          <w:shd w:fill="auto" w:val="clear"/>
        </w:rPr>
      </w:pPr>
      <w:r>
        <w:rPr>
          <w:shd w:fill="auto" w:val="clear"/>
        </w:rPr>
        <w:t xml:space="preserve">Предельная </w:t>
      </w:r>
      <w:r>
        <w:rPr>
          <w:bCs/>
          <w:shd w:fill="auto" w:val="clear"/>
        </w:rPr>
        <w:t xml:space="preserve">/ Твердая цена Работ составляет </w:t>
      </w:r>
      <w:r>
        <w:rPr>
          <w:shd w:fill="auto" w:val="clear"/>
        </w:rPr>
        <w:t xml:space="preserve">_______ </w:t>
      </w:r>
      <w:r>
        <w:rPr>
          <w:bCs/>
          <w:shd w:fill="auto" w:val="clear"/>
        </w:rPr>
        <w:t>(</w:t>
      </w:r>
      <w:r>
        <w:rPr>
          <w:shd w:fill="auto" w:val="clear"/>
        </w:rPr>
        <w:t>_______________</w:t>
      </w:r>
      <w:r>
        <w:rPr>
          <w:bCs/>
          <w:shd w:fill="auto" w:val="clear"/>
        </w:rPr>
        <w:t xml:space="preserve">) рублей </w:t>
      </w:r>
      <w:r>
        <w:rPr>
          <w:shd w:fill="auto" w:val="clear"/>
        </w:rPr>
        <w:t>___</w:t>
      </w:r>
      <w:r>
        <w:rPr>
          <w:bCs/>
          <w:shd w:fill="auto" w:val="clear"/>
        </w:rPr>
        <w:t xml:space="preserve"> копеек без учета НДС, при этом НДС исчисляется дополнительно по ставке, установленной статьей 164 НК РФ.</w:t>
      </w:r>
    </w:p>
    <w:p>
      <w:pPr>
        <w:pStyle w:val="ListParagraph"/>
        <w:numPr>
          <w:ilvl w:val="1"/>
          <w:numId w:val="4"/>
        </w:numPr>
        <w:shd w:val="clear" w:color="auto" w:fill="FFFFFF"/>
        <w:tabs>
          <w:tab w:val="clear" w:pos="709"/>
          <w:tab w:val="left" w:pos="1134" w:leader="none"/>
        </w:tabs>
        <w:ind w:firstLine="709" w:left="0"/>
        <w:jc w:val="both"/>
        <w:rPr>
          <w:highlight w:val="none"/>
          <w:shd w:fill="auto" w:val="clear"/>
        </w:rPr>
      </w:pPr>
      <w:bookmarkStart w:id="9" w:name="_Ref361834605"/>
      <w:r>
        <w:rPr>
          <w:shd w:fill="auto" w:val="clear"/>
        </w:rPr>
        <w:t>Сметы подлежат согласованию Сторонами не позднее истечения 30 (тридцати) календарных дней с даты вступления Договора в силу. При несогласовании вышеуказанных документов в установленный срок Подрядчик обязан по соответствующему письменному требованию Заказчика приостановить исполнение Договора полностью или в части до момента такого согласования. После согласования смет Стороны обязаны уточнить Сводную смету с приложениями (Приложение № 2 к Договору) путем заключения дополнительного соглашения к Договору, а также продлить сроки выполнения Работ на срок их приостановки по предусмотренному в настоящем пункте основанию.</w:t>
      </w:r>
      <w:bookmarkEnd w:id="9"/>
    </w:p>
    <w:p>
      <w:pPr>
        <w:pStyle w:val="ListParagraph"/>
        <w:shd w:val="clear" w:color="auto" w:fill="FFFFFF"/>
        <w:tabs>
          <w:tab w:val="clear" w:pos="709"/>
          <w:tab w:val="left" w:pos="1134" w:leader="none"/>
        </w:tabs>
        <w:ind w:firstLine="709" w:left="0"/>
        <w:jc w:val="both"/>
        <w:rPr>
          <w:highlight w:val="none"/>
          <w:shd w:fill="auto" w:val="clear"/>
        </w:rPr>
      </w:pPr>
      <w:r>
        <w:rPr>
          <w:i/>
          <w:shd w:fill="auto" w:val="clear"/>
        </w:rPr>
        <w:t>либо</w:t>
      </w:r>
    </w:p>
    <w:p>
      <w:pPr>
        <w:pStyle w:val="ListParagraph"/>
        <w:shd w:val="clear" w:color="auto" w:fill="FFFFFF"/>
        <w:tabs>
          <w:tab w:val="clear" w:pos="709"/>
          <w:tab w:val="left" w:pos="1134" w:leader="none"/>
        </w:tabs>
        <w:ind w:firstLine="709" w:left="0"/>
        <w:jc w:val="both"/>
        <w:rPr>
          <w:highlight w:val="none"/>
          <w:shd w:fill="auto" w:val="clear"/>
        </w:rPr>
      </w:pPr>
      <w:r>
        <w:rPr>
          <w:shd w:fill="auto" w:val="clear"/>
        </w:rPr>
        <w:t>Сметы являются неотъемлемой частью Сводной сметы с приложениями (Приложение № 2 к Договору)</w:t>
      </w:r>
      <w:r>
        <w:rPr>
          <w:rStyle w:val="FootnoteReference"/>
          <w:bCs/>
          <w:shd w:fill="auto" w:val="clear"/>
        </w:rPr>
        <w:footnoteReference w:id="2"/>
      </w:r>
      <w:r>
        <w:rPr>
          <w:bCs/>
          <w:shd w:fill="auto" w:val="clear"/>
        </w:rPr>
        <w:t>.</w:t>
      </w:r>
      <w:bookmarkEnd w:id="8"/>
    </w:p>
    <w:p>
      <w:pPr>
        <w:pStyle w:val="ListParagraph"/>
        <w:numPr>
          <w:ilvl w:val="1"/>
          <w:numId w:val="4"/>
        </w:numPr>
        <w:shd w:val="clear" w:color="auto" w:fill="FFFFFF"/>
        <w:tabs>
          <w:tab w:val="clear" w:pos="709"/>
          <w:tab w:val="left" w:pos="1134" w:leader="none"/>
        </w:tabs>
        <w:ind w:firstLine="709" w:left="0"/>
        <w:jc w:val="both"/>
        <w:rPr>
          <w:highlight w:val="none"/>
          <w:shd w:fill="auto" w:val="clear"/>
        </w:rPr>
      </w:pPr>
      <w:r>
        <w:rPr>
          <w:bCs/>
          <w:shd w:fill="auto" w:val="clear"/>
        </w:rPr>
        <w:t>Цена Договора включает в себя прибыль Подрядчика, а также все расходы и затраты Подрядчика на:</w:t>
      </w:r>
    </w:p>
    <w:p>
      <w:pPr>
        <w:pStyle w:val="ListParagraph"/>
        <w:numPr>
          <w:ilvl w:val="2"/>
          <w:numId w:val="4"/>
        </w:numPr>
        <w:shd w:val="clear" w:color="auto" w:fill="FFFFFF"/>
        <w:tabs>
          <w:tab w:val="clear" w:pos="709"/>
          <w:tab w:val="left" w:pos="1134" w:leader="none"/>
          <w:tab w:val="left" w:pos="1418" w:leader="none"/>
        </w:tabs>
        <w:ind w:firstLine="709" w:left="0"/>
        <w:jc w:val="both"/>
        <w:rPr/>
      </w:pPr>
      <w:r>
        <w:rPr/>
        <w:t xml:space="preserve">Приобретение Материально-технических ресурсов </w:t>
      </w:r>
      <w:r>
        <w:rPr>
          <w:bCs/>
        </w:rPr>
        <w:t>и оборудования</w:t>
      </w:r>
      <w:r>
        <w:rPr/>
        <w:t>, необходимых для выполнения Работ по Договору, включая стоимость необходимых для эксплуатации Результата работ лицензий;</w:t>
      </w:r>
    </w:p>
    <w:p>
      <w:pPr>
        <w:pStyle w:val="ListParagraph"/>
        <w:numPr>
          <w:ilvl w:val="2"/>
          <w:numId w:val="4"/>
        </w:numPr>
        <w:shd w:val="clear" w:color="auto" w:fill="FFFFFF"/>
        <w:tabs>
          <w:tab w:val="clear" w:pos="709"/>
          <w:tab w:val="left" w:pos="1134" w:leader="none"/>
          <w:tab w:val="left" w:pos="1418" w:leader="none"/>
        </w:tabs>
        <w:ind w:firstLine="709" w:left="0"/>
        <w:jc w:val="both"/>
        <w:rPr/>
      </w:pPr>
      <w:r>
        <w:rPr/>
        <w:t xml:space="preserve">Заработную плату, накладные и командировочные расходы, перемещение и размещение персонала Подрядчика; </w:t>
      </w:r>
    </w:p>
    <w:p>
      <w:pPr>
        <w:pStyle w:val="ListParagraph"/>
        <w:numPr>
          <w:ilvl w:val="2"/>
          <w:numId w:val="4"/>
        </w:numPr>
        <w:shd w:val="clear" w:color="auto" w:fill="FFFFFF"/>
        <w:tabs>
          <w:tab w:val="clear" w:pos="709"/>
          <w:tab w:val="left" w:pos="1134" w:leader="none"/>
          <w:tab w:val="left" w:pos="1418" w:leader="none"/>
        </w:tabs>
        <w:ind w:firstLine="709" w:left="0"/>
        <w:jc w:val="both"/>
        <w:rPr/>
      </w:pPr>
      <w:r>
        <w:rPr/>
        <w:t>Подлежащие уплате налоги (в том числе НДС), сборы и пошлины (в том числе по таможенному оформлению Материально-технических ресурсов</w:t>
      </w:r>
      <w:r>
        <w:rPr>
          <w:bCs/>
        </w:rPr>
        <w:t xml:space="preserve"> и оборудования</w:t>
      </w:r>
      <w:r>
        <w:rPr/>
        <w:t xml:space="preserve">, если применимо); </w:t>
      </w:r>
    </w:p>
    <w:p>
      <w:pPr>
        <w:pStyle w:val="ListParagraph"/>
        <w:numPr>
          <w:ilvl w:val="2"/>
          <w:numId w:val="4"/>
        </w:numPr>
        <w:shd w:val="clear" w:color="auto" w:fill="FFFFFF"/>
        <w:tabs>
          <w:tab w:val="clear" w:pos="709"/>
          <w:tab w:val="left" w:pos="1134" w:leader="none"/>
          <w:tab w:val="left" w:pos="1418" w:leader="none"/>
        </w:tabs>
        <w:ind w:firstLine="709" w:left="0"/>
        <w:jc w:val="both"/>
        <w:rPr/>
      </w:pPr>
      <w:r>
        <w:rPr/>
        <w:t xml:space="preserve">Все прочие затраты и расходы Подрядчика, связанные выполнением Работ и исполнением иных обязательств по Договору (за исключением случаев, когда законодательством Российской Федерации предусмотрено несение соответствующих расходов Заказчиком самостоятельно), а также все непредвиденные расходы, которые могут возникнуть у Подрядчика в течение срока действия Договора. </w:t>
      </w:r>
    </w:p>
    <w:p>
      <w:pPr>
        <w:pStyle w:val="ListParagraph"/>
        <w:numPr>
          <w:ilvl w:val="1"/>
          <w:numId w:val="4"/>
        </w:numPr>
        <w:shd w:val="clear" w:color="auto" w:fill="FFFFFF"/>
        <w:tabs>
          <w:tab w:val="clear" w:pos="709"/>
          <w:tab w:val="left" w:pos="1134" w:leader="none"/>
        </w:tabs>
        <w:ind w:firstLine="709" w:left="0"/>
        <w:jc w:val="both"/>
        <w:rPr>
          <w:bCs/>
        </w:rPr>
      </w:pPr>
      <w:r>
        <w:rPr>
          <w:bCs/>
        </w:rPr>
        <w:t>Изменение стоимости Работ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4"/>
        </w:numPr>
        <w:shd w:val="clear" w:color="auto" w:fill="FFFFFF"/>
        <w:tabs>
          <w:tab w:val="clear" w:pos="709"/>
          <w:tab w:val="left" w:pos="1134" w:leader="none"/>
        </w:tabs>
        <w:ind w:firstLine="709" w:left="0"/>
        <w:jc w:val="both"/>
        <w:rPr>
          <w:bCs/>
        </w:rPr>
      </w:pPr>
      <w:bookmarkStart w:id="10" w:name="_Ref361858588"/>
      <w:bookmarkStart w:id="11" w:name="_Ref361834675"/>
      <w:r>
        <w:rPr>
          <w:bCs/>
        </w:rPr>
        <w:t>Оплата по Договору осуществляется Заказчиком в следующем порядке:</w:t>
      </w:r>
      <w:bookmarkEnd w:id="10"/>
      <w:bookmarkEnd w:id="11"/>
      <w:r>
        <w:rPr>
          <w:bCs/>
        </w:rPr>
        <w:t xml:space="preserve"> </w:t>
      </w:r>
    </w:p>
    <w:p>
      <w:pPr>
        <w:pStyle w:val="ListParagraph"/>
        <w:numPr>
          <w:ilvl w:val="2"/>
          <w:numId w:val="4"/>
        </w:numPr>
        <w:shd w:val="clear" w:color="auto" w:fill="FFFFFF"/>
        <w:tabs>
          <w:tab w:val="clear" w:pos="709"/>
          <w:tab w:val="left" w:pos="1134" w:leader="none"/>
          <w:tab w:val="left" w:pos="1418" w:leader="none"/>
        </w:tabs>
        <w:ind w:firstLine="709" w:left="0"/>
        <w:jc w:val="both"/>
        <w:rPr/>
      </w:pPr>
      <w:r>
        <w:rPr/>
        <w:t xml:space="preserve">  </w:t>
      </w:r>
      <w:r>
        <w:rPr/>
        <w:t>Подрядчик не позднее, чем за 3 (три) рабочих дня до предполагаемой даты выплаты авансового платежа, обязан предоставить Заказчику Банковскую гарантию возврата авансового платежа, соответствующую требованиям, установленным разделом 6 Договора.</w:t>
      </w:r>
    </w:p>
    <w:p>
      <w:pPr>
        <w:pStyle w:val="ListParagraph"/>
        <w:numPr>
          <w:ilvl w:val="2"/>
          <w:numId w:val="4"/>
        </w:numPr>
        <w:shd w:val="clear" w:color="auto" w:fill="FFFFFF"/>
        <w:tabs>
          <w:tab w:val="clear" w:pos="709"/>
          <w:tab w:val="left" w:pos="1134" w:leader="none"/>
          <w:tab w:val="left" w:pos="1418" w:leader="none"/>
        </w:tabs>
        <w:ind w:firstLine="709" w:left="0"/>
        <w:jc w:val="both"/>
        <w:rPr/>
      </w:pPr>
      <w:bookmarkStart w:id="12" w:name="_Ref361335057"/>
      <w:bookmarkStart w:id="13" w:name="_Ref373242755"/>
      <w:r>
        <w:rPr/>
        <w:t xml:space="preserve"> </w:t>
      </w:r>
      <w:bookmarkStart w:id="14" w:name="_Ref361335023"/>
      <w:bookmarkStart w:id="15" w:name="_Ref361834178"/>
      <w:bookmarkStart w:id="16" w:name="_Ref373242766"/>
      <w:bookmarkEnd w:id="12"/>
      <w:bookmarkEnd w:id="13"/>
      <w:r>
        <w:rPr/>
        <w:t>Авансовый платеж в счет стоимости Работ рассчитывается в размере 30  (тридцати) процентов от стоимости Работ, без учета НДС, кроме того НДС по ставке, установленной статьей 164 НК РФ на дату выплаты авансового платежа</w:t>
      </w:r>
      <w:r>
        <w:rPr>
          <w:bCs/>
        </w:rPr>
        <w:t>, и</w:t>
      </w:r>
      <w:r>
        <w:rPr/>
        <w:t xml:space="preserve"> выплачивается в течение 30 (тридцати) календарных дней с даты получения Заказчиком счета, выставленного Подрядчиком, но не ранее, чем за 30 (тридцать) календарных дней до даты начала Работ, определенной в пункте 1.5.1 Договора, </w:t>
      </w:r>
      <w:r>
        <w:rPr>
          <w:highlight w:val="lightGray"/>
        </w:rPr>
        <w:t>при условии согласования Сторонами сметной документации на Работы в соответствии с пунктом 3.2 Договора</w:t>
      </w:r>
      <w:r>
        <w:rPr>
          <w:rStyle w:val="FootnoteReference"/>
        </w:rPr>
        <w:footnoteReference w:id="3"/>
      </w:r>
      <w:r>
        <w:rPr/>
        <w:t>, и с учетом пунктов 3.5.1, 3.5.4 Договора</w:t>
      </w:r>
      <w:bookmarkEnd w:id="16"/>
      <w:r>
        <w:rPr/>
        <w:t xml:space="preserve">. </w:t>
      </w:r>
    </w:p>
    <w:p>
      <w:pPr>
        <w:pStyle w:val="ListParagraph"/>
        <w:numPr>
          <w:ilvl w:val="2"/>
          <w:numId w:val="4"/>
        </w:numPr>
        <w:shd w:val="clear" w:color="auto" w:fill="FFFFFF"/>
        <w:tabs>
          <w:tab w:val="clear" w:pos="709"/>
          <w:tab w:val="left" w:pos="1134" w:leader="none"/>
          <w:tab w:val="left" w:pos="1418" w:leader="none"/>
        </w:tabs>
        <w:ind w:firstLine="709" w:left="0"/>
        <w:jc w:val="both"/>
        <w:rPr/>
      </w:pPr>
      <w:r>
        <w:rPr/>
        <w:t xml:space="preserve">Последующий платеж в размере разницы между стоимостью Работ, определенной с учетом НДС по ставке, установленной статьей 164 Налогового кодекса РФ на дату подписания Сторонами документов, указанных в пункте 4.1 Договора, и суммой авансового платежа, ранее уплаченного в соответствии с пунктом 3.5.2 Договора, выплачивается в течение </w:t>
      </w:r>
      <w:r>
        <w:rPr>
          <w:highlight w:val="lightGray"/>
        </w:rPr>
        <w:t>20 (двадцати) календарных дней</w:t>
      </w:r>
      <w:r>
        <w:rPr>
          <w:rStyle w:val="FootnoteReference"/>
          <w:highlight w:val="lightGray"/>
        </w:rPr>
        <w:footnoteReference w:id="4"/>
      </w:r>
      <w:r>
        <w:rPr>
          <w:highlight w:val="lightGray"/>
        </w:rPr>
        <w:t xml:space="preserve"> / 45 (сорока пяти) календарных дней</w:t>
      </w:r>
      <w:r>
        <w:rPr>
          <w:rStyle w:val="FootnoteReference"/>
          <w:highlight w:val="lightGray"/>
        </w:rPr>
        <w:footnoteReference w:id="5"/>
      </w:r>
      <w:r>
        <w:rPr>
          <w:highlight w:val="lightGray"/>
        </w:rPr>
        <w:t xml:space="preserve"> / 7 (семи) рабочих дней</w:t>
      </w:r>
      <w:r>
        <w:rPr>
          <w:rStyle w:val="FootnoteReference"/>
          <w:highlight w:val="lightGray"/>
        </w:rPr>
        <w:footnoteReference w:id="6"/>
      </w:r>
      <w:r>
        <w:rPr/>
        <w:t xml:space="preserve"> с даты подписания Сторонами документов, указанных в пункте 4.1 Договора, на основании счета, выставленного Подрядчиком, и с учетом пункта 3.5.4 Договора.</w:t>
      </w:r>
    </w:p>
    <w:p>
      <w:pPr>
        <w:pStyle w:val="ListParagraph"/>
        <w:numPr>
          <w:ilvl w:val="2"/>
          <w:numId w:val="4"/>
        </w:numPr>
        <w:shd w:val="clear" w:color="auto" w:fill="FFFFFF"/>
        <w:tabs>
          <w:tab w:val="clear" w:pos="709"/>
          <w:tab w:val="left" w:pos="1134" w:leader="none"/>
          <w:tab w:val="left" w:pos="1418" w:leader="none"/>
        </w:tabs>
        <w:ind w:firstLine="709" w:left="0"/>
        <w:jc w:val="both"/>
        <w:rPr/>
      </w:pPr>
      <w:r>
        <w:rPr/>
        <w:t>В случае выставления Подрядчиком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Заказчиком не принимается и подлежит замене Подрядчиком независимо от его фактического вручения Заказчику. В случае выставления Подрядчиком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pPr>
        <w:pStyle w:val="ListParagraph"/>
        <w:shd w:val="clear" w:color="auto" w:fill="FFFFFF"/>
        <w:tabs>
          <w:tab w:val="clear" w:pos="709"/>
          <w:tab w:val="left" w:pos="1134" w:leader="none"/>
          <w:tab w:val="left" w:pos="1418" w:leader="none"/>
        </w:tabs>
        <w:ind w:firstLine="709" w:left="0"/>
        <w:jc w:val="both"/>
        <w:rPr/>
      </w:pPr>
      <w:bookmarkStart w:id="17" w:name="_Ref373242894"/>
      <w:bookmarkEnd w:id="15"/>
      <w:r>
        <w:rPr/>
        <w:t>Заказчик вправе не выплачивать предварительную оплату (аванс), расторгнуть Договор в одностороннем внесудебном порядке и предъявить требование о возмещении убытков в случае, если Подрядчик не предоставил финансового обеспечения исполнения обязательств, предусмотренного пунктом 3.5.1 Договора, в установленный срок и при этом не приступил к исполнению обязательств по Договору.</w:t>
      </w:r>
      <w:bookmarkEnd w:id="17"/>
      <w:r>
        <w:rPr/>
        <w:t xml:space="preserve"> </w:t>
      </w:r>
    </w:p>
    <w:p>
      <w:pPr>
        <w:pStyle w:val="ListParagraph"/>
        <w:numPr>
          <w:ilvl w:val="1"/>
          <w:numId w:val="4"/>
        </w:numPr>
        <w:shd w:val="clear" w:color="auto" w:fill="FFFFFF"/>
        <w:tabs>
          <w:tab w:val="clear" w:pos="709"/>
          <w:tab w:val="left" w:pos="1134" w:leader="none"/>
          <w:tab w:val="left" w:pos="1418" w:leader="none"/>
        </w:tabs>
        <w:ind w:firstLine="709" w:left="0"/>
        <w:jc w:val="both"/>
        <w:rPr/>
      </w:pPr>
      <w:r>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Подрядчика,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bookmarkStart w:id="18" w:name="_Ref361336647"/>
      <w:bookmarkEnd w:id="18"/>
    </w:p>
    <w:p>
      <w:pPr>
        <w:pStyle w:val="ListParagraph"/>
        <w:numPr>
          <w:ilvl w:val="1"/>
          <w:numId w:val="4"/>
        </w:numPr>
        <w:shd w:val="clear" w:color="auto" w:fill="FFFFFF"/>
        <w:tabs>
          <w:tab w:val="clear" w:pos="709"/>
          <w:tab w:val="left" w:pos="1134" w:leader="none"/>
          <w:tab w:val="left" w:pos="1418" w:leader="none"/>
        </w:tabs>
        <w:ind w:firstLine="709" w:left="0"/>
        <w:jc w:val="both"/>
        <w:rPr>
          <w:bCs/>
        </w:rPr>
      </w:pPr>
      <w:r>
        <w:rPr>
          <w:bCs/>
        </w:rPr>
        <w:t>За исключением случая, указанного в пункте 2.3.15 Договора, любое превышение фактических объемов Работ над объемами Работ, предусмотренными Договором, к о</w:t>
      </w:r>
      <w:r>
        <w:rPr>
          <w:bCs/>
          <w:shd w:fill="auto" w:val="clear"/>
        </w:rPr>
        <w:t xml:space="preserve">плате Заказчиком не принимается и считается включенным в Цену Договора. </w:t>
      </w:r>
    </w:p>
    <w:p>
      <w:pPr>
        <w:pStyle w:val="ListParagraph"/>
        <w:numPr>
          <w:ilvl w:val="1"/>
          <w:numId w:val="4"/>
        </w:numPr>
        <w:shd w:val="clear" w:color="auto" w:fill="FFFFFF"/>
        <w:tabs>
          <w:tab w:val="clear" w:pos="709"/>
          <w:tab w:val="left" w:pos="1134" w:leader="none"/>
          <w:tab w:val="left" w:pos="1418" w:leader="none"/>
        </w:tabs>
        <w:ind w:firstLine="709" w:left="0"/>
        <w:jc w:val="both"/>
        <w:rPr>
          <w:highlight w:val="none"/>
          <w:shd w:fill="auto" w:val="clear"/>
        </w:rPr>
      </w:pPr>
      <w:r>
        <w:rPr>
          <w:shd w:fill="auto" w:val="clear"/>
        </w:rPr>
        <w:t xml:space="preserve">Командировочные расходы включаются в стоимость Работ в соответствии с расчетом, прилагаемым к Сводной смете </w:t>
      </w:r>
      <w:r>
        <w:rPr>
          <w:bCs/>
          <w:shd w:fill="auto" w:val="clear"/>
        </w:rPr>
        <w:t>с приложениями</w:t>
      </w:r>
      <w:r>
        <w:rPr>
          <w:shd w:fill="auto" w:val="clear"/>
        </w:rPr>
        <w:t xml:space="preserve"> (Приложение № 2 к Договору). Размеры расходов, связанных со служебными командировками, определяются коллективным договором и / или локальным нормативным актом Подрядчика, но не выше нормативов возмещения расходов, связанных со служебными командировками, установленных локальным нормативным актом Заказчика, который предоставляется Подрядчику по запросу. Оплата командировочных расходов производится Заказчиком в порядке, установленном Договором для оплаты стоимости Работ. Подрядчик обязан представлять по запросу Заказчика копии следующих документов, заверенных Подрядчиком, в том числе: приказ о командировке, проездные билеты, счета на оплату за проживание в гостинице и авансовые отчеты.</w:t>
      </w:r>
      <w:bookmarkStart w:id="19" w:name="_Ref361834251"/>
      <w:bookmarkEnd w:id="14"/>
    </w:p>
    <w:p>
      <w:pPr>
        <w:pStyle w:val="ListParagraph"/>
        <w:numPr>
          <w:ilvl w:val="1"/>
          <w:numId w:val="4"/>
        </w:numPr>
        <w:shd w:val="clear" w:color="auto" w:fill="FFFFFF"/>
        <w:tabs>
          <w:tab w:val="clear" w:pos="709"/>
          <w:tab w:val="left" w:pos="1134" w:leader="none"/>
          <w:tab w:val="left" w:pos="1418" w:leader="none"/>
        </w:tabs>
        <w:ind w:firstLine="709" w:left="0"/>
        <w:jc w:val="both"/>
        <w:rPr>
          <w:highlight w:val="none"/>
          <w:shd w:fill="auto" w:val="clear"/>
        </w:rPr>
      </w:pPr>
      <w:r>
        <w:rPr>
          <w:bCs/>
          <w:shd w:fill="auto" w:val="clear"/>
        </w:rPr>
        <w:t>Индексация Цены Договора не допускается.</w:t>
      </w:r>
    </w:p>
    <w:p>
      <w:pPr>
        <w:pStyle w:val="ListParagraph"/>
        <w:numPr>
          <w:ilvl w:val="1"/>
          <w:numId w:val="4"/>
        </w:numPr>
        <w:shd w:val="clear" w:color="auto" w:fill="FFFFFF"/>
        <w:tabs>
          <w:tab w:val="clear" w:pos="709"/>
          <w:tab w:val="left" w:pos="1134" w:leader="none"/>
        </w:tabs>
        <w:ind w:firstLine="709" w:left="0"/>
        <w:jc w:val="both"/>
        <w:rPr>
          <w:bCs/>
        </w:rPr>
      </w:pPr>
      <w:r>
        <w:rPr>
          <w:shd w:fill="auto" w:val="clear"/>
        </w:rPr>
        <w:t>Заказчик вправе произвести сальдо взаимных обязательств Сторон путем уменьшения сумм причитающихся</w:t>
      </w:r>
      <w:r>
        <w:rPr/>
        <w:t xml:space="preserve"> Подрядчику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Подрядчика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выполненных Подрядчиком работ.</w:t>
      </w:r>
    </w:p>
    <w:p>
      <w:pPr>
        <w:pStyle w:val="ListParagraph"/>
        <w:shd w:val="clear" w:color="auto" w:fill="FFFFFF"/>
        <w:tabs>
          <w:tab w:val="clear" w:pos="709"/>
          <w:tab w:val="left" w:pos="1134" w:leader="none"/>
        </w:tabs>
        <w:ind w:firstLine="709" w:left="0"/>
        <w:jc w:val="both"/>
        <w:rPr>
          <w:bCs/>
        </w:rPr>
      </w:pPr>
      <w:r>
        <w:rPr>
          <w:bCs/>
        </w:rPr>
        <w:t>Заказчик направляет Подрядчику уведомление о проведении сальдо взаимных обязательств Сторон по Договору.</w:t>
      </w:r>
      <w:bookmarkEnd w:id="19"/>
    </w:p>
    <w:p>
      <w:pPr>
        <w:pStyle w:val="ListParagraph"/>
        <w:shd w:val="clear" w:color="auto" w:fill="FFFFFF"/>
        <w:tabs>
          <w:tab w:val="clear" w:pos="709"/>
          <w:tab w:val="left" w:pos="1134" w:leader="none"/>
        </w:tabs>
        <w:ind w:firstLine="567" w:left="0"/>
        <w:jc w:val="both"/>
        <w:rPr>
          <w:bCs/>
        </w:rPr>
      </w:pPr>
      <w:r>
        <w:rPr>
          <w:bCs/>
        </w:rPr>
      </w:r>
    </w:p>
    <w:p>
      <w:pPr>
        <w:pStyle w:val="ListParagraph"/>
        <w:numPr>
          <w:ilvl w:val="0"/>
          <w:numId w:val="4"/>
        </w:numPr>
        <w:shd w:val="clear" w:color="auto" w:fill="FFFFFF"/>
        <w:tabs>
          <w:tab w:val="clear" w:pos="709"/>
          <w:tab w:val="left" w:pos="284" w:leader="none"/>
        </w:tabs>
        <w:ind w:hanging="0" w:left="0"/>
        <w:jc w:val="center"/>
        <w:rPr>
          <w:b/>
          <w:bCs/>
        </w:rPr>
      </w:pPr>
      <w:r>
        <w:rPr>
          <w:b/>
          <w:bCs/>
        </w:rPr>
        <w:t>Порядок сдачи-приемки Работ</w:t>
      </w:r>
    </w:p>
    <w:p>
      <w:pPr>
        <w:pStyle w:val="ListParagraph"/>
        <w:numPr>
          <w:ilvl w:val="1"/>
          <w:numId w:val="4"/>
        </w:numPr>
        <w:shd w:val="clear" w:color="auto" w:fill="FFFFFF"/>
        <w:tabs>
          <w:tab w:val="clear" w:pos="709"/>
          <w:tab w:val="left" w:pos="1134" w:leader="none"/>
        </w:tabs>
        <w:ind w:firstLine="709" w:left="0"/>
        <w:jc w:val="both"/>
        <w:rPr>
          <w:bCs/>
        </w:rPr>
      </w:pPr>
      <w:bookmarkStart w:id="20" w:name="_Ref373242517"/>
      <w:bookmarkStart w:id="21" w:name="_Ref361335138"/>
      <w:bookmarkStart w:id="22" w:name="_Ref361336754"/>
      <w:r>
        <w:rPr>
          <w:bCs/>
        </w:rPr>
        <w:t>По завершении выполнения Работ Подрядчик представляет Заказчику подписанный со своей стороны в 2 (двух) экземплярах Акт сдачи-приемки выполненных Работ по форме Приложения № 6 к Договору/УПД с приложением Результата работ</w:t>
      </w:r>
      <w:r>
        <w:rPr/>
        <w:t>.</w:t>
      </w:r>
      <w:bookmarkEnd w:id="20"/>
      <w:bookmarkEnd w:id="21"/>
      <w:bookmarkEnd w:id="22"/>
      <w:r>
        <w:rPr/>
        <w:t xml:space="preserve"> </w:t>
      </w:r>
    </w:p>
    <w:p>
      <w:pPr>
        <w:pStyle w:val="ListParagraph"/>
        <w:shd w:val="clear" w:color="auto" w:fill="FFFFFF"/>
        <w:tabs>
          <w:tab w:val="clear" w:pos="709"/>
          <w:tab w:val="left" w:pos="1134" w:leader="none"/>
        </w:tabs>
        <w:ind w:firstLine="709" w:left="0"/>
        <w:jc w:val="both"/>
        <w:rPr>
          <w:bCs/>
        </w:rPr>
      </w:pPr>
      <w:r>
        <w:rPr>
          <w:bCs/>
        </w:rPr>
        <w:t>Требования к отчетным документам (состав, количество, формат, носитель и т.д.), подлежащим передаче Подрядчиком Заказчику в составе Результата Работ, устанавлива</w:t>
      </w:r>
      <w:r>
        <w:rPr>
          <w:bCs/>
          <w:shd w:fill="auto" w:val="clear"/>
        </w:rPr>
        <w:t>ются Техническим заданием (Приложение № 1 к Договору).</w:t>
      </w:r>
    </w:p>
    <w:p>
      <w:pPr>
        <w:pStyle w:val="ListParagraph"/>
        <w:numPr>
          <w:ilvl w:val="1"/>
          <w:numId w:val="4"/>
        </w:numPr>
        <w:shd w:val="clear" w:color="auto" w:fill="FFFFFF"/>
        <w:tabs>
          <w:tab w:val="clear" w:pos="709"/>
          <w:tab w:val="left" w:pos="568" w:leader="none"/>
          <w:tab w:val="left" w:pos="1134" w:leader="none"/>
        </w:tabs>
        <w:ind w:firstLine="709" w:left="0"/>
        <w:jc w:val="both"/>
        <w:rPr>
          <w:bCs/>
        </w:rPr>
      </w:pPr>
      <w:r>
        <w:rPr>
          <w:bCs/>
          <w:shd w:fill="auto" w:val="clear"/>
        </w:rPr>
        <w:t>В течение 1</w:t>
      </w:r>
      <w:r>
        <w:rPr>
          <w:bCs/>
          <w:shd w:fill="auto" w:val="clear"/>
        </w:rPr>
        <w:t>0</w:t>
      </w:r>
      <w:r>
        <w:rPr>
          <w:bCs/>
          <w:shd w:fill="auto" w:val="clear"/>
        </w:rPr>
        <w:t xml:space="preserve"> (</w:t>
      </w:r>
      <w:r>
        <w:rPr>
          <w:bCs/>
          <w:shd w:fill="auto" w:val="clear"/>
        </w:rPr>
        <w:t>десяти</w:t>
      </w:r>
      <w:r>
        <w:rPr>
          <w:bCs/>
          <w:shd w:fill="auto" w:val="clear"/>
        </w:rPr>
        <w:t>) рабочих дней с даты получения полного комплекта документов, указанных в пункте 4.1</w:t>
      </w:r>
      <w:r>
        <w:rPr>
          <w:bCs/>
        </w:rPr>
        <w:t xml:space="preserve"> Договора, Заказчик подписывает и передает Подрядчику 1 (один) экземпляр Акта сдачи-приемки выполненных Работ/УПД либо направляет Подрядчику письменный мотивированный отказ от приемки Работ (далее – «Ведомость замечаний»), в котором отражает недостатки и / или несоответствия Результата Работ, а также срок на их устранение.</w:t>
      </w:r>
    </w:p>
    <w:p>
      <w:pPr>
        <w:pStyle w:val="ListParagraph"/>
        <w:numPr>
          <w:ilvl w:val="1"/>
          <w:numId w:val="4"/>
        </w:numPr>
        <w:shd w:val="clear" w:color="auto" w:fill="FFFFFF"/>
        <w:tabs>
          <w:tab w:val="clear" w:pos="709"/>
          <w:tab w:val="left" w:pos="568" w:leader="none"/>
          <w:tab w:val="left" w:pos="1134" w:leader="none"/>
        </w:tabs>
        <w:ind w:firstLine="709" w:left="0"/>
        <w:jc w:val="both"/>
        <w:rPr>
          <w:bCs/>
        </w:rPr>
      </w:pPr>
      <w:r>
        <w:rPr>
          <w:bCs/>
        </w:rPr>
        <w:t xml:space="preserve">Устранение указанных недостатков и / или несоответствий, выявленных Заказчиком, осуществляется Подрядчиком своими силами и за свой счет в срок, указанный в Ведомости замечаний. Указание Заказчиком срока новой приемки не влечет переноса установленного Договором срока выполнения Работ и не исключает ответственности Подрядчика за его нарушение. </w:t>
      </w:r>
    </w:p>
    <w:p>
      <w:pPr>
        <w:pStyle w:val="ListParagraph"/>
        <w:numPr>
          <w:ilvl w:val="1"/>
          <w:numId w:val="4"/>
        </w:numPr>
        <w:shd w:val="clear" w:color="auto" w:fill="FFFFFF"/>
        <w:tabs>
          <w:tab w:val="clear" w:pos="709"/>
          <w:tab w:val="left" w:pos="1134" w:leader="none"/>
        </w:tabs>
        <w:ind w:firstLine="709" w:left="0"/>
        <w:jc w:val="both"/>
        <w:rPr>
          <w:bCs/>
        </w:rPr>
      </w:pPr>
      <w:r>
        <w:rPr>
          <w:bCs/>
        </w:rPr>
        <w:t>Повторная приемка Заказчиком выполненных Работ после устранения недостатков, указанных в Ведомости замечаний, осуществляется в порядке, предусмотренном пунктами 4.1-4.2 Договора.</w:t>
      </w:r>
    </w:p>
    <w:p>
      <w:pPr>
        <w:pStyle w:val="ListParagraph"/>
        <w:numPr>
          <w:ilvl w:val="1"/>
          <w:numId w:val="4"/>
        </w:numPr>
        <w:shd w:val="clear" w:color="auto" w:fill="FFFFFF"/>
        <w:tabs>
          <w:tab w:val="clear" w:pos="709"/>
          <w:tab w:val="left" w:pos="1134" w:leader="none"/>
        </w:tabs>
        <w:ind w:firstLine="709" w:left="0"/>
        <w:jc w:val="both"/>
        <w:rPr>
          <w:bCs/>
        </w:rPr>
      </w:pPr>
      <w:r>
        <w:rPr>
          <w:bCs/>
        </w:rPr>
        <w:t xml:space="preserve">Если Подрядчик не устранит недостатки, несоответствия Работ в срок, установленный Заказчиком в соответствии с пунктом 4.3 Договора, Заказчик вправе собственными силами и (или) силами третьих лиц выполнить работы по устранению недостатков, выявленных в ходе приемки результатов Работ, с отнесением на Подрядчика соответствующих расходов. Подрядчик обязан возместить указанные расходы в течение 10 (десяти) рабочих дней с даты получения соответствующего письменного требования Заказчика. </w:t>
      </w:r>
    </w:p>
    <w:p>
      <w:pPr>
        <w:pStyle w:val="ListParagraph"/>
        <w:numPr>
          <w:ilvl w:val="1"/>
          <w:numId w:val="4"/>
        </w:numPr>
        <w:shd w:val="clear" w:color="auto" w:fill="FFFFFF"/>
        <w:tabs>
          <w:tab w:val="clear" w:pos="709"/>
          <w:tab w:val="left" w:pos="1134" w:leader="none"/>
        </w:tabs>
        <w:ind w:firstLine="709" w:left="0"/>
        <w:jc w:val="both"/>
        <w:rPr>
          <w:bCs/>
        </w:rPr>
      </w:pPr>
      <w:r>
        <w:rPr>
          <w:bCs/>
        </w:rPr>
        <w:t>Досрочное исполнение Подрядчиком обязательств по Договору возможно только при условии предварительного письменного согласия Заказчика.</w:t>
      </w:r>
    </w:p>
    <w:p>
      <w:pPr>
        <w:pStyle w:val="ListParagraph"/>
        <w:numPr>
          <w:ilvl w:val="1"/>
          <w:numId w:val="4"/>
        </w:numPr>
        <w:shd w:val="clear" w:color="auto" w:fill="FFFFFF"/>
        <w:tabs>
          <w:tab w:val="clear" w:pos="709"/>
          <w:tab w:val="left" w:pos="1134" w:leader="none"/>
        </w:tabs>
        <w:ind w:firstLine="709" w:left="0"/>
        <w:jc w:val="both"/>
        <w:rPr>
          <w:bCs/>
        </w:rPr>
      </w:pPr>
      <w:bookmarkStart w:id="23" w:name="_Ref361337635"/>
      <w:r>
        <w:rPr>
          <w:bCs/>
        </w:rPr>
        <w:t>Подрядчик обязан представить Заказчику счета-фактуры/УПД, выставленные в сроки и оформленные в порядке, установленном законодательством Российской Федерации. В случае нарушения Подрядчиком указанной обязанности он обязан произвести замену счета-фактуры/УПД в течение 3 (трех) рабочих дней с даты получения соответствующего письменного требования Заказчика. В случае непредставления Подрядчиком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Подрядчик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w:t>
      </w:r>
      <w:bookmarkEnd w:id="23"/>
    </w:p>
    <w:p>
      <w:pPr>
        <w:pStyle w:val="ListParagraph"/>
        <w:shd w:val="clear" w:color="auto" w:fill="FFFFFF"/>
        <w:tabs>
          <w:tab w:val="clear" w:pos="709"/>
          <w:tab w:val="left" w:pos="1134" w:leader="none"/>
        </w:tabs>
        <w:ind w:hanging="0" w:left="567"/>
        <w:jc w:val="both"/>
        <w:rPr>
          <w:bCs/>
        </w:rPr>
      </w:pPr>
      <w:r>
        <w:rPr>
          <w:bCs/>
        </w:rPr>
      </w:r>
    </w:p>
    <w:p>
      <w:pPr>
        <w:pStyle w:val="ListParagraph"/>
        <w:numPr>
          <w:ilvl w:val="0"/>
          <w:numId w:val="4"/>
        </w:numPr>
        <w:shd w:val="clear" w:color="auto" w:fill="FFFFFF"/>
        <w:tabs>
          <w:tab w:val="clear" w:pos="709"/>
          <w:tab w:val="left" w:pos="284" w:leader="none"/>
        </w:tabs>
        <w:ind w:hanging="0" w:left="0"/>
        <w:jc w:val="center"/>
        <w:rPr>
          <w:b/>
          <w:bCs/>
        </w:rPr>
      </w:pPr>
      <w:r>
        <w:rPr>
          <w:b/>
          <w:bCs/>
        </w:rPr>
        <w:t>Право собственности и переход рисков</w:t>
      </w:r>
    </w:p>
    <w:p>
      <w:pPr>
        <w:pStyle w:val="ListParagraph"/>
        <w:numPr>
          <w:ilvl w:val="1"/>
          <w:numId w:val="4"/>
        </w:numPr>
        <w:shd w:val="clear" w:color="auto" w:fill="FFFFFF"/>
        <w:tabs>
          <w:tab w:val="clear" w:pos="709"/>
          <w:tab w:val="left" w:pos="1134" w:leader="none"/>
        </w:tabs>
        <w:ind w:firstLine="709" w:left="0"/>
        <w:jc w:val="both"/>
        <w:rPr>
          <w:bCs/>
        </w:rPr>
      </w:pPr>
      <w:bookmarkStart w:id="24" w:name="_Ref361405028"/>
      <w:r>
        <w:rPr>
          <w:bCs/>
        </w:rPr>
        <w:t>Право собственности, риск случайной гибели или повреждения Результата Работ переходит к Заказчику с момента подписания Сторонами Акта сдачи-приемки выполненных Работ по форме Приложения № 6 к Договору/УПД.</w:t>
      </w:r>
      <w:bookmarkEnd w:id="24"/>
    </w:p>
    <w:p>
      <w:pPr>
        <w:pStyle w:val="ListParagraph"/>
        <w:shd w:val="clear" w:color="auto" w:fill="FFFFFF"/>
        <w:tabs>
          <w:tab w:val="clear" w:pos="709"/>
          <w:tab w:val="left" w:pos="0" w:leader="none"/>
          <w:tab w:val="left" w:pos="1134" w:leader="none"/>
        </w:tabs>
        <w:ind w:firstLine="709" w:left="0"/>
        <w:jc w:val="both"/>
        <w:rPr>
          <w:bCs/>
        </w:rPr>
      </w:pPr>
      <w:r>
        <w:rPr>
          <w:bCs/>
        </w:rPr>
      </w:r>
    </w:p>
    <w:p>
      <w:pPr>
        <w:pStyle w:val="ListParagraph"/>
        <w:numPr>
          <w:ilvl w:val="0"/>
          <w:numId w:val="4"/>
        </w:numPr>
        <w:shd w:val="clear" w:color="auto" w:fill="FFFFFF"/>
        <w:tabs>
          <w:tab w:val="clear" w:pos="709"/>
          <w:tab w:val="left" w:pos="284" w:leader="none"/>
        </w:tabs>
        <w:ind w:hanging="0" w:left="0"/>
        <w:jc w:val="center"/>
        <w:rPr>
          <w:b/>
          <w:bCs/>
        </w:rPr>
      </w:pPr>
      <w:r>
        <w:rPr>
          <w:b/>
          <w:bCs/>
        </w:rPr>
        <w:t>Банковские гарантии</w:t>
      </w:r>
    </w:p>
    <w:p>
      <w:pPr>
        <w:pStyle w:val="ListParagraph"/>
        <w:numPr>
          <w:ilvl w:val="1"/>
          <w:numId w:val="4"/>
        </w:numPr>
        <w:shd w:val="clear" w:color="auto" w:fill="FFFFFF"/>
        <w:tabs>
          <w:tab w:val="clear" w:pos="709"/>
          <w:tab w:val="left" w:pos="1134" w:leader="none"/>
        </w:tabs>
        <w:ind w:firstLine="709" w:left="0"/>
        <w:jc w:val="both"/>
        <w:rPr>
          <w:bCs/>
        </w:rPr>
      </w:pPr>
      <w:r>
        <w:rPr>
          <w:bCs/>
        </w:rPr>
        <w:t>Банковская гарантия, предоставляемая Подрядчиком Заказчику по Договору, должна соответствовать следующим требованиям:</w:t>
      </w:r>
    </w:p>
    <w:p>
      <w:pPr>
        <w:pStyle w:val="ListParagraph"/>
        <w:numPr>
          <w:ilvl w:val="2"/>
          <w:numId w:val="4"/>
        </w:numPr>
        <w:shd w:val="clear" w:color="auto" w:fill="FFFFFF"/>
        <w:tabs>
          <w:tab w:val="clear" w:pos="709"/>
          <w:tab w:val="left" w:pos="1418" w:leader="none"/>
        </w:tabs>
        <w:ind w:firstLine="709" w:left="0"/>
        <w:jc w:val="both"/>
        <w:rPr>
          <w:bCs/>
        </w:rPr>
      </w:pPr>
      <w:r>
        <w:rPr>
          <w:bCs/>
        </w:rPr>
        <w:t>Банковская гарантия должна быть безотзывной и безусловной (гарантия по первому требованию);</w:t>
      </w:r>
    </w:p>
    <w:p>
      <w:pPr>
        <w:pStyle w:val="ListParagraph"/>
        <w:numPr>
          <w:ilvl w:val="2"/>
          <w:numId w:val="4"/>
        </w:numPr>
        <w:shd w:val="clear" w:color="auto" w:fill="FFFFFF"/>
        <w:tabs>
          <w:tab w:val="clear" w:pos="709"/>
          <w:tab w:val="left" w:pos="1418" w:leader="none"/>
        </w:tabs>
        <w:ind w:firstLine="709" w:left="0"/>
        <w:jc w:val="both"/>
        <w:rPr>
          <w:bCs/>
        </w:rPr>
      </w:pPr>
      <w:r>
        <w:rPr>
          <w:bCs/>
        </w:rPr>
        <w:t>Бенефициар по Банковской гарантии – Заказчик, принципал – Подрядчик;</w:t>
      </w:r>
    </w:p>
    <w:p>
      <w:pPr>
        <w:pStyle w:val="ListParagraph"/>
        <w:numPr>
          <w:ilvl w:val="2"/>
          <w:numId w:val="4"/>
        </w:numPr>
        <w:shd w:val="clear" w:color="auto" w:fill="FFFFFF"/>
        <w:tabs>
          <w:tab w:val="clear" w:pos="709"/>
          <w:tab w:val="left" w:pos="1418" w:leader="none"/>
        </w:tabs>
        <w:ind w:firstLine="709" w:left="0"/>
        <w:jc w:val="both"/>
        <w:rPr>
          <w:bCs/>
        </w:rPr>
      </w:pPr>
      <w:r>
        <w:rPr>
          <w:bCs/>
        </w:rPr>
        <w:t>Сумма Банковской гарантии должна быть выражена в валюте расчетов по Договору;</w:t>
      </w:r>
    </w:p>
    <w:p>
      <w:pPr>
        <w:pStyle w:val="ListParagraph"/>
        <w:numPr>
          <w:ilvl w:val="2"/>
          <w:numId w:val="4"/>
        </w:numPr>
        <w:shd w:val="clear" w:color="auto" w:fill="FFFFFF"/>
        <w:tabs>
          <w:tab w:val="clear" w:pos="709"/>
          <w:tab w:val="left" w:pos="1418" w:leader="none"/>
        </w:tabs>
        <w:ind w:firstLine="709" w:left="0"/>
        <w:jc w:val="both"/>
        <w:rPr>
          <w:bCs/>
        </w:rPr>
      </w:pPr>
      <w:r>
        <w:rPr>
          <w:bCs/>
        </w:rPr>
        <w:t xml:space="preserve">Сумма Банковской гарантии возврата авансового платежа – не менее 100 (ста) процентов от размера уплачиваемой по Договору предварительной оплаты (аванса); </w:t>
      </w:r>
    </w:p>
    <w:p>
      <w:pPr>
        <w:pStyle w:val="ListParagraph"/>
        <w:numPr>
          <w:ilvl w:val="2"/>
          <w:numId w:val="4"/>
        </w:numPr>
        <w:shd w:val="clear" w:color="auto" w:fill="FFFFFF"/>
        <w:tabs>
          <w:tab w:val="clear" w:pos="709"/>
          <w:tab w:val="left" w:pos="1418" w:leader="none"/>
        </w:tabs>
        <w:ind w:firstLine="709" w:left="0"/>
        <w:jc w:val="both"/>
        <w:rPr>
          <w:bCs/>
        </w:rPr>
      </w:pPr>
      <w:r>
        <w:rPr>
          <w:bCs/>
        </w:rPr>
        <w:t>Банковская гарантия должна предусматривать, что для истребования суммы обеспечения Заказчик направляет Банку-Гаранту только письменное требование о предъявлении суммы обеспечения к оплате</w:t>
      </w:r>
      <w:r>
        <w:rPr/>
        <w:t xml:space="preserve"> </w:t>
      </w:r>
      <w:r>
        <w:rPr>
          <w:bCs/>
        </w:rPr>
        <w:t>как полностью, так и частично, с указанием на существо допущенных Подрядчиком нарушений, в том числе в случаях:</w:t>
      </w:r>
    </w:p>
    <w:p>
      <w:pPr>
        <w:pStyle w:val="Normal"/>
        <w:numPr>
          <w:ilvl w:val="0"/>
          <w:numId w:val="6"/>
        </w:numPr>
        <w:tabs>
          <w:tab w:val="clear" w:pos="709"/>
          <w:tab w:val="left" w:pos="1418" w:leader="none"/>
        </w:tabs>
        <w:spacing w:lineRule="auto" w:line="240"/>
        <w:ind w:firstLine="709" w:left="0"/>
        <w:rPr>
          <w:bCs/>
          <w:sz w:val="24"/>
          <w:szCs w:val="24"/>
        </w:rPr>
      </w:pPr>
      <w:r>
        <w:rPr>
          <w:bCs/>
          <w:sz w:val="24"/>
          <w:szCs w:val="24"/>
        </w:rPr>
        <w:t>отказа Подрядчика от исполнения обязательств по Договору, в том числе одностороннего отказа от Договора;</w:t>
      </w:r>
    </w:p>
    <w:p>
      <w:pPr>
        <w:pStyle w:val="Normal"/>
        <w:numPr>
          <w:ilvl w:val="0"/>
          <w:numId w:val="6"/>
        </w:numPr>
        <w:tabs>
          <w:tab w:val="clear" w:pos="709"/>
          <w:tab w:val="left" w:pos="1418" w:leader="none"/>
        </w:tabs>
        <w:spacing w:lineRule="auto" w:line="240"/>
        <w:ind w:firstLine="709" w:left="0"/>
        <w:rPr>
          <w:bCs/>
          <w:sz w:val="24"/>
          <w:szCs w:val="24"/>
        </w:rPr>
      </w:pPr>
      <w:r>
        <w:rPr>
          <w:bCs/>
          <w:sz w:val="24"/>
          <w:szCs w:val="24"/>
        </w:rPr>
        <w:t>отказа Подрядчика от возврата неотработанного аванса при досрочном прекращении Договора / признании Договора недействительным;</w:t>
      </w:r>
    </w:p>
    <w:p>
      <w:pPr>
        <w:pStyle w:val="Normal"/>
        <w:numPr>
          <w:ilvl w:val="0"/>
          <w:numId w:val="6"/>
        </w:numPr>
        <w:tabs>
          <w:tab w:val="clear" w:pos="709"/>
          <w:tab w:val="left" w:pos="1418" w:leader="none"/>
        </w:tabs>
        <w:spacing w:lineRule="auto" w:line="240"/>
        <w:ind w:firstLine="709" w:left="0"/>
        <w:rPr>
          <w:bCs/>
          <w:sz w:val="24"/>
          <w:szCs w:val="24"/>
        </w:rPr>
      </w:pPr>
      <w:r>
        <w:rPr>
          <w:bCs/>
          <w:sz w:val="24"/>
          <w:szCs w:val="24"/>
        </w:rPr>
        <w:t>нарушения Подрядчиком сроков</w:t>
      </w:r>
      <w:r>
        <w:rPr/>
        <w:t xml:space="preserve"> </w:t>
      </w:r>
      <w:r>
        <w:rPr>
          <w:bCs/>
          <w:sz w:val="24"/>
          <w:szCs w:val="24"/>
        </w:rPr>
        <w:t>выполнения Работ более, чем на 60 (шестьдесят) календарных дней;</w:t>
      </w:r>
    </w:p>
    <w:p>
      <w:pPr>
        <w:pStyle w:val="Normal"/>
        <w:numPr>
          <w:ilvl w:val="0"/>
          <w:numId w:val="6"/>
        </w:numPr>
        <w:tabs>
          <w:tab w:val="clear" w:pos="709"/>
          <w:tab w:val="left" w:pos="1418" w:leader="none"/>
        </w:tabs>
        <w:spacing w:lineRule="auto" w:line="240"/>
        <w:ind w:firstLine="709" w:left="0"/>
        <w:rPr>
          <w:bCs/>
          <w:sz w:val="24"/>
          <w:szCs w:val="24"/>
        </w:rPr>
      </w:pPr>
      <w:r>
        <w:rPr>
          <w:bCs/>
          <w:sz w:val="24"/>
          <w:szCs w:val="24"/>
        </w:rPr>
        <w:t>утраты Подрядчиком специальных разрешений (в том числе отзыв, прекращение (приостановление) действия допусков, разрешений и / или лицензий, предоставляющих Подрядчику возможность надлежащего исполнения обязательств по Договору;</w:t>
      </w:r>
    </w:p>
    <w:p>
      <w:pPr>
        <w:pStyle w:val="Normal"/>
        <w:numPr>
          <w:ilvl w:val="0"/>
          <w:numId w:val="6"/>
        </w:numPr>
        <w:tabs>
          <w:tab w:val="clear" w:pos="709"/>
          <w:tab w:val="left" w:pos="1418" w:leader="none"/>
        </w:tabs>
        <w:spacing w:lineRule="auto" w:line="240"/>
        <w:ind w:firstLine="709" w:left="0"/>
        <w:rPr>
          <w:bCs/>
          <w:sz w:val="24"/>
          <w:szCs w:val="24"/>
        </w:rPr>
      </w:pPr>
      <w:r>
        <w:rPr>
          <w:bCs/>
          <w:sz w:val="24"/>
          <w:szCs w:val="24"/>
        </w:rPr>
        <w:t>введения арбитражным судом процедуры несостоятельности (банкротства)</w:t>
      </w:r>
      <w:r>
        <w:rPr/>
        <w:t xml:space="preserve"> </w:t>
      </w:r>
      <w:r>
        <w:rPr>
          <w:bCs/>
          <w:sz w:val="24"/>
          <w:szCs w:val="24"/>
        </w:rPr>
        <w:t>в отношении Подрядчика;</w:t>
      </w:r>
    </w:p>
    <w:p>
      <w:pPr>
        <w:pStyle w:val="Normal"/>
        <w:numPr>
          <w:ilvl w:val="0"/>
          <w:numId w:val="6"/>
        </w:numPr>
        <w:tabs>
          <w:tab w:val="clear" w:pos="709"/>
          <w:tab w:val="left" w:pos="1418" w:leader="none"/>
        </w:tabs>
        <w:spacing w:lineRule="auto" w:line="240"/>
        <w:ind w:firstLine="709" w:left="0"/>
        <w:rPr>
          <w:bCs/>
          <w:sz w:val="24"/>
          <w:szCs w:val="24"/>
        </w:rPr>
      </w:pPr>
      <w:r>
        <w:rPr>
          <w:bCs/>
          <w:sz w:val="24"/>
          <w:szCs w:val="24"/>
        </w:rPr>
        <w:t>не предоставления Подрядчиком в срок не позднее чем за 30 (тридцать) календарных дней до даты истечения срока действия Банковской гарантии новой Банковской гарантии или изменения к действующей гарантии в части увеличения срока ее действия на новый период, в случаях если срок исполнения обязательств Подрядчиком по Договору превышает срок действия Банковской гарантии либо срок исполнения обязательств продлен;</w:t>
      </w:r>
    </w:p>
    <w:p>
      <w:pPr>
        <w:pStyle w:val="Normal"/>
        <w:numPr>
          <w:ilvl w:val="0"/>
          <w:numId w:val="6"/>
        </w:numPr>
        <w:tabs>
          <w:tab w:val="clear" w:pos="709"/>
          <w:tab w:val="left" w:pos="1418" w:leader="none"/>
        </w:tabs>
        <w:spacing w:lineRule="auto" w:line="240"/>
        <w:ind w:firstLine="709" w:left="0"/>
        <w:rPr>
          <w:bCs/>
          <w:sz w:val="24"/>
          <w:szCs w:val="24"/>
        </w:rPr>
      </w:pPr>
      <w:r>
        <w:rPr>
          <w:color w:val="000000"/>
          <w:sz w:val="24"/>
          <w:szCs w:val="24"/>
        </w:rPr>
        <w:t>признания Договора недействительным по причинам отсутствия необходимых</w:t>
      </w:r>
      <w:r>
        <w:rPr>
          <w:sz w:val="24"/>
          <w:szCs w:val="24"/>
        </w:rPr>
        <w:t xml:space="preserve"> корпоративных одобрений у Подрядчика;</w:t>
      </w:r>
    </w:p>
    <w:p>
      <w:pPr>
        <w:pStyle w:val="Normal"/>
        <w:numPr>
          <w:ilvl w:val="0"/>
          <w:numId w:val="6"/>
        </w:numPr>
        <w:tabs>
          <w:tab w:val="clear" w:pos="709"/>
          <w:tab w:val="left" w:pos="1418" w:leader="none"/>
        </w:tabs>
        <w:spacing w:lineRule="auto" w:line="240"/>
        <w:ind w:firstLine="709" w:left="0"/>
        <w:rPr>
          <w:bCs/>
          <w:sz w:val="24"/>
          <w:szCs w:val="24"/>
        </w:rPr>
      </w:pPr>
      <w:r>
        <w:rPr>
          <w:bCs/>
          <w:sz w:val="24"/>
          <w:szCs w:val="24"/>
        </w:rPr>
        <w:t>установления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Подрядчика об обстоятельствах, указанных в разделе 14 Договора, и имеющих существенное значение для его заключения и исполнения.</w:t>
      </w:r>
    </w:p>
    <w:p>
      <w:pPr>
        <w:pStyle w:val="ListParagraph"/>
        <w:ind w:firstLine="709" w:left="0"/>
        <w:jc w:val="both"/>
        <w:rPr>
          <w:bCs/>
        </w:rPr>
      </w:pPr>
      <w:r>
        <w:rPr>
          <w:bCs/>
        </w:rPr>
        <w:t>Вместе с требованием о предъявлении суммы обеспечения к оплате Заказчик направляет Банку-Гаранту копию Банковской гарантии.</w:t>
      </w:r>
    </w:p>
    <w:p>
      <w:pPr>
        <w:pStyle w:val="ListParagraph"/>
        <w:ind w:firstLine="709" w:left="0"/>
        <w:jc w:val="both"/>
        <w:rPr>
          <w:bCs/>
        </w:rPr>
      </w:pPr>
      <w:r>
        <w:rPr>
          <w:bCs/>
        </w:rPr>
        <w:t>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к оплате платежного поручения Заказчика, подтверждающего факт осуществления Заказчиком авансового платежа, с отметкой банка об исполнении.</w:t>
      </w:r>
    </w:p>
    <w:p>
      <w:pPr>
        <w:pStyle w:val="ListParagraph"/>
        <w:widowControl/>
        <w:numPr>
          <w:ilvl w:val="0"/>
          <w:numId w:val="0"/>
        </w:numPr>
        <w:shd w:val="clear" w:color="auto" w:fill="FFFFFF"/>
        <w:tabs>
          <w:tab w:val="clear" w:pos="709"/>
          <w:tab w:val="left" w:pos="1418" w:leader="none"/>
        </w:tabs>
        <w:suppressAutoHyphens w:val="true"/>
        <w:bidi w:val="0"/>
        <w:spacing w:lineRule="auto" w:line="240" w:before="0" w:after="0"/>
        <w:ind w:firstLine="709" w:left="0"/>
        <w:contextualSpacing/>
        <w:jc w:val="both"/>
        <w:rPr>
          <w:bCs/>
        </w:rPr>
      </w:pPr>
      <w:r>
        <w:rPr>
          <w:rFonts w:eastAsia="Times New Roman" w:cs="Times New Roman"/>
          <w:bCs/>
          <w:color w:val="000000"/>
          <w:kern w:val="0"/>
          <w:sz w:val="24"/>
          <w:szCs w:val="24"/>
          <w:shd w:fill="auto" w:val="clear"/>
          <w:lang w:val="ru-RU" w:eastAsia="ru-RU" w:bidi="ar-SA"/>
        </w:rPr>
        <w:t xml:space="preserve">Банковской гарантией возврата предварительной оплаты (аванса) / надлежащего исполнения обязательств / гарантийных обязательств по Договору должно быть предусмотрено условие о праве Бенефициара направлять требование об уплате денежной суммы по Банковской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 </w:t>
      </w:r>
    </w:p>
    <w:p>
      <w:pPr>
        <w:pStyle w:val="Normal"/>
        <w:spacing w:lineRule="auto" w:line="240" w:before="0" w:after="0"/>
        <w:ind w:firstLine="709"/>
        <w:jc w:val="both"/>
        <w:rPr>
          <w:rFonts w:ascii="Times New Roman" w:hAnsi="Times New Roman" w:eastAsia="Times New Roman" w:cs="Times New Roman"/>
          <w:bCs/>
          <w:color w:val="auto"/>
          <w:kern w:val="0"/>
          <w:sz w:val="24"/>
          <w:szCs w:val="24"/>
          <w:highlight w:val="none"/>
          <w:shd w:fill="FFFF00" w:val="clear"/>
          <w:lang w:val="ru-RU" w:eastAsia="ru-RU" w:bidi="ar-SA"/>
        </w:rPr>
      </w:pPr>
      <w:r>
        <w:rPr>
          <w:rFonts w:eastAsia="Times New Roman" w:cs="Times New Roman"/>
          <w:bCs/>
          <w:color w:val="000000"/>
          <w:kern w:val="0"/>
          <w:sz w:val="24"/>
          <w:szCs w:val="24"/>
          <w:shd w:fill="auto" w:val="clear"/>
          <w:lang w:val="ru-RU" w:eastAsia="ru-RU" w:bidi="ar-SA"/>
        </w:rPr>
        <w:t xml:space="preserve">Выбор формы направления такого требования осуществляется Бенефициаром самостоятельно. </w:t>
      </w:r>
      <w:r>
        <w:rPr>
          <w:rFonts w:eastAsia="Times New Roman" w:cs="Times New Roman"/>
          <w:bCs/>
          <w:color w:val="auto"/>
          <w:sz w:val="24"/>
          <w:szCs w:val="24"/>
          <w:lang w:val="ru-RU" w:eastAsia="ru-RU" w:bidi="ar-SA"/>
        </w:rPr>
        <w:t>Платеж по Банковской гарантии – осуществляется Банком-Гарантом в течение 10 (десяти) рабочих дней после обращения Заказчика</w:t>
      </w:r>
      <w:r>
        <w:rPr>
          <w:bCs/>
          <w:sz w:val="24"/>
          <w:szCs w:val="24"/>
        </w:rPr>
        <w:t>.</w:t>
      </w:r>
    </w:p>
    <w:p>
      <w:pPr>
        <w:pStyle w:val="ListParagraph"/>
        <w:numPr>
          <w:ilvl w:val="2"/>
          <w:numId w:val="4"/>
        </w:numPr>
        <w:shd w:val="clear" w:color="auto" w:fill="FFFFFF"/>
        <w:tabs>
          <w:tab w:val="clear" w:pos="709"/>
          <w:tab w:val="left" w:pos="1418" w:leader="none"/>
        </w:tabs>
        <w:ind w:firstLine="709" w:left="0"/>
        <w:jc w:val="both"/>
        <w:rPr>
          <w:bCs/>
        </w:rPr>
      </w:pPr>
      <w:r>
        <w:rPr>
          <w:bCs/>
        </w:rPr>
        <w:t>Срок окончания Банковской гарантии – не ранее 70 (семидесяти) календарных дней после наступления даты завершения Работ, установленной Договором.</w:t>
      </w:r>
    </w:p>
    <w:p>
      <w:pPr>
        <w:pStyle w:val="ListParagraph"/>
        <w:numPr>
          <w:ilvl w:val="2"/>
          <w:numId w:val="4"/>
        </w:numPr>
        <w:shd w:val="clear" w:color="auto" w:fill="FFFFFF"/>
        <w:tabs>
          <w:tab w:val="clear" w:pos="709"/>
          <w:tab w:val="left" w:pos="1418" w:leader="none"/>
        </w:tabs>
        <w:ind w:firstLine="709" w:left="0"/>
        <w:jc w:val="both"/>
        <w:rPr>
          <w:bCs/>
        </w:rPr>
      </w:pPr>
      <w:r>
        <w:rPr>
          <w:bCs/>
        </w:rPr>
        <w:t>Внесение изменений и дополнений в Договор в период срока действия Банковской гарантии не освобождает Банк-Гарант от обязательств перед Заказчиком по Банковской гарантии.</w:t>
      </w:r>
    </w:p>
    <w:p>
      <w:pPr>
        <w:pStyle w:val="ListParagraph"/>
        <w:numPr>
          <w:ilvl w:val="2"/>
          <w:numId w:val="4"/>
        </w:numPr>
        <w:shd w:val="clear" w:color="auto" w:fill="FFFFFF"/>
        <w:tabs>
          <w:tab w:val="clear" w:pos="709"/>
          <w:tab w:val="left" w:pos="1418" w:leader="none"/>
        </w:tabs>
        <w:ind w:firstLine="709" w:left="0"/>
        <w:jc w:val="both"/>
        <w:rPr>
          <w:bCs/>
        </w:rPr>
      </w:pPr>
      <w:r>
        <w:rPr>
          <w:bCs/>
        </w:rPr>
        <w:t>Банковская гарантия должна быть подчинена материальному праву Российской Федерации и предусматривать Арбитражный суд города Москвы в качестве органа, компетентного разрешать споры из Банковской гарантии.</w:t>
      </w:r>
    </w:p>
    <w:p>
      <w:pPr>
        <w:pStyle w:val="ListParagraph"/>
        <w:numPr>
          <w:ilvl w:val="2"/>
          <w:numId w:val="4"/>
        </w:numPr>
        <w:shd w:val="clear" w:color="auto" w:fill="FFFFFF"/>
        <w:tabs>
          <w:tab w:val="clear" w:pos="709"/>
          <w:tab w:val="left" w:pos="1418" w:leader="none"/>
        </w:tabs>
        <w:ind w:firstLine="709" w:left="0"/>
        <w:jc w:val="both"/>
        <w:rPr>
          <w:bCs/>
        </w:rPr>
      </w:pPr>
      <w:r>
        <w:rPr>
          <w:bCs/>
        </w:rPr>
        <w:t>Банковская гарантия не должна содержать условий или требований, противоречащих требованиям, указанным в пунктах 6.1.1-6.1.8 Договора, или делающих такие требования неисполнимыми.</w:t>
      </w:r>
    </w:p>
    <w:p>
      <w:pPr>
        <w:pStyle w:val="ListParagraph"/>
        <w:numPr>
          <w:ilvl w:val="2"/>
          <w:numId w:val="4"/>
        </w:numPr>
        <w:shd w:val="clear" w:color="auto" w:fill="FFFFFF"/>
        <w:tabs>
          <w:tab w:val="clear" w:pos="709"/>
          <w:tab w:val="left" w:pos="1418" w:leader="none"/>
        </w:tabs>
        <w:ind w:firstLine="709" w:left="0"/>
        <w:jc w:val="both"/>
        <w:rPr>
          <w:bCs/>
        </w:rPr>
      </w:pPr>
      <w:r>
        <w:rPr/>
        <w:t xml:space="preserve">Банковские гарантии, предусмотренные настоящим разделом Договора, предоставляются (по выбору Заказчика): </w:t>
      </w:r>
    </w:p>
    <w:p>
      <w:pPr>
        <w:pStyle w:val="ListParagraph"/>
        <w:shd w:val="clear" w:color="auto" w:fill="FFFFFF"/>
        <w:tabs>
          <w:tab w:val="clear" w:pos="709"/>
          <w:tab w:val="left" w:pos="1418" w:leader="none"/>
        </w:tabs>
        <w:ind w:firstLine="709" w:left="0"/>
        <w:jc w:val="both"/>
        <w:rPr>
          <w:bCs/>
        </w:rPr>
      </w:pPr>
      <w:r>
        <w:rPr/>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ее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 либо</w:t>
      </w:r>
    </w:p>
    <w:p>
      <w:pPr>
        <w:pStyle w:val="ListParagraph"/>
        <w:shd w:val="clear" w:color="auto" w:fill="FFFFFF"/>
        <w:tabs>
          <w:tab w:val="clear" w:pos="709"/>
          <w:tab w:val="left" w:pos="1418" w:leader="none"/>
        </w:tabs>
        <w:ind w:firstLine="709" w:left="0"/>
        <w:jc w:val="both"/>
        <w:rPr>
          <w:bCs/>
        </w:rPr>
      </w:pPr>
      <w:r>
        <w:rPr/>
        <w:t>- в оригинале на бумажном носителе.</w:t>
      </w:r>
    </w:p>
    <w:p>
      <w:pPr>
        <w:pStyle w:val="Normal"/>
        <w:numPr>
          <w:ilvl w:val="1"/>
          <w:numId w:val="4"/>
        </w:numPr>
        <w:tabs>
          <w:tab w:val="clear" w:pos="709"/>
          <w:tab w:val="left" w:pos="1134" w:leader="none"/>
        </w:tabs>
        <w:spacing w:lineRule="auto" w:line="240"/>
        <w:ind w:firstLine="709" w:left="0"/>
        <w:rPr>
          <w:bCs/>
          <w:sz w:val="24"/>
          <w:szCs w:val="24"/>
        </w:rPr>
      </w:pPr>
      <w:r>
        <w:rPr>
          <w:bCs/>
          <w:sz w:val="24"/>
          <w:szCs w:val="24"/>
        </w:rPr>
        <w:t xml:space="preserve">Банк, выдавший Банковскую гарантию, должен соответствовать критериям, указанным в Приложении № </w:t>
      </w:r>
      <w:r>
        <w:rPr>
          <w:bCs/>
          <w:sz w:val="24"/>
          <w:szCs w:val="24"/>
        </w:rPr>
        <w:t>7</w:t>
      </w:r>
      <w:r>
        <w:rPr>
          <w:bCs/>
          <w:sz w:val="24"/>
          <w:szCs w:val="24"/>
        </w:rPr>
        <w:t xml:space="preserve"> к Договору.</w:t>
      </w:r>
    </w:p>
    <w:p>
      <w:pPr>
        <w:pStyle w:val="ListParagraph"/>
        <w:numPr>
          <w:ilvl w:val="1"/>
          <w:numId w:val="4"/>
        </w:numPr>
        <w:shd w:val="clear" w:color="auto" w:fill="FFFFFF"/>
        <w:tabs>
          <w:tab w:val="clear" w:pos="709"/>
          <w:tab w:val="left" w:pos="1134" w:leader="none"/>
        </w:tabs>
        <w:ind w:firstLine="709" w:left="0"/>
        <w:jc w:val="both"/>
        <w:rPr>
          <w:bCs/>
        </w:rPr>
      </w:pPr>
      <w:r>
        <w:rPr>
          <w:bCs/>
        </w:rPr>
        <w:t>Банковская гарантия возвращается Банку-Гаранту или Подрядчику после прекращения ее действия в течение 10 (десяти) рабочих дней с даты получения Заказчиком соответствующего письменного уведомления.</w:t>
      </w:r>
    </w:p>
    <w:p>
      <w:pPr>
        <w:pStyle w:val="ListParagraph"/>
        <w:numPr>
          <w:ilvl w:val="1"/>
          <w:numId w:val="4"/>
        </w:numPr>
        <w:shd w:val="clear" w:color="auto" w:fill="FFFFFF"/>
        <w:tabs>
          <w:tab w:val="clear" w:pos="709"/>
          <w:tab w:val="left" w:pos="1134" w:leader="none"/>
        </w:tabs>
        <w:ind w:firstLine="709" w:left="0"/>
        <w:jc w:val="both"/>
        <w:rPr>
          <w:bCs/>
        </w:rPr>
      </w:pPr>
      <w:r>
        <w:rPr>
          <w:bCs/>
        </w:rPr>
        <w:t>В случае увеличения Цены Договора или продления срока выполнения Подрядчиком обязательств, возникших из Договора или в связи с ним, Банковская гарантия должна быть заменена на новую или в нее должны быть внесены изменения, оформленные отдельным документом.</w:t>
      </w:r>
    </w:p>
    <w:p>
      <w:pPr>
        <w:pStyle w:val="ListParagraph"/>
        <w:numPr>
          <w:ilvl w:val="1"/>
          <w:numId w:val="4"/>
        </w:numPr>
        <w:shd w:val="clear" w:color="auto" w:fill="FFFFFF"/>
        <w:tabs>
          <w:tab w:val="clear" w:pos="709"/>
          <w:tab w:val="left" w:pos="1134" w:leader="none"/>
        </w:tabs>
        <w:ind w:firstLine="709" w:left="0"/>
        <w:jc w:val="both"/>
        <w:rPr>
          <w:bCs/>
        </w:rPr>
      </w:pPr>
      <w:r>
        <w:rPr>
          <w:bCs/>
        </w:rPr>
        <w:t>В случаях</w:t>
      </w:r>
      <w:r>
        <w:rPr>
          <w:bCs/>
          <w:lang w:val="en-US"/>
        </w:rPr>
        <w:t>:</w:t>
      </w:r>
      <w:r>
        <w:rPr>
          <w:bCs/>
        </w:rPr>
        <w:t xml:space="preserve"> </w:t>
      </w:r>
    </w:p>
    <w:p>
      <w:pPr>
        <w:pStyle w:val="ListParagraph"/>
        <w:numPr>
          <w:ilvl w:val="1"/>
          <w:numId w:val="14"/>
        </w:numPr>
        <w:shd w:val="clear" w:color="auto" w:fill="FFFFFF"/>
        <w:tabs>
          <w:tab w:val="clear" w:pos="709"/>
          <w:tab w:val="left" w:pos="1134" w:leader="none"/>
        </w:tabs>
        <w:ind w:firstLine="709" w:left="0"/>
        <w:jc w:val="both"/>
        <w:rPr>
          <w:bCs/>
        </w:rPr>
      </w:pPr>
      <w:r>
        <w:rPr>
          <w:bCs/>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или</w:t>
      </w:r>
    </w:p>
    <w:p>
      <w:pPr>
        <w:pStyle w:val="ListParagraph"/>
        <w:numPr>
          <w:ilvl w:val="1"/>
          <w:numId w:val="14"/>
        </w:numPr>
        <w:shd w:val="clear" w:color="auto" w:fill="FFFFFF"/>
        <w:tabs>
          <w:tab w:val="clear" w:pos="709"/>
          <w:tab w:val="left" w:pos="1134" w:leader="none"/>
        </w:tabs>
        <w:ind w:firstLine="709" w:left="0"/>
        <w:jc w:val="both"/>
        <w:rPr>
          <w:bCs/>
        </w:rPr>
      </w:pPr>
      <w:r>
        <w:rPr>
          <w:bCs/>
        </w:rPr>
        <w:t xml:space="preserve">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гарантии не представляется возможным, </w:t>
      </w:r>
    </w:p>
    <w:p>
      <w:pPr>
        <w:pStyle w:val="ListParagraph"/>
        <w:shd w:val="clear" w:color="auto" w:fill="FFFFFF"/>
        <w:tabs>
          <w:tab w:val="clear" w:pos="709"/>
          <w:tab w:val="left" w:pos="1134" w:leader="none"/>
        </w:tabs>
        <w:ind w:firstLine="709" w:left="0"/>
        <w:jc w:val="both"/>
        <w:rPr>
          <w:bCs/>
        </w:rPr>
      </w:pPr>
      <w:r>
        <w:rPr>
          <w:bCs/>
        </w:rPr>
        <w:t>Подрядчик обязан предоставить Заказчику новую Банковскую гарантию</w:t>
      </w:r>
      <w:r>
        <w:rPr/>
        <w:t xml:space="preserve"> </w:t>
      </w:r>
      <w:r>
        <w:rPr>
          <w:bCs/>
        </w:rPr>
        <w:t>Банка-Гаранта, согласованного с Заказчиком, соответствующую требованиям, установленным Договором, не позднее 10 (десяти) календарных дней с момента, когда ему стало известно либо должно было стать известно об указанных обстоятельствах, либо с момента обращения Заказчика с требованием о замене Банковской гарантии.</w:t>
      </w:r>
    </w:p>
    <w:p>
      <w:pPr>
        <w:pStyle w:val="ListParagraph"/>
        <w:shd w:val="clear" w:color="auto" w:fill="FFFFFF"/>
        <w:ind w:firstLine="709" w:left="0"/>
        <w:jc w:val="both"/>
        <w:rPr>
          <w:bCs/>
        </w:rPr>
      </w:pPr>
      <w:r>
        <w:rPr>
          <w:bCs/>
        </w:rPr>
        <w:t>В случае непредставления Подрядчиком в установленный срок новой Банковской гарантии Заказчик вправе удерживать сумму неотработанного аванса</w:t>
      </w:r>
      <w:r>
        <w:rPr>
          <w:rStyle w:val="FootnoteReference"/>
          <w:bCs/>
        </w:rPr>
        <w:footnoteReference w:id="7"/>
      </w:r>
      <w:r>
        <w:rPr>
          <w:bCs/>
        </w:rPr>
        <w:t xml:space="preserve"> при выплате каждого платежа, причитающегося Подрядчику, до полного зачета неотработанного аванса</w:t>
      </w:r>
      <w:r>
        <w:rPr/>
        <w:t>.</w:t>
      </w:r>
    </w:p>
    <w:p>
      <w:pPr>
        <w:pStyle w:val="ListParagraph"/>
        <w:numPr>
          <w:ilvl w:val="1"/>
          <w:numId w:val="4"/>
        </w:numPr>
        <w:shd w:val="clear" w:color="auto" w:fill="FFFFFF"/>
        <w:tabs>
          <w:tab w:val="clear" w:pos="709"/>
          <w:tab w:val="left" w:pos="1134" w:leader="none"/>
        </w:tabs>
        <w:ind w:firstLine="709" w:left="0"/>
        <w:jc w:val="both"/>
        <w:rPr>
          <w:bCs/>
        </w:rPr>
      </w:pPr>
      <w:r>
        <w:rPr>
          <w:bCs/>
        </w:rPr>
        <w:t>Во всех случаях, предусмотренных Договором, Подрядчик вправе представить Заказчику вместо новой Банковской гарантии изменения к ранее выданной Банковской гарантии, приводящие ее в соответствие с требованиями Договора. Любое изменение, внесенное Банком-Гарантом в условия Банковской гарантии, должно быть письменно согласовано с Заказчиком.</w:t>
      </w:r>
    </w:p>
    <w:p>
      <w:pPr>
        <w:pStyle w:val="ListParagraph"/>
        <w:numPr>
          <w:ilvl w:val="1"/>
          <w:numId w:val="4"/>
        </w:numPr>
        <w:shd w:val="clear" w:color="auto" w:fill="FFFFFF"/>
        <w:tabs>
          <w:tab w:val="clear" w:pos="709"/>
          <w:tab w:val="left" w:pos="1134" w:leader="none"/>
        </w:tabs>
        <w:ind w:firstLine="709" w:left="0"/>
        <w:jc w:val="both"/>
        <w:rPr>
          <w:bCs/>
        </w:rPr>
      </w:pPr>
      <w:r>
        <w:rPr>
          <w:bCs/>
        </w:rPr>
        <w:t xml:space="preserve">Положения пункта 3.5.1 Договора </w:t>
      </w:r>
      <w:r>
        <w:rPr/>
        <w:t xml:space="preserve">применяются, если по факту выплаты авансового платежа совокупный размер авансовых платежей, уплаченных и подлежащих уплате по Договору в соответствии с выставленными счетами Подрядчика, составляет 5 000 000 (пять миллионов) рублей и более без учета НДС. </w:t>
      </w:r>
      <w:r>
        <w:rPr>
          <w:bCs/>
        </w:rPr>
        <w:t xml:space="preserve"> </w:t>
      </w:r>
    </w:p>
    <w:p>
      <w:pPr>
        <w:pStyle w:val="ListParagraph"/>
        <w:numPr>
          <w:ilvl w:val="1"/>
          <w:numId w:val="4"/>
        </w:numPr>
        <w:shd w:val="clear" w:color="auto" w:fill="FFFFFF"/>
        <w:tabs>
          <w:tab w:val="clear" w:pos="709"/>
          <w:tab w:val="left" w:pos="1134" w:leader="none"/>
        </w:tabs>
        <w:ind w:firstLine="709" w:left="0"/>
        <w:jc w:val="both"/>
        <w:rPr>
          <w:bCs/>
        </w:rPr>
      </w:pPr>
      <w:r>
        <w:rPr>
          <w:highlight w:val="lightGray"/>
        </w:rPr>
        <w:t>Стороны вправе изменить способы и порядок обеспечения обязательств по Договору, указанные в настоящем разделе, путем подписания дополнительного соглашения к Договору</w:t>
      </w:r>
      <w:r>
        <w:rPr>
          <w:rStyle w:val="FootnoteReference"/>
          <w:highlight w:val="lightGray"/>
        </w:rPr>
        <w:footnoteReference w:id="8"/>
      </w:r>
      <w:r>
        <w:rPr>
          <w:highlight w:val="lightGray"/>
        </w:rPr>
        <w:t>.</w:t>
      </w:r>
    </w:p>
    <w:p>
      <w:pPr>
        <w:pStyle w:val="ListParagraph"/>
        <w:numPr>
          <w:ilvl w:val="1"/>
          <w:numId w:val="4"/>
        </w:numPr>
        <w:shd w:val="clear" w:color="auto" w:fill="FFFFFF"/>
        <w:tabs>
          <w:tab w:val="clear" w:pos="709"/>
          <w:tab w:val="left" w:pos="1134" w:leader="none"/>
        </w:tabs>
        <w:ind w:firstLine="709" w:left="0"/>
        <w:jc w:val="both"/>
        <w:rPr>
          <w:bCs/>
        </w:rPr>
      </w:pPr>
      <w:r>
        <w:rPr/>
        <w:t>Принадлежащее Заказчику по Банковской гарантии право требования к Банку-Гаранту может быть передано новому бенефициару - компании, входящей в Группу РусГидро, с последующим письменным уведомлением Заказчиком Банка-Гаранта о смене бенефициара по Банковской гарантии.</w:t>
      </w:r>
    </w:p>
    <w:p>
      <w:pPr>
        <w:pStyle w:val="ListParagraph"/>
        <w:shd w:val="clear" w:color="auto" w:fill="FFFFFF"/>
        <w:tabs>
          <w:tab w:val="clear" w:pos="709"/>
          <w:tab w:val="left" w:pos="1134" w:leader="none"/>
        </w:tabs>
        <w:ind w:hanging="0" w:left="709"/>
        <w:jc w:val="both"/>
        <w:rPr>
          <w:bCs/>
        </w:rPr>
      </w:pPr>
      <w:r>
        <w:rPr>
          <w:bCs/>
        </w:rPr>
      </w:r>
    </w:p>
    <w:p>
      <w:pPr>
        <w:pStyle w:val="ListParagraph"/>
        <w:numPr>
          <w:ilvl w:val="0"/>
          <w:numId w:val="4"/>
        </w:numPr>
        <w:shd w:val="clear" w:color="auto" w:fill="FFFFFF"/>
        <w:tabs>
          <w:tab w:val="clear" w:pos="709"/>
          <w:tab w:val="left" w:pos="284" w:leader="none"/>
        </w:tabs>
        <w:ind w:hanging="0" w:left="0"/>
        <w:jc w:val="center"/>
        <w:rPr>
          <w:b/>
          <w:bCs/>
        </w:rPr>
      </w:pPr>
      <w:r>
        <w:rPr>
          <w:b/>
          <w:bCs/>
        </w:rPr>
        <w:t>Ответственность Сторон</w:t>
      </w:r>
    </w:p>
    <w:p>
      <w:pPr>
        <w:pStyle w:val="ListParagraph"/>
        <w:numPr>
          <w:ilvl w:val="1"/>
          <w:numId w:val="4"/>
        </w:numPr>
        <w:shd w:val="clear" w:color="auto" w:fill="FFFFFF"/>
        <w:tabs>
          <w:tab w:val="clear" w:pos="709"/>
          <w:tab w:val="left" w:pos="1134" w:leader="none"/>
        </w:tabs>
        <w:ind w:firstLine="709" w:left="0"/>
        <w:jc w:val="both"/>
        <w:rPr>
          <w:bCs/>
        </w:rPr>
      </w:pPr>
      <w:r>
        <w:rPr>
          <w:bCs/>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numPr>
          <w:ilvl w:val="1"/>
          <w:numId w:val="4"/>
        </w:numPr>
        <w:tabs>
          <w:tab w:val="clear" w:pos="709"/>
          <w:tab w:val="left" w:pos="1134" w:leader="none"/>
        </w:tabs>
        <w:spacing w:lineRule="auto" w:line="240"/>
        <w:ind w:firstLine="709" w:left="0"/>
        <w:rPr>
          <w:bCs/>
          <w:sz w:val="24"/>
          <w:szCs w:val="24"/>
        </w:rPr>
      </w:pPr>
      <w:r>
        <w:rPr>
          <w:bCs/>
          <w:sz w:val="24"/>
          <w:szCs w:val="24"/>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сроков оплаты авансовых платежей Подрядчик имеет право приостановить выполнение Работ по Договору при условии предварительного письменного уведомления Заказчика о таком приостановлении.</w:t>
      </w:r>
    </w:p>
    <w:p>
      <w:pPr>
        <w:pStyle w:val="Normal"/>
        <w:numPr>
          <w:ilvl w:val="1"/>
          <w:numId w:val="4"/>
        </w:numPr>
        <w:tabs>
          <w:tab w:val="clear" w:pos="709"/>
          <w:tab w:val="left" w:pos="1134" w:leader="none"/>
        </w:tabs>
        <w:spacing w:lineRule="auto" w:line="240"/>
        <w:ind w:firstLine="709" w:left="0"/>
        <w:rPr>
          <w:bCs/>
          <w:sz w:val="24"/>
          <w:szCs w:val="24"/>
        </w:rPr>
      </w:pPr>
      <w:r>
        <w:rPr>
          <w:sz w:val="24"/>
          <w:szCs w:val="24"/>
        </w:rPr>
        <w:t>В случае нарушения Заказчиком сроков оплаты, установленных разделом 3 Договора (за исключением срока оплаты авансовых платежей), Подрядчик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w:t>
      </w:r>
      <w:r>
        <w:rPr>
          <w:bCs/>
          <w:sz w:val="24"/>
          <w:szCs w:val="24"/>
        </w:rPr>
        <w:t>.</w:t>
      </w:r>
    </w:p>
    <w:p>
      <w:pPr>
        <w:pStyle w:val="Normal"/>
        <w:numPr>
          <w:ilvl w:val="1"/>
          <w:numId w:val="4"/>
        </w:numPr>
        <w:tabs>
          <w:tab w:val="clear" w:pos="709"/>
          <w:tab w:val="left" w:pos="1134" w:leader="none"/>
        </w:tabs>
        <w:spacing w:lineRule="auto" w:line="240"/>
        <w:ind w:firstLine="709" w:left="0"/>
        <w:rPr>
          <w:bCs/>
          <w:sz w:val="24"/>
          <w:szCs w:val="24"/>
        </w:rPr>
      </w:pPr>
      <w:r>
        <w:rPr>
          <w:sz w:val="24"/>
          <w:szCs w:val="24"/>
        </w:rPr>
        <w:t>В случае нарушения Подрядчиком обязательств по выполнению Работ, в том числе сроков выполнения Работ, а также в случае несвоевременного устранения выявленных недостатков Результата Работ, Заказчик вправе требовать уплаты Подрядчиком неустойки в размере 0,1 (ноль целых и одна десятая) процента от Цены Договора за каждый день просрочки.</w:t>
      </w:r>
    </w:p>
    <w:p>
      <w:pPr>
        <w:pStyle w:val="Normal"/>
        <w:numPr>
          <w:ilvl w:val="1"/>
          <w:numId w:val="4"/>
        </w:numPr>
        <w:tabs>
          <w:tab w:val="clear" w:pos="709"/>
          <w:tab w:val="left" w:pos="1134" w:leader="none"/>
        </w:tabs>
        <w:spacing w:lineRule="auto" w:line="240"/>
        <w:ind w:firstLine="709" w:left="0"/>
        <w:rPr>
          <w:bCs/>
          <w:sz w:val="24"/>
          <w:szCs w:val="24"/>
        </w:rPr>
      </w:pPr>
      <w:r>
        <w:rPr>
          <w:sz w:val="24"/>
          <w:szCs w:val="24"/>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pPr>
        <w:pStyle w:val="ListParagraph"/>
        <w:numPr>
          <w:ilvl w:val="1"/>
          <w:numId w:val="16"/>
        </w:numPr>
        <w:shd w:val="clear" w:color="auto" w:fill="FFFFFF"/>
        <w:tabs>
          <w:tab w:val="clear" w:pos="709"/>
          <w:tab w:val="left" w:pos="1134" w:leader="none"/>
        </w:tabs>
        <w:ind w:firstLine="709" w:left="0"/>
        <w:jc w:val="both"/>
        <w:rPr>
          <w:bCs/>
        </w:rPr>
      </w:pPr>
      <w:r>
        <w:rPr>
          <w:bCs/>
        </w:rPr>
        <w:t xml:space="preserve">В случае нарушения Подрядчиком или привлеченными им Субподрядчиками требований пропускного и внутриобъектового режима, требований охраны труда, пожарной и промышленной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Подрядчиком штрафа в размерах, установленных Приложением № 5 к Договору. </w:t>
      </w:r>
    </w:p>
    <w:p>
      <w:pPr>
        <w:pStyle w:val="ListParagraph"/>
        <w:numPr>
          <w:ilvl w:val="1"/>
          <w:numId w:val="16"/>
        </w:numPr>
        <w:shd w:val="clear" w:color="auto" w:fill="FFFFFF"/>
        <w:tabs>
          <w:tab w:val="clear" w:pos="709"/>
          <w:tab w:val="left" w:pos="1134" w:leader="none"/>
        </w:tabs>
        <w:ind w:firstLine="709" w:left="0"/>
        <w:jc w:val="both"/>
        <w:rPr>
          <w:bCs/>
        </w:rPr>
      </w:pPr>
      <w:r>
        <w:rPr>
          <w:bCs/>
        </w:rPr>
        <w:t>Если в результате составления и выставления Подрядчиком счетов-фактур/УПД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Подрядчик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Подрядчиком в течение 10 (десяти) рабочих дней с даты получения соответствующего письменного требования Заказчика. В случае нарушения Подрядчиком сроков предоставления счетов-фактур/УПД, установленных пунктом 4.8 Договора, Заказчик вправе требовать уплаты Подрядчиком штрафа в размере 50 000 (пятидесяти тысяч) рублей за каждый случай нарушения.</w:t>
      </w:r>
    </w:p>
    <w:p>
      <w:pPr>
        <w:pStyle w:val="ListParagraph"/>
        <w:numPr>
          <w:ilvl w:val="1"/>
          <w:numId w:val="16"/>
        </w:numPr>
        <w:shd w:val="clear" w:color="auto" w:fill="FFFFFF"/>
        <w:tabs>
          <w:tab w:val="clear" w:pos="709"/>
          <w:tab w:val="left" w:pos="1134" w:leader="none"/>
        </w:tabs>
        <w:ind w:firstLine="709" w:left="0"/>
        <w:jc w:val="both"/>
        <w:rPr>
          <w:bCs/>
        </w:rPr>
      </w:pPr>
      <w:r>
        <w:rPr>
          <w:bCs/>
        </w:rPr>
        <w:t>За непредоставление либо несвоевременное предоставление / переоформление Подрядчиком банковских гарантий, предусмотренных Договором, в порядке и сроки, установленные разделом 6 Договора, Заказчик вправе требовать уплаты Подрядчиком неустойки в размере 0,03 (ноль целых и три сотых) процента от Цены Договора за каждый день просрочки.</w:t>
      </w:r>
    </w:p>
    <w:p>
      <w:pPr>
        <w:pStyle w:val="ListParagraph"/>
        <w:numPr>
          <w:ilvl w:val="1"/>
          <w:numId w:val="16"/>
        </w:numPr>
        <w:shd w:val="clear" w:color="auto" w:fill="FFFFFF"/>
        <w:tabs>
          <w:tab w:val="clear" w:pos="709"/>
          <w:tab w:val="left" w:pos="1134" w:leader="none"/>
        </w:tabs>
        <w:ind w:firstLine="709" w:left="0"/>
        <w:jc w:val="both"/>
        <w:rPr>
          <w:bCs/>
        </w:rPr>
      </w:pPr>
      <w:r>
        <w:rPr>
          <w:bCs/>
        </w:rPr>
        <w:t>Подрядчик несет ответственность перед Заказчиком за причиненный ущерб в размере фактически понесенных и документально подтвержденных расходов, возникших в связи с неисполнением (ненадлежащим исполнением) Подрядчиком своих обязательств, произведенных для восстановления нарушенного права, а также упущенной выгоды.</w:t>
      </w:r>
    </w:p>
    <w:p>
      <w:pPr>
        <w:pStyle w:val="ListParagraph"/>
        <w:numPr>
          <w:ilvl w:val="1"/>
          <w:numId w:val="16"/>
        </w:numPr>
        <w:shd w:val="clear" w:color="auto" w:fill="FFFFFF"/>
        <w:tabs>
          <w:tab w:val="clear" w:pos="709"/>
          <w:tab w:val="left" w:pos="1134" w:leader="none"/>
        </w:tabs>
        <w:ind w:firstLine="709" w:left="0"/>
        <w:jc w:val="both"/>
        <w:rPr>
          <w:bCs/>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16"/>
        </w:numPr>
        <w:shd w:val="clear" w:color="auto" w:fill="FFFFFF"/>
        <w:tabs>
          <w:tab w:val="clear" w:pos="709"/>
          <w:tab w:val="left" w:pos="1134" w:leader="none"/>
        </w:tabs>
        <w:ind w:firstLine="709" w:left="0"/>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16"/>
        </w:numPr>
        <w:shd w:val="clear" w:color="auto" w:fill="FFFFFF"/>
        <w:tabs>
          <w:tab w:val="clear" w:pos="709"/>
          <w:tab w:val="left" w:pos="1134" w:leader="none"/>
        </w:tabs>
        <w:ind w:firstLine="709" w:left="0"/>
        <w:jc w:val="both"/>
        <w:rPr>
          <w:bCs/>
        </w:rPr>
      </w:pPr>
      <w:r>
        <w:rPr>
          <w:bCs/>
        </w:rPr>
        <w:t>Учитывая, что для Заказчика надлежащее и своевременное выполнение Подрядчиком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Подрядчиком соответствующих обязательств по Договору.</w:t>
      </w:r>
    </w:p>
    <w:p>
      <w:pPr>
        <w:pStyle w:val="ListParagraph"/>
        <w:numPr>
          <w:ilvl w:val="1"/>
          <w:numId w:val="16"/>
        </w:numPr>
        <w:shd w:val="clear" w:color="auto" w:fill="FFFFFF"/>
        <w:tabs>
          <w:tab w:val="clear" w:pos="709"/>
          <w:tab w:val="left" w:pos="1134" w:leader="none"/>
        </w:tabs>
        <w:ind w:firstLine="709" w:left="0"/>
        <w:jc w:val="both"/>
        <w:rPr>
          <w:bCs/>
        </w:rPr>
      </w:pPr>
      <w:r>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Pr/>
        <w:t xml:space="preserve"> </w:t>
      </w:r>
      <w:r>
        <w:rPr>
          <w:bCs/>
        </w:rPr>
        <w:t>сумма неустойки, подлежащая уплате виновной Стороной, определяется на основании решения суда.</w:t>
      </w:r>
    </w:p>
    <w:p>
      <w:pPr>
        <w:pStyle w:val="Normal"/>
        <w:shd w:val="clear" w:color="auto" w:fill="FFFFFF"/>
        <w:tabs>
          <w:tab w:val="clear" w:pos="709"/>
          <w:tab w:val="left" w:pos="566" w:leader="none"/>
        </w:tabs>
        <w:spacing w:lineRule="auto" w:line="240"/>
        <w:ind w:hanging="0"/>
        <w:rPr>
          <w:color w:val="000000"/>
          <w:sz w:val="24"/>
          <w:szCs w:val="24"/>
        </w:rPr>
      </w:pPr>
      <w:r>
        <w:rPr>
          <w:color w:val="000000"/>
          <w:sz w:val="24"/>
          <w:szCs w:val="24"/>
        </w:rPr>
      </w:r>
    </w:p>
    <w:p>
      <w:pPr>
        <w:pStyle w:val="ListParagraph"/>
        <w:numPr>
          <w:ilvl w:val="0"/>
          <w:numId w:val="16"/>
        </w:numPr>
        <w:shd w:val="clear" w:color="auto" w:fill="FFFFFF"/>
        <w:tabs>
          <w:tab w:val="clear" w:pos="709"/>
          <w:tab w:val="left" w:pos="426" w:leader="none"/>
        </w:tabs>
        <w:ind w:hanging="0" w:left="0"/>
        <w:jc w:val="center"/>
        <w:rPr>
          <w:b/>
          <w:bCs/>
        </w:rPr>
      </w:pPr>
      <w:r>
        <w:rPr>
          <w:b/>
          <w:bCs/>
        </w:rPr>
        <w:t>Исключительные права и патенты</w:t>
      </w:r>
    </w:p>
    <w:p>
      <w:pPr>
        <w:pStyle w:val="ListParagraph"/>
        <w:numPr>
          <w:ilvl w:val="1"/>
          <w:numId w:val="17"/>
        </w:numPr>
        <w:shd w:val="clear" w:color="auto" w:fill="FFFFFF"/>
        <w:tabs>
          <w:tab w:val="clear" w:pos="709"/>
          <w:tab w:val="left" w:pos="1134" w:leader="none"/>
        </w:tabs>
        <w:ind w:firstLine="709" w:left="0"/>
        <w:jc w:val="both"/>
        <w:rPr>
          <w:bCs/>
        </w:rPr>
      </w:pPr>
      <w:r>
        <w:rPr>
          <w:bCs/>
        </w:rPr>
        <w:t>Подрядчик гарантирует, что выполнение Работ, предусмотренных Договором, а также передача Заказчику Результата работ не нарушит исключительных и иных интеллектуальных прав третьих лиц</w:t>
      </w:r>
      <w:r>
        <w:rPr/>
        <w:t xml:space="preserve"> </w:t>
      </w:r>
      <w:r>
        <w:rPr>
          <w:bCs/>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17"/>
        </w:numPr>
        <w:shd w:val="clear" w:color="auto" w:fill="FFFFFF"/>
        <w:tabs>
          <w:tab w:val="clear" w:pos="709"/>
          <w:tab w:val="left" w:pos="1134" w:leader="none"/>
        </w:tabs>
        <w:ind w:firstLine="709" w:left="0"/>
        <w:jc w:val="both"/>
        <w:rPr>
          <w:bCs/>
        </w:rPr>
      </w:pPr>
      <w:r>
        <w:rPr>
          <w:bCs/>
        </w:rPr>
        <w:t xml:space="preserve">Подрядчик вправе использовать при выполнении Работ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17"/>
        </w:numPr>
        <w:shd w:val="clear" w:color="auto" w:fill="FFFFFF"/>
        <w:tabs>
          <w:tab w:val="clear" w:pos="709"/>
          <w:tab w:val="left" w:pos="1134" w:leader="none"/>
        </w:tabs>
        <w:ind w:firstLine="709" w:left="0"/>
        <w:jc w:val="both"/>
        <w:rPr>
          <w:bCs/>
        </w:rPr>
      </w:pPr>
      <w:r>
        <w:rPr>
          <w:bCs/>
        </w:rPr>
        <w:t xml:space="preserve">В состав Результата работ считаются включенными все разрешения (лицензии), необходимые для использования Заказчиком Результата работ. </w:t>
      </w:r>
    </w:p>
    <w:p>
      <w:pPr>
        <w:pStyle w:val="ListParagraph"/>
        <w:numPr>
          <w:ilvl w:val="1"/>
          <w:numId w:val="17"/>
        </w:numPr>
        <w:shd w:val="clear" w:color="auto" w:fill="FFFFFF"/>
        <w:tabs>
          <w:tab w:val="clear" w:pos="709"/>
          <w:tab w:val="left" w:pos="1134" w:leader="none"/>
        </w:tabs>
        <w:ind w:firstLine="709" w:left="0"/>
        <w:jc w:val="both"/>
        <w:rPr>
          <w:bCs/>
        </w:rPr>
      </w:pPr>
      <w:r>
        <w:rPr>
          <w:bCs/>
        </w:rPr>
        <w:t>В случае, если Заказчику будут предъявлены требования, связанные с нарушением Подрядчиком при выполнении Работ по Договору исключительных и / или иных интеллектуальных прав третьих лиц, Подрядчик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17"/>
        </w:numPr>
        <w:shd w:val="clear" w:color="auto" w:fill="FFFFFF"/>
        <w:tabs>
          <w:tab w:val="clear" w:pos="709"/>
          <w:tab w:val="left" w:pos="1134" w:leader="none"/>
        </w:tabs>
        <w:ind w:firstLine="709" w:left="0"/>
        <w:jc w:val="both"/>
        <w:rPr>
          <w:bCs/>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Подрядчика, эти права переходят к Заказчику сразу после их возникновения в силу Договора.</w:t>
      </w:r>
    </w:p>
    <w:p>
      <w:pPr>
        <w:pStyle w:val="ListParagraph"/>
        <w:shd w:val="clear" w:color="auto" w:fill="FFFFFF"/>
        <w:tabs>
          <w:tab w:val="clear" w:pos="709"/>
          <w:tab w:val="left" w:pos="1134" w:leader="none"/>
        </w:tabs>
        <w:ind w:firstLine="709" w:left="0"/>
        <w:jc w:val="both"/>
        <w:rPr>
          <w:bCs/>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Подрядчиком Договора, не могут переходить к Заказчику в порядке, указанном в настоящем пункте Договора, Стороны пришли к соглашению о том, что Подрядчик передаст Заказчику неисключительные права (неисключительную лицензию) на право использования такого результата</w:t>
      </w:r>
      <w:r>
        <w:rPr/>
        <w:t xml:space="preserve"> </w:t>
      </w:r>
      <w:r>
        <w:rPr>
          <w:bCs/>
        </w:rPr>
        <w:t xml:space="preserve">интеллектуальной деятельности на срок и в том объеме (пределах), которые требуются для эксплуатации. При этом Стороны признают, что плата за использование прав на результаты интеллектуальной деятельности входит в Цену Договора. </w:t>
      </w:r>
    </w:p>
    <w:p>
      <w:pPr>
        <w:pStyle w:val="ListParagraph"/>
        <w:numPr>
          <w:ilvl w:val="1"/>
          <w:numId w:val="17"/>
        </w:numPr>
        <w:shd w:val="clear" w:color="auto" w:fill="FFFFFF"/>
        <w:tabs>
          <w:tab w:val="clear" w:pos="709"/>
          <w:tab w:val="left" w:pos="1134" w:leader="none"/>
        </w:tabs>
        <w:ind w:firstLine="709" w:left="0"/>
        <w:jc w:val="both"/>
        <w:rPr>
          <w:bCs/>
        </w:rPr>
      </w:pPr>
      <w:r>
        <w:rPr>
          <w:bCs/>
        </w:rPr>
        <w:t>В случае появления в рамках исполнения Договора или в составе Результата работ патентоспособного результата интеллектуальной деятельности, Подрядчик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17"/>
        </w:numPr>
        <w:shd w:val="clear" w:color="auto" w:fill="FFFFFF"/>
        <w:tabs>
          <w:tab w:val="clear" w:pos="709"/>
          <w:tab w:val="left" w:pos="1134" w:leader="none"/>
        </w:tabs>
        <w:ind w:firstLine="709" w:left="0"/>
        <w:jc w:val="both"/>
        <w:rPr>
          <w:bCs/>
        </w:rPr>
      </w:pPr>
      <w:r>
        <w:rPr>
          <w:bCs/>
        </w:rPr>
        <w:t>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подтверждается подписанием Сторонами Акта сдачи-приемки выполненных работ/УПД.</w:t>
      </w:r>
    </w:p>
    <w:p>
      <w:pPr>
        <w:pStyle w:val="ListParagraph"/>
        <w:shd w:val="clear" w:color="auto" w:fill="FFFFFF"/>
        <w:tabs>
          <w:tab w:val="clear" w:pos="709"/>
          <w:tab w:val="left" w:pos="1134" w:leader="none"/>
        </w:tabs>
        <w:ind w:hanging="0" w:left="709"/>
        <w:jc w:val="both"/>
        <w:rPr>
          <w:bCs/>
        </w:rPr>
      </w:pPr>
      <w:r>
        <w:rPr>
          <w:bCs/>
        </w:rPr>
      </w:r>
    </w:p>
    <w:p>
      <w:pPr>
        <w:pStyle w:val="ListParagraph"/>
        <w:numPr>
          <w:ilvl w:val="0"/>
          <w:numId w:val="17"/>
        </w:numPr>
        <w:shd w:val="clear" w:color="auto" w:fill="FFFFFF"/>
        <w:tabs>
          <w:tab w:val="clear" w:pos="709"/>
          <w:tab w:val="left" w:pos="426" w:leader="none"/>
        </w:tabs>
        <w:ind w:hanging="0" w:left="0"/>
        <w:jc w:val="center"/>
        <w:rPr>
          <w:b/>
          <w:bCs/>
        </w:rPr>
      </w:pPr>
      <w:r>
        <w:rPr>
          <w:b/>
          <w:bCs/>
        </w:rPr>
        <w:t>Конфиденциальность</w:t>
      </w:r>
    </w:p>
    <w:p>
      <w:pPr>
        <w:pStyle w:val="ListParagraph"/>
        <w:numPr>
          <w:ilvl w:val="1"/>
          <w:numId w:val="17"/>
        </w:numPr>
        <w:shd w:val="clear" w:color="auto" w:fill="FFFFFF"/>
        <w:tabs>
          <w:tab w:val="clear" w:pos="709"/>
          <w:tab w:val="left" w:pos="1134" w:leader="none"/>
        </w:tabs>
        <w:ind w:firstLine="709" w:left="0"/>
        <w:jc w:val="both"/>
        <w:rPr>
          <w:bCs/>
        </w:rPr>
      </w:pPr>
      <w:r>
        <w:rPr>
          <w:bCs/>
        </w:rPr>
        <w:t>Под конфиденциальной информацией (далее – «Информация») для целей Договора понимается любая информация, передаваемая Заказчиком Подрядчику в устной либо документарной форме, в виде электронного файла, в любом другом виде, а также полученная Подрядчиком самостоятельно в ходе визитов на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7"/>
        </w:numPr>
        <w:tabs>
          <w:tab w:val="left" w:pos="709" w:leader="none"/>
          <w:tab w:val="left" w:pos="1418" w:leader="none"/>
        </w:tabs>
        <w:spacing w:lineRule="auto" w:line="240"/>
        <w:ind w:firstLine="709" w:left="0"/>
        <w:rPr>
          <w:bCs/>
          <w:sz w:val="24"/>
          <w:szCs w:val="24"/>
        </w:rPr>
      </w:pPr>
      <w:r>
        <w:rPr>
          <w:bCs/>
          <w:sz w:val="24"/>
          <w:szCs w:val="24"/>
        </w:rPr>
        <w:t>данная Информация имеет действительную или потенциальную коммерческую ценность для Заказчика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numPr>
          <w:ilvl w:val="0"/>
          <w:numId w:val="7"/>
        </w:numPr>
        <w:tabs>
          <w:tab w:val="left" w:pos="709" w:leader="none"/>
          <w:tab w:val="left" w:pos="1418" w:leader="none"/>
        </w:tabs>
        <w:spacing w:lineRule="auto" w:line="240"/>
        <w:ind w:firstLine="709" w:left="0"/>
        <w:rPr>
          <w:bCs/>
          <w:sz w:val="24"/>
          <w:szCs w:val="24"/>
        </w:rPr>
      </w:pPr>
      <w:r>
        <w:rPr>
          <w:bCs/>
          <w:sz w:val="24"/>
          <w:szCs w:val="24"/>
        </w:rPr>
        <w:t>данная Информация не относится к категории общедоступной или обязательной к раскрытию Заказчиком в соответствии с законодательством Российской Федерации.</w:t>
      </w:r>
    </w:p>
    <w:p>
      <w:pPr>
        <w:pStyle w:val="ListParagraph"/>
        <w:numPr>
          <w:ilvl w:val="1"/>
          <w:numId w:val="17"/>
        </w:numPr>
        <w:shd w:val="clear" w:color="auto" w:fill="FFFFFF"/>
        <w:tabs>
          <w:tab w:val="clear" w:pos="709"/>
          <w:tab w:val="left" w:pos="1134" w:leader="none"/>
        </w:tabs>
        <w:ind w:firstLine="709" w:left="0"/>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17"/>
        </w:numPr>
        <w:shd w:val="clear" w:color="auto" w:fill="FFFFFF"/>
        <w:tabs>
          <w:tab w:val="clear" w:pos="709"/>
          <w:tab w:val="left" w:pos="1134" w:leader="none"/>
        </w:tabs>
        <w:ind w:firstLine="709" w:left="0"/>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17"/>
        </w:numPr>
        <w:shd w:val="clear" w:color="auto" w:fill="FFFFFF"/>
        <w:tabs>
          <w:tab w:val="clear" w:pos="709"/>
          <w:tab w:val="left" w:pos="1134" w:leader="none"/>
        </w:tabs>
        <w:ind w:firstLine="709" w:left="0"/>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17"/>
        </w:numPr>
        <w:shd w:val="clear" w:color="auto" w:fill="FFFFFF"/>
        <w:tabs>
          <w:tab w:val="clear" w:pos="709"/>
          <w:tab w:val="left" w:pos="1134" w:leader="none"/>
        </w:tabs>
        <w:ind w:firstLine="709" w:left="0"/>
        <w:jc w:val="both"/>
        <w:rPr>
          <w:bCs/>
        </w:rPr>
      </w:pPr>
      <w:r>
        <w:rPr>
          <w:bCs/>
        </w:rPr>
        <w:t>Информация может включать в себя, в том числе, но не ограничиваясь:</w:t>
      </w:r>
    </w:p>
    <w:p>
      <w:pPr>
        <w:pStyle w:val="Normal"/>
        <w:numPr>
          <w:ilvl w:val="0"/>
          <w:numId w:val="7"/>
        </w:numPr>
        <w:tabs>
          <w:tab w:val="clear" w:pos="709"/>
          <w:tab w:val="left" w:pos="1418" w:leader="none"/>
        </w:tabs>
        <w:spacing w:lineRule="auto" w:line="240"/>
        <w:ind w:firstLine="709" w:left="0"/>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numPr>
          <w:ilvl w:val="0"/>
          <w:numId w:val="7"/>
        </w:numPr>
        <w:tabs>
          <w:tab w:val="clear" w:pos="709"/>
          <w:tab w:val="left" w:pos="1418" w:leader="none"/>
        </w:tabs>
        <w:spacing w:lineRule="auto" w:line="240"/>
        <w:ind w:firstLine="709" w:left="0"/>
        <w:rPr>
          <w:bCs/>
          <w:sz w:val="24"/>
          <w:szCs w:val="24"/>
        </w:rPr>
      </w:pPr>
      <w:r>
        <w:rPr>
          <w:bCs/>
          <w:sz w:val="24"/>
          <w:szCs w:val="24"/>
        </w:rPr>
        <w:t>учетные регистры бухгалтерского учета;</w:t>
      </w:r>
    </w:p>
    <w:p>
      <w:pPr>
        <w:pStyle w:val="Normal"/>
        <w:numPr>
          <w:ilvl w:val="0"/>
          <w:numId w:val="7"/>
        </w:numPr>
        <w:tabs>
          <w:tab w:val="clear" w:pos="709"/>
          <w:tab w:val="left" w:pos="1418" w:leader="none"/>
        </w:tabs>
        <w:spacing w:lineRule="auto" w:line="240"/>
        <w:ind w:firstLine="709" w:left="0"/>
        <w:rPr>
          <w:bCs/>
          <w:sz w:val="24"/>
          <w:szCs w:val="24"/>
        </w:rPr>
      </w:pPr>
      <w:r>
        <w:rPr>
          <w:bCs/>
          <w:sz w:val="24"/>
          <w:szCs w:val="24"/>
        </w:rPr>
        <w:t>бизнес-планы;</w:t>
      </w:r>
    </w:p>
    <w:p>
      <w:pPr>
        <w:pStyle w:val="Normal"/>
        <w:numPr>
          <w:ilvl w:val="0"/>
          <w:numId w:val="7"/>
        </w:numPr>
        <w:tabs>
          <w:tab w:val="clear" w:pos="709"/>
          <w:tab w:val="left" w:pos="1418" w:leader="none"/>
        </w:tabs>
        <w:spacing w:lineRule="auto" w:line="240"/>
        <w:ind w:firstLine="709" w:left="0"/>
        <w:rPr>
          <w:bCs/>
          <w:sz w:val="24"/>
          <w:szCs w:val="24"/>
        </w:rPr>
      </w:pPr>
      <w:r>
        <w:rPr>
          <w:bCs/>
          <w:sz w:val="24"/>
          <w:szCs w:val="24"/>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7"/>
        </w:numPr>
        <w:tabs>
          <w:tab w:val="clear" w:pos="709"/>
          <w:tab w:val="left" w:pos="1418" w:leader="none"/>
        </w:tabs>
        <w:spacing w:lineRule="auto" w:line="240"/>
        <w:ind w:firstLine="709" w:left="0"/>
        <w:rPr>
          <w:bCs/>
          <w:sz w:val="24"/>
          <w:szCs w:val="24"/>
        </w:rPr>
      </w:pPr>
      <w:r>
        <w:rPr>
          <w:bCs/>
          <w:sz w:val="24"/>
          <w:szCs w:val="24"/>
        </w:rPr>
        <w:t>сведения о финансовых, правовых, организационных и других взаимоотношениях между Заказчиком и третьими лицами;</w:t>
      </w:r>
    </w:p>
    <w:p>
      <w:pPr>
        <w:pStyle w:val="Normal"/>
        <w:numPr>
          <w:ilvl w:val="0"/>
          <w:numId w:val="7"/>
        </w:numPr>
        <w:tabs>
          <w:tab w:val="clear" w:pos="709"/>
          <w:tab w:val="left" w:pos="1418" w:leader="none"/>
        </w:tabs>
        <w:spacing w:lineRule="auto" w:line="240"/>
        <w:ind w:firstLine="709" w:left="0"/>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7"/>
        </w:numPr>
        <w:tabs>
          <w:tab w:val="clear" w:pos="709"/>
          <w:tab w:val="left" w:pos="1418" w:leader="none"/>
        </w:tabs>
        <w:spacing w:lineRule="auto" w:line="240"/>
        <w:ind w:firstLine="709" w:left="0"/>
        <w:rPr>
          <w:bCs/>
          <w:sz w:val="24"/>
          <w:szCs w:val="24"/>
        </w:rPr>
      </w:pPr>
      <w:r>
        <w:rPr>
          <w:bCs/>
          <w:sz w:val="24"/>
          <w:szCs w:val="24"/>
        </w:rPr>
        <w:t>сведения о подрядчиках, поставщиках оборудования и материалов, а также о покупателях продукции Заказчика и их аффилированных лицах;</w:t>
      </w:r>
    </w:p>
    <w:p>
      <w:pPr>
        <w:pStyle w:val="Normal"/>
        <w:numPr>
          <w:ilvl w:val="0"/>
          <w:numId w:val="7"/>
        </w:numPr>
        <w:tabs>
          <w:tab w:val="clear" w:pos="709"/>
          <w:tab w:val="left" w:pos="1418" w:leader="none"/>
        </w:tabs>
        <w:spacing w:lineRule="auto" w:line="240"/>
        <w:ind w:firstLine="709" w:left="0"/>
        <w:rPr>
          <w:bCs/>
          <w:sz w:val="24"/>
          <w:szCs w:val="24"/>
        </w:rPr>
      </w:pPr>
      <w:r>
        <w:rPr>
          <w:bCs/>
          <w:sz w:val="24"/>
          <w:szCs w:val="24"/>
        </w:rPr>
        <w:t>сведения об объемах производства и / или реализации продукции и услуг Заказчика или его аффилированных лиц;</w:t>
      </w:r>
    </w:p>
    <w:p>
      <w:pPr>
        <w:pStyle w:val="Normal"/>
        <w:numPr>
          <w:ilvl w:val="0"/>
          <w:numId w:val="7"/>
        </w:numPr>
        <w:tabs>
          <w:tab w:val="clear" w:pos="709"/>
          <w:tab w:val="left" w:pos="1418" w:leader="none"/>
        </w:tabs>
        <w:spacing w:lineRule="auto" w:line="240"/>
        <w:ind w:firstLine="709" w:left="0"/>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numPr>
          <w:ilvl w:val="1"/>
          <w:numId w:val="17"/>
        </w:numPr>
        <w:shd w:val="clear" w:color="auto" w:fill="FFFFFF"/>
        <w:tabs>
          <w:tab w:val="clear" w:pos="709"/>
          <w:tab w:val="left" w:pos="1134" w:leader="none"/>
        </w:tabs>
        <w:ind w:firstLine="709" w:left="0"/>
        <w:jc w:val="both"/>
        <w:rPr>
          <w:bCs/>
        </w:rPr>
      </w:pPr>
      <w:bookmarkStart w:id="25" w:name="_Ref361337849"/>
      <w:r>
        <w:rPr>
          <w:bCs/>
        </w:rPr>
        <w:t>Подрядчик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25"/>
      <w:r>
        <w:rPr>
          <w:bCs/>
        </w:rPr>
        <w:t xml:space="preserve"> </w:t>
      </w:r>
    </w:p>
    <w:p>
      <w:pPr>
        <w:pStyle w:val="ListParagraph"/>
        <w:numPr>
          <w:ilvl w:val="2"/>
          <w:numId w:val="17"/>
        </w:numPr>
        <w:shd w:val="clear" w:color="auto" w:fill="FFFFFF"/>
        <w:tabs>
          <w:tab w:val="clear" w:pos="709"/>
          <w:tab w:val="left" w:pos="1418" w:leader="none"/>
        </w:tabs>
        <w:ind w:firstLine="709" w:left="0"/>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9.6.7 Договора;</w:t>
      </w:r>
    </w:p>
    <w:p>
      <w:pPr>
        <w:pStyle w:val="ListParagraph"/>
        <w:numPr>
          <w:ilvl w:val="2"/>
          <w:numId w:val="17"/>
        </w:numPr>
        <w:shd w:val="clear" w:color="auto" w:fill="FFFFFF"/>
        <w:tabs>
          <w:tab w:val="clear" w:pos="709"/>
          <w:tab w:val="left" w:pos="1418" w:leader="none"/>
        </w:tabs>
        <w:ind w:firstLine="709" w:left="0"/>
        <w:jc w:val="both"/>
        <w:rPr>
          <w:bCs/>
        </w:rPr>
      </w:pPr>
      <w:r>
        <w:rPr>
          <w:bCs/>
        </w:rPr>
        <w:t>принимать меры предосторожности, обычно используемые для защиты такого рода информации в деловом обороте, при этом если Подрядчиком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Подрядчик обязан использовать в отношении защиты Информации, обычно используемые им меры защиты;</w:t>
      </w:r>
    </w:p>
    <w:p>
      <w:pPr>
        <w:pStyle w:val="ListParagraph"/>
        <w:numPr>
          <w:ilvl w:val="2"/>
          <w:numId w:val="17"/>
        </w:numPr>
        <w:shd w:val="clear" w:color="auto" w:fill="FFFFFF"/>
        <w:tabs>
          <w:tab w:val="clear" w:pos="709"/>
          <w:tab w:val="left" w:pos="1418" w:leader="none"/>
        </w:tabs>
        <w:ind w:firstLine="709" w:left="0"/>
        <w:jc w:val="both"/>
        <w:rPr>
          <w:bCs/>
        </w:rPr>
      </w:pPr>
      <w:r>
        <w:rPr>
          <w:bCs/>
        </w:rPr>
        <w:t xml:space="preserve">использовать Информацию исключительно для целей, для которых она была предоставлена; </w:t>
      </w:r>
    </w:p>
    <w:p>
      <w:pPr>
        <w:pStyle w:val="ListParagraph"/>
        <w:numPr>
          <w:ilvl w:val="2"/>
          <w:numId w:val="17"/>
        </w:numPr>
        <w:shd w:val="clear" w:color="auto" w:fill="FFFFFF"/>
        <w:tabs>
          <w:tab w:val="clear" w:pos="709"/>
          <w:tab w:val="left" w:pos="1418" w:leader="none"/>
        </w:tabs>
        <w:ind w:firstLine="709" w:left="0"/>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17"/>
        </w:numPr>
        <w:shd w:val="clear" w:color="auto" w:fill="FFFFFF"/>
        <w:tabs>
          <w:tab w:val="clear" w:pos="709"/>
          <w:tab w:val="left" w:pos="1418" w:leader="none"/>
        </w:tabs>
        <w:ind w:firstLine="709" w:left="0"/>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17"/>
        </w:numPr>
        <w:shd w:val="clear" w:color="auto" w:fill="FFFFFF"/>
        <w:tabs>
          <w:tab w:val="clear" w:pos="709"/>
          <w:tab w:val="left" w:pos="1418" w:leader="none"/>
        </w:tabs>
        <w:ind w:firstLine="709" w:left="0"/>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Подрядчика.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17"/>
        </w:numPr>
        <w:shd w:val="clear" w:color="auto" w:fill="FFFFFF"/>
        <w:tabs>
          <w:tab w:val="clear" w:pos="709"/>
          <w:tab w:val="left" w:pos="1418" w:leader="none"/>
        </w:tabs>
        <w:ind w:firstLine="709" w:left="0"/>
        <w:jc w:val="both"/>
        <w:rPr>
          <w:bCs/>
        </w:rPr>
      </w:pPr>
      <w:bookmarkStart w:id="26"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26"/>
    </w:p>
    <w:p>
      <w:pPr>
        <w:pStyle w:val="ListParagraph"/>
        <w:numPr>
          <w:ilvl w:val="2"/>
          <w:numId w:val="17"/>
        </w:numPr>
        <w:shd w:val="clear" w:color="auto" w:fill="FFFFFF"/>
        <w:tabs>
          <w:tab w:val="clear" w:pos="709"/>
          <w:tab w:val="left" w:pos="1418" w:leader="none"/>
        </w:tabs>
        <w:ind w:firstLine="709" w:left="0"/>
        <w:jc w:val="both"/>
        <w:rPr>
          <w:bCs/>
        </w:rPr>
      </w:pPr>
      <w:r>
        <w:rPr>
          <w:bCs/>
        </w:rPr>
        <w:t>не разглашать третьим лицам факты передачи или получения Информации.</w:t>
      </w:r>
    </w:p>
    <w:p>
      <w:pPr>
        <w:pStyle w:val="ListParagraph"/>
        <w:numPr>
          <w:ilvl w:val="1"/>
          <w:numId w:val="17"/>
        </w:numPr>
        <w:shd w:val="clear" w:color="auto" w:fill="FFFFFF"/>
        <w:tabs>
          <w:tab w:val="clear" w:pos="709"/>
          <w:tab w:val="left" w:pos="1134" w:leader="none"/>
        </w:tabs>
        <w:ind w:firstLine="709" w:left="0"/>
        <w:jc w:val="both"/>
        <w:rPr>
          <w:bCs/>
        </w:rPr>
      </w:pPr>
      <w:bookmarkStart w:id="27" w:name="_Ref361337863"/>
      <w:r>
        <w:rPr>
          <w:bCs/>
        </w:rPr>
        <w:t>Подрядчик,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27"/>
    </w:p>
    <w:p>
      <w:pPr>
        <w:pStyle w:val="ListParagraph"/>
        <w:numPr>
          <w:ilvl w:val="1"/>
          <w:numId w:val="17"/>
        </w:numPr>
        <w:shd w:val="clear" w:color="auto" w:fill="FFFFFF"/>
        <w:tabs>
          <w:tab w:val="clear" w:pos="709"/>
          <w:tab w:val="left" w:pos="1134" w:leader="none"/>
        </w:tabs>
        <w:ind w:firstLine="709" w:left="0"/>
        <w:jc w:val="both"/>
        <w:rPr>
          <w:bCs/>
        </w:rPr>
      </w:pPr>
      <w:r>
        <w:rPr>
          <w:bCs/>
        </w:rPr>
        <w:t>Подрядчик обязуется обеспечить повторение условий Договора в части соблюдения режима конфиденциальности Информации в договорах, заключаемых с Субподрядчиками.</w:t>
      </w:r>
    </w:p>
    <w:p>
      <w:pPr>
        <w:pStyle w:val="ListParagraph"/>
        <w:numPr>
          <w:ilvl w:val="1"/>
          <w:numId w:val="17"/>
        </w:numPr>
        <w:shd w:val="clear" w:color="auto" w:fill="FFFFFF"/>
        <w:tabs>
          <w:tab w:val="clear" w:pos="709"/>
          <w:tab w:val="left" w:pos="1134" w:leader="none"/>
        </w:tabs>
        <w:ind w:firstLine="709" w:left="0"/>
        <w:jc w:val="both"/>
        <w:rPr>
          <w:bCs/>
        </w:rPr>
      </w:pPr>
      <w:r>
        <w:rPr>
          <w:bCs/>
        </w:rPr>
        <w:t xml:space="preserve">Условия защиты Информации, представляемой Подрядчиком Заказчику, могут быть дополнительно урегулированы отдельно заключаемым Сторонами соглашением. </w:t>
      </w:r>
    </w:p>
    <w:p>
      <w:pPr>
        <w:pStyle w:val="ListParagraph"/>
        <w:shd w:val="clear" w:color="auto" w:fill="FFFFFF"/>
        <w:tabs>
          <w:tab w:val="clear" w:pos="709"/>
          <w:tab w:val="left" w:pos="284" w:leader="none"/>
        </w:tabs>
        <w:ind w:hanging="0" w:left="0"/>
        <w:rPr>
          <w:b/>
          <w:bCs/>
        </w:rPr>
      </w:pPr>
      <w:r>
        <w:rPr>
          <w:b/>
          <w:bCs/>
        </w:rPr>
      </w:r>
    </w:p>
    <w:p>
      <w:pPr>
        <w:pStyle w:val="ListParagraph"/>
        <w:numPr>
          <w:ilvl w:val="0"/>
          <w:numId w:val="17"/>
        </w:numPr>
        <w:shd w:val="clear" w:color="auto" w:fill="FFFFFF"/>
        <w:tabs>
          <w:tab w:val="clear" w:pos="709"/>
          <w:tab w:val="left" w:pos="426" w:leader="none"/>
        </w:tabs>
        <w:ind w:hanging="0" w:left="0"/>
        <w:jc w:val="center"/>
        <w:rPr>
          <w:bCs/>
        </w:rPr>
      </w:pPr>
      <w:r>
        <w:rPr>
          <w:b/>
          <w:bCs/>
        </w:rPr>
        <w:t>Разрешение споров</w:t>
      </w:r>
    </w:p>
    <w:p>
      <w:pPr>
        <w:pStyle w:val="ListParagraph"/>
        <w:numPr>
          <w:ilvl w:val="1"/>
          <w:numId w:val="17"/>
        </w:numPr>
        <w:shd w:val="clear" w:color="auto" w:fill="FFFFFF"/>
        <w:tabs>
          <w:tab w:val="clear" w:pos="709"/>
          <w:tab w:val="left" w:pos="1134" w:leader="none"/>
          <w:tab w:val="left" w:pos="1418" w:leader="none"/>
        </w:tabs>
        <w:ind w:firstLine="709" w:left="0"/>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17"/>
        </w:numPr>
        <w:shd w:val="clear" w:color="auto" w:fill="FFFFFF"/>
        <w:tabs>
          <w:tab w:val="clear" w:pos="709"/>
          <w:tab w:val="left" w:pos="1134" w:leader="none"/>
          <w:tab w:val="left" w:pos="1418" w:leader="none"/>
        </w:tabs>
        <w:ind w:firstLine="709" w:left="0"/>
        <w:jc w:val="both"/>
        <w:rPr>
          <w:bCs/>
        </w:rPr>
      </w:pPr>
      <w:r>
        <w:rPr>
          <w:bCs/>
        </w:rPr>
        <w:t>Спо</w:t>
      </w:r>
      <w:r>
        <w:rPr>
          <w:bCs/>
          <w:shd w:fill="auto" w:val="clear"/>
        </w:rPr>
        <w:t xml:space="preserve">ры, указанные в пункте 10.1 Договора, которые не были урегулированы Сторонами путем переговоров, подлежат разрешению в Арбитражном суде </w:t>
      </w:r>
      <w:r>
        <w:rPr>
          <w:bCs/>
          <w:shd w:fill="auto" w:val="clear"/>
        </w:rPr>
        <w:t>Амурской области</w:t>
      </w:r>
      <w:r>
        <w:rPr>
          <w:bCs/>
          <w:shd w:fill="auto" w:val="clear"/>
        </w:rPr>
        <w:t xml:space="preserve"> в соответств</w:t>
      </w:r>
      <w:r>
        <w:rPr>
          <w:bCs/>
        </w:rPr>
        <w:t>ии с законодательством Российской Федерации, за исключением споров из Банковской гарантии, подсудность которых предусмотрена пунктом 6.1.9 Договора.</w:t>
      </w:r>
    </w:p>
    <w:p>
      <w:pPr>
        <w:pStyle w:val="ListParagraph"/>
        <w:numPr>
          <w:ilvl w:val="1"/>
          <w:numId w:val="17"/>
        </w:numPr>
        <w:shd w:val="clear" w:color="auto" w:fill="FFFFFF"/>
        <w:tabs>
          <w:tab w:val="clear" w:pos="709"/>
          <w:tab w:val="left" w:pos="1134" w:leader="none"/>
          <w:tab w:val="left" w:pos="1418" w:leader="none"/>
        </w:tabs>
        <w:ind w:firstLine="709" w:left="0"/>
        <w:jc w:val="both"/>
        <w:rPr>
          <w:bCs/>
        </w:rPr>
      </w:pPr>
      <w:r>
        <w:rPr>
          <w:bCs/>
        </w:rPr>
        <w:t>Сторонами применяется обязательный досудебный (претензионный) порядок разрешения споров. Сторона, п</w:t>
      </w:r>
      <w:r>
        <w:rPr>
          <w:bCs/>
          <w:shd w:fill="auto" w:val="clear"/>
        </w:rPr>
        <w:t>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16.8 Договора.</w:t>
      </w:r>
    </w:p>
    <w:p>
      <w:pPr>
        <w:pStyle w:val="ListParagraph"/>
        <w:numPr>
          <w:ilvl w:val="1"/>
          <w:numId w:val="17"/>
        </w:numPr>
        <w:shd w:val="clear" w:color="auto" w:fill="FFFFFF"/>
        <w:tabs>
          <w:tab w:val="clear" w:pos="709"/>
          <w:tab w:val="left" w:pos="1134" w:leader="none"/>
          <w:tab w:val="left" w:pos="1418" w:leader="none"/>
        </w:tabs>
        <w:ind w:firstLine="709" w:left="0"/>
        <w:jc w:val="both"/>
        <w:rPr>
          <w:bCs/>
        </w:rPr>
      </w:pPr>
      <w:r>
        <w:rPr>
          <w:bCs/>
          <w:shd w:fill="auto" w:val="clear"/>
        </w:rPr>
        <w:t>Срок для рассмотрения претензи</w:t>
      </w:r>
      <w:r>
        <w:rPr>
          <w:bCs/>
        </w:rPr>
        <w:t>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17"/>
        </w:numPr>
        <w:shd w:val="clear" w:color="auto" w:fill="FFFFFF"/>
        <w:tabs>
          <w:tab w:val="clear" w:pos="709"/>
          <w:tab w:val="left" w:pos="1134" w:leader="none"/>
          <w:tab w:val="left" w:pos="1418" w:leader="none"/>
        </w:tabs>
        <w:ind w:firstLine="709" w:left="0"/>
        <w:jc w:val="both"/>
        <w:rPr>
          <w:bCs/>
        </w:rPr>
      </w:pPr>
      <w:r>
        <w:rPr>
          <w:bCs/>
        </w:rPr>
        <w:t>Условия настоящего раздела Договора сохраняют свою силу в случае признания Договора незаключенным и / или недействительным.</w:t>
      </w:r>
    </w:p>
    <w:p>
      <w:pPr>
        <w:pStyle w:val="Normal"/>
        <w:shd w:val="clear" w:color="auto" w:fill="FFFFFF"/>
        <w:tabs>
          <w:tab w:val="clear" w:pos="709"/>
          <w:tab w:val="left" w:pos="1134" w:leader="none"/>
          <w:tab w:val="left" w:pos="1418" w:leader="none"/>
        </w:tabs>
        <w:spacing w:lineRule="auto" w:line="240"/>
        <w:rPr>
          <w:bCs/>
        </w:rPr>
      </w:pPr>
      <w:r>
        <w:rPr>
          <w:bCs/>
        </w:rPr>
      </w:r>
    </w:p>
    <w:p>
      <w:pPr>
        <w:pStyle w:val="ListParagraph"/>
        <w:numPr>
          <w:ilvl w:val="0"/>
          <w:numId w:val="17"/>
        </w:numPr>
        <w:shd w:val="clear" w:color="auto" w:fill="FFFFFF"/>
        <w:tabs>
          <w:tab w:val="clear" w:pos="709"/>
          <w:tab w:val="left" w:pos="426" w:leader="none"/>
        </w:tabs>
        <w:ind w:hanging="0" w:left="0"/>
        <w:jc w:val="center"/>
        <w:rPr>
          <w:b/>
          <w:bCs/>
        </w:rPr>
      </w:pPr>
      <w:r>
        <w:rPr>
          <w:b/>
          <w:bCs/>
        </w:rPr>
        <w:t>Антикоррупционная оговорка</w:t>
      </w:r>
    </w:p>
    <w:p>
      <w:pPr>
        <w:pStyle w:val="Normal"/>
        <w:shd w:val="clear" w:color="auto" w:fill="FFFFFF"/>
        <w:tabs>
          <w:tab w:val="clear" w:pos="709"/>
          <w:tab w:val="left" w:pos="1134" w:leader="none"/>
        </w:tabs>
        <w:spacing w:lineRule="auto" w:line="240"/>
        <w:ind w:firstLine="709"/>
        <w:rPr>
          <w:bCs/>
          <w:color w:val="000000"/>
          <w:sz w:val="24"/>
          <w:szCs w:val="24"/>
        </w:rPr>
      </w:pPr>
      <w:r>
        <w:rPr>
          <w:color w:val="000000"/>
          <w:sz w:val="24"/>
          <w:szCs w:val="24"/>
        </w:rPr>
        <w:t xml:space="preserve">11.1. 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9"/>
          <w:tab w:val="left" w:pos="1134" w:leader="none"/>
        </w:tabs>
        <w:spacing w:lineRule="auto" w:line="240"/>
        <w:ind w:firstLine="709"/>
        <w:rPr>
          <w:bCs/>
          <w:color w:val="000000"/>
          <w:sz w:val="24"/>
          <w:szCs w:val="24"/>
        </w:rPr>
      </w:pPr>
      <w:r>
        <w:rPr>
          <w:bCs/>
          <w:color w:val="000000"/>
          <w:sz w:val="24"/>
          <w:szCs w:val="24"/>
        </w:rPr>
        <w:t>11.2.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9"/>
          <w:tab w:val="left" w:pos="1134" w:leader="none"/>
        </w:tabs>
        <w:spacing w:lineRule="auto" w:line="240"/>
        <w:ind w:firstLine="709"/>
        <w:rPr>
          <w:bCs/>
          <w:color w:val="000000"/>
          <w:sz w:val="24"/>
          <w:szCs w:val="24"/>
        </w:rPr>
      </w:pPr>
      <w:r>
        <w:rPr>
          <w:bCs/>
          <w:color w:val="000000"/>
          <w:sz w:val="24"/>
          <w:szCs w:val="24"/>
        </w:rPr>
        <w:t>11.3.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9"/>
          <w:tab w:val="left" w:pos="1134" w:leader="none"/>
        </w:tabs>
        <w:spacing w:lineRule="auto" w:line="240"/>
        <w:ind w:firstLine="709"/>
        <w:rPr>
          <w:bCs/>
          <w:color w:val="000000"/>
          <w:sz w:val="24"/>
          <w:szCs w:val="24"/>
        </w:rPr>
      </w:pPr>
      <w:r>
        <w:rPr>
          <w:bCs/>
          <w:color w:val="000000"/>
          <w:sz w:val="24"/>
          <w:szCs w:val="24"/>
        </w:rPr>
        <w:t>11.4.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clear" w:pos="709"/>
          <w:tab w:val="left" w:pos="1134" w:leader="none"/>
        </w:tabs>
        <w:spacing w:lineRule="auto" w:line="240"/>
        <w:ind w:firstLine="709"/>
        <w:rPr>
          <w:bCs/>
          <w:color w:val="000000"/>
          <w:sz w:val="24"/>
          <w:szCs w:val="24"/>
        </w:rPr>
      </w:pPr>
      <w:r>
        <w:rPr>
          <w:bCs/>
          <w:color w:val="000000"/>
          <w:sz w:val="24"/>
          <w:szCs w:val="24"/>
        </w:rPr>
        <w:t xml:space="preserve">11.5.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9"/>
          <w:tab w:val="left" w:pos="1134" w:leader="none"/>
        </w:tabs>
        <w:spacing w:lineRule="auto" w:line="240"/>
        <w:ind w:firstLine="709"/>
        <w:rPr>
          <w:bCs/>
          <w:color w:val="000000"/>
          <w:sz w:val="24"/>
          <w:szCs w:val="24"/>
        </w:rPr>
      </w:pPr>
      <w:r>
        <w:rPr>
          <w:bCs/>
          <w:color w:val="000000"/>
          <w:sz w:val="24"/>
          <w:szCs w:val="24"/>
        </w:rPr>
        <w:t xml:space="preserve">11.6.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widowControl w:val="false"/>
        <w:shd w:val="clear" w:color="auto" w:fill="FFFFFF"/>
        <w:tabs>
          <w:tab w:val="clear" w:pos="709"/>
          <w:tab w:val="left" w:pos="567" w:leader="none"/>
          <w:tab w:val="left" w:pos="1134" w:leader="none"/>
        </w:tabs>
        <w:spacing w:lineRule="auto" w:line="240"/>
        <w:ind w:firstLine="709"/>
        <w:rPr>
          <w:color w:val="000000"/>
          <w:sz w:val="24"/>
          <w:szCs w:val="24"/>
        </w:rPr>
      </w:pPr>
      <w:r>
        <w:rPr>
          <w:color w:val="000000"/>
          <w:sz w:val="24"/>
          <w:szCs w:val="24"/>
        </w:rPr>
        <w:t xml:space="preserve">11.7.  Каналы связи Линия доверия Группы РусГидро: </w:t>
      </w:r>
    </w:p>
    <w:p>
      <w:pPr>
        <w:pStyle w:val="Normal"/>
        <w:widowControl w:val="false"/>
        <w:shd w:val="clear" w:color="auto" w:fill="FFFFFF"/>
        <w:tabs>
          <w:tab w:val="clear" w:pos="709"/>
          <w:tab w:val="left" w:pos="567" w:leader="none"/>
          <w:tab w:val="left" w:pos="1134" w:leader="none"/>
        </w:tabs>
        <w:spacing w:lineRule="auto" w:line="240"/>
        <w:ind w:firstLine="709"/>
        <w:rPr>
          <w:sz w:val="24"/>
          <w:szCs w:val="24"/>
        </w:rPr>
      </w:pPr>
      <w:r>
        <w:rPr>
          <w:sz w:val="24"/>
          <w:szCs w:val="24"/>
        </w:rPr>
        <w:t>11.7.1. Электронная почта: ld@rushydro.ru.</w:t>
      </w:r>
    </w:p>
    <w:p>
      <w:pPr>
        <w:pStyle w:val="Normal"/>
        <w:widowControl w:val="false"/>
        <w:shd w:val="clear" w:color="auto" w:fill="FFFFFF"/>
        <w:tabs>
          <w:tab w:val="clear" w:pos="709"/>
          <w:tab w:val="left" w:pos="567" w:leader="none"/>
          <w:tab w:val="left" w:pos="1134" w:leader="none"/>
        </w:tabs>
        <w:spacing w:lineRule="auto" w:line="240"/>
        <w:ind w:firstLine="709"/>
        <w:rPr>
          <w:sz w:val="24"/>
          <w:szCs w:val="24"/>
        </w:rPr>
      </w:pPr>
      <w:r>
        <w:rPr>
          <w:sz w:val="24"/>
          <w:szCs w:val="24"/>
        </w:rPr>
        <w:t>11.7.2. Специальная форма «обратной связи», размещенная на официальном сайте ПАО «РусГидро» в сети интернет: http://www.rushydro.ru/ (далее перейти по ссылке «Линия доверия» и заполнить поля специальной формы «обратной связи»).</w:t>
      </w:r>
    </w:p>
    <w:p>
      <w:pPr>
        <w:pStyle w:val="Normal"/>
        <w:spacing w:lineRule="auto" w:line="240"/>
        <w:ind w:firstLine="709"/>
        <w:rPr>
          <w:sz w:val="24"/>
          <w:szCs w:val="24"/>
        </w:rPr>
      </w:pPr>
      <w:r>
        <w:rPr>
          <w:sz w:val="24"/>
          <w:szCs w:val="24"/>
        </w:rPr>
        <w:t>11.7.3.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9"/>
          <w:tab w:val="left" w:pos="284" w:leader="none"/>
          <w:tab w:val="left" w:pos="567" w:leader="none"/>
          <w:tab w:val="left" w:pos="1134" w:leader="none"/>
        </w:tabs>
        <w:ind w:firstLine="709" w:left="0"/>
        <w:jc w:val="both"/>
        <w:rPr>
          <w:b/>
          <w:bCs/>
        </w:rPr>
      </w:pPr>
      <w:r>
        <w:rPr>
          <w:b/>
          <w:bCs/>
        </w:rPr>
      </w:r>
    </w:p>
    <w:p>
      <w:pPr>
        <w:pStyle w:val="ListParagraph"/>
        <w:numPr>
          <w:ilvl w:val="0"/>
          <w:numId w:val="17"/>
        </w:numPr>
        <w:shd w:val="clear" w:color="auto" w:fill="FFFFFF"/>
        <w:tabs>
          <w:tab w:val="clear" w:pos="709"/>
          <w:tab w:val="left" w:pos="426" w:leader="none"/>
        </w:tabs>
        <w:ind w:hanging="0" w:left="0"/>
        <w:jc w:val="center"/>
        <w:rPr>
          <w:b/>
          <w:bCs/>
        </w:rPr>
      </w:pPr>
      <w:r>
        <w:rPr>
          <w:b/>
          <w:bCs/>
        </w:rPr>
        <w:t>Обстоятельства непреодолимой силы (форс-мажор)</w:t>
      </w:r>
    </w:p>
    <w:p>
      <w:pPr>
        <w:pStyle w:val="ListParagraph"/>
        <w:numPr>
          <w:ilvl w:val="1"/>
          <w:numId w:val="17"/>
        </w:numPr>
        <w:shd w:val="clear" w:color="auto" w:fill="FFFFFF"/>
        <w:tabs>
          <w:tab w:val="clear" w:pos="709"/>
          <w:tab w:val="left" w:pos="1134" w:leader="none"/>
        </w:tabs>
        <w:ind w:firstLine="709" w:left="0"/>
        <w:jc w:val="both"/>
        <w:rPr>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17"/>
        </w:numPr>
        <w:shd w:val="clear" w:color="auto" w:fill="FFFFFF"/>
        <w:tabs>
          <w:tab w:val="clear" w:pos="709"/>
          <w:tab w:val="left" w:pos="1134" w:leader="none"/>
        </w:tabs>
        <w:ind w:firstLine="709" w:left="0"/>
        <w:jc w:val="both"/>
        <w:rPr>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17"/>
        </w:numPr>
        <w:shd w:val="clear" w:color="auto" w:fill="FFFFFF"/>
        <w:tabs>
          <w:tab w:val="clear" w:pos="709"/>
          <w:tab w:val="left" w:pos="1134" w:leader="none"/>
        </w:tabs>
        <w:ind w:firstLine="709" w:left="0"/>
        <w:jc w:val="both"/>
        <w:rPr>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17"/>
        </w:numPr>
        <w:shd w:val="clear" w:color="auto" w:fill="FFFFFF"/>
        <w:tabs>
          <w:tab w:val="clear" w:pos="709"/>
          <w:tab w:val="left" w:pos="1134" w:leader="none"/>
        </w:tabs>
        <w:ind w:firstLine="709" w:left="0"/>
        <w:jc w:val="both"/>
        <w:rPr>
          <w:bCs/>
        </w:rPr>
      </w:pPr>
      <w: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17"/>
        </w:numPr>
        <w:shd w:val="clear" w:color="auto" w:fill="FFFFFF"/>
        <w:tabs>
          <w:tab w:val="clear" w:pos="709"/>
          <w:tab w:val="left" w:pos="1134" w:leader="none"/>
        </w:tabs>
        <w:ind w:firstLine="709" w:left="0"/>
        <w:jc w:val="both"/>
        <w:rPr>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17"/>
        </w:numPr>
        <w:shd w:val="clear" w:color="auto" w:fill="FFFFFF"/>
        <w:tabs>
          <w:tab w:val="clear" w:pos="709"/>
          <w:tab w:val="left" w:pos="568" w:leader="none"/>
        </w:tabs>
        <w:ind w:firstLine="709" w:left="0"/>
        <w:jc w:val="both"/>
        <w:rPr>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568" w:leader="none"/>
        </w:tabs>
        <w:ind w:firstLine="709" w:left="0"/>
        <w:jc w:val="both"/>
        <w:rPr>
          <w:bCs/>
        </w:rPr>
      </w:pPr>
      <w:r>
        <w:rPr>
          <w:bCs/>
        </w:rPr>
        <w:t>При этом любая из Сторон вправе отказаться от исполнения Договора в одностороннем внесудебном порядке.</w:t>
      </w:r>
    </w:p>
    <w:p>
      <w:pPr>
        <w:pStyle w:val="Normal"/>
        <w:spacing w:lineRule="auto" w:line="240"/>
        <w:ind w:hanging="0"/>
        <w:rPr>
          <w:sz w:val="24"/>
          <w:szCs w:val="24"/>
        </w:rPr>
      </w:pPr>
      <w:r>
        <w:rPr>
          <w:sz w:val="24"/>
          <w:szCs w:val="24"/>
        </w:rPr>
      </w:r>
    </w:p>
    <w:p>
      <w:pPr>
        <w:pStyle w:val="ListParagraph"/>
        <w:numPr>
          <w:ilvl w:val="0"/>
          <w:numId w:val="17"/>
        </w:numPr>
        <w:shd w:val="clear" w:color="auto" w:fill="FFFFFF"/>
        <w:tabs>
          <w:tab w:val="clear" w:pos="709"/>
          <w:tab w:val="left" w:pos="426" w:leader="none"/>
        </w:tabs>
        <w:ind w:hanging="0" w:left="0"/>
        <w:jc w:val="center"/>
        <w:rPr>
          <w:b/>
          <w:bCs/>
        </w:rPr>
      </w:pPr>
      <w:r>
        <w:rPr>
          <w:b/>
          <w:bCs/>
        </w:rPr>
        <w:t>Особые положения</w:t>
      </w:r>
    </w:p>
    <w:p>
      <w:pPr>
        <w:pStyle w:val="ListParagraph"/>
        <w:numPr>
          <w:ilvl w:val="1"/>
          <w:numId w:val="17"/>
        </w:numPr>
        <w:shd w:val="clear" w:color="auto" w:fill="FFFFFF"/>
        <w:tabs>
          <w:tab w:val="clear" w:pos="709"/>
          <w:tab w:val="left" w:pos="1134" w:leader="none"/>
        </w:tabs>
        <w:ind w:firstLine="709" w:left="0"/>
        <w:jc w:val="both"/>
        <w:rPr>
          <w:bCs/>
        </w:rPr>
      </w:pPr>
      <w:bookmarkStart w:id="28" w:name="_Ref361337900"/>
      <w:r>
        <w:rPr>
          <w:bCs/>
        </w:rPr>
        <w:t>Подрядчик обязуется не привлекать и не допускать привлечения к исполнению обязательств по Договору организации:</w:t>
      </w:r>
    </w:p>
    <w:p>
      <w:pPr>
        <w:pStyle w:val="ListParagraph"/>
        <w:numPr>
          <w:ilvl w:val="1"/>
          <w:numId w:val="13"/>
        </w:numPr>
        <w:shd w:val="clear" w:color="auto" w:fill="FFFFFF"/>
        <w:tabs>
          <w:tab w:val="clear" w:pos="709"/>
          <w:tab w:val="left" w:pos="1134" w:leader="none"/>
        </w:tabs>
        <w:ind w:firstLine="709" w:left="0"/>
        <w:jc w:val="both"/>
        <w:rPr>
          <w:bCs/>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rPr>
          <w:t>№ 18162/09</w:t>
        </w:r>
      </w:hyperlink>
      <w:r>
        <w:rPr>
          <w:bCs/>
        </w:rPr>
        <w:t xml:space="preserve"> и от 25.05.2010 </w:t>
      </w:r>
      <w:hyperlink r:id="rId3">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13"/>
        </w:numPr>
        <w:shd w:val="clear" w:color="auto" w:fill="FFFFFF"/>
        <w:tabs>
          <w:tab w:val="clear" w:pos="709"/>
          <w:tab w:val="left" w:pos="1134" w:leader="none"/>
        </w:tabs>
        <w:ind w:firstLine="709" w:left="0"/>
        <w:jc w:val="both"/>
        <w:rPr>
          <w:bCs/>
        </w:rPr>
      </w:pPr>
      <w:r>
        <w:rPr>
          <w:bCs/>
        </w:rPr>
        <w:t xml:space="preserve">соответствующие </w:t>
      </w:r>
      <w:hyperlink r:id="rId4">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bookmarkEnd w:id="28"/>
    </w:p>
    <w:p>
      <w:pPr>
        <w:pStyle w:val="ListParagraph"/>
        <w:numPr>
          <w:ilvl w:val="1"/>
          <w:numId w:val="17"/>
        </w:numPr>
        <w:shd w:val="clear" w:color="auto" w:fill="FFFFFF"/>
        <w:tabs>
          <w:tab w:val="clear" w:pos="709"/>
          <w:tab w:val="left" w:pos="1134" w:leader="none"/>
        </w:tabs>
        <w:ind w:firstLine="709" w:left="0"/>
        <w:jc w:val="both"/>
        <w:rPr>
          <w:bCs/>
        </w:rPr>
      </w:pPr>
      <w:bookmarkStart w:id="29" w:name="_Ref361337921"/>
      <w:r>
        <w:rPr>
          <w:bCs/>
        </w:rPr>
        <w:t>Подрядчик обязуется незамедлительно уведомить Заказчика о появлении в ходе исполнения Договора у привлеченных Подрядчиком Субподрядчиков признаков недобросовестности, указанных в пункте 13.1 Договора, а также обеспечить прекращение участия таких организаций в исполнении Договора.</w:t>
      </w:r>
      <w:bookmarkEnd w:id="29"/>
    </w:p>
    <w:p>
      <w:pPr>
        <w:pStyle w:val="ListParagraph"/>
        <w:numPr>
          <w:ilvl w:val="1"/>
          <w:numId w:val="17"/>
        </w:numPr>
        <w:shd w:val="clear" w:color="auto" w:fill="FFFFFF"/>
        <w:tabs>
          <w:tab w:val="clear" w:pos="709"/>
          <w:tab w:val="left" w:pos="1134" w:leader="none"/>
        </w:tabs>
        <w:ind w:firstLine="709" w:left="0"/>
        <w:jc w:val="both"/>
        <w:rPr>
          <w:bCs/>
        </w:rPr>
      </w:pPr>
      <w:bookmarkStart w:id="30" w:name="_Ref361337948"/>
      <w:r>
        <w:rPr>
          <w:bCs/>
        </w:rPr>
        <w:t>В случае нарушения Подрядчиком обязательств, установленных пунктами 13.1, 13.2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Подрядчиком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Подрядчика, представленных до наступления указанной Заказчиком даты расторжения.</w:t>
      </w:r>
      <w:bookmarkEnd w:id="30"/>
    </w:p>
    <w:p>
      <w:pPr>
        <w:pStyle w:val="ListParagraph"/>
        <w:numPr>
          <w:ilvl w:val="1"/>
          <w:numId w:val="17"/>
        </w:numPr>
        <w:shd w:val="clear" w:color="auto" w:fill="FFFFFF"/>
        <w:tabs>
          <w:tab w:val="clear" w:pos="709"/>
          <w:tab w:val="left" w:pos="1134" w:leader="none"/>
        </w:tabs>
        <w:ind w:firstLine="709" w:left="0"/>
        <w:jc w:val="both"/>
        <w:rPr>
          <w:bCs/>
        </w:rPr>
      </w:pPr>
      <w:bookmarkStart w:id="31" w:name="_Ref361337980"/>
      <w:r>
        <w:rPr>
          <w:bCs/>
        </w:rPr>
        <w:t>Подрядчик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13.1 и 13.2 Договора.</w:t>
      </w:r>
      <w:bookmarkEnd w:id="31"/>
    </w:p>
    <w:p>
      <w:pPr>
        <w:pStyle w:val="ListParagraph"/>
        <w:numPr>
          <w:ilvl w:val="1"/>
          <w:numId w:val="17"/>
        </w:numPr>
        <w:shd w:val="clear" w:color="auto" w:fill="FFFFFF"/>
        <w:tabs>
          <w:tab w:val="clear" w:pos="709"/>
          <w:tab w:val="left" w:pos="1134" w:leader="none"/>
        </w:tabs>
        <w:ind w:firstLine="709" w:left="0"/>
        <w:jc w:val="both"/>
        <w:rPr>
          <w:bCs/>
        </w:rPr>
      </w:pPr>
      <w:bookmarkStart w:id="32" w:name="_Ref373243071"/>
      <w:r>
        <w:rPr>
          <w:bCs/>
        </w:rPr>
        <w:t>Штраф, предусмотренный пунктом 13.4 Договора, оплачивается Подрядчиком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13.3 Договора.</w:t>
      </w:r>
      <w:bookmarkEnd w:id="32"/>
    </w:p>
    <w:p>
      <w:pPr>
        <w:pStyle w:val="ListParagraph"/>
        <w:numPr>
          <w:ilvl w:val="1"/>
          <w:numId w:val="17"/>
        </w:numPr>
        <w:shd w:val="clear" w:color="auto" w:fill="FFFFFF"/>
        <w:tabs>
          <w:tab w:val="clear" w:pos="709"/>
          <w:tab w:val="left" w:pos="1134" w:leader="none"/>
        </w:tabs>
        <w:ind w:firstLine="709" w:left="0"/>
        <w:jc w:val="both"/>
        <w:rPr>
          <w:bCs/>
        </w:rPr>
      </w:pPr>
      <w:bookmarkStart w:id="33" w:name="_Ref361337992"/>
      <w:r>
        <w:rPr>
          <w:bCs/>
        </w:rPr>
        <w:t>Заказчик вправе приостановить осуществление любых платежей по Договору, причитающихся Подрядчику, независимо от наличия оснований и наступления сроков таких платежей, до уплаты Подрядчиком штрафа, предусмотренного пунктом 13.4 Договора. При этом Заказчик не будет считаться просрочившим и / или нарушившим свои обязательства по Договору.</w:t>
      </w:r>
      <w:bookmarkEnd w:id="33"/>
    </w:p>
    <w:p>
      <w:pPr>
        <w:pStyle w:val="ListParagraph"/>
        <w:numPr>
          <w:ilvl w:val="1"/>
          <w:numId w:val="17"/>
        </w:numPr>
        <w:shd w:val="clear" w:color="auto" w:fill="FFFFFF"/>
        <w:tabs>
          <w:tab w:val="clear" w:pos="709"/>
          <w:tab w:val="left" w:pos="1134" w:leader="none"/>
        </w:tabs>
        <w:ind w:firstLine="709" w:left="0"/>
        <w:jc w:val="both"/>
        <w:rPr>
          <w:bCs/>
        </w:rPr>
      </w:pPr>
      <w:r>
        <w:rPr>
          <w:bCs/>
        </w:rPr>
        <w:t>Независимо от других положений Договора, положения пунктов 13.4, 13.5 Договора продолжают действовать в течение 4 (четырех) лет после его прекращения (расторжения) или исполнения.</w:t>
      </w:r>
    </w:p>
    <w:p>
      <w:pPr>
        <w:pStyle w:val="ListParagraph"/>
        <w:shd w:val="clear" w:color="auto" w:fill="FFFFFF"/>
        <w:tabs>
          <w:tab w:val="clear" w:pos="709"/>
          <w:tab w:val="left" w:pos="567" w:leader="none"/>
        </w:tabs>
        <w:ind w:hanging="0" w:left="0"/>
        <w:jc w:val="both"/>
        <w:rPr>
          <w:bCs/>
        </w:rPr>
      </w:pPr>
      <w:r>
        <w:rPr>
          <w:bCs/>
        </w:rPr>
      </w:r>
    </w:p>
    <w:p>
      <w:pPr>
        <w:pStyle w:val="ListParagraph"/>
        <w:numPr>
          <w:ilvl w:val="0"/>
          <w:numId w:val="17"/>
        </w:numPr>
        <w:shd w:val="clear" w:color="auto" w:fill="FFFFFF"/>
        <w:tabs>
          <w:tab w:val="clear" w:pos="709"/>
          <w:tab w:val="left" w:pos="426" w:leader="none"/>
        </w:tabs>
        <w:ind w:hanging="0" w:left="0"/>
        <w:jc w:val="center"/>
        <w:rPr>
          <w:b/>
        </w:rPr>
      </w:pPr>
      <w:r>
        <w:rPr>
          <w:b/>
          <w:bCs/>
        </w:rPr>
        <w:t>Заверения</w:t>
      </w:r>
      <w:r>
        <w:rPr>
          <w:b/>
        </w:rPr>
        <w:t xml:space="preserve"> Сторон</w:t>
      </w:r>
    </w:p>
    <w:p>
      <w:pPr>
        <w:pStyle w:val="ListParagraph"/>
        <w:numPr>
          <w:ilvl w:val="1"/>
          <w:numId w:val="17"/>
        </w:numPr>
        <w:shd w:val="clear" w:color="auto" w:fill="FFFFFF"/>
        <w:tabs>
          <w:tab w:val="clear" w:pos="709"/>
          <w:tab w:val="left" w:pos="1134" w:leader="none"/>
          <w:tab w:val="left" w:pos="1418" w:leader="none"/>
        </w:tabs>
        <w:ind w:firstLine="709" w:left="0"/>
        <w:jc w:val="both"/>
        <w:rPr/>
      </w:pPr>
      <w:r>
        <w:rPr>
          <w:bCs/>
        </w:rPr>
        <w:t>Каждая</w:t>
      </w:r>
      <w:r>
        <w:rPr/>
        <w:t xml:space="preserve"> из Сторон заявляет и подтверждает другой Стороне, что: </w:t>
      </w:r>
    </w:p>
    <w:p>
      <w:pPr>
        <w:pStyle w:val="ListParagraph"/>
        <w:numPr>
          <w:ilvl w:val="0"/>
          <w:numId w:val="10"/>
        </w:numPr>
        <w:shd w:val="clear" w:color="auto" w:fill="FFFFFF"/>
        <w:tabs>
          <w:tab w:val="left" w:pos="709" w:leader="none"/>
          <w:tab w:val="left" w:pos="1418" w:leader="none"/>
        </w:tabs>
        <w:ind w:firstLine="709" w:left="0"/>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10"/>
        </w:numPr>
        <w:shd w:val="clear" w:color="auto" w:fill="FFFFFF"/>
        <w:tabs>
          <w:tab w:val="left" w:pos="709" w:leader="none"/>
          <w:tab w:val="left" w:pos="1418" w:leader="none"/>
        </w:tabs>
        <w:ind w:firstLine="709" w:left="0"/>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10"/>
        </w:numPr>
        <w:shd w:val="clear" w:color="auto" w:fill="FFFFFF"/>
        <w:tabs>
          <w:tab w:val="left" w:pos="709" w:leader="none"/>
          <w:tab w:val="left" w:pos="1418" w:leader="none"/>
        </w:tabs>
        <w:ind w:firstLine="709" w:left="0"/>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10"/>
        </w:numPr>
        <w:shd w:val="clear" w:color="auto" w:fill="FFFFFF"/>
        <w:tabs>
          <w:tab w:val="left" w:pos="709" w:leader="none"/>
          <w:tab w:val="left" w:pos="1418" w:leader="none"/>
        </w:tabs>
        <w:ind w:firstLine="709" w:left="0"/>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10"/>
        </w:numPr>
        <w:shd w:val="clear" w:color="auto" w:fill="FFFFFF"/>
        <w:tabs>
          <w:tab w:val="left" w:pos="709" w:leader="none"/>
          <w:tab w:val="left" w:pos="1418" w:leader="none"/>
        </w:tabs>
        <w:ind w:firstLine="709" w:left="0"/>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17"/>
        </w:numPr>
        <w:shd w:val="clear" w:color="auto" w:fill="FFFFFF"/>
        <w:tabs>
          <w:tab w:val="clear" w:pos="709"/>
          <w:tab w:val="left" w:pos="1134" w:leader="none"/>
          <w:tab w:val="left" w:pos="1418" w:leader="none"/>
        </w:tabs>
        <w:ind w:firstLine="709" w:left="0"/>
        <w:jc w:val="both"/>
        <w:rPr/>
      </w:pPr>
      <w:r>
        <w:rPr/>
        <w:t>Подрядчик заявляет и заверяет Заказчика в том, что на момент заключения Договора:</w:t>
      </w:r>
    </w:p>
    <w:p>
      <w:pPr>
        <w:pStyle w:val="ListParagraph"/>
        <w:numPr>
          <w:ilvl w:val="0"/>
          <w:numId w:val="12"/>
        </w:numPr>
        <w:shd w:val="clear" w:color="auto" w:fill="FFFFFF"/>
        <w:tabs>
          <w:tab w:val="left" w:pos="709" w:leader="none"/>
          <w:tab w:val="left" w:pos="1418" w:leader="none"/>
        </w:tabs>
        <w:ind w:firstLine="709" w:left="0"/>
        <w:jc w:val="both"/>
        <w:rPr/>
      </w:pPr>
      <w:r>
        <w:rPr/>
        <w:t>учредителем / учредителями Подрядчика являются лица, не являющиеся массовыми учредителем / учредителями;</w:t>
      </w:r>
    </w:p>
    <w:p>
      <w:pPr>
        <w:pStyle w:val="ListParagraph"/>
        <w:numPr>
          <w:ilvl w:val="0"/>
          <w:numId w:val="12"/>
        </w:numPr>
        <w:shd w:val="clear" w:color="auto" w:fill="FFFFFF"/>
        <w:tabs>
          <w:tab w:val="left" w:pos="709" w:leader="none"/>
          <w:tab w:val="left" w:pos="1418" w:leader="none"/>
        </w:tabs>
        <w:ind w:firstLine="709" w:left="0"/>
        <w:jc w:val="both"/>
        <w:rPr/>
      </w:pPr>
      <w:r>
        <w:rPr/>
        <w:t>руководителем Подрядчика является лицо, не являющееся массовым руководителем;</w:t>
      </w:r>
    </w:p>
    <w:p>
      <w:pPr>
        <w:pStyle w:val="ListParagraph"/>
        <w:numPr>
          <w:ilvl w:val="0"/>
          <w:numId w:val="12"/>
        </w:numPr>
        <w:shd w:val="clear" w:color="auto" w:fill="FFFFFF"/>
        <w:tabs>
          <w:tab w:val="left" w:pos="709" w:leader="none"/>
          <w:tab w:val="left" w:pos="1418" w:leader="none"/>
        </w:tabs>
        <w:ind w:firstLine="709" w:left="0"/>
        <w:jc w:val="both"/>
        <w:rPr/>
      </w:pPr>
      <w:r>
        <w:rPr/>
        <w:t xml:space="preserve">Подрядчик фактически находится по адресу, указанному в Едином государственном реестре юридических лиц; </w:t>
      </w:r>
    </w:p>
    <w:p>
      <w:pPr>
        <w:pStyle w:val="ListParagraph"/>
        <w:numPr>
          <w:ilvl w:val="0"/>
          <w:numId w:val="12"/>
        </w:numPr>
        <w:shd w:val="clear" w:color="auto" w:fill="FFFFFF"/>
        <w:tabs>
          <w:tab w:val="left" w:pos="709" w:leader="none"/>
          <w:tab w:val="left" w:pos="1418" w:leader="none"/>
        </w:tabs>
        <w:ind w:firstLine="709" w:left="0"/>
        <w:jc w:val="both"/>
        <w:rPr/>
      </w:pPr>
      <w:r>
        <w:rPr/>
        <w:t>Подрядчик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11"/>
        </w:numPr>
        <w:shd w:val="clear" w:color="auto" w:fill="FFFFFF"/>
        <w:tabs>
          <w:tab w:val="clear" w:pos="709"/>
          <w:tab w:val="left" w:pos="567" w:leader="none"/>
          <w:tab w:val="left" w:pos="1418" w:leader="none"/>
        </w:tabs>
        <w:ind w:firstLine="709" w:left="0"/>
        <w:jc w:val="both"/>
        <w:rPr/>
      </w:pPr>
      <w:r>
        <w:rPr/>
        <w:t>Подрядчик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Подрядчика должным образом исполнять обязательства, возникающие из Договора или в связи с ним;</w:t>
      </w:r>
    </w:p>
    <w:p>
      <w:pPr>
        <w:pStyle w:val="ListParagraph"/>
        <w:numPr>
          <w:ilvl w:val="0"/>
          <w:numId w:val="11"/>
        </w:numPr>
        <w:shd w:val="clear" w:color="auto" w:fill="FFFFFF"/>
        <w:tabs>
          <w:tab w:val="clear" w:pos="709"/>
          <w:tab w:val="left" w:pos="567" w:leader="none"/>
          <w:tab w:val="left" w:pos="1418" w:leader="none"/>
        </w:tabs>
        <w:ind w:firstLine="709" w:left="0"/>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Подрядчика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Подрядчиком, не подлежит лицензированию и / или не требует получения иного разрешительного документа;</w:t>
      </w:r>
    </w:p>
    <w:p>
      <w:pPr>
        <w:pStyle w:val="ListParagraph"/>
        <w:numPr>
          <w:ilvl w:val="0"/>
          <w:numId w:val="11"/>
        </w:numPr>
        <w:shd w:val="clear" w:color="auto" w:fill="FFFFFF"/>
        <w:tabs>
          <w:tab w:val="clear" w:pos="709"/>
          <w:tab w:val="left" w:pos="567" w:leader="none"/>
          <w:tab w:val="left" w:pos="1418" w:leader="none"/>
        </w:tabs>
        <w:ind w:firstLine="709" w:left="0"/>
        <w:jc w:val="both"/>
        <w:rPr/>
      </w:pPr>
      <w:r>
        <w:rPr/>
        <w:t xml:space="preserve">Подрядчик тщательно изучил всю информацию, связанную с Договором, в том числе по вопросам, влияющим на сроки, стоимость и качество Работ, полностью ознакомлен со всеми условиями производства Работ, и принимает на себя все расходы, риски и трудности исполнения обязательств, возникающих из Договора или в связи с ним; </w:t>
      </w:r>
    </w:p>
    <w:p>
      <w:pPr>
        <w:pStyle w:val="ListParagraph"/>
        <w:numPr>
          <w:ilvl w:val="0"/>
          <w:numId w:val="11"/>
        </w:numPr>
        <w:shd w:val="clear" w:color="auto" w:fill="FFFFFF"/>
        <w:tabs>
          <w:tab w:val="clear" w:pos="709"/>
          <w:tab w:val="left" w:pos="567" w:leader="none"/>
          <w:tab w:val="left" w:pos="1418" w:leader="none"/>
        </w:tabs>
        <w:ind w:firstLine="709" w:left="0"/>
        <w:jc w:val="both"/>
        <w:rPr/>
      </w:pPr>
      <w:r>
        <w:rPr/>
        <w:t>Подрядчик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11"/>
        </w:numPr>
        <w:shd w:val="clear" w:color="auto" w:fill="FFFFFF"/>
        <w:tabs>
          <w:tab w:val="clear" w:pos="709"/>
          <w:tab w:val="left" w:pos="567" w:leader="none"/>
          <w:tab w:val="left" w:pos="1418" w:leader="none"/>
        </w:tabs>
        <w:ind w:firstLine="709" w:left="0"/>
        <w:jc w:val="both"/>
        <w:rPr/>
      </w:pPr>
      <w:r>
        <w:rPr/>
        <w:t>Подрядчик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11"/>
        </w:numPr>
        <w:shd w:val="clear" w:color="auto" w:fill="FFFFFF"/>
        <w:tabs>
          <w:tab w:val="clear" w:pos="709"/>
          <w:tab w:val="left" w:pos="567" w:leader="none"/>
          <w:tab w:val="left" w:pos="1418" w:leader="none"/>
        </w:tabs>
        <w:ind w:firstLine="709" w:left="0"/>
        <w:jc w:val="both"/>
        <w:rPr/>
      </w:pPr>
      <w:r>
        <w:rPr/>
        <w:t>вся информация, предоставленная Заказчику, является достоверной, полной и точной, и Подрядчик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numPr>
          <w:ilvl w:val="0"/>
          <w:numId w:val="11"/>
        </w:numPr>
        <w:shd w:val="clear" w:color="auto" w:fill="FFFFFF"/>
        <w:tabs>
          <w:tab w:val="clear" w:pos="709"/>
          <w:tab w:val="left" w:pos="567" w:leader="none"/>
          <w:tab w:val="left" w:pos="1418" w:leader="none"/>
        </w:tabs>
        <w:ind w:firstLine="709" w:left="0"/>
        <w:jc w:val="both"/>
        <w:rPr/>
      </w:pPr>
      <w:r>
        <w:rPr/>
        <w:t>Подрядчик со</w:t>
      </w:r>
      <w:r>
        <w:rPr>
          <w:shd w:fill="auto" w:val="clear"/>
        </w:rPr>
        <w:t>гласен на многократное применение разработанной им Рабочей документации в качестве типовой проектной документации (проектной документации повторного использования).</w:t>
      </w:r>
    </w:p>
    <w:p>
      <w:pPr>
        <w:pStyle w:val="Normal"/>
        <w:numPr>
          <w:ilvl w:val="1"/>
          <w:numId w:val="17"/>
        </w:numPr>
        <w:spacing w:lineRule="auto" w:line="240"/>
        <w:ind w:firstLine="709" w:left="0"/>
        <w:rPr>
          <w:sz w:val="24"/>
          <w:szCs w:val="24"/>
        </w:rPr>
      </w:pPr>
      <w:r>
        <w:rPr>
          <w:sz w:val="24"/>
          <w:szCs w:val="24"/>
          <w:shd w:fill="auto" w:val="clear"/>
        </w:rPr>
        <w:t xml:space="preserve">При заключении и </w:t>
      </w:r>
      <w:r>
        <w:rPr>
          <w:sz w:val="24"/>
          <w:szCs w:val="24"/>
        </w:rPr>
        <w:t xml:space="preserve">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17"/>
        </w:numPr>
        <w:shd w:val="clear" w:color="auto" w:fill="FFFFFF"/>
        <w:tabs>
          <w:tab w:val="clear" w:pos="709"/>
          <w:tab w:val="left" w:pos="1134" w:leader="none"/>
          <w:tab w:val="left" w:pos="1418" w:leader="none"/>
        </w:tabs>
        <w:ind w:firstLine="709" w:left="0"/>
        <w:jc w:val="both"/>
        <w:rPr/>
      </w:pPr>
      <w:r>
        <w:rPr/>
        <w:t xml:space="preserve">В случае, если </w:t>
      </w:r>
      <w:r>
        <w:rPr>
          <w:bCs/>
        </w:rPr>
        <w:t>Подрядчик</w:t>
      </w:r>
      <w:r>
        <w:rPr/>
        <w:t xml:space="preserve"> при заключении Договора предоставил Заказчику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rPr>
        <w:t xml:space="preserve">Подрядчик </w:t>
      </w:r>
      <w:r>
        <w:rPr/>
        <w:t>обязан по письменному требованию Заказчика уплатить последнему штраф в размере 5 (пять) процентов от Цены Договора, указанной в пункте 3.1 Договора.</w:t>
      </w:r>
    </w:p>
    <w:p>
      <w:pPr>
        <w:pStyle w:val="ListParagraph"/>
        <w:numPr>
          <w:ilvl w:val="1"/>
          <w:numId w:val="17"/>
        </w:numPr>
        <w:shd w:val="clear" w:color="auto" w:fill="FFFFFF"/>
        <w:tabs>
          <w:tab w:val="clear" w:pos="709"/>
          <w:tab w:val="left" w:pos="1134" w:leader="none"/>
          <w:tab w:val="left" w:pos="1418" w:leader="none"/>
        </w:tabs>
        <w:ind w:firstLine="709" w:left="0"/>
        <w:jc w:val="both"/>
        <w:rPr/>
      </w:pPr>
      <w:r>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9"/>
          <w:tab w:val="left" w:pos="1134" w:leader="none"/>
          <w:tab w:val="left" w:pos="1418" w:leader="none"/>
        </w:tabs>
        <w:ind w:hanging="0" w:left="709"/>
        <w:jc w:val="both"/>
        <w:rPr>
          <w:b/>
        </w:rPr>
      </w:pPr>
      <w:r>
        <w:rPr>
          <w:b/>
        </w:rPr>
      </w:r>
    </w:p>
    <w:p>
      <w:pPr>
        <w:pStyle w:val="ListParagraph"/>
        <w:numPr>
          <w:ilvl w:val="0"/>
          <w:numId w:val="17"/>
        </w:numPr>
        <w:shd w:val="clear" w:color="auto" w:fill="FFFFFF"/>
        <w:tabs>
          <w:tab w:val="clear" w:pos="709"/>
          <w:tab w:val="left" w:pos="426" w:leader="none"/>
        </w:tabs>
        <w:ind w:hanging="0" w:left="0"/>
        <w:jc w:val="center"/>
        <w:rPr>
          <w:b/>
        </w:rPr>
      </w:pPr>
      <w:r>
        <w:rPr>
          <w:b/>
          <w:bCs/>
        </w:rPr>
        <w:t>П</w:t>
      </w:r>
      <w:r>
        <w:rPr>
          <w:b/>
        </w:rPr>
        <w:t>рекращение (расторжение) Договора</w:t>
      </w:r>
    </w:p>
    <w:p>
      <w:pPr>
        <w:pStyle w:val="ListParagraph"/>
        <w:numPr>
          <w:ilvl w:val="1"/>
          <w:numId w:val="17"/>
        </w:numPr>
        <w:shd w:val="clear" w:color="auto" w:fill="FFFFFF"/>
        <w:tabs>
          <w:tab w:val="clear" w:pos="709"/>
          <w:tab w:val="left" w:pos="1134" w:leader="none"/>
        </w:tabs>
        <w:ind w:firstLine="709" w:left="0"/>
        <w:jc w:val="both"/>
        <w:rPr/>
      </w:pPr>
      <w:r>
        <w:rPr/>
        <w:t>Договор может быть прекращен (расторгнут) по соглашению Сторон. Сторона, имеющая намерение расторгнуть Договор, нап</w:t>
      </w:r>
      <w:r>
        <w:rPr>
          <w:shd w:fill="auto" w:val="clear"/>
        </w:rPr>
        <w:t xml:space="preserve">равляет письменное уведомление об этом другой Стороне в порядке, предусмотренном пунктом 16.8 Договора, с приложением подписанного соглашения о расторжении </w:t>
      </w:r>
      <w:r>
        <w:rPr/>
        <w:t>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17"/>
        </w:numPr>
        <w:shd w:val="clear" w:color="auto" w:fill="FFFFFF"/>
        <w:tabs>
          <w:tab w:val="clear" w:pos="709"/>
          <w:tab w:val="left" w:pos="1134" w:leader="none"/>
        </w:tabs>
        <w:ind w:firstLine="709" w:left="0"/>
        <w:jc w:val="both"/>
        <w:rPr/>
      </w:pPr>
      <w:r>
        <w:rPr/>
        <w:t xml:space="preserve">Заказчик вправе в любое время до сдачи ему результатов Работ в одностороннем внесудебном порядке отказаться от Договора полностью или в части, уплатив Подрядчику часть установленной Цены Договора, пропорциональную части Работ, выполненных до получения Подрядчиком уведомления Заказчика об отказе от Договора (исполнения Договора). </w:t>
      </w:r>
    </w:p>
    <w:p>
      <w:pPr>
        <w:pStyle w:val="ListParagraph"/>
        <w:shd w:val="clear" w:color="auto" w:fill="FFFFFF"/>
        <w:tabs>
          <w:tab w:val="clear" w:pos="709"/>
          <w:tab w:val="left" w:pos="1134" w:leader="none"/>
        </w:tabs>
        <w:ind w:firstLine="709" w:left="0"/>
        <w:jc w:val="both"/>
        <w:rPr/>
      </w:pPr>
      <w:r>
        <w:rPr/>
        <w:t>Возмещение убытков Подрядчика, вызванных отказом от Договора (исполнения Договора), Заказчиком не производится.</w:t>
      </w:r>
    </w:p>
    <w:p>
      <w:pPr>
        <w:pStyle w:val="ListParagraph"/>
        <w:numPr>
          <w:ilvl w:val="1"/>
          <w:numId w:val="17"/>
        </w:numPr>
        <w:shd w:val="clear" w:color="auto" w:fill="FFFFFF"/>
        <w:tabs>
          <w:tab w:val="clear" w:pos="709"/>
          <w:tab w:val="left" w:pos="1134" w:leader="none"/>
        </w:tabs>
        <w:ind w:firstLine="709" w:left="0"/>
        <w:jc w:val="both"/>
        <w:rPr/>
      </w:pPr>
      <w:r>
        <w:rPr/>
        <w:t>В случае существенного нарушения Договора Подрядчиком Заказчик вправе в одностороннем внесудебном порядке отказаться от Договора и потребовать полного возмещения Подрядчиком убытков, причиненных отказом от Договора (исполнения Договора).</w:t>
      </w:r>
    </w:p>
    <w:p>
      <w:pPr>
        <w:pStyle w:val="ListParagraph"/>
        <w:shd w:val="clear" w:color="auto" w:fill="FFFFFF"/>
        <w:tabs>
          <w:tab w:val="clear" w:pos="709"/>
          <w:tab w:val="left" w:pos="1134" w:leader="none"/>
        </w:tabs>
        <w:ind w:firstLine="709" w:left="0"/>
        <w:jc w:val="both"/>
        <w:rPr/>
      </w:pPr>
      <w:r>
        <w:rPr/>
        <w:t>Заказчик одновременно с уведомлением об отказе от Договора (исполнения Договора) направляет Подрядчику письменное требование о возмещении убытков с приложением расчета суммы убытков. Подрядчик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17"/>
        </w:numPr>
        <w:shd w:val="clear" w:color="auto" w:fill="FFFFFF"/>
        <w:tabs>
          <w:tab w:val="clear" w:pos="709"/>
          <w:tab w:val="left" w:pos="1134" w:leader="none"/>
        </w:tabs>
        <w:ind w:firstLine="709" w:left="0"/>
        <w:jc w:val="both"/>
        <w:rPr/>
      </w:pPr>
      <w:r>
        <w:rPr/>
        <w:t>Стороны установили, что существенным нарушением Договора Подрядчиком является:</w:t>
      </w:r>
    </w:p>
    <w:p>
      <w:pPr>
        <w:pStyle w:val="ListParagraph"/>
        <w:numPr>
          <w:ilvl w:val="0"/>
          <w:numId w:val="9"/>
        </w:numPr>
        <w:tabs>
          <w:tab w:val="clear" w:pos="709"/>
          <w:tab w:val="left" w:pos="1134" w:leader="none"/>
        </w:tabs>
        <w:ind w:firstLine="709" w:left="0" w:right="23"/>
        <w:jc w:val="both"/>
        <w:rPr/>
      </w:pPr>
      <w:r>
        <w:rPr/>
        <w:t>нарушение Подрядчиком начального и конечного сроков выполнения Работ по Договору, а также промежуточных сроков выполнения Работ, установленных Договором, более чем на 60 (шестьдесят) календарных дней по причинам, не зависящим от Заказчика;</w:t>
      </w:r>
    </w:p>
    <w:p>
      <w:pPr>
        <w:pStyle w:val="ListParagraph"/>
        <w:numPr>
          <w:ilvl w:val="0"/>
          <w:numId w:val="9"/>
        </w:numPr>
        <w:tabs>
          <w:tab w:val="clear" w:pos="709"/>
          <w:tab w:val="left" w:pos="1134" w:leader="none"/>
        </w:tabs>
        <w:ind w:firstLine="709" w:left="0" w:right="23"/>
        <w:jc w:val="both"/>
        <w:rPr/>
      </w:pPr>
      <w:r>
        <w:rPr/>
        <w:t>несоблюдение Подрядчиком требований к качеству Работ</w:t>
      </w:r>
      <w:r>
        <w:rPr>
          <w:bCs/>
        </w:rPr>
        <w:t>,</w:t>
      </w:r>
      <w:r>
        <w:rPr/>
        <w:t xml:space="preserve"> если исправление выявленных Заказчиком недостатков, несоответствий Работ влечет нарушение сроков выполнения Работ более чем на 60 (шестьдесят) календарных дней либо такие недостатки являются неустранимыми;</w:t>
      </w:r>
    </w:p>
    <w:p>
      <w:pPr>
        <w:pStyle w:val="ListParagraph"/>
        <w:numPr>
          <w:ilvl w:val="0"/>
          <w:numId w:val="9"/>
        </w:numPr>
        <w:tabs>
          <w:tab w:val="clear" w:pos="709"/>
          <w:tab w:val="left" w:pos="1134" w:leader="none"/>
        </w:tabs>
        <w:ind w:firstLine="709" w:left="0" w:right="23"/>
        <w:jc w:val="both"/>
        <w:rPr/>
      </w:pPr>
      <w:r>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9"/>
        </w:numPr>
        <w:tabs>
          <w:tab w:val="clear" w:pos="709"/>
          <w:tab w:val="left" w:pos="1134" w:leader="none"/>
        </w:tabs>
        <w:ind w:firstLine="709" w:left="0" w:right="23"/>
        <w:jc w:val="both"/>
        <w:rPr/>
      </w:pPr>
      <w:r>
        <w:rPr/>
        <w:t>наложение ареста на имущество Подрядчика, введение арбитражным судом процедуры несостоятельности (банкротства) в отношении Подрядчика;</w:t>
      </w:r>
    </w:p>
    <w:p>
      <w:pPr>
        <w:pStyle w:val="ListParagraph"/>
        <w:numPr>
          <w:ilvl w:val="0"/>
          <w:numId w:val="9"/>
        </w:numPr>
        <w:tabs>
          <w:tab w:val="clear" w:pos="709"/>
          <w:tab w:val="left" w:pos="1134" w:leader="none"/>
        </w:tabs>
        <w:ind w:firstLine="709" w:left="0" w:right="23"/>
        <w:jc w:val="both"/>
        <w:rPr/>
      </w:pPr>
      <w:r>
        <w:rPr/>
        <w:t>привлечение к выполнению Работ по Договору третьих лиц (Субподрядчиков) с нарушением требований, установленных пунктом 2.4.2 Договора;</w:t>
      </w:r>
    </w:p>
    <w:p>
      <w:pPr>
        <w:pStyle w:val="ListParagraph"/>
        <w:numPr>
          <w:ilvl w:val="0"/>
          <w:numId w:val="9"/>
        </w:numPr>
        <w:tabs>
          <w:tab w:val="clear" w:pos="709"/>
          <w:tab w:val="left" w:pos="1134" w:leader="none"/>
        </w:tabs>
        <w:ind w:firstLine="709" w:left="0" w:right="23"/>
        <w:jc w:val="both"/>
        <w:rPr/>
      </w:pPr>
      <w:r>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pPr>
        <w:pStyle w:val="ListParagraph"/>
        <w:numPr>
          <w:ilvl w:val="0"/>
          <w:numId w:val="9"/>
        </w:numPr>
        <w:tabs>
          <w:tab w:val="clear" w:pos="709"/>
          <w:tab w:val="left" w:pos="1134" w:leader="none"/>
        </w:tabs>
        <w:ind w:firstLine="709" w:left="0" w:right="23"/>
        <w:jc w:val="both"/>
        <w:rPr/>
      </w:pPr>
      <w:r>
        <w:rPr/>
        <w:t>установление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Подрядчика об обстоятельствах, указанных в разделе 14 Договора, и имеющих существенное значение для его заключения и исполнения;</w:t>
      </w:r>
    </w:p>
    <w:p>
      <w:pPr>
        <w:pStyle w:val="ListParagraph"/>
        <w:numPr>
          <w:ilvl w:val="1"/>
          <w:numId w:val="17"/>
        </w:numPr>
        <w:shd w:val="clear" w:color="auto" w:fill="FFFFFF"/>
        <w:tabs>
          <w:tab w:val="clear" w:pos="709"/>
          <w:tab w:val="left" w:pos="1134" w:leader="none"/>
        </w:tabs>
        <w:ind w:firstLine="709" w:left="0"/>
        <w:jc w:val="both"/>
        <w:rPr/>
      </w:pPr>
      <w:r>
        <w:rPr/>
        <w:t xml:space="preserve">В случае отказа Заказчика от Договора в случаях, предусмотренных пунктами 15.2, 15.3, 15.4 Договора, последний считается прекращенным (расторгнутым) со дня, следующего за днем получения Подрядчиком уведомления Заказчика об отказе от Договора (исполнения Договора). </w:t>
      </w:r>
    </w:p>
    <w:p>
      <w:pPr>
        <w:pStyle w:val="ListParagraph"/>
        <w:numPr>
          <w:ilvl w:val="1"/>
          <w:numId w:val="17"/>
        </w:numPr>
        <w:shd w:val="clear" w:color="auto" w:fill="FFFFFF"/>
        <w:tabs>
          <w:tab w:val="clear" w:pos="709"/>
          <w:tab w:val="left" w:pos="1134" w:leader="none"/>
        </w:tabs>
        <w:ind w:firstLine="709" w:left="0"/>
        <w:jc w:val="both"/>
        <w:rPr/>
      </w:pPr>
      <w:r>
        <w:rPr/>
        <w:t>С даты прекращения (расторжения) Договора Подрядчик обязан прекратить производство Работ, и в согласованные Сторонами сроки передать Заказчику Результат работ, техническую и иную полученную документацию.</w:t>
      </w:r>
    </w:p>
    <w:p>
      <w:pPr>
        <w:pStyle w:val="ListParagraph"/>
        <w:numPr>
          <w:ilvl w:val="1"/>
          <w:numId w:val="17"/>
        </w:numPr>
        <w:shd w:val="clear" w:color="auto" w:fill="FFFFFF"/>
        <w:tabs>
          <w:tab w:val="clear" w:pos="709"/>
          <w:tab w:val="left" w:pos="1134" w:leader="none"/>
        </w:tabs>
        <w:ind w:firstLine="709" w:left="0"/>
        <w:jc w:val="both"/>
        <w:rPr/>
      </w:pPr>
      <w:r>
        <w:rPr/>
        <w:t>При прекращении (расторжении) Договора по основаниям, указанным в настоящем разделе Договора, все обязательства Сторон по Договору считаются прекратившимися, за исключением обязательств по незавершенным расчетам, а также обязательств Подрядчика по возмещению неустойки (пени), штрафов и убытков в случаях и размерах, предусмотренных Договором.</w:t>
      </w:r>
    </w:p>
    <w:p>
      <w:pPr>
        <w:pStyle w:val="ListParagraph"/>
        <w:shd w:val="clear" w:color="auto" w:fill="FFFFFF"/>
        <w:tabs>
          <w:tab w:val="clear" w:pos="709"/>
          <w:tab w:val="left" w:pos="1418" w:leader="none"/>
        </w:tabs>
        <w:ind w:firstLine="567" w:left="0"/>
        <w:jc w:val="both"/>
        <w:rPr>
          <w:b/>
          <w:bCs/>
        </w:rPr>
      </w:pPr>
      <w:r>
        <w:rPr>
          <w:b/>
          <w:bCs/>
        </w:rPr>
      </w:r>
    </w:p>
    <w:p>
      <w:pPr>
        <w:pStyle w:val="ListParagraph"/>
        <w:numPr>
          <w:ilvl w:val="0"/>
          <w:numId w:val="17"/>
        </w:numPr>
        <w:shd w:val="clear" w:color="auto" w:fill="FFFFFF"/>
        <w:tabs>
          <w:tab w:val="clear" w:pos="709"/>
          <w:tab w:val="left" w:pos="426" w:leader="none"/>
        </w:tabs>
        <w:ind w:hanging="0" w:left="0"/>
        <w:jc w:val="center"/>
        <w:rPr>
          <w:b/>
          <w:bCs/>
        </w:rPr>
      </w:pPr>
      <w:r>
        <w:rPr>
          <w:b/>
          <w:bCs/>
        </w:rPr>
        <w:t>Заключительные положения</w:t>
      </w:r>
    </w:p>
    <w:p>
      <w:pPr>
        <w:pStyle w:val="ListParagraph"/>
        <w:numPr>
          <w:ilvl w:val="1"/>
          <w:numId w:val="17"/>
        </w:numPr>
        <w:shd w:val="clear" w:color="auto" w:fill="FFFFFF"/>
        <w:tabs>
          <w:tab w:val="clear" w:pos="709"/>
          <w:tab w:val="left" w:pos="1134" w:leader="none"/>
        </w:tabs>
        <w:ind w:firstLine="709" w:left="0"/>
        <w:jc w:val="both"/>
        <w:rPr/>
      </w:pPr>
      <w:r>
        <w:rPr/>
        <w:t>Договор вступает в силу с даты его подписания Сторонами и действует до полного исполнения ими принятых на себя обязательств.</w:t>
      </w:r>
    </w:p>
    <w:p>
      <w:pPr>
        <w:pStyle w:val="Normal"/>
        <w:numPr>
          <w:ilvl w:val="1"/>
          <w:numId w:val="17"/>
        </w:numPr>
        <w:snapToGrid w:val="false"/>
        <w:spacing w:lineRule="auto" w:line="240"/>
        <w:ind w:firstLine="709" w:left="0"/>
        <w:rPr>
          <w:sz w:val="24"/>
          <w:szCs w:val="24"/>
          <w:highlight w:val="lightGray"/>
          <w:lang w:eastAsia="en-US"/>
        </w:rPr>
      </w:pPr>
      <w:r>
        <w:rPr>
          <w:sz w:val="24"/>
          <w:szCs w:val="24"/>
          <w:highlight w:val="lightGray"/>
          <w:lang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Normal"/>
        <w:spacing w:lineRule="auto" w:line="240"/>
        <w:ind w:firstLine="709"/>
        <w:rPr>
          <w:sz w:val="24"/>
          <w:szCs w:val="24"/>
          <w:lang w:eastAsia="en-US"/>
        </w:rPr>
      </w:pPr>
      <w:r>
        <w:rPr>
          <w:sz w:val="24"/>
          <w:szCs w:val="24"/>
          <w:highlight w:val="lightGray"/>
          <w:lang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FootnoteReference"/>
          <w:sz w:val="24"/>
          <w:szCs w:val="24"/>
          <w:highlight w:val="lightGray"/>
          <w:lang w:eastAsia="en-US"/>
        </w:rPr>
        <w:footnoteReference w:id="9"/>
      </w:r>
      <w:r>
        <w:rPr>
          <w:sz w:val="24"/>
          <w:szCs w:val="24"/>
          <w:highlight w:val="lightGray"/>
          <w:lang w:eastAsia="en-US"/>
        </w:rPr>
        <w:t>.</w:t>
      </w:r>
    </w:p>
    <w:p>
      <w:pPr>
        <w:pStyle w:val="ListParagraph"/>
        <w:numPr>
          <w:ilvl w:val="1"/>
          <w:numId w:val="17"/>
        </w:numPr>
        <w:shd w:val="clear" w:color="auto" w:fill="FFFFFF"/>
        <w:tabs>
          <w:tab w:val="clear" w:pos="709"/>
          <w:tab w:val="left" w:pos="1134" w:leader="none"/>
        </w:tabs>
        <w:ind w:firstLine="709" w:left="0"/>
        <w:jc w:val="both"/>
        <w:rPr/>
      </w:pPr>
      <w:r>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highlight w:val="lightGray"/>
        </w:rPr>
        <w:t>16.7</w:t>
      </w:r>
      <w:r>
        <w:rPr/>
        <w:t xml:space="preserve"> Договора. </w:t>
      </w:r>
    </w:p>
    <w:p>
      <w:pPr>
        <w:pStyle w:val="ListParagraph"/>
        <w:numPr>
          <w:ilvl w:val="1"/>
          <w:numId w:val="17"/>
        </w:numPr>
        <w:shd w:val="clear" w:color="auto" w:fill="FFFFFF"/>
        <w:tabs>
          <w:tab w:val="clear" w:pos="709"/>
          <w:tab w:val="left" w:pos="1134" w:leader="none"/>
        </w:tabs>
        <w:ind w:firstLine="709" w:left="0"/>
        <w:jc w:val="both"/>
        <w:rPr/>
      </w:pPr>
      <w: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17"/>
        </w:numPr>
        <w:shd w:val="clear" w:color="auto" w:fill="FFFFFF"/>
        <w:tabs>
          <w:tab w:val="clear" w:pos="709"/>
          <w:tab w:val="left" w:pos="1134" w:leader="none"/>
        </w:tabs>
        <w:ind w:firstLine="709" w:left="0"/>
        <w:jc w:val="both"/>
        <w:rPr/>
      </w:pPr>
      <w: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17"/>
        </w:numPr>
        <w:shd w:val="clear" w:color="auto" w:fill="FFFFFF"/>
        <w:tabs>
          <w:tab w:val="clear" w:pos="709"/>
          <w:tab w:val="left" w:pos="1134" w:leader="none"/>
        </w:tabs>
        <w:ind w:firstLine="709" w:left="0"/>
        <w:jc w:val="both"/>
        <w:rPr/>
      </w:pPr>
      <w:r>
        <w:rPr/>
        <w:t xml:space="preserve">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w:t>
      </w:r>
      <w:r>
        <w:rPr>
          <w:highlight w:val="lightGray"/>
        </w:rPr>
        <w:t>16.8</w:t>
      </w:r>
      <w:r>
        <w:rPr/>
        <w:t xml:space="preserve">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numPr>
          <w:ilvl w:val="1"/>
          <w:numId w:val="17"/>
        </w:numPr>
        <w:shd w:val="clear" w:color="auto" w:fill="FFFFFF"/>
        <w:tabs>
          <w:tab w:val="clear" w:pos="709"/>
          <w:tab w:val="left" w:pos="1134" w:leader="none"/>
        </w:tabs>
        <w:ind w:firstLine="709" w:left="0"/>
        <w:jc w:val="both"/>
        <w:rPr/>
      </w:pPr>
      <w:bookmarkStart w:id="34" w:name="_Ref361338004"/>
      <w:r>
        <w:rPr/>
        <w:t xml:space="preserve">Стороны обязуются уведомлять друг друга об изменении адреса и / или реквизитов, указанных в разделе 18 Договора, не позднее 3 (трех) рабочих дней после такого изменения в порядке, установленном пунктом </w:t>
      </w:r>
      <w:r>
        <w:rPr>
          <w:highlight w:val="lightGray"/>
        </w:rPr>
        <w:t>16.8</w:t>
      </w:r>
      <w:r>
        <w:rPr/>
        <w:t xml:space="preserve"> Договора.</w:t>
      </w:r>
      <w:bookmarkEnd w:id="34"/>
      <w:r>
        <w:rPr/>
        <w:t xml:space="preserve"> </w:t>
      </w:r>
    </w:p>
    <w:p>
      <w:pPr>
        <w:pStyle w:val="ListParagraph"/>
        <w:numPr>
          <w:ilvl w:val="1"/>
          <w:numId w:val="17"/>
        </w:numPr>
        <w:shd w:val="clear" w:color="auto" w:fill="FFFFFF"/>
        <w:tabs>
          <w:tab w:val="clear" w:pos="709"/>
          <w:tab w:val="left" w:pos="0" w:leader="none"/>
          <w:tab w:val="left" w:pos="1134" w:leader="none"/>
          <w:tab w:val="left" w:pos="1418" w:leader="none"/>
        </w:tabs>
        <w:ind w:firstLine="709" w:left="0"/>
        <w:jc w:val="both"/>
        <w:rPr>
          <w:bCs/>
        </w:rPr>
      </w:pPr>
      <w:r>
        <w:rPr/>
        <w:t>Письма, уведомления и / или сообщения направляются Стороне</w:t>
      </w:r>
      <w:r>
        <w:rPr>
          <w:bCs/>
        </w:rPr>
        <w:t>-</w:t>
      </w:r>
      <w:r>
        <w:rPr/>
        <w:t>получателю по адресу ее места нахождения, указанному в разделе 18 Договора, или в ранее полученном уведомлении Стороны об изменении адреса, одним из следующих способов, при этом документ</w:t>
      </w:r>
      <w:r>
        <w:rPr>
          <w:bCs/>
        </w:rPr>
        <w:t xml:space="preserve"> будет считаться полученным</w:t>
      </w:r>
      <w:r>
        <w:rPr/>
        <w:t xml:space="preserve">: </w:t>
      </w:r>
    </w:p>
    <w:p>
      <w:pPr>
        <w:pStyle w:val="ListParagraph"/>
        <w:widowControl w:val="false"/>
        <w:numPr>
          <w:ilvl w:val="2"/>
          <w:numId w:val="17"/>
        </w:numPr>
        <w:ind w:firstLine="709" w:left="0"/>
        <w:jc w:val="both"/>
        <w:rPr/>
      </w:pPr>
      <w:r>
        <w:rPr>
          <w:bCs/>
        </w:rPr>
        <w:t xml:space="preserve">Заказным почтовым отправлением с уведомлением о вручении – </w:t>
      </w:r>
      <w:r>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widowControl w:val="false"/>
        <w:numPr>
          <w:ilvl w:val="2"/>
          <w:numId w:val="17"/>
        </w:numPr>
        <w:ind w:firstLine="709" w:left="0"/>
        <w:jc w:val="both"/>
        <w:rPr/>
      </w:pPr>
      <w:r>
        <w:rPr>
          <w:bCs/>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t xml:space="preserve">; </w:t>
      </w:r>
    </w:p>
    <w:p>
      <w:pPr>
        <w:pStyle w:val="ListParagraph"/>
        <w:widowControl w:val="false"/>
        <w:numPr>
          <w:ilvl w:val="2"/>
          <w:numId w:val="17"/>
        </w:numPr>
        <w:ind w:firstLine="709" w:left="0"/>
        <w:jc w:val="both"/>
        <w:rPr>
          <w:bCs/>
        </w:rPr>
      </w:pPr>
      <w:r>
        <w:rPr>
          <w:bCs/>
        </w:rPr>
        <w:t>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 w:val="left" w:pos="1701" w:leader="none"/>
        </w:tabs>
        <w:ind w:firstLine="709" w:left="0"/>
        <w:jc w:val="both"/>
        <w:rPr>
          <w:bCs/>
        </w:rPr>
      </w:pPr>
      <w:r>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highlight w:val="lightGray"/>
        </w:rPr>
        <w:t>16.8.1 – 16.8.2</w:t>
      </w:r>
      <w:r>
        <w:rPr>
          <w:bCs/>
        </w:rPr>
        <w:t xml:space="preserve"> Договора. </w:t>
      </w:r>
    </w:p>
    <w:p>
      <w:pPr>
        <w:pStyle w:val="ListParagraph"/>
        <w:numPr>
          <w:ilvl w:val="1"/>
          <w:numId w:val="17"/>
        </w:numPr>
        <w:ind w:firstLine="709" w:left="0"/>
        <w:jc w:val="both"/>
        <w:rPr>
          <w:bCs/>
        </w:rPr>
      </w:pPr>
      <w:r>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17"/>
        </w:numPr>
        <w:shd w:val="clear" w:color="auto" w:fill="FFFFFF"/>
        <w:tabs>
          <w:tab w:val="clear" w:pos="709"/>
          <w:tab w:val="left" w:pos="568" w:leader="none"/>
        </w:tabs>
        <w:ind w:firstLine="709" w:left="0"/>
        <w:rPr>
          <w:bCs/>
        </w:rPr>
      </w:pPr>
      <w:r>
        <w:rPr/>
        <w:t>Уступка (передача), в том числе в залог, прав (требований) к Заказчику по денежным обязательствам, принадлежащих Подрядчику на основании Договора, допускается только с предварительного письменного согласия Заказчика и оформляется трехсторонним договором</w:t>
      </w:r>
      <w:r>
        <w:rPr>
          <w:bCs/>
        </w:rPr>
        <w:t>.</w:t>
      </w:r>
      <w:r>
        <w:rPr/>
        <w:t xml:space="preserve"> </w:t>
      </w:r>
    </w:p>
    <w:p>
      <w:pPr>
        <w:pStyle w:val="ListParagraph"/>
        <w:numPr>
          <w:ilvl w:val="1"/>
          <w:numId w:val="17"/>
        </w:numPr>
        <w:shd w:val="clear" w:color="auto" w:fill="FFFFFF"/>
        <w:tabs>
          <w:tab w:val="clear" w:pos="709"/>
          <w:tab w:val="left" w:pos="1134" w:leader="none"/>
        </w:tabs>
        <w:ind w:firstLine="709" w:left="0"/>
        <w:jc w:val="both"/>
        <w:rPr/>
      </w:pPr>
      <w:r>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numPr>
          <w:ilvl w:val="1"/>
          <w:numId w:val="17"/>
        </w:numPr>
        <w:shd w:val="clear" w:color="auto" w:fill="FFFFFF"/>
        <w:tabs>
          <w:tab w:val="clear" w:pos="709"/>
          <w:tab w:val="left" w:pos="1134" w:leader="none"/>
        </w:tabs>
        <w:ind w:firstLine="709" w:left="0"/>
        <w:jc w:val="both"/>
        <w:rPr/>
      </w:pPr>
      <w:r>
        <w:rPr/>
        <w:t>Договор составлен в 2 (двух) оригинальных экземплярах, имеющих равную юридическую силу, по 1 (одному) для каждой из Сторон</w:t>
      </w:r>
      <w:r>
        <w:rPr>
          <w:rStyle w:val="FootnoteReference"/>
          <w:highlight w:val="lightGray"/>
        </w:rPr>
        <w:footnoteReference w:id="10"/>
      </w:r>
      <w:r>
        <w:rPr>
          <w:highlight w:val="lightGray"/>
        </w:rPr>
        <w:t>.</w:t>
      </w:r>
    </w:p>
    <w:p>
      <w:pPr>
        <w:pStyle w:val="ListParagraph"/>
        <w:shd w:val="clear" w:color="auto" w:fill="FFFFFF"/>
        <w:ind w:firstLine="567" w:left="0"/>
        <w:rPr>
          <w:bCs/>
        </w:rPr>
      </w:pPr>
      <w:r>
        <w:rPr>
          <w:bCs/>
        </w:rPr>
      </w:r>
    </w:p>
    <w:p>
      <w:pPr>
        <w:pStyle w:val="ListParagraph"/>
        <w:numPr>
          <w:ilvl w:val="0"/>
          <w:numId w:val="17"/>
        </w:numPr>
        <w:shd w:val="clear" w:color="auto" w:fill="FFFFFF"/>
        <w:tabs>
          <w:tab w:val="clear" w:pos="709"/>
          <w:tab w:val="left" w:pos="426" w:leader="none"/>
        </w:tabs>
        <w:ind w:hanging="0" w:left="0"/>
        <w:jc w:val="center"/>
        <w:rPr>
          <w:b/>
          <w:bCs/>
        </w:rPr>
      </w:pPr>
      <w:r>
        <w:rPr>
          <w:b/>
          <w:bCs/>
        </w:rPr>
        <w:t>Список приложений</w:t>
      </w:r>
    </w:p>
    <w:p>
      <w:pPr>
        <w:pStyle w:val="ListParagraph"/>
        <w:shd w:val="clear" w:color="auto" w:fill="FFFFFF"/>
        <w:ind w:hanging="0" w:left="0"/>
        <w:jc w:val="both"/>
        <w:rPr>
          <w:bCs/>
        </w:rPr>
      </w:pPr>
      <w:r>
        <w:rPr/>
        <w:t xml:space="preserve">Приложение № </w:t>
      </w:r>
      <w:r>
        <w:rPr>
          <w:bCs/>
        </w:rPr>
        <w:t>1 – Техническое задание;</w:t>
      </w:r>
    </w:p>
    <w:p>
      <w:pPr>
        <w:pStyle w:val="ListParagraph"/>
        <w:shd w:val="clear" w:color="auto" w:fill="FFFFFF"/>
        <w:ind w:hanging="0" w:left="0"/>
        <w:jc w:val="both"/>
        <w:rPr>
          <w:bCs/>
        </w:rPr>
      </w:pPr>
      <w:r>
        <w:rPr>
          <w:bCs/>
        </w:rPr>
        <w:t>Приложение № 2 – Сводная смета с приложениями;</w:t>
      </w:r>
    </w:p>
    <w:p>
      <w:pPr>
        <w:pStyle w:val="ListParagraph"/>
        <w:shd w:val="clear" w:color="auto" w:fill="FFFFFF"/>
        <w:ind w:hanging="0" w:left="0"/>
        <w:jc w:val="both"/>
        <w:rPr>
          <w:bCs/>
        </w:rPr>
      </w:pPr>
      <w:r>
        <w:rPr>
          <w:bCs/>
        </w:rPr>
        <w:t>Приложение № 3 – Форма Акта сдачи-приемки технической и иной документации;</w:t>
      </w:r>
    </w:p>
    <w:p>
      <w:pPr>
        <w:pStyle w:val="ListParagraph"/>
        <w:shd w:val="clear" w:color="auto" w:fill="FFFFFF"/>
        <w:ind w:hanging="0" w:left="0"/>
        <w:jc w:val="both"/>
        <w:rPr>
          <w:bCs/>
        </w:rPr>
      </w:pPr>
      <w:r>
        <w:rPr>
          <w:bCs/>
        </w:rPr>
        <w:t>Приложение № 4 – Перечень допусков, разрешений и лицензий Подрядчика;</w:t>
      </w:r>
    </w:p>
    <w:p>
      <w:pPr>
        <w:pStyle w:val="ListParagraph"/>
        <w:shd w:val="clear" w:color="auto" w:fill="FFFFFF"/>
        <w:ind w:hanging="0" w:left="0"/>
        <w:jc w:val="both"/>
        <w:rPr>
          <w:bCs/>
        </w:rPr>
      </w:pPr>
      <w:r>
        <w:rPr>
          <w:bCs/>
        </w:rPr>
        <w:t>Приложение № 5 – Размер ответственности Подрядчика за нарушения пропускного и внутриобъектового режима, требований охраны труда, пожарной и промышленной безопасности;</w:t>
      </w:r>
    </w:p>
    <w:p>
      <w:pPr>
        <w:pStyle w:val="ListParagraph"/>
        <w:shd w:val="clear" w:color="auto" w:fill="FFFFFF"/>
        <w:ind w:hanging="0" w:left="0"/>
        <w:jc w:val="both"/>
        <w:rPr>
          <w:bCs/>
        </w:rPr>
      </w:pPr>
      <w:r>
        <w:rPr>
          <w:bCs/>
        </w:rPr>
        <w:t>Приложение № 6 – Форма Акта сдачи-приемки выполненных работ;</w:t>
      </w:r>
    </w:p>
    <w:p>
      <w:pPr>
        <w:pStyle w:val="ListParagraph"/>
        <w:shd w:val="clear" w:color="auto" w:fill="FFFFFF"/>
        <w:ind w:hanging="0" w:left="0"/>
        <w:jc w:val="both"/>
        <w:rPr>
          <w:bCs/>
        </w:rPr>
      </w:pPr>
      <w:r>
        <w:rPr>
          <w:bCs/>
        </w:rPr>
        <w:t xml:space="preserve">Приложение № </w:t>
      </w:r>
      <w:r>
        <w:rPr>
          <w:bCs/>
        </w:rPr>
        <w:t>7</w:t>
      </w:r>
      <w:r>
        <w:rPr>
          <w:bCs/>
        </w:rPr>
        <w:t xml:space="preserve"> – Критерии отбора Банков-Гарантов;</w:t>
      </w:r>
    </w:p>
    <w:p>
      <w:pPr>
        <w:pStyle w:val="ListParagraph"/>
        <w:shd w:val="clear" w:color="auto" w:fill="FFFFFF"/>
        <w:ind w:hanging="0" w:left="0"/>
        <w:jc w:val="both"/>
        <w:rPr>
          <w:bCs/>
        </w:rPr>
      </w:pPr>
      <w:r>
        <w:rPr>
          <w:bCs/>
        </w:rPr>
      </w:r>
    </w:p>
    <w:p>
      <w:pPr>
        <w:pStyle w:val="ListParagraph"/>
        <w:shd w:val="clear" w:color="auto" w:fill="FFFFFF"/>
        <w:ind w:hanging="0" w:left="0"/>
        <w:jc w:val="both"/>
        <w:rPr>
          <w:bCs/>
        </w:rPr>
      </w:pPr>
      <w:r>
        <w:rPr>
          <w:bCs/>
        </w:rPr>
      </w:r>
    </w:p>
    <w:p>
      <w:pPr>
        <w:pStyle w:val="ListParagraph"/>
        <w:numPr>
          <w:ilvl w:val="0"/>
          <w:numId w:val="17"/>
        </w:numPr>
        <w:shd w:val="clear" w:color="auto" w:fill="FFFFFF"/>
        <w:tabs>
          <w:tab w:val="clear" w:pos="709"/>
          <w:tab w:val="left" w:pos="426" w:leader="none"/>
        </w:tabs>
        <w:ind w:hanging="0" w:left="0"/>
        <w:jc w:val="center"/>
        <w:rPr>
          <w:b/>
          <w:bCs/>
        </w:rPr>
      </w:pPr>
      <w:r>
        <w:rPr>
          <w:b/>
          <w:bCs/>
        </w:rPr>
        <w:t>Адреса и платежные реквизиты Сторон</w:t>
      </w:r>
    </w:p>
    <w:p>
      <w:pPr>
        <w:pStyle w:val="ListParagraph"/>
        <w:shd w:val="clear" w:color="auto" w:fill="FFFFFF"/>
        <w:tabs>
          <w:tab w:val="clear" w:pos="709"/>
          <w:tab w:val="left" w:pos="426" w:leader="none"/>
        </w:tabs>
        <w:ind w:hanging="0" w:left="0"/>
        <w:rPr>
          <w:b/>
          <w:bCs/>
        </w:rPr>
      </w:pPr>
      <w:r>
        <w:rPr>
          <w:b/>
          <w:bCs/>
        </w:rPr>
      </w:r>
    </w:p>
    <w:tbl>
      <w:tblPr>
        <w:tblW w:w="9639"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779"/>
        <w:gridCol w:w="149"/>
        <w:gridCol w:w="4535"/>
        <w:gridCol w:w="176"/>
      </w:tblGrid>
      <w:tr>
        <w:trPr/>
        <w:tc>
          <w:tcPr>
            <w:tcW w:w="4928" w:type="dxa"/>
            <w:gridSpan w:val="2"/>
            <w:tcBorders/>
          </w:tcPr>
          <w:p>
            <w:pPr>
              <w:pStyle w:val="Normal"/>
              <w:widowControl w:val="false"/>
              <w:spacing w:lineRule="auto" w:line="240"/>
              <w:ind w:hanging="0"/>
              <w:rPr>
                <w:sz w:val="24"/>
                <w:szCs w:val="24"/>
              </w:rPr>
            </w:pPr>
            <w:r>
              <w:rPr>
                <w:sz w:val="24"/>
                <w:szCs w:val="24"/>
              </w:rPr>
              <w:t>ЗАКАЗЧИК:</w:t>
            </w:r>
          </w:p>
        </w:tc>
        <w:tc>
          <w:tcPr>
            <w:tcW w:w="4711" w:type="dxa"/>
            <w:gridSpan w:val="2"/>
            <w:tcBorders/>
          </w:tcPr>
          <w:p>
            <w:pPr>
              <w:pStyle w:val="Normal"/>
              <w:widowControl w:val="false"/>
              <w:spacing w:lineRule="auto" w:line="240"/>
              <w:ind w:hanging="0"/>
              <w:rPr>
                <w:sz w:val="24"/>
                <w:szCs w:val="24"/>
              </w:rPr>
            </w:pPr>
            <w:r>
              <w:rPr>
                <w:sz w:val="24"/>
                <w:szCs w:val="24"/>
              </w:rPr>
              <w:t>ПОДРЯДЧИК:</w:t>
            </w:r>
          </w:p>
        </w:tc>
      </w:tr>
      <w:tr>
        <w:trPr/>
        <w:tc>
          <w:tcPr>
            <w:tcW w:w="4928" w:type="dxa"/>
            <w:gridSpan w:val="2"/>
            <w:tcBorders/>
          </w:tcPr>
          <w:p>
            <w:pPr>
              <w:pStyle w:val="Normal"/>
              <w:widowControl w:val="false"/>
              <w:spacing w:lineRule="auto" w:line="240"/>
              <w:ind w:hanging="0"/>
              <w:jc w:val="left"/>
              <w:rPr>
                <w:b/>
                <w:sz w:val="24"/>
                <w:szCs w:val="24"/>
              </w:rPr>
            </w:pPr>
            <w:r>
              <w:rPr>
                <w:b/>
                <w:sz w:val="24"/>
                <w:szCs w:val="24"/>
              </w:rPr>
              <w:t>Публичное акционерное общество</w:t>
            </w:r>
          </w:p>
          <w:p>
            <w:pPr>
              <w:pStyle w:val="Normal"/>
              <w:widowControl w:val="false"/>
              <w:spacing w:lineRule="auto" w:line="240"/>
              <w:ind w:hanging="0"/>
              <w:jc w:val="left"/>
              <w:rPr>
                <w:b/>
                <w:sz w:val="24"/>
                <w:szCs w:val="24"/>
              </w:rPr>
            </w:pPr>
            <w:r>
              <w:rPr>
                <w:b/>
                <w:sz w:val="24"/>
                <w:szCs w:val="24"/>
              </w:rPr>
              <w:t>«Федеральная гидрогенерирующая компания - РусГидро» (ПАО «РусГидро»)</w:t>
            </w:r>
          </w:p>
          <w:p>
            <w:pPr>
              <w:pStyle w:val="Normal"/>
              <w:widowControl w:val="false"/>
              <w:spacing w:lineRule="auto" w:line="240"/>
              <w:ind w:hanging="0"/>
              <w:jc w:val="left"/>
              <w:rPr>
                <w:sz w:val="24"/>
                <w:szCs w:val="24"/>
              </w:rPr>
            </w:pPr>
            <w:r>
              <w:rPr>
                <w:sz w:val="24"/>
                <w:szCs w:val="24"/>
              </w:rPr>
              <w:t>Юридический/Почтовый адрес: 660017, Красноярский край, г.о. город Красноярск,</w:t>
            </w:r>
          </w:p>
          <w:p>
            <w:pPr>
              <w:pStyle w:val="Normal"/>
              <w:widowControl w:val="false"/>
              <w:spacing w:lineRule="auto" w:line="240"/>
              <w:ind w:hanging="0"/>
              <w:jc w:val="left"/>
              <w:rPr>
                <w:sz w:val="24"/>
                <w:szCs w:val="24"/>
              </w:rPr>
            </w:pPr>
            <w:r>
              <w:rPr>
                <w:sz w:val="24"/>
                <w:szCs w:val="24"/>
              </w:rPr>
              <w:t xml:space="preserve">г. Красноярск, ул. Перенсона, д.2, пом.1, </w:t>
            </w:r>
          </w:p>
          <w:p>
            <w:pPr>
              <w:pStyle w:val="Normal"/>
              <w:widowControl w:val="false"/>
              <w:spacing w:lineRule="auto" w:line="240"/>
              <w:ind w:hanging="0"/>
              <w:jc w:val="left"/>
              <w:rPr>
                <w:sz w:val="24"/>
                <w:szCs w:val="24"/>
              </w:rPr>
            </w:pPr>
            <w:r>
              <w:rPr>
                <w:sz w:val="24"/>
                <w:szCs w:val="24"/>
              </w:rPr>
              <w:t>д. 43, стр. 1</w:t>
            </w:r>
          </w:p>
          <w:p>
            <w:pPr>
              <w:pStyle w:val="Normal"/>
              <w:widowControl w:val="false"/>
              <w:spacing w:lineRule="auto" w:line="240"/>
              <w:ind w:hanging="0"/>
              <w:jc w:val="left"/>
              <w:rPr>
                <w:sz w:val="24"/>
                <w:szCs w:val="24"/>
              </w:rPr>
            </w:pPr>
            <w:r>
              <w:rPr>
                <w:sz w:val="24"/>
                <w:szCs w:val="24"/>
              </w:rPr>
              <w:t xml:space="preserve">ОГРН 1042401810494, </w:t>
            </w:r>
          </w:p>
          <w:p>
            <w:pPr>
              <w:pStyle w:val="Normal"/>
              <w:widowControl w:val="false"/>
              <w:spacing w:lineRule="auto" w:line="240"/>
              <w:ind w:hanging="0"/>
              <w:jc w:val="left"/>
              <w:rPr>
                <w:sz w:val="24"/>
                <w:szCs w:val="24"/>
              </w:rPr>
            </w:pPr>
            <w:r>
              <w:rPr>
                <w:sz w:val="24"/>
                <w:szCs w:val="24"/>
              </w:rPr>
              <w:t>ИНН 2460066195 / КПП 997650001</w:t>
            </w:r>
          </w:p>
          <w:p>
            <w:pPr>
              <w:pStyle w:val="Normal"/>
              <w:widowControl w:val="false"/>
              <w:spacing w:lineRule="auto" w:line="240"/>
              <w:ind w:hanging="0"/>
              <w:jc w:val="left"/>
              <w:rPr>
                <w:sz w:val="24"/>
                <w:szCs w:val="24"/>
              </w:rPr>
            </w:pPr>
            <w:r>
              <w:rPr>
                <w:sz w:val="24"/>
                <w:szCs w:val="24"/>
              </w:rPr>
              <w:t>_________________________________</w:t>
            </w:r>
          </w:p>
          <w:p>
            <w:pPr>
              <w:pStyle w:val="Normal"/>
              <w:widowControl w:val="false"/>
              <w:spacing w:lineRule="auto" w:line="240"/>
              <w:ind w:hanging="0"/>
              <w:jc w:val="left"/>
              <w:rPr>
                <w:sz w:val="24"/>
                <w:szCs w:val="24"/>
              </w:rPr>
            </w:pPr>
            <w:r>
              <w:rPr>
                <w:sz w:val="24"/>
                <w:szCs w:val="24"/>
              </w:rPr>
              <w:t>(номер расчетного счета)</w:t>
            </w:r>
          </w:p>
          <w:p>
            <w:pPr>
              <w:pStyle w:val="Normal"/>
              <w:widowControl w:val="false"/>
              <w:spacing w:lineRule="auto" w:line="240"/>
              <w:ind w:hanging="0"/>
              <w:jc w:val="left"/>
              <w:rPr>
                <w:sz w:val="24"/>
                <w:szCs w:val="24"/>
              </w:rPr>
            </w:pPr>
            <w:r>
              <w:rPr>
                <w:sz w:val="24"/>
                <w:szCs w:val="24"/>
              </w:rPr>
              <w:t>_________________________________</w:t>
            </w:r>
          </w:p>
          <w:p>
            <w:pPr>
              <w:pStyle w:val="Normal"/>
              <w:widowControl w:val="false"/>
              <w:spacing w:lineRule="auto" w:line="240"/>
              <w:ind w:hanging="0"/>
              <w:jc w:val="left"/>
              <w:rPr>
                <w:sz w:val="24"/>
                <w:szCs w:val="24"/>
              </w:rPr>
            </w:pPr>
            <w:r>
              <w:rPr>
                <w:sz w:val="24"/>
                <w:szCs w:val="24"/>
              </w:rPr>
              <w:t>(наименование банка, в котором</w:t>
            </w:r>
          </w:p>
          <w:p>
            <w:pPr>
              <w:pStyle w:val="Normal"/>
              <w:widowControl w:val="false"/>
              <w:spacing w:lineRule="auto" w:line="240"/>
              <w:ind w:hanging="0"/>
              <w:jc w:val="left"/>
              <w:rPr>
                <w:sz w:val="24"/>
                <w:szCs w:val="24"/>
              </w:rPr>
            </w:pPr>
            <w:r>
              <w:rPr>
                <w:sz w:val="24"/>
                <w:szCs w:val="24"/>
              </w:rPr>
              <w:t>открыт расчетный счет)</w:t>
            </w:r>
          </w:p>
          <w:p>
            <w:pPr>
              <w:pStyle w:val="Normal"/>
              <w:widowControl w:val="false"/>
              <w:spacing w:lineRule="auto" w:line="240"/>
              <w:ind w:hanging="0"/>
              <w:jc w:val="left"/>
              <w:rPr>
                <w:sz w:val="24"/>
                <w:szCs w:val="24"/>
              </w:rPr>
            </w:pPr>
            <w:r>
              <w:rPr>
                <w:sz w:val="24"/>
                <w:szCs w:val="24"/>
              </w:rPr>
              <w:t>_________________________________</w:t>
            </w:r>
          </w:p>
          <w:p>
            <w:pPr>
              <w:pStyle w:val="Normal"/>
              <w:widowControl w:val="false"/>
              <w:spacing w:lineRule="auto" w:line="240"/>
              <w:ind w:hanging="0"/>
              <w:jc w:val="left"/>
              <w:rPr>
                <w:sz w:val="24"/>
                <w:szCs w:val="24"/>
              </w:rPr>
            </w:pPr>
            <w:r>
              <w:rPr>
                <w:sz w:val="24"/>
                <w:szCs w:val="24"/>
              </w:rPr>
              <w:t>(номер корреспондентского счета банка)</w:t>
            </w:r>
          </w:p>
          <w:p>
            <w:pPr>
              <w:pStyle w:val="Normal"/>
              <w:widowControl w:val="false"/>
              <w:spacing w:lineRule="auto" w:line="240"/>
              <w:ind w:hanging="0"/>
              <w:jc w:val="left"/>
              <w:rPr>
                <w:sz w:val="24"/>
                <w:szCs w:val="24"/>
              </w:rPr>
            </w:pPr>
            <w:r>
              <w:rPr>
                <w:sz w:val="24"/>
                <w:szCs w:val="24"/>
              </w:rPr>
              <w:t>_________________________________</w:t>
            </w:r>
          </w:p>
          <w:p>
            <w:pPr>
              <w:pStyle w:val="Normal"/>
              <w:widowControl w:val="false"/>
              <w:spacing w:lineRule="auto" w:line="240"/>
              <w:ind w:hanging="0"/>
              <w:jc w:val="left"/>
              <w:rPr>
                <w:sz w:val="24"/>
                <w:szCs w:val="24"/>
              </w:rPr>
            </w:pPr>
            <w:r>
              <w:rPr>
                <w:sz w:val="24"/>
                <w:szCs w:val="24"/>
              </w:rPr>
              <w:t>(БИК банка)</w:t>
            </w:r>
          </w:p>
          <w:p>
            <w:pPr>
              <w:pStyle w:val="Normal"/>
              <w:widowControl w:val="false"/>
              <w:spacing w:lineRule="auto" w:line="240"/>
              <w:ind w:hanging="0"/>
              <w:jc w:val="left"/>
              <w:rPr>
                <w:sz w:val="24"/>
                <w:szCs w:val="24"/>
              </w:rPr>
            </w:pPr>
            <w:r>
              <w:rPr>
                <w:sz w:val="24"/>
                <w:szCs w:val="24"/>
              </w:rPr>
              <w:t>_________________________________</w:t>
            </w:r>
          </w:p>
          <w:p>
            <w:pPr>
              <w:pStyle w:val="Normal"/>
              <w:widowControl w:val="false"/>
              <w:spacing w:lineRule="auto" w:line="240"/>
              <w:ind w:hanging="0"/>
              <w:jc w:val="left"/>
              <w:rPr>
                <w:sz w:val="24"/>
                <w:szCs w:val="24"/>
              </w:rPr>
            </w:pPr>
            <w:r>
              <w:rPr>
                <w:sz w:val="24"/>
                <w:szCs w:val="24"/>
              </w:rPr>
              <w:t>(номер телефона)</w:t>
            </w:r>
          </w:p>
          <w:p>
            <w:pPr>
              <w:pStyle w:val="Normal"/>
              <w:widowControl w:val="false"/>
              <w:spacing w:lineRule="auto" w:line="240"/>
              <w:ind w:hanging="0"/>
              <w:jc w:val="left"/>
              <w:rPr>
                <w:sz w:val="24"/>
                <w:szCs w:val="24"/>
              </w:rPr>
            </w:pPr>
            <w:r>
              <w:rPr>
                <w:sz w:val="24"/>
                <w:szCs w:val="24"/>
              </w:rPr>
              <w:t>_________________________________</w:t>
            </w:r>
          </w:p>
          <w:p>
            <w:pPr>
              <w:pStyle w:val="Normal"/>
              <w:widowControl w:val="false"/>
              <w:spacing w:lineRule="auto" w:line="240"/>
              <w:ind w:hanging="0"/>
              <w:jc w:val="left"/>
              <w:rPr>
                <w:sz w:val="24"/>
                <w:szCs w:val="24"/>
              </w:rPr>
            </w:pPr>
            <w:r>
              <w:rPr>
                <w:sz w:val="24"/>
                <w:szCs w:val="24"/>
              </w:rPr>
              <w:t>(номер факса)</w:t>
            </w:r>
          </w:p>
          <w:p>
            <w:pPr>
              <w:pStyle w:val="Normal"/>
              <w:widowControl w:val="false"/>
              <w:spacing w:lineRule="auto" w:line="240"/>
              <w:ind w:hanging="0"/>
              <w:jc w:val="left"/>
              <w:rPr>
                <w:sz w:val="24"/>
                <w:szCs w:val="24"/>
              </w:rPr>
            </w:pPr>
            <w:r>
              <w:rPr>
                <w:sz w:val="24"/>
                <w:szCs w:val="24"/>
              </w:rPr>
            </w:r>
          </w:p>
        </w:tc>
        <w:tc>
          <w:tcPr>
            <w:tcW w:w="4711" w:type="dxa"/>
            <w:gridSpan w:val="2"/>
            <w:tcBorders/>
          </w:tcPr>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(наименование юридического лица)</w:t>
            </w:r>
          </w:p>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t>Юридический адрес:</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Почтовый адрес:</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ОГРН ___________________________</w:t>
            </w:r>
          </w:p>
          <w:p>
            <w:pPr>
              <w:pStyle w:val="Normal"/>
              <w:widowControl w:val="false"/>
              <w:spacing w:lineRule="auto" w:line="240"/>
              <w:ind w:hanging="0"/>
              <w:rPr>
                <w:sz w:val="24"/>
                <w:szCs w:val="24"/>
              </w:rPr>
            </w:pPr>
            <w:r>
              <w:rPr>
                <w:sz w:val="24"/>
                <w:szCs w:val="24"/>
              </w:rPr>
              <w:t>ИНН ____________ / КПП___________</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(номер расчетного счета)</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(наименование банка, в котором</w:t>
            </w:r>
          </w:p>
          <w:p>
            <w:pPr>
              <w:pStyle w:val="Normal"/>
              <w:widowControl w:val="false"/>
              <w:spacing w:lineRule="auto" w:line="240"/>
              <w:ind w:hanging="0"/>
              <w:rPr>
                <w:sz w:val="24"/>
                <w:szCs w:val="24"/>
              </w:rPr>
            </w:pPr>
            <w:r>
              <w:rPr>
                <w:sz w:val="24"/>
                <w:szCs w:val="24"/>
              </w:rPr>
              <w:t>открыт расчетный счет)</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(номер корреспондентского счета банка)</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(БИК банка)</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(номер телефона)</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(номер факса)</w:t>
            </w:r>
          </w:p>
          <w:p>
            <w:pPr>
              <w:pStyle w:val="Normal"/>
              <w:widowControl w:val="false"/>
              <w:spacing w:lineRule="auto" w:line="240"/>
              <w:ind w:hanging="0"/>
              <w:rPr>
                <w:sz w:val="24"/>
                <w:szCs w:val="24"/>
              </w:rPr>
            </w:pPr>
            <w:r>
              <w:rPr>
                <w:sz w:val="24"/>
                <w:szCs w:val="24"/>
              </w:rPr>
            </w:r>
          </w:p>
        </w:tc>
      </w:tr>
      <w:tr>
        <w:trPr/>
        <w:tc>
          <w:tcPr>
            <w:tcW w:w="4779" w:type="dxa"/>
            <w:tcBorders/>
          </w:tcPr>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sz w:val="24"/>
                <w:szCs w:val="24"/>
                <w:highlight w:val="lightGray"/>
              </w:rPr>
            </w:pPr>
            <w:r>
              <w:rPr>
                <w:sz w:val="24"/>
                <w:szCs w:val="24"/>
                <w:highlight w:val="lightGray"/>
              </w:rPr>
              <w:t xml:space="preserve">_______________ / _______________ </w:t>
            </w:r>
          </w:p>
          <w:p>
            <w:pPr>
              <w:pStyle w:val="Normal"/>
              <w:widowControl w:val="false"/>
              <w:spacing w:lineRule="auto" w:line="240"/>
              <w:ind w:hanging="0"/>
              <w:jc w:val="left"/>
              <w:rPr>
                <w:sz w:val="24"/>
                <w:szCs w:val="24"/>
                <w:highlight w:val="lightGray"/>
              </w:rPr>
            </w:pPr>
            <w:r>
              <w:rPr>
                <w:sz w:val="24"/>
                <w:szCs w:val="24"/>
                <w:highlight w:val="lightGray"/>
              </w:rPr>
            </w:r>
          </w:p>
        </w:tc>
        <w:tc>
          <w:tcPr>
            <w:tcW w:w="4684" w:type="dxa"/>
            <w:gridSpan w:val="2"/>
            <w:tcBorders/>
          </w:tcPr>
          <w:p>
            <w:pPr>
              <w:pStyle w:val="Normal"/>
              <w:widowControl w:val="false"/>
              <w:spacing w:lineRule="auto" w:line="240"/>
              <w:ind w:hanging="0"/>
              <w:jc w:val="left"/>
              <w:rPr>
                <w:sz w:val="24"/>
                <w:szCs w:val="24"/>
                <w:highlight w:val="lightGray"/>
              </w:rPr>
            </w:pPr>
            <w:r>
              <w:rPr>
                <w:sz w:val="24"/>
                <w:szCs w:val="24"/>
                <w:highlight w:val="lightGray"/>
              </w:rPr>
            </w:r>
          </w:p>
          <w:p>
            <w:pPr>
              <w:pStyle w:val="Normal"/>
              <w:widowControl w:val="false"/>
              <w:spacing w:lineRule="auto" w:line="240"/>
              <w:ind w:hanging="0"/>
              <w:jc w:val="center"/>
              <w:rPr>
                <w:sz w:val="24"/>
                <w:szCs w:val="24"/>
              </w:rPr>
            </w:pPr>
            <w:r>
              <w:rPr>
                <w:sz w:val="24"/>
                <w:szCs w:val="24"/>
                <w:highlight w:val="lightGray"/>
              </w:rPr>
              <w:t>_______________ / _______________</w:t>
            </w:r>
          </w:p>
          <w:p>
            <w:pPr>
              <w:pStyle w:val="Normal"/>
              <w:widowControl w:val="false"/>
              <w:spacing w:lineRule="auto" w:line="240"/>
              <w:ind w:hanging="0"/>
              <w:jc w:val="left"/>
              <w:rPr>
                <w:sz w:val="24"/>
                <w:szCs w:val="24"/>
              </w:rPr>
            </w:pPr>
            <w:r>
              <w:rPr>
                <w:sz w:val="24"/>
                <w:szCs w:val="24"/>
              </w:rPr>
            </w:r>
          </w:p>
        </w:tc>
        <w:tc>
          <w:tcPr>
            <w:tcW w:w="176" w:type="dxa"/>
            <w:tcBorders/>
          </w:tcPr>
          <w:p>
            <w:pPr>
              <w:pStyle w:val="Normal"/>
              <w:widowControl w:val="false"/>
              <w:rPr/>
            </w:pPr>
            <w:r>
              <w:rPr/>
            </w:r>
          </w:p>
        </w:tc>
      </w:tr>
    </w:tbl>
    <w:p>
      <w:pPr>
        <w:sectPr>
          <w:headerReference w:type="default" r:id="rId5"/>
          <w:headerReference w:type="first" r:id="rId6"/>
          <w:footerReference w:type="default" r:id="rId7"/>
          <w:footnotePr>
            <w:numFmt w:val="decimal"/>
          </w:footnotePr>
          <w:type w:val="nextPage"/>
          <w:pgSz w:w="11906" w:h="16838"/>
          <w:pgMar w:left="1701" w:right="709" w:gutter="0" w:header="709" w:top="1134" w:footer="709" w:bottom="1134"/>
          <w:pgNumType w:fmt="decimal"/>
          <w:formProt w:val="false"/>
          <w:titlePg/>
          <w:textDirection w:val="lrTb"/>
          <w:docGrid w:type="default" w:linePitch="381" w:charSpace="0"/>
        </w:sectPr>
      </w:pPr>
    </w:p>
    <w:p>
      <w:pPr>
        <w:pStyle w:val="Normal"/>
        <w:spacing w:lineRule="auto" w:line="240"/>
        <w:ind w:hanging="0" w:left="4820"/>
        <w:rPr>
          <w:sz w:val="22"/>
          <w:szCs w:val="22"/>
        </w:rPr>
      </w:pPr>
      <w:r>
        <w:rPr>
          <w:sz w:val="22"/>
          <w:szCs w:val="22"/>
        </w:rPr>
        <w:t>Приложение № 1</w:t>
      </w:r>
    </w:p>
    <w:p>
      <w:pPr>
        <w:pStyle w:val="Normal"/>
        <w:spacing w:lineRule="auto" w:line="240"/>
        <w:ind w:hanging="0" w:left="4820"/>
        <w:rPr>
          <w:sz w:val="22"/>
          <w:szCs w:val="22"/>
        </w:rPr>
      </w:pPr>
      <w:r>
        <w:rPr>
          <w:sz w:val="22"/>
          <w:szCs w:val="22"/>
        </w:rPr>
        <w:t>к Договору подряда</w:t>
      </w:r>
    </w:p>
    <w:p>
      <w:pPr>
        <w:pStyle w:val="Normal"/>
        <w:spacing w:lineRule="auto" w:line="240"/>
        <w:ind w:hanging="0" w:left="4820"/>
        <w:rPr>
          <w:sz w:val="22"/>
          <w:szCs w:val="22"/>
        </w:rPr>
      </w:pPr>
      <w:r>
        <w:rPr>
          <w:sz w:val="22"/>
          <w:szCs w:val="22"/>
        </w:rPr>
        <w:t>от «____» __________ 20 _ г. № ________</w:t>
      </w:r>
    </w:p>
    <w:p>
      <w:pPr>
        <w:pStyle w:val="Normal"/>
        <w:spacing w:lineRule="auto" w:line="240"/>
        <w:ind w:hanging="0" w:left="1416"/>
        <w:rPr>
          <w:b/>
          <w:sz w:val="24"/>
          <w:szCs w:val="24"/>
        </w:rPr>
      </w:pPr>
      <w:r>
        <w:rPr>
          <w:b/>
          <w:sz w:val="24"/>
          <w:szCs w:val="24"/>
        </w:rPr>
      </w:r>
    </w:p>
    <w:p>
      <w:pPr>
        <w:pStyle w:val="Normal"/>
        <w:spacing w:lineRule="auto" w:line="240"/>
        <w:ind w:hanging="0" w:left="1416"/>
        <w:rPr>
          <w:b/>
          <w:sz w:val="24"/>
          <w:szCs w:val="24"/>
        </w:rPr>
      </w:pPr>
      <w:r>
        <w:rPr>
          <w:b/>
          <w:sz w:val="24"/>
          <w:szCs w:val="24"/>
        </w:rPr>
      </w:r>
    </w:p>
    <w:p>
      <w:pPr>
        <w:pStyle w:val="Normal"/>
        <w:spacing w:lineRule="auto" w:line="240"/>
        <w:ind w:hanging="0"/>
        <w:jc w:val="center"/>
        <w:rPr>
          <w:b/>
          <w:sz w:val="24"/>
          <w:szCs w:val="24"/>
        </w:rPr>
      </w:pPr>
      <w:r>
        <w:rPr>
          <w:b/>
          <w:sz w:val="24"/>
          <w:szCs w:val="24"/>
        </w:rPr>
        <w:t>ТЕХНИЧЕСКОЕ ЗАДАНИЕ</w:t>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rPr>
          <w:sz w:val="24"/>
        </w:rPr>
      </w:pPr>
      <w:r>
        <w:rPr>
          <w:sz w:val="24"/>
        </w:rPr>
      </w:r>
    </w:p>
    <w:p>
      <w:pPr>
        <w:pStyle w:val="Normal"/>
        <w:spacing w:lineRule="auto" w:line="240"/>
        <w:ind w:hanging="0"/>
        <w:rPr>
          <w:sz w:val="24"/>
        </w:rPr>
      </w:pPr>
      <w:r>
        <w:rPr>
          <w:sz w:val="24"/>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spacing w:lineRule="auto" w:line="240"/>
              <w:ind w:hanging="0"/>
              <w:rPr>
                <w:b/>
                <w:sz w:val="24"/>
              </w:rPr>
            </w:pPr>
            <w:r>
              <w:rPr>
                <w:b/>
                <w:sz w:val="24"/>
              </w:rPr>
              <w:t>Заказчик:</w:t>
            </w:r>
          </w:p>
        </w:tc>
        <w:tc>
          <w:tcPr>
            <w:tcW w:w="4785" w:type="dxa"/>
            <w:tcBorders/>
          </w:tcPr>
          <w:p>
            <w:pPr>
              <w:pStyle w:val="Normal"/>
              <w:widowControl w:val="false"/>
              <w:spacing w:lineRule="auto" w:line="240"/>
              <w:ind w:hanging="0"/>
              <w:rPr>
                <w:b/>
                <w:sz w:val="24"/>
              </w:rPr>
            </w:pPr>
            <w:r>
              <w:rPr>
                <w:b/>
                <w:sz w:val="24"/>
              </w:rPr>
              <w:t>Подрядчик:</w:t>
            </w:r>
          </w:p>
        </w:tc>
      </w:tr>
      <w:tr>
        <w:trPr/>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Normal"/>
        <w:spacing w:lineRule="auto" w:line="240"/>
        <w:ind w:hanging="0" w:left="5103"/>
        <w:rPr>
          <w:sz w:val="22"/>
          <w:szCs w:val="22"/>
        </w:rPr>
      </w:pPr>
      <w:r>
        <w:rPr>
          <w:sz w:val="22"/>
          <w:szCs w:val="22"/>
        </w:rPr>
      </w:r>
    </w:p>
    <w:p>
      <w:pPr>
        <w:pStyle w:val="Normal"/>
        <w:spacing w:lineRule="auto" w:line="240"/>
        <w:ind w:hanging="0"/>
        <w:jc w:val="left"/>
        <w:rPr>
          <w:sz w:val="22"/>
          <w:szCs w:val="22"/>
        </w:rPr>
      </w:pPr>
      <w:r>
        <w:rPr>
          <w:sz w:val="22"/>
          <w:szCs w:val="22"/>
        </w:rPr>
      </w:r>
      <w:r>
        <w:br w:type="page"/>
      </w:r>
    </w:p>
    <w:p>
      <w:pPr>
        <w:pStyle w:val="Normal"/>
        <w:spacing w:lineRule="auto" w:line="240"/>
        <w:ind w:hanging="0" w:left="4820"/>
        <w:jc w:val="left"/>
        <w:rPr>
          <w:sz w:val="22"/>
          <w:szCs w:val="22"/>
        </w:rPr>
      </w:pPr>
      <w:r>
        <w:rPr>
          <w:sz w:val="22"/>
          <w:szCs w:val="22"/>
        </w:rPr>
        <w:t>Приложение № 2</w:t>
      </w:r>
    </w:p>
    <w:p>
      <w:pPr>
        <w:pStyle w:val="Normal"/>
        <w:spacing w:lineRule="auto" w:line="240"/>
        <w:ind w:hanging="0" w:left="4820"/>
        <w:jc w:val="left"/>
        <w:rPr>
          <w:sz w:val="22"/>
          <w:szCs w:val="22"/>
        </w:rPr>
      </w:pPr>
      <w:r>
        <w:rPr>
          <w:sz w:val="22"/>
          <w:szCs w:val="22"/>
        </w:rPr>
        <w:t>к Договору подряда</w:t>
      </w:r>
    </w:p>
    <w:p>
      <w:pPr>
        <w:pStyle w:val="Normal"/>
        <w:spacing w:lineRule="auto" w:line="240"/>
        <w:ind w:hanging="0" w:left="4820"/>
        <w:jc w:val="left"/>
        <w:rPr>
          <w:sz w:val="22"/>
          <w:szCs w:val="22"/>
        </w:rPr>
      </w:pPr>
      <w:r>
        <w:rPr>
          <w:sz w:val="22"/>
          <w:szCs w:val="22"/>
        </w:rPr>
        <w:t>от «____» __________ 20 _ г. № ____</w:t>
      </w:r>
    </w:p>
    <w:p>
      <w:pPr>
        <w:pStyle w:val="Normal"/>
        <w:spacing w:lineRule="auto" w:line="240"/>
        <w:rPr>
          <w:sz w:val="22"/>
          <w:szCs w:val="22"/>
        </w:rPr>
      </w:pPr>
      <w:r>
        <w:rPr>
          <w:sz w:val="22"/>
          <w:szCs w:val="22"/>
        </w:rPr>
      </w:r>
    </w:p>
    <w:p>
      <w:pPr>
        <w:pStyle w:val="Normal"/>
        <w:spacing w:lineRule="auto" w:line="240"/>
        <w:ind w:hanging="0"/>
        <w:rPr>
          <w:b/>
          <w:bCs/>
          <w:sz w:val="24"/>
          <w:szCs w:val="24"/>
        </w:rPr>
      </w:pPr>
      <w:r>
        <w:rPr>
          <w:b/>
          <w:bCs/>
          <w:sz w:val="24"/>
          <w:szCs w:val="24"/>
        </w:rPr>
      </w:r>
    </w:p>
    <w:p>
      <w:pPr>
        <w:pStyle w:val="Normal"/>
        <w:spacing w:lineRule="auto" w:line="240"/>
        <w:ind w:hanging="0"/>
        <w:jc w:val="center"/>
        <w:rPr>
          <w:b/>
          <w:sz w:val="24"/>
          <w:szCs w:val="24"/>
        </w:rPr>
      </w:pPr>
      <w:r>
        <w:rPr>
          <w:b/>
          <w:sz w:val="24"/>
          <w:szCs w:val="24"/>
        </w:rPr>
        <w:t>СВОДНАЯ СМЕТА С ПРИЛОЖЕНИЯМИ</w:t>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rPr>
      </w:pPr>
      <w:r>
        <w:rPr>
          <w:sz w:val="24"/>
        </w:rPr>
      </w:r>
    </w:p>
    <w:p>
      <w:pPr>
        <w:pStyle w:val="Normal"/>
        <w:spacing w:lineRule="auto" w:line="240"/>
        <w:ind w:hanging="0"/>
        <w:rPr>
          <w:sz w:val="24"/>
        </w:rPr>
      </w:pPr>
      <w:r>
        <w:rPr>
          <w:sz w:val="24"/>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spacing w:lineRule="auto" w:line="240"/>
              <w:ind w:hanging="0"/>
              <w:rPr>
                <w:b/>
                <w:sz w:val="24"/>
              </w:rPr>
            </w:pPr>
            <w:r>
              <w:rPr>
                <w:b/>
                <w:sz w:val="24"/>
              </w:rPr>
              <w:t>Заказчик:</w:t>
            </w:r>
          </w:p>
        </w:tc>
        <w:tc>
          <w:tcPr>
            <w:tcW w:w="4785" w:type="dxa"/>
            <w:tcBorders/>
          </w:tcPr>
          <w:p>
            <w:pPr>
              <w:pStyle w:val="Normal"/>
              <w:widowControl w:val="false"/>
              <w:spacing w:lineRule="auto" w:line="240"/>
              <w:ind w:hanging="0"/>
              <w:rPr>
                <w:b/>
                <w:sz w:val="24"/>
              </w:rPr>
            </w:pPr>
            <w:r>
              <w:rPr>
                <w:b/>
                <w:sz w:val="24"/>
              </w:rPr>
              <w:t>Подрядчик:</w:t>
            </w:r>
          </w:p>
        </w:tc>
      </w:tr>
      <w:tr>
        <w:trPr/>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Normal"/>
        <w:spacing w:lineRule="auto" w:line="240"/>
        <w:ind w:hanging="0" w:left="5103"/>
        <w:rPr>
          <w:sz w:val="22"/>
          <w:szCs w:val="22"/>
        </w:rPr>
      </w:pPr>
      <w:r>
        <w:rPr>
          <w:sz w:val="22"/>
          <w:szCs w:val="22"/>
        </w:rPr>
      </w:r>
      <w:r>
        <w:br w:type="page"/>
      </w:r>
    </w:p>
    <w:p>
      <w:pPr>
        <w:pStyle w:val="Normal"/>
        <w:spacing w:lineRule="auto" w:line="240"/>
        <w:ind w:hanging="0" w:left="4820"/>
        <w:jc w:val="left"/>
        <w:rPr>
          <w:sz w:val="22"/>
          <w:szCs w:val="22"/>
        </w:rPr>
      </w:pPr>
      <w:r>
        <w:rPr>
          <w:sz w:val="22"/>
          <w:szCs w:val="22"/>
        </w:rPr>
        <w:t>Приложение № 3</w:t>
      </w:r>
    </w:p>
    <w:p>
      <w:pPr>
        <w:pStyle w:val="Normal"/>
        <w:spacing w:lineRule="auto" w:line="240"/>
        <w:ind w:hanging="0" w:left="4820"/>
        <w:jc w:val="left"/>
        <w:rPr>
          <w:sz w:val="22"/>
          <w:szCs w:val="22"/>
        </w:rPr>
      </w:pPr>
      <w:r>
        <w:rPr>
          <w:sz w:val="22"/>
          <w:szCs w:val="22"/>
        </w:rPr>
        <w:t>к Договору подряда</w:t>
      </w:r>
    </w:p>
    <w:p>
      <w:pPr>
        <w:pStyle w:val="Normal"/>
        <w:spacing w:lineRule="auto" w:line="240"/>
        <w:ind w:hanging="0" w:left="4820"/>
        <w:jc w:val="left"/>
        <w:rPr>
          <w:sz w:val="22"/>
          <w:szCs w:val="22"/>
        </w:rPr>
      </w:pPr>
      <w:r>
        <w:rPr>
          <w:sz w:val="22"/>
          <w:szCs w:val="22"/>
        </w:rPr>
        <w:t xml:space="preserve">от «____» __________ 20 _ г. № ____ </w:t>
      </w:r>
    </w:p>
    <w:p>
      <w:pPr>
        <w:pStyle w:val="Normal"/>
        <w:spacing w:lineRule="auto" w:line="240"/>
        <w:rPr>
          <w:sz w:val="22"/>
          <w:szCs w:val="22"/>
        </w:rPr>
      </w:pPr>
      <w:r>
        <w:rPr>
          <w:sz w:val="22"/>
          <w:szCs w:val="22"/>
        </w:rPr>
      </w:r>
    </w:p>
    <w:p>
      <w:pPr>
        <w:pStyle w:val="Normal"/>
        <w:spacing w:lineRule="auto" w:line="240"/>
        <w:ind w:hanging="0"/>
        <w:rPr>
          <w:b/>
          <w:bCs/>
          <w:sz w:val="24"/>
          <w:szCs w:val="24"/>
        </w:rPr>
      </w:pPr>
      <w:r>
        <w:rPr>
          <w:b/>
          <w:bCs/>
          <w:sz w:val="24"/>
          <w:szCs w:val="24"/>
        </w:rPr>
      </w:r>
    </w:p>
    <w:p>
      <w:pPr>
        <w:pStyle w:val="Title"/>
        <w:shd w:val="clear" w:color="auto" w:fill="auto"/>
        <w:ind w:hanging="0"/>
        <w:rPr>
          <w:b w:val="false"/>
          <w:sz w:val="24"/>
        </w:rPr>
      </w:pPr>
      <w:r>
        <w:rPr>
          <w:sz w:val="24"/>
        </w:rPr>
        <w:t>ФОРМА</w:t>
      </w:r>
    </w:p>
    <w:p>
      <w:pPr>
        <w:pStyle w:val="Title"/>
        <w:shd w:val="clear" w:color="auto" w:fill="auto"/>
        <w:ind w:hanging="0"/>
        <w:rPr>
          <w:i/>
          <w:i/>
          <w:sz w:val="24"/>
        </w:rPr>
      </w:pPr>
      <w:r>
        <w:rPr>
          <w:sz w:val="24"/>
        </w:rPr>
        <w:t xml:space="preserve">Акта сдачи-приемки технической и иной документации </w:t>
      </w:r>
    </w:p>
    <w:p>
      <w:pPr>
        <w:pStyle w:val="Normal"/>
        <w:spacing w:lineRule="auto" w:line="240"/>
        <w:ind w:hanging="0"/>
        <w:rPr>
          <w:sz w:val="24"/>
          <w:szCs w:val="24"/>
        </w:rPr>
      </w:pPr>
      <w:r>
        <w:rPr>
          <w:sz w:val="24"/>
          <w:szCs w:val="24"/>
        </w:rPr>
      </w:r>
    </w:p>
    <w:tbl>
      <w:tblPr>
        <w:tblW w:w="50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9637"/>
      </w:tblGrid>
      <w:tr>
        <w:trPr/>
        <w:tc>
          <w:tcPr>
            <w:tcW w:w="9637" w:type="dxa"/>
            <w:tcBorders>
              <w:top w:val="single" w:sz="4" w:space="0" w:color="000000"/>
              <w:left w:val="single" w:sz="4" w:space="0" w:color="000000"/>
              <w:bottom w:val="single" w:sz="4" w:space="0" w:color="000000"/>
              <w:right w:val="single" w:sz="4" w:space="0" w:color="000000"/>
            </w:tcBorders>
            <w:shd w:color="auto" w:fill="auto" w:val="clear"/>
          </w:tcPr>
          <w:p>
            <w:pPr>
              <w:pStyle w:val="Title"/>
              <w:widowControl w:val="false"/>
              <w:shd w:val="clear" w:color="auto" w:fill="auto"/>
              <w:ind w:hanging="0"/>
              <w:rPr>
                <w:b w:val="false"/>
                <w:bCs/>
              </w:rPr>
            </w:pPr>
            <w:r>
              <w:rPr>
                <w:b w:val="false"/>
                <w:bCs/>
              </w:rPr>
              <w:t xml:space="preserve">Акт </w:t>
            </w:r>
          </w:p>
          <w:p>
            <w:pPr>
              <w:pStyle w:val="Title"/>
              <w:widowControl w:val="false"/>
              <w:shd w:val="clear" w:color="auto" w:fill="auto"/>
              <w:ind w:hanging="0"/>
              <w:rPr>
                <w:i/>
                <w:i/>
                <w:iCs/>
              </w:rPr>
            </w:pPr>
            <w:r>
              <w:rPr>
                <w:b w:val="false"/>
                <w:bCs/>
              </w:rPr>
              <w:t>сдачи-приемки технической и иной документации</w:t>
            </w:r>
          </w:p>
          <w:p>
            <w:pPr>
              <w:pStyle w:val="Normal"/>
              <w:widowControl w:val="false"/>
              <w:spacing w:lineRule="auto" w:line="240"/>
              <w:rPr/>
            </w:pPr>
            <w:r>
              <w:rPr/>
            </w:r>
          </w:p>
          <w:p>
            <w:pPr>
              <w:pStyle w:val="Normal"/>
              <w:widowControl w:val="false"/>
              <w:spacing w:lineRule="auto" w:line="240"/>
              <w:ind w:hanging="0"/>
              <w:rPr>
                <w:sz w:val="22"/>
                <w:szCs w:val="22"/>
              </w:rPr>
            </w:pPr>
            <w:r>
              <w:rPr>
                <w:sz w:val="22"/>
                <w:szCs w:val="22"/>
              </w:rPr>
              <w:t>г.___________                                                                                                      «_____» _________20_г.</w:t>
            </w:r>
          </w:p>
          <w:p>
            <w:pPr>
              <w:pStyle w:val="Normal"/>
              <w:widowControl w:val="false"/>
              <w:spacing w:lineRule="auto" w:line="24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____________________, именуемое далее «Подрядчик», в лице ________________, действующего на основании ______________, </w:t>
            </w:r>
          </w:p>
          <w:p>
            <w:pPr>
              <w:pStyle w:val="Normal"/>
              <w:widowControl w:val="false"/>
              <w:spacing w:lineRule="auto" w:line="240"/>
              <w:ind w:hanging="0"/>
              <w:rPr>
                <w:sz w:val="22"/>
                <w:szCs w:val="22"/>
              </w:rPr>
            </w:pPr>
            <w:r>
              <w:rPr>
                <w:sz w:val="22"/>
                <w:szCs w:val="22"/>
              </w:rPr>
              <w:t>____________________, именуемое далее «Заказчик», в лице ________________, действующего на основании ______________, составили настоящий акт о нижеследующем:</w:t>
            </w:r>
          </w:p>
          <w:p>
            <w:pPr>
              <w:pStyle w:val="Normal"/>
              <w:widowControl w:val="false"/>
              <w:spacing w:lineRule="auto" w:line="240"/>
              <w:ind w:hanging="0"/>
              <w:rPr>
                <w:bCs/>
                <w:sz w:val="22"/>
                <w:szCs w:val="22"/>
              </w:rPr>
            </w:pPr>
            <w:r>
              <w:rPr>
                <w:sz w:val="22"/>
                <w:szCs w:val="22"/>
              </w:rPr>
              <w:t>Заказчик передал Подрядчику, а Подрядчик принял</w:t>
            </w:r>
            <w:r>
              <w:rPr>
                <w:bCs/>
                <w:sz w:val="22"/>
                <w:szCs w:val="22"/>
              </w:rPr>
              <w:t xml:space="preserve"> следующую </w:t>
            </w:r>
            <w:r>
              <w:rPr>
                <w:sz w:val="22"/>
                <w:szCs w:val="22"/>
              </w:rPr>
              <w:t>техническую и иную документацию для выполнения Работ по Договору</w:t>
            </w:r>
            <w:r>
              <w:rPr>
                <w:bCs/>
                <w:sz w:val="22"/>
                <w:szCs w:val="22"/>
              </w:rPr>
              <w:t xml:space="preserve"> №______ от _____________:</w:t>
            </w:r>
          </w:p>
          <w:p>
            <w:pPr>
              <w:pStyle w:val="Normal"/>
              <w:widowControl w:val="false"/>
              <w:spacing w:lineRule="auto" w:line="240"/>
              <w:ind w:hanging="0"/>
              <w:rPr>
                <w:bCs/>
                <w:sz w:val="22"/>
                <w:szCs w:val="22"/>
              </w:rPr>
            </w:pPr>
            <w:r>
              <w:rPr>
                <w:bCs/>
                <w:sz w:val="22"/>
                <w:szCs w:val="22"/>
              </w:rPr>
              <w:t xml:space="preserve">__________________________________________________________________________ </w:t>
            </w:r>
          </w:p>
          <w:p>
            <w:pPr>
              <w:pStyle w:val="Normal"/>
              <w:widowControl w:val="false"/>
              <w:spacing w:lineRule="auto" w:line="240"/>
              <w:ind w:hanging="0"/>
              <w:rPr>
                <w:bCs/>
                <w:sz w:val="22"/>
                <w:szCs w:val="22"/>
              </w:rPr>
            </w:pPr>
            <w:r>
              <w:rPr>
                <w:bCs/>
                <w:sz w:val="22"/>
                <w:szCs w:val="22"/>
              </w:rPr>
              <w:t>__________________________________________________________________________</w:t>
            </w:r>
          </w:p>
          <w:p>
            <w:pPr>
              <w:pStyle w:val="Normal"/>
              <w:widowControl w:val="false"/>
              <w:spacing w:lineRule="auto" w:line="240"/>
              <w:ind w:hanging="0"/>
              <w:rPr>
                <w:bCs/>
                <w:sz w:val="22"/>
                <w:szCs w:val="22"/>
              </w:rPr>
            </w:pPr>
            <w:r>
              <w:rPr>
                <w:bCs/>
                <w:sz w:val="22"/>
                <w:szCs w:val="22"/>
              </w:rPr>
              <w:t>__________________________________________________________________________</w:t>
            </w:r>
          </w:p>
          <w:p>
            <w:pPr>
              <w:pStyle w:val="Normal"/>
              <w:widowControl w:val="false"/>
              <w:spacing w:lineRule="auto" w:line="240"/>
              <w:ind w:hanging="0"/>
              <w:rPr>
                <w:bCs/>
                <w:sz w:val="22"/>
                <w:szCs w:val="22"/>
              </w:rPr>
            </w:pPr>
            <w:r>
              <w:rPr>
                <w:bCs/>
                <w:sz w:val="22"/>
                <w:szCs w:val="22"/>
              </w:rPr>
              <w:t xml:space="preserve">Документация передана </w:t>
            </w:r>
            <w:r>
              <w:rPr>
                <w:sz w:val="22"/>
                <w:szCs w:val="22"/>
              </w:rPr>
              <w:t>Подрядчик</w:t>
            </w:r>
            <w:r>
              <w:rPr>
                <w:bCs/>
                <w:sz w:val="22"/>
                <w:szCs w:val="22"/>
              </w:rPr>
              <w:t xml:space="preserve">у в установленный Договором срок. </w:t>
            </w:r>
          </w:p>
          <w:p>
            <w:pPr>
              <w:pStyle w:val="Normal"/>
              <w:widowControl w:val="false"/>
              <w:spacing w:lineRule="auto" w:line="240"/>
              <w:ind w:hanging="0"/>
              <w:rPr>
                <w:sz w:val="20"/>
                <w:szCs w:val="20"/>
              </w:rPr>
            </w:pPr>
            <w:r>
              <w:rPr>
                <w:sz w:val="20"/>
                <w:szCs w:val="20"/>
              </w:rPr>
            </w:r>
          </w:p>
          <w:p>
            <w:pPr>
              <w:pStyle w:val="Normal"/>
              <w:widowControl w:val="false"/>
              <w:spacing w:lineRule="auto" w:line="240"/>
              <w:rPr>
                <w:sz w:val="22"/>
                <w:szCs w:val="22"/>
              </w:rPr>
            </w:pPr>
            <w:r>
              <w:rPr>
                <w:sz w:val="22"/>
                <w:szCs w:val="22"/>
              </w:rPr>
            </w:r>
          </w:p>
          <w:tbl>
            <w:tblPr>
              <w:tblW w:w="941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05"/>
              <w:gridCol w:w="4705"/>
            </w:tblGrid>
            <w:tr>
              <w:trPr/>
              <w:tc>
                <w:tcPr>
                  <w:tcW w:w="4705" w:type="dxa"/>
                  <w:tcBorders/>
                </w:tcPr>
                <w:p>
                  <w:pPr>
                    <w:pStyle w:val="Normal"/>
                    <w:widowControl w:val="false"/>
                    <w:spacing w:lineRule="auto" w:line="240"/>
                    <w:ind w:hanging="0"/>
                    <w:rPr>
                      <w:bCs/>
                      <w:sz w:val="24"/>
                      <w:szCs w:val="24"/>
                    </w:rPr>
                  </w:pPr>
                  <w:r>
                    <w:rPr>
                      <w:bCs/>
                      <w:sz w:val="24"/>
                      <w:szCs w:val="24"/>
                    </w:rPr>
                    <w:t>Заказчик:</w:t>
                  </w:r>
                </w:p>
              </w:tc>
              <w:tc>
                <w:tcPr>
                  <w:tcW w:w="4705" w:type="dxa"/>
                  <w:tcBorders/>
                </w:tcPr>
                <w:p>
                  <w:pPr>
                    <w:pStyle w:val="Normal"/>
                    <w:widowControl w:val="false"/>
                    <w:spacing w:lineRule="auto" w:line="240"/>
                    <w:ind w:hanging="0"/>
                    <w:rPr>
                      <w:bCs/>
                      <w:sz w:val="24"/>
                      <w:szCs w:val="24"/>
                    </w:rPr>
                  </w:pPr>
                  <w:r>
                    <w:rPr>
                      <w:bCs/>
                      <w:sz w:val="24"/>
                      <w:szCs w:val="24"/>
                    </w:rPr>
                    <w:t>Подрядчик:</w:t>
                  </w:r>
                </w:p>
              </w:tc>
            </w:tr>
            <w:tr>
              <w:trPr/>
              <w:tc>
                <w:tcPr>
                  <w:tcW w:w="4705" w:type="dxa"/>
                  <w:tcBorders/>
                  <w:shd w:color="auto"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05" w:type="dxa"/>
                  <w:tcBorders/>
                  <w:shd w:color="auto"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Title"/>
              <w:widowControl w:val="false"/>
              <w:shd w:val="clear" w:color="auto" w:fill="auto"/>
              <w:ind w:hanging="0"/>
              <w:jc w:val="left"/>
              <w:rPr>
                <w:i/>
                <w:i/>
                <w:iCs/>
              </w:rPr>
            </w:pPr>
            <w:r>
              <w:rPr>
                <w:i/>
                <w:iCs/>
              </w:rPr>
            </w:r>
          </w:p>
          <w:p>
            <w:pPr>
              <w:pStyle w:val="Title"/>
              <w:widowControl w:val="false"/>
              <w:shd w:val="clear" w:color="auto" w:fill="auto"/>
              <w:spacing w:before="0" w:after="120"/>
              <w:ind w:hanging="0"/>
              <w:jc w:val="left"/>
              <w:rPr>
                <w:i/>
                <w:i/>
                <w:iCs/>
              </w:rPr>
            </w:pPr>
            <w:r>
              <w:rPr>
                <w:i/>
                <w:iCs/>
              </w:rPr>
            </w:r>
          </w:p>
        </w:tc>
      </w:tr>
    </w:tbl>
    <w:p>
      <w:pPr>
        <w:pStyle w:val="Title"/>
        <w:ind w:hanging="0"/>
        <w:jc w:val="left"/>
        <w:rPr>
          <w:i/>
          <w:i/>
          <w:iCs/>
        </w:rPr>
      </w:pPr>
      <w:r>
        <w:rPr>
          <w:sz w:val="24"/>
          <w:szCs w:val="24"/>
        </w:rPr>
      </w:r>
    </w:p>
    <w:p>
      <w:pPr>
        <w:pStyle w:val="Normal"/>
        <w:spacing w:lineRule="auto" w:line="240"/>
        <w:rPr>
          <w:sz w:val="24"/>
          <w:szCs w:val="24"/>
        </w:rPr>
      </w:pPr>
      <w:r>
        <w:rPr>
          <w:sz w:val="24"/>
          <w:szCs w:val="24"/>
        </w:rPr>
      </w:r>
    </w:p>
    <w:p>
      <w:pPr>
        <w:pStyle w:val="Normal"/>
        <w:spacing w:lineRule="auto" w:line="240"/>
        <w:ind w:hanging="0" w:left="5103"/>
        <w:rPr>
          <w:sz w:val="22"/>
          <w:szCs w:val="22"/>
          <w:highlight w:val="yellow"/>
        </w:rPr>
      </w:pPr>
      <w:r>
        <w:rPr>
          <w:sz w:val="22"/>
          <w:szCs w:val="22"/>
          <w:highlight w:val="yellow"/>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spacing w:lineRule="auto" w:line="240"/>
              <w:ind w:hanging="0"/>
              <w:rPr>
                <w:b/>
                <w:sz w:val="24"/>
              </w:rPr>
            </w:pPr>
            <w:r>
              <w:rPr>
                <w:b/>
                <w:sz w:val="24"/>
              </w:rPr>
              <w:t>Заказчик:</w:t>
            </w:r>
          </w:p>
        </w:tc>
        <w:tc>
          <w:tcPr>
            <w:tcW w:w="4785" w:type="dxa"/>
            <w:tcBorders/>
          </w:tcPr>
          <w:p>
            <w:pPr>
              <w:pStyle w:val="Normal"/>
              <w:widowControl w:val="false"/>
              <w:spacing w:lineRule="auto" w:line="240"/>
              <w:ind w:hanging="0"/>
              <w:rPr>
                <w:b/>
                <w:sz w:val="24"/>
              </w:rPr>
            </w:pPr>
            <w:r>
              <w:rPr>
                <w:b/>
                <w:sz w:val="24"/>
              </w:rPr>
              <w:t>Подрядчик:</w:t>
            </w:r>
          </w:p>
        </w:tc>
      </w:tr>
      <w:tr>
        <w:trPr/>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Normal"/>
        <w:spacing w:lineRule="auto" w:line="240"/>
        <w:ind w:hanging="0" w:left="5103"/>
        <w:rPr>
          <w:sz w:val="22"/>
          <w:szCs w:val="22"/>
          <w:highlight w:val="yellow"/>
        </w:rPr>
      </w:pPr>
      <w:r>
        <w:rPr>
          <w:sz w:val="22"/>
          <w:szCs w:val="22"/>
          <w:highlight w:val="yellow"/>
        </w:rPr>
      </w:r>
      <w:r>
        <w:br w:type="page"/>
      </w:r>
    </w:p>
    <w:p>
      <w:pPr>
        <w:pStyle w:val="Normal"/>
        <w:spacing w:lineRule="auto" w:line="240"/>
        <w:ind w:hanging="0" w:left="4820"/>
        <w:rPr>
          <w:sz w:val="22"/>
          <w:szCs w:val="22"/>
        </w:rPr>
      </w:pPr>
      <w:r>
        <w:rPr>
          <w:sz w:val="22"/>
          <w:szCs w:val="22"/>
        </w:rPr>
        <w:t>Приложение № 4</w:t>
      </w:r>
    </w:p>
    <w:p>
      <w:pPr>
        <w:pStyle w:val="Normal"/>
        <w:spacing w:lineRule="auto" w:line="240"/>
        <w:ind w:hanging="0" w:left="4820"/>
        <w:rPr>
          <w:sz w:val="22"/>
          <w:szCs w:val="22"/>
        </w:rPr>
      </w:pPr>
      <w:r>
        <w:rPr>
          <w:sz w:val="22"/>
          <w:szCs w:val="22"/>
        </w:rPr>
        <w:t>к Договору подряда</w:t>
      </w:r>
    </w:p>
    <w:p>
      <w:pPr>
        <w:pStyle w:val="Normal"/>
        <w:spacing w:lineRule="auto" w:line="240"/>
        <w:ind w:hanging="0" w:left="4820"/>
        <w:rPr>
          <w:sz w:val="22"/>
          <w:szCs w:val="22"/>
        </w:rPr>
      </w:pPr>
      <w:r>
        <w:rPr>
          <w:sz w:val="22"/>
          <w:szCs w:val="22"/>
        </w:rPr>
        <w:t>от «____» __________ 20 _ г. № ____</w:t>
      </w:r>
    </w:p>
    <w:p>
      <w:pPr>
        <w:pStyle w:val="Normal"/>
        <w:spacing w:lineRule="auto" w:line="240"/>
        <w:ind w:hanging="0"/>
        <w:rPr>
          <w:b/>
          <w:bCs/>
          <w:sz w:val="24"/>
          <w:szCs w:val="24"/>
        </w:rPr>
      </w:pPr>
      <w:r>
        <w:rPr>
          <w:b/>
          <w:bCs/>
          <w:sz w:val="24"/>
          <w:szCs w:val="24"/>
        </w:rPr>
      </w:r>
    </w:p>
    <w:p>
      <w:pPr>
        <w:pStyle w:val="Normal"/>
        <w:spacing w:lineRule="auto" w:line="240"/>
        <w:jc w:val="center"/>
        <w:rPr>
          <w:b/>
          <w:bCs/>
        </w:rPr>
      </w:pPr>
      <w:r>
        <w:rPr>
          <w:b/>
          <w:bCs/>
        </w:rPr>
      </w:r>
    </w:p>
    <w:p>
      <w:pPr>
        <w:pStyle w:val="Normal"/>
        <w:spacing w:lineRule="auto" w:line="240"/>
        <w:jc w:val="center"/>
        <w:rPr>
          <w:b/>
          <w:sz w:val="24"/>
        </w:rPr>
      </w:pPr>
      <w:r>
        <w:rPr>
          <w:b/>
          <w:sz w:val="24"/>
        </w:rPr>
        <w:t>Перечень допусков, разрешений и лицензий Подрядчика</w:t>
      </w:r>
    </w:p>
    <w:p>
      <w:pPr>
        <w:pStyle w:val="Normal"/>
        <w:spacing w:lineRule="auto" w:line="240"/>
        <w:jc w:val="center"/>
        <w:rPr>
          <w:b/>
          <w:bCs/>
        </w:rPr>
      </w:pPr>
      <w:r>
        <w:rPr>
          <w:b/>
          <w:bCs/>
        </w:rPr>
      </w:r>
    </w:p>
    <w:tbl>
      <w:tblPr>
        <w:tblW w:w="50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680"/>
        <w:gridCol w:w="2158"/>
        <w:gridCol w:w="1230"/>
        <w:gridCol w:w="1090"/>
        <w:gridCol w:w="939"/>
        <w:gridCol w:w="1280"/>
        <w:gridCol w:w="2259"/>
      </w:tblGrid>
      <w:tr>
        <w:trPr>
          <w:trHeight w:val="2142" w:hRule="atLeast"/>
        </w:trPr>
        <w:tc>
          <w:tcPr>
            <w:tcW w:w="6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t xml:space="preserve">№ </w:t>
            </w:r>
            <w:r>
              <w:rPr>
                <w:bCs/>
                <w:sz w:val="22"/>
                <w:szCs w:val="22"/>
              </w:rPr>
              <w:t>п/п</w:t>
            </w:r>
          </w:p>
        </w:tc>
        <w:tc>
          <w:tcPr>
            <w:tcW w:w="215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t>Разрешительный документ</w:t>
            </w:r>
          </w:p>
        </w:tc>
        <w:tc>
          <w:tcPr>
            <w:tcW w:w="12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t xml:space="preserve">Номер, дата выдачи, </w:t>
            </w:r>
          </w:p>
          <w:p>
            <w:pPr>
              <w:pStyle w:val="Normal"/>
              <w:widowControl w:val="false"/>
              <w:spacing w:lineRule="auto" w:line="240"/>
              <w:ind w:hanging="0"/>
              <w:jc w:val="center"/>
              <w:rPr>
                <w:bCs/>
                <w:sz w:val="22"/>
                <w:szCs w:val="22"/>
              </w:rPr>
            </w:pPr>
            <w:r>
              <w:rPr>
                <w:bCs/>
                <w:sz w:val="22"/>
                <w:szCs w:val="22"/>
              </w:rPr>
              <w:t xml:space="preserve">кем выдан </w:t>
            </w:r>
          </w:p>
        </w:tc>
        <w:tc>
          <w:tcPr>
            <w:tcW w:w="109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t>Разрешаемая деятельность (виды деятельности)</w:t>
            </w:r>
          </w:p>
        </w:tc>
        <w:tc>
          <w:tcPr>
            <w:tcW w:w="93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t>Начало действия разрешительного документа</w:t>
            </w:r>
          </w:p>
        </w:tc>
        <w:tc>
          <w:tcPr>
            <w:tcW w:w="12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t xml:space="preserve">Окончание действия разрешительного документа </w:t>
            </w:r>
          </w:p>
        </w:tc>
        <w:tc>
          <w:tcPr>
            <w:tcW w:w="225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t>Ограничения (условия) использования разрешительного документа (осуществления разрешаемой деятельности)</w:t>
            </w:r>
          </w:p>
        </w:tc>
      </w:tr>
      <w:tr>
        <w:trPr>
          <w:trHeight w:val="557" w:hRule="atLeast"/>
        </w:trPr>
        <w:tc>
          <w:tcPr>
            <w:tcW w:w="6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215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2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09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93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2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225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r>
      <w:tr>
        <w:trPr>
          <w:trHeight w:val="532" w:hRule="atLeast"/>
        </w:trPr>
        <w:tc>
          <w:tcPr>
            <w:tcW w:w="6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215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2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09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93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2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225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r>
      <w:tr>
        <w:trPr>
          <w:trHeight w:val="505" w:hRule="atLeast"/>
        </w:trPr>
        <w:tc>
          <w:tcPr>
            <w:tcW w:w="6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215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23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09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93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2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225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r>
    </w:tbl>
    <w:p>
      <w:pPr>
        <w:pStyle w:val="Normal"/>
        <w:spacing w:lineRule="auto" w:line="240"/>
        <w:jc w:val="center"/>
        <w:rPr>
          <w:b/>
          <w:bCs/>
        </w:rPr>
      </w:pPr>
      <w:r>
        <w:rPr>
          <w:sz w:val="24"/>
          <w:szCs w:val="24"/>
        </w:rPr>
      </w:r>
    </w:p>
    <w:p>
      <w:pPr>
        <w:pStyle w:val="Normal"/>
        <w:spacing w:lineRule="auto" w:line="240"/>
        <w:rPr>
          <w:sz w:val="24"/>
        </w:rPr>
      </w:pPr>
      <w:r>
        <w:rPr>
          <w:sz w:val="24"/>
        </w:rPr>
      </w:r>
    </w:p>
    <w:p>
      <w:pPr>
        <w:pStyle w:val="Normal"/>
        <w:spacing w:lineRule="auto" w:line="240"/>
        <w:ind w:hanging="0"/>
        <w:rPr>
          <w:sz w:val="24"/>
        </w:rPr>
      </w:pPr>
      <w:r>
        <w:rPr>
          <w:sz w:val="24"/>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spacing w:lineRule="auto" w:line="240"/>
              <w:ind w:hanging="0"/>
              <w:rPr>
                <w:b/>
                <w:sz w:val="24"/>
              </w:rPr>
            </w:pPr>
            <w:r>
              <w:rPr>
                <w:b/>
                <w:sz w:val="24"/>
              </w:rPr>
              <w:t>Заказчик:</w:t>
            </w:r>
          </w:p>
        </w:tc>
        <w:tc>
          <w:tcPr>
            <w:tcW w:w="4785" w:type="dxa"/>
            <w:tcBorders/>
          </w:tcPr>
          <w:p>
            <w:pPr>
              <w:pStyle w:val="Normal"/>
              <w:widowControl w:val="false"/>
              <w:spacing w:lineRule="auto" w:line="240"/>
              <w:ind w:hanging="0"/>
              <w:rPr>
                <w:b/>
                <w:sz w:val="24"/>
              </w:rPr>
            </w:pPr>
            <w:r>
              <w:rPr>
                <w:b/>
                <w:sz w:val="24"/>
              </w:rPr>
              <w:t>Подрядчик:</w:t>
            </w:r>
          </w:p>
        </w:tc>
      </w:tr>
      <w:tr>
        <w:trPr/>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Normal"/>
        <w:spacing w:lineRule="auto" w:line="240"/>
        <w:rPr>
          <w:sz w:val="24"/>
          <w:szCs w:val="24"/>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r>
        <w:br w:type="page"/>
      </w:r>
    </w:p>
    <w:p>
      <w:pPr>
        <w:pStyle w:val="Normal"/>
        <w:spacing w:lineRule="auto" w:line="240"/>
        <w:ind w:hanging="0" w:left="4820"/>
        <w:rPr>
          <w:sz w:val="22"/>
          <w:szCs w:val="22"/>
        </w:rPr>
      </w:pPr>
      <w:r>
        <w:rPr>
          <w:sz w:val="22"/>
          <w:szCs w:val="22"/>
        </w:rPr>
        <w:t>Приложение № 5</w:t>
      </w:r>
    </w:p>
    <w:p>
      <w:pPr>
        <w:pStyle w:val="Normal"/>
        <w:spacing w:lineRule="auto" w:line="240"/>
        <w:ind w:hanging="0" w:left="4820"/>
        <w:rPr>
          <w:sz w:val="22"/>
          <w:szCs w:val="22"/>
        </w:rPr>
      </w:pPr>
      <w:r>
        <w:rPr>
          <w:sz w:val="22"/>
          <w:szCs w:val="22"/>
        </w:rPr>
        <w:t>к Договору подряда</w:t>
      </w:r>
    </w:p>
    <w:p>
      <w:pPr>
        <w:pStyle w:val="Normal"/>
        <w:spacing w:lineRule="auto" w:line="240"/>
        <w:ind w:hanging="0" w:left="4820"/>
        <w:rPr>
          <w:sz w:val="22"/>
          <w:szCs w:val="22"/>
        </w:rPr>
      </w:pPr>
      <w:r>
        <w:rPr>
          <w:sz w:val="22"/>
          <w:szCs w:val="22"/>
        </w:rPr>
        <w:t xml:space="preserve">от «____» __________ 20 _ г. № ____ </w:t>
      </w:r>
    </w:p>
    <w:p>
      <w:pPr>
        <w:pStyle w:val="Normal"/>
        <w:spacing w:lineRule="auto" w:line="240"/>
        <w:rPr>
          <w:sz w:val="22"/>
          <w:szCs w:val="22"/>
        </w:rPr>
      </w:pPr>
      <w:r>
        <w:rPr>
          <w:sz w:val="22"/>
          <w:szCs w:val="22"/>
        </w:rPr>
      </w:r>
    </w:p>
    <w:p>
      <w:pPr>
        <w:pStyle w:val="Normal"/>
        <w:spacing w:lineRule="auto" w:line="240"/>
        <w:ind w:hanging="0"/>
        <w:rPr>
          <w:b/>
          <w:sz w:val="24"/>
        </w:rPr>
      </w:pPr>
      <w:r>
        <w:rPr>
          <w:b/>
          <w:sz w:val="24"/>
        </w:rPr>
      </w:r>
    </w:p>
    <w:p>
      <w:pPr>
        <w:pStyle w:val="Normal"/>
        <w:spacing w:lineRule="auto" w:line="240"/>
        <w:ind w:hanging="0"/>
        <w:jc w:val="center"/>
        <w:rPr>
          <w:b/>
          <w:bCs/>
          <w:sz w:val="24"/>
          <w:szCs w:val="24"/>
        </w:rPr>
      </w:pPr>
      <w:r>
        <w:rPr>
          <w:b/>
          <w:bCs/>
          <w:sz w:val="24"/>
          <w:szCs w:val="24"/>
        </w:rPr>
        <w:t>Размер ответственности Подрядчика за нарушения</w:t>
      </w:r>
    </w:p>
    <w:p>
      <w:pPr>
        <w:pStyle w:val="Normal"/>
        <w:spacing w:lineRule="auto" w:line="240"/>
        <w:ind w:hanging="0"/>
        <w:jc w:val="center"/>
        <w:rPr>
          <w:b/>
          <w:bCs/>
          <w:sz w:val="24"/>
          <w:szCs w:val="24"/>
        </w:rPr>
      </w:pPr>
      <w:r>
        <w:rPr>
          <w:b/>
          <w:bCs/>
          <w:sz w:val="24"/>
          <w:szCs w:val="24"/>
        </w:rPr>
        <w:t>пропускного и внутриобъектового режима, требований охраны труда,</w:t>
      </w:r>
    </w:p>
    <w:p>
      <w:pPr>
        <w:pStyle w:val="Normal"/>
        <w:spacing w:lineRule="auto" w:line="240"/>
        <w:ind w:hanging="0"/>
        <w:jc w:val="center"/>
        <w:rPr>
          <w:b/>
          <w:color w:val="000000"/>
          <w:sz w:val="24"/>
          <w:szCs w:val="24"/>
        </w:rPr>
      </w:pPr>
      <w:r>
        <w:rPr>
          <w:b/>
          <w:bCs/>
          <w:sz w:val="24"/>
          <w:szCs w:val="24"/>
        </w:rPr>
        <w:t>пожарной и промышленной безопасности</w:t>
      </w:r>
    </w:p>
    <w:p>
      <w:pPr>
        <w:pStyle w:val="Normal"/>
        <w:spacing w:lineRule="auto" w:line="240"/>
        <w:rPr>
          <w:b/>
          <w:sz w:val="24"/>
          <w:szCs w:val="24"/>
        </w:rPr>
      </w:pPr>
      <w:r>
        <w:rPr>
          <w:b/>
          <w:sz w:val="24"/>
          <w:szCs w:val="24"/>
        </w:rPr>
      </w:r>
    </w:p>
    <w:tbl>
      <w:tblPr>
        <w:tblW w:w="4850" w:type="pct"/>
        <w:jc w:val="left"/>
        <w:tblInd w:w="0" w:type="dxa"/>
        <w:tblLayout w:type="fixed"/>
        <w:tblCellMar>
          <w:top w:w="0" w:type="dxa"/>
          <w:left w:w="108" w:type="dxa"/>
          <w:bottom w:w="0" w:type="dxa"/>
          <w:right w:w="108" w:type="dxa"/>
        </w:tblCellMar>
        <w:tblLook w:val="01e0" w:noHBand="0" w:noVBand="0" w:firstColumn="1" w:lastRow="1" w:lastColumn="1" w:firstRow="1"/>
      </w:tblPr>
      <w:tblGrid>
        <w:gridCol w:w="3655"/>
        <w:gridCol w:w="5691"/>
      </w:tblGrid>
      <w:tr>
        <w:trPr/>
        <w:tc>
          <w:tcPr>
            <w:tcW w:w="365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b/>
                <w:sz w:val="24"/>
                <w:szCs w:val="24"/>
              </w:rPr>
            </w:pPr>
            <w:r>
              <w:rPr>
                <w:b/>
                <w:sz w:val="24"/>
                <w:szCs w:val="24"/>
              </w:rPr>
              <w:t>Виды нарушений</w:t>
            </w:r>
          </w:p>
        </w:tc>
        <w:tc>
          <w:tcPr>
            <w:tcW w:w="56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b/>
                <w:sz w:val="24"/>
                <w:szCs w:val="24"/>
              </w:rPr>
            </w:pPr>
            <w:r>
              <w:rPr>
                <w:b/>
                <w:sz w:val="24"/>
                <w:szCs w:val="24"/>
              </w:rPr>
              <w:t>Штрафные санкции</w:t>
            </w:r>
          </w:p>
        </w:tc>
      </w:tr>
      <w:tr>
        <w:trPr/>
        <w:tc>
          <w:tcPr>
            <w:tcW w:w="365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rPr>
              <w:t>1. Нарушение правил пожарной безопасности (ППБ):</w:t>
            </w:r>
          </w:p>
        </w:tc>
        <w:tc>
          <w:tcPr>
            <w:tcW w:w="56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r>
          </w:p>
        </w:tc>
      </w:tr>
      <w:tr>
        <w:trPr/>
        <w:tc>
          <w:tcPr>
            <w:tcW w:w="365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t>1.1. Нарушение ППБ без возникновения пожара</w:t>
            </w:r>
          </w:p>
          <w:p>
            <w:pPr>
              <w:pStyle w:val="Normal"/>
              <w:widowControl w:val="false"/>
              <w:spacing w:lineRule="auto" w:line="240"/>
              <w:ind w:hanging="0"/>
              <w:rPr>
                <w:b/>
                <w:sz w:val="24"/>
                <w:szCs w:val="24"/>
              </w:rPr>
            </w:pPr>
            <w:r>
              <w:rPr>
                <w:b/>
                <w:sz w:val="24"/>
                <w:szCs w:val="24"/>
              </w:rPr>
            </w:r>
          </w:p>
        </w:tc>
        <w:tc>
          <w:tcPr>
            <w:tcW w:w="56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t>25 000 (двадцать пять тысяч) рублей за каждый случай нарушения.</w:t>
            </w:r>
          </w:p>
          <w:p>
            <w:pPr>
              <w:pStyle w:val="Normal"/>
              <w:widowControl w:val="false"/>
              <w:spacing w:lineRule="auto" w:line="240"/>
              <w:ind w:hanging="0"/>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365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t>1.2. Нарушение ППБ, ставшее причиной возникновения пожара, не причинившего ущерб имуществу Заказчика</w:t>
            </w:r>
          </w:p>
        </w:tc>
        <w:tc>
          <w:tcPr>
            <w:tcW w:w="56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t>50 000 (пятьдесят тысяч) рублей за каждый случай нарушения.</w:t>
            </w:r>
          </w:p>
          <w:p>
            <w:pPr>
              <w:pStyle w:val="Normal"/>
              <w:widowControl w:val="false"/>
              <w:spacing w:lineRule="auto" w:line="240"/>
              <w:ind w:hanging="0"/>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365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t>1.3. Нарушение ППБ, ставшее причиной возникновения пожара, причинившего ущерб имуществу Заказчика.</w:t>
            </w:r>
          </w:p>
        </w:tc>
        <w:tc>
          <w:tcPr>
            <w:tcW w:w="56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t>250 000 (двести пятьдесят тысяч) рублей за каждый случай нарушения.</w:t>
            </w:r>
          </w:p>
        </w:tc>
      </w:tr>
      <w:tr>
        <w:trPr/>
        <w:tc>
          <w:tcPr>
            <w:tcW w:w="365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rPr>
              <w:t>2.</w:t>
            </w:r>
            <w:r>
              <w:rPr>
                <w:b/>
                <w:sz w:val="24"/>
                <w:szCs w:val="24"/>
              </w:rPr>
              <w:t xml:space="preserve"> </w:t>
            </w:r>
            <w:r>
              <w:rPr>
                <w:sz w:val="24"/>
              </w:rPr>
              <w:t xml:space="preserve">Нарушение пропускного и внутриобъектового режима, </w:t>
            </w:r>
            <w:r>
              <w:rPr>
                <w:color w:val="000000"/>
                <w:sz w:val="24"/>
              </w:rPr>
              <w:t>требований охраны труда, промышленной безопасности, охраны окружающей среды, санитарно-эпидемиологических правил и норм.</w:t>
            </w:r>
            <w:r>
              <w:rPr>
                <w:b/>
                <w:sz w:val="24"/>
                <w:szCs w:val="24"/>
              </w:rPr>
              <w:t xml:space="preserve"> </w:t>
            </w:r>
          </w:p>
        </w:tc>
        <w:tc>
          <w:tcPr>
            <w:tcW w:w="569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43" w:leader="none"/>
              </w:tabs>
              <w:spacing w:lineRule="auto" w:line="240"/>
              <w:ind w:hanging="0" w:left="43"/>
              <w:rPr>
                <w:sz w:val="24"/>
                <w:szCs w:val="24"/>
              </w:rPr>
            </w:pPr>
            <w:r>
              <w:rPr>
                <w:sz w:val="24"/>
                <w:szCs w:val="24"/>
              </w:rPr>
              <w:t>50 000 (пятьдесят тысяч) рублей за каждый случай нарушения;</w:t>
            </w:r>
          </w:p>
          <w:p>
            <w:pPr>
              <w:pStyle w:val="Normal"/>
              <w:widowControl w:val="false"/>
              <w:tabs>
                <w:tab w:val="clear" w:pos="709"/>
                <w:tab w:val="left" w:pos="43" w:leader="none"/>
              </w:tabs>
              <w:spacing w:lineRule="auto" w:line="240"/>
              <w:ind w:hanging="0" w:left="43"/>
              <w:rPr>
                <w:sz w:val="24"/>
                <w:szCs w:val="24"/>
              </w:rPr>
            </w:pPr>
            <w:r>
              <w:rPr>
                <w:sz w:val="24"/>
                <w:szCs w:val="24"/>
              </w:rPr>
              <w:t xml:space="preserve">500 (пятьсот) рублей в случае утраты или приведения в негодность электронного пропуска, выданного Заказчиком. </w:t>
            </w:r>
          </w:p>
          <w:p>
            <w:pPr>
              <w:pStyle w:val="Normal"/>
              <w:widowControl w:val="false"/>
              <w:spacing w:lineRule="auto" w:line="240"/>
              <w:ind w:hanging="0"/>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spacing w:lineRule="auto" w:line="240"/>
        <w:ind w:hanging="0" w:left="5103"/>
        <w:rPr>
          <w:sz w:val="22"/>
          <w:szCs w:val="22"/>
        </w:rPr>
      </w:pPr>
      <w:r>
        <w:rPr>
          <w:sz w:val="24"/>
        </w:rPr>
      </w:r>
    </w:p>
    <w:p>
      <w:pPr>
        <w:pStyle w:val="Normal"/>
        <w:spacing w:lineRule="auto" w:line="240"/>
        <w:ind w:hanging="0"/>
        <w:rPr>
          <w:sz w:val="24"/>
        </w:rPr>
      </w:pPr>
      <w:r>
        <w:rPr>
          <w:sz w:val="24"/>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spacing w:lineRule="auto" w:line="240"/>
              <w:ind w:hanging="0"/>
              <w:rPr>
                <w:b/>
                <w:sz w:val="24"/>
              </w:rPr>
            </w:pPr>
            <w:r>
              <w:rPr>
                <w:b/>
                <w:sz w:val="24"/>
              </w:rPr>
              <w:t>Заказчик:</w:t>
            </w:r>
          </w:p>
        </w:tc>
        <w:tc>
          <w:tcPr>
            <w:tcW w:w="4785" w:type="dxa"/>
            <w:tcBorders/>
          </w:tcPr>
          <w:p>
            <w:pPr>
              <w:pStyle w:val="Normal"/>
              <w:widowControl w:val="false"/>
              <w:spacing w:lineRule="auto" w:line="240"/>
              <w:ind w:hanging="0"/>
              <w:rPr>
                <w:b/>
                <w:sz w:val="24"/>
              </w:rPr>
            </w:pPr>
            <w:r>
              <w:rPr>
                <w:b/>
                <w:sz w:val="24"/>
              </w:rPr>
              <w:t>Подрядчик:</w:t>
            </w:r>
          </w:p>
        </w:tc>
      </w:tr>
      <w:tr>
        <w:trPr/>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p>
    <w:p>
      <w:pPr>
        <w:pStyle w:val="Normal"/>
        <w:spacing w:lineRule="auto" w:line="240"/>
        <w:ind w:hanging="0" w:left="5103"/>
        <w:rPr>
          <w:sz w:val="22"/>
          <w:szCs w:val="22"/>
        </w:rPr>
      </w:pPr>
      <w:r>
        <w:rPr>
          <w:sz w:val="22"/>
          <w:szCs w:val="22"/>
        </w:rPr>
      </w:r>
      <w:r>
        <w:br w:type="page"/>
      </w:r>
    </w:p>
    <w:tbl>
      <w:tblPr>
        <w:tblW w:w="9571"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785"/>
        <w:gridCol w:w="4785"/>
      </w:tblGrid>
      <w:tr>
        <w:trPr/>
        <w:tc>
          <w:tcPr>
            <w:tcW w:w="4785" w:type="dxa"/>
            <w:tcBorders/>
          </w:tcPr>
          <w:p>
            <w:pPr>
              <w:pStyle w:val="Normal"/>
              <w:pageBreakBefore/>
              <w:widowControl w:val="false"/>
              <w:snapToGrid w:val="false"/>
              <w:spacing w:lineRule="auto" w:line="240"/>
              <w:rPr>
                <w:b/>
                <w:bCs/>
                <w:szCs w:val="24"/>
              </w:rPr>
            </w:pPr>
            <w:r>
              <w:rPr>
                <w:b/>
                <w:bCs/>
                <w:szCs w:val="24"/>
              </w:rPr>
            </w:r>
          </w:p>
        </w:tc>
        <w:tc>
          <w:tcPr>
            <w:tcW w:w="4785" w:type="dxa"/>
            <w:tcBorders/>
          </w:tcPr>
          <w:p>
            <w:pPr>
              <w:pStyle w:val="Normal"/>
              <w:widowControl w:val="false"/>
              <w:shd w:val="clear" w:color="auto" w:fill="FFFFFF"/>
              <w:spacing w:lineRule="auto" w:line="240"/>
              <w:ind w:hanging="0" w:left="69"/>
              <w:rPr>
                <w:bCs/>
                <w:sz w:val="22"/>
                <w:szCs w:val="22"/>
              </w:rPr>
            </w:pPr>
            <w:r>
              <w:rPr>
                <w:bCs/>
                <w:sz w:val="22"/>
                <w:szCs w:val="22"/>
              </w:rPr>
              <w:t>Приложение № 6</w:t>
            </w:r>
          </w:p>
          <w:p>
            <w:pPr>
              <w:pStyle w:val="Normal"/>
              <w:widowControl w:val="false"/>
              <w:shd w:val="clear" w:color="auto" w:fill="FFFFFF"/>
              <w:spacing w:lineRule="auto" w:line="240"/>
              <w:ind w:hanging="0" w:left="69"/>
              <w:rPr>
                <w:bCs/>
                <w:sz w:val="22"/>
                <w:szCs w:val="22"/>
              </w:rPr>
            </w:pPr>
            <w:r>
              <w:rPr>
                <w:bCs/>
                <w:sz w:val="22"/>
                <w:szCs w:val="22"/>
              </w:rPr>
              <w:t xml:space="preserve">к Договору подряда </w:t>
            </w:r>
          </w:p>
          <w:p>
            <w:pPr>
              <w:pStyle w:val="Normal"/>
              <w:widowControl w:val="false"/>
              <w:shd w:val="clear" w:color="auto" w:fill="FFFFFF"/>
              <w:spacing w:lineRule="auto" w:line="240"/>
              <w:ind w:hanging="0" w:left="69"/>
              <w:rPr>
                <w:bCs/>
                <w:sz w:val="22"/>
                <w:szCs w:val="22"/>
              </w:rPr>
            </w:pPr>
            <w:r>
              <w:rPr>
                <w:bCs/>
                <w:sz w:val="22"/>
                <w:szCs w:val="22"/>
              </w:rPr>
              <w:t>от «___» ________20__ г. № ___</w:t>
            </w:r>
          </w:p>
          <w:p>
            <w:pPr>
              <w:pStyle w:val="Normal"/>
              <w:widowControl w:val="false"/>
              <w:snapToGrid w:val="false"/>
              <w:spacing w:lineRule="auto" w:line="240"/>
              <w:rPr>
                <w:b/>
                <w:bCs/>
                <w:szCs w:val="24"/>
                <w:highlight w:val="lightGray"/>
              </w:rPr>
            </w:pPr>
            <w:r>
              <w:rPr>
                <w:b/>
                <w:bCs/>
                <w:szCs w:val="24"/>
                <w:highlight w:val="lightGray"/>
              </w:rPr>
            </w:r>
          </w:p>
        </w:tc>
      </w:tr>
    </w:tbl>
    <w:p>
      <w:pPr>
        <w:pStyle w:val="Normal"/>
        <w:shd w:val="clear" w:color="auto" w:fill="FFFFFF"/>
        <w:spacing w:lineRule="auto" w:line="240"/>
        <w:jc w:val="center"/>
        <w:rPr>
          <w:b/>
          <w:bCs/>
          <w:szCs w:val="24"/>
        </w:rPr>
      </w:pPr>
      <w:r>
        <w:rPr>
          <w:b/>
          <w:bCs/>
          <w:szCs w:val="24"/>
        </w:rPr>
        <w:t>Акт сдачи-приемки выполненных работ</w:t>
      </w:r>
    </w:p>
    <w:p>
      <w:pPr>
        <w:pStyle w:val="Normal"/>
        <w:shd w:val="clear" w:color="auto" w:fill="FFFFFF"/>
        <w:spacing w:lineRule="auto" w:line="240"/>
        <w:jc w:val="center"/>
        <w:rPr>
          <w:b/>
          <w:bCs/>
          <w:szCs w:val="24"/>
        </w:rPr>
      </w:pPr>
      <w:r>
        <w:rPr>
          <w:b/>
          <w:bCs/>
          <w:szCs w:val="24"/>
        </w:rPr>
        <w:t>(форма)</w:t>
      </w:r>
      <w:r>
        <w:rPr>
          <w:rStyle w:val="FootnoteReference"/>
          <w:b/>
          <w:bCs/>
          <w:szCs w:val="24"/>
        </w:rPr>
        <w:footnoteReference w:id="11"/>
      </w:r>
    </w:p>
    <w:p>
      <w:pPr>
        <w:pStyle w:val="Normal"/>
        <w:shd w:val="clear" w:color="auto" w:fill="FFFFFF"/>
        <w:spacing w:lineRule="auto" w:line="240"/>
        <w:jc w:val="center"/>
        <w:rPr>
          <w:b/>
          <w:bCs/>
          <w:szCs w:val="24"/>
        </w:rPr>
      </w:pPr>
      <w:r>
        <w:rPr>
          <w:b/>
          <w:bCs/>
          <w:szCs w:val="24"/>
        </w:rPr>
      </w:r>
    </w:p>
    <w:tbl>
      <w:tblPr>
        <w:tblW w:w="10070" w:type="dxa"/>
        <w:jc w:val="left"/>
        <w:tblInd w:w="-98" w:type="dxa"/>
        <w:tblLayout w:type="fixed"/>
        <w:tblCellMar>
          <w:top w:w="0" w:type="dxa"/>
          <w:left w:w="10" w:type="dxa"/>
          <w:bottom w:w="0" w:type="dxa"/>
          <w:right w:w="10" w:type="dxa"/>
        </w:tblCellMar>
        <w:tblLook w:val="04a0" w:noHBand="0" w:noVBand="1" w:firstColumn="1" w:lastRow="0" w:lastColumn="0" w:firstRow="1"/>
      </w:tblPr>
      <w:tblGrid>
        <w:gridCol w:w="26"/>
        <w:gridCol w:w="10043"/>
      </w:tblGrid>
      <w:tr>
        <w:trPr/>
        <w:tc>
          <w:tcPr>
            <w:tcW w:w="26" w:type="dxa"/>
            <w:tcBorders>
              <w:top w:val="single" w:sz="8" w:space="0" w:color="000000"/>
              <w:left w:val="single" w:sz="8" w:space="0" w:color="000000"/>
              <w:bottom w:val="single" w:sz="8" w:space="0" w:color="000000"/>
              <w:right w:val="single" w:sz="8" w:space="0" w:color="000000"/>
            </w:tcBorders>
          </w:tcPr>
          <w:p>
            <w:pPr>
              <w:pStyle w:val="Normal"/>
              <w:widowControl w:val="false"/>
              <w:spacing w:lineRule="auto" w:line="240"/>
              <w:jc w:val="center"/>
              <w:rPr>
                <w:b/>
                <w:bCs/>
                <w:szCs w:val="24"/>
              </w:rPr>
            </w:pPr>
            <w:r>
              <w:rPr>
                <w:b/>
                <w:bCs/>
                <w:szCs w:val="24"/>
              </w:rPr>
            </w:r>
          </w:p>
        </w:tc>
        <w:tc>
          <w:tcPr>
            <w:tcW w:w="10043" w:type="dxa"/>
            <w:tcBorders>
              <w:top w:val="single" w:sz="8" w:space="0" w:color="000000"/>
              <w:left w:val="single" w:sz="8" w:space="0" w:color="000000"/>
              <w:bottom w:val="single" w:sz="8" w:space="0" w:color="000000"/>
              <w:right w:val="single" w:sz="8" w:space="0" w:color="000000"/>
            </w:tcBorders>
            <w:tcMar>
              <w:left w:w="108" w:type="dxa"/>
              <w:right w:w="108" w:type="dxa"/>
            </w:tcMar>
          </w:tcPr>
          <w:p>
            <w:pPr>
              <w:pStyle w:val="Normal"/>
              <w:widowControl w:val="false"/>
              <w:spacing w:lineRule="auto" w:line="240"/>
              <w:jc w:val="center"/>
              <w:rPr>
                <w:b/>
                <w:bCs/>
                <w:szCs w:val="24"/>
              </w:rPr>
            </w:pPr>
            <w:r>
              <w:rPr>
                <w:b/>
                <w:bCs/>
                <w:szCs w:val="24"/>
              </w:rPr>
            </w:r>
          </w:p>
          <w:p>
            <w:pPr>
              <w:pStyle w:val="Normal"/>
              <w:widowControl w:val="false"/>
              <w:spacing w:lineRule="auto" w:line="240"/>
              <w:jc w:val="center"/>
              <w:rPr>
                <w:b/>
                <w:bCs/>
                <w:sz w:val="20"/>
                <w:szCs w:val="20"/>
              </w:rPr>
            </w:pPr>
            <w:r>
              <w:rPr>
                <w:b/>
                <w:bCs/>
                <w:sz w:val="20"/>
                <w:szCs w:val="20"/>
              </w:rPr>
              <w:t>АКТ СДАЧИ-ПРИЕМКИ ВЫПОЛНЕННЫХ РАБОТ №  _________</w:t>
            </w:r>
          </w:p>
          <w:tbl>
            <w:tblPr>
              <w:tblW w:w="9735" w:type="dxa"/>
              <w:jc w:val="left"/>
              <w:tblInd w:w="0" w:type="dxa"/>
              <w:tblLayout w:type="fixed"/>
              <w:tblCellMar>
                <w:top w:w="15" w:type="dxa"/>
                <w:left w:w="15" w:type="dxa"/>
                <w:bottom w:w="0" w:type="dxa"/>
                <w:right w:w="15" w:type="dxa"/>
              </w:tblCellMar>
              <w:tblLook w:val="04a0" w:noHBand="0" w:noVBand="1" w:firstColumn="1" w:lastRow="0" w:lastColumn="0" w:firstRow="1"/>
            </w:tblPr>
            <w:tblGrid>
              <w:gridCol w:w="1216"/>
              <w:gridCol w:w="1"/>
              <w:gridCol w:w="2590"/>
              <w:gridCol w:w="1255"/>
              <w:gridCol w:w="227"/>
              <w:gridCol w:w="586"/>
              <w:gridCol w:w="1399"/>
              <w:gridCol w:w="1335"/>
              <w:gridCol w:w="1124"/>
            </w:tblGrid>
            <w:tr>
              <w:trPr>
                <w:trHeight w:val="255" w:hRule="atLeast"/>
              </w:trPr>
              <w:tc>
                <w:tcPr>
                  <w:tcW w:w="9733" w:type="dxa"/>
                  <w:gridSpan w:val="9"/>
                  <w:tcBorders/>
                  <w:vAlign w:val="bottom"/>
                </w:tcPr>
                <w:p>
                  <w:pPr>
                    <w:pStyle w:val="Normal"/>
                    <w:widowControl w:val="false"/>
                    <w:spacing w:lineRule="auto" w:line="240"/>
                    <w:rPr>
                      <w:sz w:val="20"/>
                      <w:szCs w:val="20"/>
                    </w:rPr>
                  </w:pPr>
                  <w:r>
                    <w:rPr>
                      <w:sz w:val="20"/>
                      <w:szCs w:val="20"/>
                    </w:rPr>
                  </w:r>
                </w:p>
                <w:p>
                  <w:pPr>
                    <w:pStyle w:val="Normal"/>
                    <w:widowControl w:val="false"/>
                    <w:spacing w:lineRule="auto" w:line="240"/>
                    <w:rPr>
                      <w:sz w:val="20"/>
                      <w:szCs w:val="20"/>
                    </w:rPr>
                  </w:pPr>
                  <w:r>
                    <w:rPr>
                      <w:sz w:val="20"/>
                      <w:szCs w:val="20"/>
                    </w:rPr>
                    <w:t>г.___________                                                                                                              «_____» _________20_г.</w:t>
                  </w:r>
                </w:p>
                <w:tbl>
                  <w:tblPr>
                    <w:tblW w:w="9590" w:type="dxa"/>
                    <w:jc w:val="left"/>
                    <w:tblInd w:w="0" w:type="dxa"/>
                    <w:tblLayout w:type="fixed"/>
                    <w:tblCellMar>
                      <w:top w:w="15" w:type="dxa"/>
                      <w:left w:w="15" w:type="dxa"/>
                      <w:bottom w:w="0" w:type="dxa"/>
                      <w:right w:w="15" w:type="dxa"/>
                    </w:tblCellMar>
                    <w:tblLook w:val="04a0" w:noHBand="0" w:noVBand="1" w:firstColumn="1" w:lastRow="0" w:lastColumn="0" w:firstRow="1"/>
                  </w:tblPr>
                  <w:tblGrid>
                    <w:gridCol w:w="1356"/>
                    <w:gridCol w:w="8163"/>
                    <w:gridCol w:w="71"/>
                  </w:tblGrid>
                  <w:tr>
                    <w:trPr>
                      <w:trHeight w:val="255" w:hRule="atLeast"/>
                    </w:trPr>
                    <w:tc>
                      <w:tcPr>
                        <w:tcW w:w="1356" w:type="dxa"/>
                        <w:tcBorders/>
                        <w:vAlign w:val="bottom"/>
                      </w:tcPr>
                      <w:p>
                        <w:pPr>
                          <w:pStyle w:val="Normal"/>
                          <w:widowControl w:val="false"/>
                          <w:snapToGrid w:val="false"/>
                          <w:spacing w:lineRule="auto" w:line="240"/>
                          <w:ind w:hanging="0"/>
                          <w:jc w:val="left"/>
                          <w:rPr>
                            <w:sz w:val="22"/>
                            <w:szCs w:val="22"/>
                          </w:rPr>
                        </w:pPr>
                        <w:r>
                          <w:rPr>
                            <w:sz w:val="22"/>
                            <w:szCs w:val="22"/>
                          </w:rPr>
                        </w:r>
                      </w:p>
                      <w:p>
                        <w:pPr>
                          <w:pStyle w:val="Normal"/>
                          <w:widowControl w:val="false"/>
                          <w:snapToGrid w:val="false"/>
                          <w:spacing w:lineRule="auto" w:line="240"/>
                          <w:ind w:hanging="0"/>
                          <w:jc w:val="left"/>
                          <w:rPr>
                            <w:sz w:val="22"/>
                            <w:szCs w:val="22"/>
                          </w:rPr>
                        </w:pPr>
                        <w:r>
                          <w:rPr>
                            <w:sz w:val="22"/>
                            <w:szCs w:val="22"/>
                          </w:rPr>
                          <w:t xml:space="preserve">Заказчик: </w:t>
                        </w:r>
                      </w:p>
                    </w:tc>
                    <w:tc>
                      <w:tcPr>
                        <w:tcW w:w="8163" w:type="dxa"/>
                        <w:tcBorders>
                          <w:bottom w:val="single" w:sz="4" w:space="0" w:color="000000"/>
                        </w:tcBorders>
                        <w:vAlign w:val="bottom"/>
                      </w:tcPr>
                      <w:p>
                        <w:pPr>
                          <w:pStyle w:val="Normal"/>
                          <w:widowControl w:val="false"/>
                          <w:snapToGrid w:val="false"/>
                          <w:spacing w:lineRule="auto" w:line="240"/>
                          <w:ind w:hanging="0"/>
                          <w:jc w:val="left"/>
                          <w:rPr>
                            <w:sz w:val="22"/>
                            <w:szCs w:val="22"/>
                          </w:rPr>
                        </w:pPr>
                        <w:r>
                          <w:rPr>
                            <w:sz w:val="22"/>
                            <w:szCs w:val="22"/>
                          </w:rPr>
                        </w:r>
                      </w:p>
                    </w:tc>
                    <w:tc>
                      <w:tcPr>
                        <w:tcW w:w="71" w:type="dxa"/>
                        <w:tcBorders/>
                        <w:tcMar>
                          <w:top w:w="0" w:type="dxa"/>
                          <w:left w:w="0" w:type="dxa"/>
                          <w:right w:w="0" w:type="dxa"/>
                        </w:tcMar>
                      </w:tcPr>
                      <w:p>
                        <w:pPr>
                          <w:pStyle w:val="Normal"/>
                          <w:widowControl w:val="false"/>
                          <w:rPr/>
                        </w:pPr>
                        <w:r>
                          <w:rPr/>
                        </w:r>
                      </w:p>
                    </w:tc>
                  </w:tr>
                  <w:tr>
                    <w:trPr>
                      <w:trHeight w:val="255" w:hRule="atLeast"/>
                    </w:trPr>
                    <w:tc>
                      <w:tcPr>
                        <w:tcW w:w="1356" w:type="dxa"/>
                        <w:tcBorders/>
                        <w:vAlign w:val="bottom"/>
                      </w:tcPr>
                      <w:p>
                        <w:pPr>
                          <w:pStyle w:val="Normal"/>
                          <w:widowControl w:val="false"/>
                          <w:snapToGrid w:val="false"/>
                          <w:spacing w:lineRule="auto" w:line="240"/>
                          <w:ind w:hanging="0"/>
                          <w:jc w:val="left"/>
                          <w:rPr>
                            <w:sz w:val="22"/>
                            <w:szCs w:val="22"/>
                          </w:rPr>
                        </w:pPr>
                        <w:r>
                          <w:rPr>
                            <w:sz w:val="22"/>
                            <w:szCs w:val="22"/>
                          </w:rPr>
                        </w:r>
                      </w:p>
                    </w:tc>
                    <w:tc>
                      <w:tcPr>
                        <w:tcW w:w="8234" w:type="dxa"/>
                        <w:gridSpan w:val="2"/>
                        <w:tcBorders>
                          <w:top w:val="single" w:sz="4" w:space="0" w:color="000000"/>
                        </w:tcBorders>
                      </w:tcPr>
                      <w:p>
                        <w:pPr>
                          <w:pStyle w:val="Normal"/>
                          <w:widowControl w:val="false"/>
                          <w:snapToGrid w:val="false"/>
                          <w:spacing w:lineRule="auto" w:line="240"/>
                          <w:ind w:hanging="0"/>
                          <w:jc w:val="center"/>
                          <w:rPr>
                            <w:sz w:val="22"/>
                            <w:szCs w:val="22"/>
                          </w:rPr>
                        </w:pPr>
                        <w:r>
                          <w:rPr>
                            <w:i/>
                            <w:iCs/>
                            <w:sz w:val="22"/>
                            <w:szCs w:val="22"/>
                          </w:rPr>
                          <w:t>(наименование организации, адрес, телефон, факс</w:t>
                        </w:r>
                        <w:r>
                          <w:rPr>
                            <w:sz w:val="22"/>
                            <w:szCs w:val="22"/>
                          </w:rPr>
                          <w:t>, ИНН, КПП, ОГРН</w:t>
                        </w:r>
                        <w:r>
                          <w:rPr>
                            <w:i/>
                            <w:iCs/>
                            <w:sz w:val="22"/>
                            <w:szCs w:val="22"/>
                          </w:rPr>
                          <w:t>)</w:t>
                        </w:r>
                      </w:p>
                    </w:tc>
                  </w:tr>
                  <w:tr>
                    <w:trPr>
                      <w:trHeight w:val="255" w:hRule="atLeast"/>
                    </w:trPr>
                    <w:tc>
                      <w:tcPr>
                        <w:tcW w:w="1356" w:type="dxa"/>
                        <w:tcBorders/>
                        <w:vAlign w:val="bottom"/>
                      </w:tcPr>
                      <w:p>
                        <w:pPr>
                          <w:pStyle w:val="Normal"/>
                          <w:widowControl w:val="false"/>
                          <w:snapToGrid w:val="false"/>
                          <w:spacing w:lineRule="auto" w:line="240"/>
                          <w:ind w:hanging="0"/>
                          <w:jc w:val="left"/>
                          <w:rPr>
                            <w:sz w:val="22"/>
                            <w:szCs w:val="22"/>
                          </w:rPr>
                        </w:pPr>
                        <w:r>
                          <w:rPr>
                            <w:sz w:val="22"/>
                            <w:szCs w:val="22"/>
                          </w:rPr>
                          <w:t xml:space="preserve">Подрядчик: </w:t>
                        </w:r>
                      </w:p>
                    </w:tc>
                    <w:tc>
                      <w:tcPr>
                        <w:tcW w:w="8234" w:type="dxa"/>
                        <w:gridSpan w:val="2"/>
                        <w:tcBorders>
                          <w:bottom w:val="single" w:sz="4" w:space="0" w:color="000000"/>
                        </w:tcBorders>
                        <w:vAlign w:val="bottom"/>
                      </w:tcPr>
                      <w:p>
                        <w:pPr>
                          <w:pStyle w:val="Normal"/>
                          <w:widowControl w:val="false"/>
                          <w:snapToGrid w:val="false"/>
                          <w:spacing w:lineRule="auto" w:line="240"/>
                          <w:ind w:hanging="0"/>
                          <w:jc w:val="left"/>
                          <w:rPr>
                            <w:sz w:val="22"/>
                            <w:szCs w:val="22"/>
                          </w:rPr>
                        </w:pPr>
                        <w:r>
                          <w:rPr>
                            <w:sz w:val="22"/>
                            <w:szCs w:val="22"/>
                          </w:rPr>
                        </w:r>
                      </w:p>
                    </w:tc>
                  </w:tr>
                  <w:tr>
                    <w:trPr>
                      <w:trHeight w:val="255" w:hRule="atLeast"/>
                    </w:trPr>
                    <w:tc>
                      <w:tcPr>
                        <w:tcW w:w="1356" w:type="dxa"/>
                        <w:tcBorders/>
                        <w:vAlign w:val="bottom"/>
                      </w:tcPr>
                      <w:p>
                        <w:pPr>
                          <w:pStyle w:val="Normal"/>
                          <w:widowControl w:val="false"/>
                          <w:snapToGrid w:val="false"/>
                          <w:spacing w:lineRule="auto" w:line="240"/>
                          <w:ind w:hanging="0"/>
                          <w:jc w:val="left"/>
                          <w:rPr>
                            <w:sz w:val="22"/>
                            <w:szCs w:val="22"/>
                          </w:rPr>
                        </w:pPr>
                        <w:r>
                          <w:rPr>
                            <w:sz w:val="22"/>
                            <w:szCs w:val="22"/>
                          </w:rPr>
                        </w:r>
                      </w:p>
                    </w:tc>
                    <w:tc>
                      <w:tcPr>
                        <w:tcW w:w="8234" w:type="dxa"/>
                        <w:gridSpan w:val="2"/>
                        <w:tcBorders/>
                      </w:tcPr>
                      <w:p>
                        <w:pPr>
                          <w:pStyle w:val="Normal"/>
                          <w:widowControl w:val="false"/>
                          <w:snapToGrid w:val="false"/>
                          <w:spacing w:lineRule="auto" w:line="240"/>
                          <w:ind w:hanging="0"/>
                          <w:jc w:val="center"/>
                          <w:rPr>
                            <w:sz w:val="22"/>
                            <w:szCs w:val="22"/>
                          </w:rPr>
                        </w:pPr>
                        <w:r>
                          <w:rPr>
                            <w:i/>
                            <w:iCs/>
                            <w:sz w:val="22"/>
                            <w:szCs w:val="22"/>
                          </w:rPr>
                          <w:t>(наименование организации, адрес, телефон, факс</w:t>
                        </w:r>
                        <w:r>
                          <w:rPr>
                            <w:sz w:val="22"/>
                            <w:szCs w:val="22"/>
                          </w:rPr>
                          <w:t>, ИНН, КПП, ОГРН</w:t>
                        </w:r>
                        <w:r>
                          <w:rPr>
                            <w:i/>
                            <w:iCs/>
                            <w:sz w:val="22"/>
                            <w:szCs w:val="22"/>
                          </w:rPr>
                          <w:t>)</w:t>
                        </w:r>
                      </w:p>
                    </w:tc>
                  </w:tr>
                </w:tbl>
                <w:p>
                  <w:pPr>
                    <w:pStyle w:val="Normal"/>
                    <w:widowControl w:val="false"/>
                    <w:spacing w:lineRule="auto" w:line="240"/>
                    <w:ind w:hanging="0"/>
                    <w:rPr>
                      <w:sz w:val="20"/>
                      <w:szCs w:val="20"/>
                    </w:rPr>
                  </w:pPr>
                  <w:r>
                    <w:rPr>
                      <w:sz w:val="20"/>
                      <w:szCs w:val="20"/>
                    </w:rPr>
                  </w:r>
                </w:p>
                <w:p>
                  <w:pPr>
                    <w:pStyle w:val="Normal"/>
                    <w:widowControl w:val="false"/>
                    <w:spacing w:lineRule="auto" w:line="240"/>
                    <w:ind w:hanging="0"/>
                    <w:rPr>
                      <w:sz w:val="20"/>
                      <w:szCs w:val="20"/>
                    </w:rPr>
                  </w:pPr>
                  <w:r>
                    <w:rPr>
                      <w:sz w:val="20"/>
                      <w:szCs w:val="20"/>
                    </w:rPr>
                    <w:t>составили настоящий акт о нижеследующем:</w:t>
                  </w:r>
                </w:p>
                <w:p>
                  <w:pPr>
                    <w:pStyle w:val="Normal"/>
                    <w:widowControl w:val="false"/>
                    <w:spacing w:lineRule="auto" w:line="240"/>
                    <w:ind w:hanging="0"/>
                    <w:rPr>
                      <w:sz w:val="20"/>
                      <w:szCs w:val="20"/>
                    </w:rPr>
                  </w:pPr>
                  <w:r>
                    <w:rPr>
                      <w:sz w:val="20"/>
                      <w:szCs w:val="20"/>
                    </w:rPr>
                  </w:r>
                </w:p>
                <w:p>
                  <w:pPr>
                    <w:pStyle w:val="Normal"/>
                    <w:widowControl w:val="false"/>
                    <w:spacing w:lineRule="auto" w:line="240"/>
                    <w:rPr>
                      <w:sz w:val="20"/>
                      <w:szCs w:val="20"/>
                    </w:rPr>
                  </w:pPr>
                  <w:r>
                    <w:rPr>
                      <w:sz w:val="20"/>
                      <w:szCs w:val="20"/>
                    </w:rPr>
                  </w:r>
                </w:p>
              </w:tc>
            </w:tr>
            <w:tr>
              <w:trPr>
                <w:trHeight w:val="255" w:hRule="atLeast"/>
              </w:trPr>
              <w:tc>
                <w:tcPr>
                  <w:tcW w:w="9733" w:type="dxa"/>
                  <w:gridSpan w:val="9"/>
                  <w:tcBorders/>
                  <w:vAlign w:val="bottom"/>
                </w:tcPr>
                <w:p>
                  <w:pPr>
                    <w:pStyle w:val="Normal"/>
                    <w:widowControl w:val="false"/>
                    <w:snapToGrid w:val="false"/>
                    <w:spacing w:lineRule="auto" w:line="240"/>
                    <w:rPr>
                      <w:sz w:val="20"/>
                      <w:szCs w:val="20"/>
                    </w:rPr>
                  </w:pPr>
                  <w:r>
                    <w:rPr>
                      <w:sz w:val="20"/>
                      <w:szCs w:val="20"/>
                    </w:rPr>
                    <w:t>Сметная (договорная) стоимость по договору № _____  от  _________ 20__ г.  -  ___________ руб.</w:t>
                  </w:r>
                </w:p>
                <w:p>
                  <w:pPr>
                    <w:pStyle w:val="Normal"/>
                    <w:widowControl w:val="false"/>
                    <w:snapToGrid w:val="false"/>
                    <w:spacing w:lineRule="auto" w:line="240"/>
                    <w:rPr>
                      <w:i/>
                      <w:i/>
                      <w:iCs/>
                      <w:sz w:val="20"/>
                      <w:szCs w:val="20"/>
                    </w:rPr>
                  </w:pPr>
                  <w:r>
                    <w:rPr>
                      <w:i/>
                      <w:iCs/>
                      <w:sz w:val="20"/>
                      <w:szCs w:val="20"/>
                    </w:rPr>
                    <w:t xml:space="preserve"> </w:t>
                  </w:r>
                </w:p>
              </w:tc>
            </w:tr>
            <w:tr>
              <w:trPr>
                <w:trHeight w:val="255" w:hRule="atLeast"/>
              </w:trPr>
              <w:tc>
                <w:tcPr>
                  <w:tcW w:w="5289" w:type="dxa"/>
                  <w:gridSpan w:val="5"/>
                  <w:tcBorders/>
                  <w:vAlign w:val="bottom"/>
                </w:tcPr>
                <w:p>
                  <w:pPr>
                    <w:pStyle w:val="Normal"/>
                    <w:widowControl w:val="false"/>
                    <w:spacing w:lineRule="auto" w:line="240"/>
                    <w:rPr>
                      <w:sz w:val="20"/>
                      <w:szCs w:val="20"/>
                    </w:rPr>
                  </w:pPr>
                  <w:r>
                    <w:rPr>
                      <w:sz w:val="20"/>
                      <w:szCs w:val="20"/>
                    </w:rPr>
                  </w:r>
                </w:p>
                <w:p>
                  <w:pPr>
                    <w:pStyle w:val="Normal"/>
                    <w:widowControl w:val="false"/>
                    <w:snapToGrid w:val="false"/>
                    <w:spacing w:lineRule="auto" w:line="240"/>
                    <w:rPr>
                      <w:sz w:val="20"/>
                      <w:szCs w:val="20"/>
                    </w:rPr>
                  </w:pPr>
                  <w:r>
                    <w:rPr>
                      <w:sz w:val="20"/>
                      <w:szCs w:val="20"/>
                    </w:rPr>
                  </w:r>
                </w:p>
              </w:tc>
              <w:tc>
                <w:tcPr>
                  <w:tcW w:w="4444" w:type="dxa"/>
                  <w:gridSpan w:val="4"/>
                  <w:tcBorders/>
                  <w:tcMar>
                    <w:top w:w="0" w:type="dxa"/>
                    <w:left w:w="0" w:type="dxa"/>
                    <w:right w:w="0" w:type="dxa"/>
                  </w:tcMar>
                </w:tcPr>
                <w:p>
                  <w:pPr>
                    <w:pStyle w:val="Normal"/>
                    <w:widowControl w:val="false"/>
                    <w:snapToGrid w:val="false"/>
                    <w:spacing w:lineRule="auto" w:line="240"/>
                    <w:ind w:firstLine="567" w:right="180"/>
                    <w:jc w:val="right"/>
                    <w:rPr>
                      <w:sz w:val="20"/>
                      <w:szCs w:val="20"/>
                    </w:rPr>
                  </w:pPr>
                  <w:r>
                    <w:rPr>
                      <w:sz w:val="20"/>
                      <w:szCs w:val="20"/>
                    </w:rPr>
                    <w:t xml:space="preserve">                </w:t>
                  </w:r>
                </w:p>
              </w:tc>
            </w:tr>
            <w:tr>
              <w:trPr>
                <w:cantSplit w:val="true"/>
              </w:trPr>
              <w:tc>
                <w:tcPr>
                  <w:tcW w:w="1216" w:type="dxa"/>
                  <w:tcBorders/>
                  <w:tcMar>
                    <w:top w:w="0" w:type="dxa"/>
                    <w:left w:w="0" w:type="dxa"/>
                    <w:right w:w="0" w:type="dxa"/>
                  </w:tcMar>
                </w:tcPr>
                <w:p>
                  <w:pPr>
                    <w:pStyle w:val="Normal"/>
                    <w:widowControl w:val="false"/>
                    <w:snapToGrid w:val="false"/>
                    <w:spacing w:lineRule="auto" w:line="240"/>
                    <w:ind w:hanging="0"/>
                    <w:jc w:val="center"/>
                    <w:rPr>
                      <w:b/>
                      <w:bCs/>
                      <w:sz w:val="20"/>
                      <w:szCs w:val="20"/>
                    </w:rPr>
                  </w:pPr>
                  <w:r>
                    <w:rPr>
                      <w:b/>
                      <w:bCs/>
                      <w:sz w:val="20"/>
                      <w:szCs w:val="20"/>
                    </w:rPr>
                  </w:r>
                </w:p>
              </w:tc>
              <w:tc>
                <w:tcPr>
                  <w:tcW w:w="1" w:type="dxa"/>
                  <w:vMerge w:val="restart"/>
                  <w:tcBorders>
                    <w:top w:val="single" w:sz="8" w:space="0" w:color="000000"/>
                    <w:left w:val="single" w:sz="8" w:space="0" w:color="000000"/>
                    <w:bottom w:val="single" w:sz="8" w:space="0" w:color="000000"/>
                    <w:right w:val="single" w:sz="8" w:space="0" w:color="000000"/>
                  </w:tcBorders>
                  <w:tcMar>
                    <w:top w:w="0" w:type="dxa"/>
                    <w:left w:w="108" w:type="dxa"/>
                    <w:right w:w="108" w:type="dxa"/>
                  </w:tcMar>
                  <w:vAlign w:val="center"/>
                </w:tcPr>
                <w:p>
                  <w:pPr>
                    <w:pStyle w:val="Normal"/>
                    <w:widowControl w:val="false"/>
                    <w:snapToGrid w:val="false"/>
                    <w:spacing w:lineRule="auto" w:line="240"/>
                    <w:ind w:hanging="0"/>
                    <w:jc w:val="center"/>
                    <w:rPr>
                      <w:b/>
                      <w:bCs/>
                      <w:sz w:val="20"/>
                      <w:szCs w:val="20"/>
                    </w:rPr>
                  </w:pPr>
                  <w:r>
                    <w:rPr>
                      <w:b/>
                      <w:bCs/>
                      <w:sz w:val="20"/>
                      <w:szCs w:val="20"/>
                    </w:rPr>
                    <w:t xml:space="preserve">№ </w:t>
                  </w:r>
                  <w:r>
                    <w:rPr>
                      <w:b/>
                      <w:bCs/>
                      <w:sz w:val="20"/>
                      <w:szCs w:val="20"/>
                    </w:rPr>
                    <w:t>п/п</w:t>
                  </w:r>
                </w:p>
              </w:tc>
              <w:tc>
                <w:tcPr>
                  <w:tcW w:w="2590" w:type="dxa"/>
                  <w:vMerge w:val="restart"/>
                  <w:tcBorders>
                    <w:top w:val="single" w:sz="8" w:space="0" w:color="000000"/>
                    <w:bottom w:val="single" w:sz="8" w:space="0" w:color="000000"/>
                    <w:right w:val="single" w:sz="8" w:space="0" w:color="000000"/>
                  </w:tcBorders>
                  <w:tcMar>
                    <w:top w:w="0" w:type="dxa"/>
                    <w:left w:w="108" w:type="dxa"/>
                    <w:right w:w="108" w:type="dxa"/>
                  </w:tcMar>
                  <w:vAlign w:val="center"/>
                </w:tcPr>
                <w:p>
                  <w:pPr>
                    <w:pStyle w:val="Normal"/>
                    <w:widowControl w:val="false"/>
                    <w:snapToGrid w:val="false"/>
                    <w:spacing w:lineRule="auto" w:line="240"/>
                    <w:ind w:hanging="0"/>
                    <w:jc w:val="center"/>
                    <w:rPr>
                      <w:b/>
                      <w:bCs/>
                      <w:sz w:val="20"/>
                      <w:szCs w:val="20"/>
                    </w:rPr>
                  </w:pPr>
                  <w:r>
                    <w:rPr>
                      <w:b/>
                      <w:bCs/>
                      <w:sz w:val="20"/>
                      <w:szCs w:val="20"/>
                    </w:rPr>
                    <w:t>Наименование работ</w:t>
                  </w:r>
                </w:p>
              </w:tc>
              <w:tc>
                <w:tcPr>
                  <w:tcW w:w="5926" w:type="dxa"/>
                  <w:gridSpan w:val="6"/>
                  <w:tcBorders>
                    <w:top w:val="single" w:sz="8" w:space="0" w:color="000000"/>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ind w:hanging="0"/>
                    <w:jc w:val="center"/>
                    <w:rPr>
                      <w:b/>
                      <w:bCs/>
                      <w:sz w:val="20"/>
                      <w:szCs w:val="20"/>
                    </w:rPr>
                  </w:pPr>
                  <w:r>
                    <w:rPr>
                      <w:b/>
                      <w:bCs/>
                      <w:sz w:val="20"/>
                      <w:szCs w:val="20"/>
                    </w:rPr>
                    <w:t>Выполнено работ</w:t>
                  </w:r>
                </w:p>
              </w:tc>
            </w:tr>
            <w:tr>
              <w:trPr>
                <w:trHeight w:val="693" w:hRule="atLeast"/>
                <w:cantSplit w:val="true"/>
              </w:trPr>
              <w:tc>
                <w:tcPr>
                  <w:tcW w:w="1216" w:type="dxa"/>
                  <w:tcBorders/>
                  <w:tcMar>
                    <w:top w:w="0" w:type="dxa"/>
                    <w:left w:w="0" w:type="dxa"/>
                    <w:right w:w="0" w:type="dxa"/>
                  </w:tcMar>
                </w:tcPr>
                <w:p>
                  <w:pPr>
                    <w:pStyle w:val="Normal"/>
                    <w:widowControl w:val="false"/>
                    <w:spacing w:lineRule="auto" w:line="240"/>
                    <w:ind w:hanging="0"/>
                    <w:rPr>
                      <w:b/>
                      <w:bCs/>
                      <w:sz w:val="20"/>
                      <w:szCs w:val="20"/>
                    </w:rPr>
                  </w:pPr>
                  <w:r>
                    <w:rPr>
                      <w:b/>
                      <w:bCs/>
                      <w:sz w:val="20"/>
                      <w:szCs w:val="20"/>
                    </w:rPr>
                  </w:r>
                </w:p>
              </w:tc>
              <w:tc>
                <w:tcPr>
                  <w:tcW w:w="1" w:type="dxa"/>
                  <w:vMerge w:val="continue"/>
                  <w:tcBorders>
                    <w:top w:val="single" w:sz="8" w:space="0" w:color="000000"/>
                    <w:left w:val="single" w:sz="8" w:space="0" w:color="000000"/>
                    <w:bottom w:val="single" w:sz="8" w:space="0" w:color="000000"/>
                    <w:right w:val="single" w:sz="8" w:space="0" w:color="000000"/>
                  </w:tcBorders>
                  <w:tcMar>
                    <w:top w:w="0" w:type="dxa"/>
                    <w:left w:w="0" w:type="dxa"/>
                    <w:right w:w="0" w:type="dxa"/>
                  </w:tcMar>
                  <w:vAlign w:val="center"/>
                </w:tcPr>
                <w:p>
                  <w:pPr>
                    <w:pStyle w:val="Normal"/>
                    <w:widowControl w:val="false"/>
                    <w:spacing w:lineRule="auto" w:line="240"/>
                    <w:ind w:hanging="0"/>
                    <w:rPr>
                      <w:b/>
                      <w:bCs/>
                      <w:sz w:val="20"/>
                      <w:szCs w:val="20"/>
                    </w:rPr>
                  </w:pPr>
                  <w:r>
                    <w:rPr>
                      <w:b/>
                      <w:bCs/>
                      <w:sz w:val="20"/>
                      <w:szCs w:val="20"/>
                    </w:rPr>
                  </w:r>
                </w:p>
              </w:tc>
              <w:tc>
                <w:tcPr>
                  <w:tcW w:w="2590" w:type="dxa"/>
                  <w:vMerge w:val="continue"/>
                  <w:tcBorders>
                    <w:top w:val="single" w:sz="8" w:space="0" w:color="000000"/>
                    <w:bottom w:val="single" w:sz="8" w:space="0" w:color="000000"/>
                    <w:right w:val="single" w:sz="8" w:space="0" w:color="000000"/>
                  </w:tcBorders>
                  <w:tcMar>
                    <w:top w:w="0" w:type="dxa"/>
                    <w:left w:w="0" w:type="dxa"/>
                    <w:right w:w="0" w:type="dxa"/>
                  </w:tcMar>
                  <w:vAlign w:val="center"/>
                </w:tcPr>
                <w:p>
                  <w:pPr>
                    <w:pStyle w:val="Normal"/>
                    <w:widowControl w:val="false"/>
                    <w:spacing w:lineRule="auto" w:line="240"/>
                    <w:ind w:hanging="0"/>
                    <w:rPr>
                      <w:b/>
                      <w:bCs/>
                      <w:sz w:val="20"/>
                      <w:szCs w:val="20"/>
                    </w:rPr>
                  </w:pPr>
                  <w:r>
                    <w:rPr>
                      <w:b/>
                      <w:bCs/>
                      <w:sz w:val="20"/>
                      <w:szCs w:val="20"/>
                    </w:rPr>
                  </w:r>
                </w:p>
              </w:tc>
              <w:tc>
                <w:tcPr>
                  <w:tcW w:w="1255" w:type="dxa"/>
                  <w:tcBorders>
                    <w:bottom w:val="single" w:sz="8" w:space="0" w:color="000000"/>
                    <w:right w:val="single" w:sz="8" w:space="0" w:color="000000"/>
                  </w:tcBorders>
                  <w:tcMar>
                    <w:top w:w="0" w:type="dxa"/>
                    <w:left w:w="108" w:type="dxa"/>
                    <w:right w:w="108" w:type="dxa"/>
                  </w:tcMar>
                  <w:vAlign w:val="center"/>
                </w:tcPr>
                <w:p>
                  <w:pPr>
                    <w:pStyle w:val="Normal"/>
                    <w:widowControl w:val="false"/>
                    <w:spacing w:lineRule="auto" w:line="240"/>
                    <w:ind w:hanging="0"/>
                    <w:jc w:val="center"/>
                    <w:rPr>
                      <w:b/>
                      <w:bCs/>
                      <w:sz w:val="20"/>
                      <w:szCs w:val="20"/>
                    </w:rPr>
                  </w:pPr>
                  <w:r>
                    <w:rPr>
                      <w:b/>
                      <w:bCs/>
                      <w:sz w:val="20"/>
                      <w:szCs w:val="20"/>
                    </w:rPr>
                    <w:t xml:space="preserve">ед. </w:t>
                  </w:r>
                </w:p>
                <w:p>
                  <w:pPr>
                    <w:pStyle w:val="Normal"/>
                    <w:widowControl w:val="false"/>
                    <w:snapToGrid w:val="false"/>
                    <w:spacing w:lineRule="auto" w:line="240"/>
                    <w:ind w:hanging="0"/>
                    <w:jc w:val="center"/>
                    <w:rPr>
                      <w:b/>
                      <w:bCs/>
                      <w:sz w:val="20"/>
                      <w:szCs w:val="20"/>
                    </w:rPr>
                  </w:pPr>
                  <w:r>
                    <w:rPr>
                      <w:b/>
                      <w:bCs/>
                      <w:sz w:val="20"/>
                      <w:szCs w:val="20"/>
                    </w:rPr>
                    <w:t>изм.</w:t>
                  </w:r>
                </w:p>
              </w:tc>
              <w:tc>
                <w:tcPr>
                  <w:tcW w:w="813" w:type="dxa"/>
                  <w:gridSpan w:val="2"/>
                  <w:tcBorders>
                    <w:bottom w:val="single" w:sz="8" w:space="0" w:color="000000"/>
                    <w:right w:val="single" w:sz="8" w:space="0" w:color="000000"/>
                  </w:tcBorders>
                  <w:tcMar>
                    <w:top w:w="0" w:type="dxa"/>
                    <w:left w:w="108" w:type="dxa"/>
                    <w:right w:w="108" w:type="dxa"/>
                  </w:tcMar>
                  <w:vAlign w:val="center"/>
                </w:tcPr>
                <w:p>
                  <w:pPr>
                    <w:pStyle w:val="Normal"/>
                    <w:widowControl w:val="false"/>
                    <w:snapToGrid w:val="false"/>
                    <w:spacing w:lineRule="auto" w:line="240"/>
                    <w:ind w:hanging="0"/>
                    <w:jc w:val="center"/>
                    <w:rPr>
                      <w:b/>
                      <w:bCs/>
                      <w:sz w:val="20"/>
                      <w:szCs w:val="20"/>
                    </w:rPr>
                  </w:pPr>
                  <w:r>
                    <w:rPr>
                      <w:b/>
                      <w:bCs/>
                      <w:sz w:val="20"/>
                      <w:szCs w:val="20"/>
                    </w:rPr>
                    <w:t>коли-чество</w:t>
                  </w:r>
                </w:p>
              </w:tc>
              <w:tc>
                <w:tcPr>
                  <w:tcW w:w="1399" w:type="dxa"/>
                  <w:tcBorders>
                    <w:bottom w:val="single" w:sz="8" w:space="0" w:color="000000"/>
                    <w:right w:val="single" w:sz="8" w:space="0" w:color="000000"/>
                  </w:tcBorders>
                  <w:tcMar>
                    <w:top w:w="0" w:type="dxa"/>
                    <w:left w:w="108" w:type="dxa"/>
                    <w:right w:w="108" w:type="dxa"/>
                  </w:tcMar>
                  <w:vAlign w:val="center"/>
                </w:tcPr>
                <w:p>
                  <w:pPr>
                    <w:pStyle w:val="Normal"/>
                    <w:widowControl w:val="false"/>
                    <w:spacing w:lineRule="auto" w:line="240"/>
                    <w:ind w:hanging="0"/>
                    <w:jc w:val="center"/>
                    <w:rPr>
                      <w:b/>
                      <w:bCs/>
                      <w:sz w:val="20"/>
                      <w:szCs w:val="20"/>
                    </w:rPr>
                  </w:pPr>
                  <w:r>
                    <w:rPr>
                      <w:b/>
                      <w:bCs/>
                      <w:sz w:val="20"/>
                      <w:szCs w:val="20"/>
                    </w:rPr>
                    <w:t xml:space="preserve">цена за </w:t>
                  </w:r>
                </w:p>
                <w:p>
                  <w:pPr>
                    <w:pStyle w:val="Normal"/>
                    <w:widowControl w:val="false"/>
                    <w:snapToGrid w:val="false"/>
                    <w:spacing w:lineRule="auto" w:line="240"/>
                    <w:ind w:hanging="0"/>
                    <w:jc w:val="center"/>
                    <w:rPr>
                      <w:b/>
                      <w:bCs/>
                      <w:sz w:val="20"/>
                      <w:szCs w:val="20"/>
                    </w:rPr>
                  </w:pPr>
                  <w:r>
                    <w:rPr>
                      <w:b/>
                      <w:bCs/>
                      <w:sz w:val="20"/>
                      <w:szCs w:val="20"/>
                    </w:rPr>
                    <w:t>1 ед., руб.</w:t>
                  </w:r>
                </w:p>
              </w:tc>
              <w:tc>
                <w:tcPr>
                  <w:tcW w:w="1335" w:type="dxa"/>
                  <w:tcBorders>
                    <w:bottom w:val="single" w:sz="8" w:space="0" w:color="000000"/>
                    <w:right w:val="single" w:sz="8" w:space="0" w:color="000000"/>
                  </w:tcBorders>
                  <w:tcMar>
                    <w:top w:w="0" w:type="dxa"/>
                    <w:left w:w="108" w:type="dxa"/>
                    <w:right w:w="108" w:type="dxa"/>
                  </w:tcMar>
                  <w:vAlign w:val="center"/>
                </w:tcPr>
                <w:p>
                  <w:pPr>
                    <w:pStyle w:val="Normal"/>
                    <w:widowControl w:val="false"/>
                    <w:spacing w:lineRule="auto" w:line="240"/>
                    <w:ind w:hanging="0"/>
                    <w:jc w:val="center"/>
                    <w:rPr>
                      <w:b/>
                      <w:bCs/>
                      <w:sz w:val="20"/>
                      <w:szCs w:val="20"/>
                    </w:rPr>
                  </w:pPr>
                  <w:r>
                    <w:rPr>
                      <w:b/>
                      <w:bCs/>
                      <w:sz w:val="20"/>
                      <w:szCs w:val="20"/>
                    </w:rPr>
                    <w:t xml:space="preserve">стоимость, </w:t>
                  </w:r>
                </w:p>
                <w:p>
                  <w:pPr>
                    <w:pStyle w:val="Normal"/>
                    <w:widowControl w:val="false"/>
                    <w:snapToGrid w:val="false"/>
                    <w:spacing w:lineRule="auto" w:line="240"/>
                    <w:ind w:hanging="0"/>
                    <w:jc w:val="center"/>
                    <w:rPr>
                      <w:b/>
                      <w:bCs/>
                      <w:sz w:val="20"/>
                      <w:szCs w:val="20"/>
                    </w:rPr>
                  </w:pPr>
                  <w:r>
                    <w:rPr>
                      <w:b/>
                      <w:bCs/>
                      <w:sz w:val="20"/>
                      <w:szCs w:val="20"/>
                    </w:rPr>
                    <w:t>руб.</w:t>
                  </w:r>
                </w:p>
              </w:tc>
              <w:tc>
                <w:tcPr>
                  <w:tcW w:w="1124" w:type="dxa"/>
                  <w:tcBorders>
                    <w:bottom w:val="single" w:sz="8" w:space="0" w:color="000000"/>
                    <w:right w:val="single" w:sz="8" w:space="0" w:color="000000"/>
                  </w:tcBorders>
                  <w:tcMar>
                    <w:top w:w="0" w:type="dxa"/>
                    <w:left w:w="108" w:type="dxa"/>
                    <w:right w:w="108" w:type="dxa"/>
                  </w:tcMar>
                  <w:vAlign w:val="center"/>
                </w:tcPr>
                <w:p>
                  <w:pPr>
                    <w:pStyle w:val="Normal"/>
                    <w:widowControl w:val="false"/>
                    <w:snapToGrid w:val="false"/>
                    <w:spacing w:lineRule="auto" w:line="240"/>
                    <w:ind w:hanging="0"/>
                    <w:jc w:val="center"/>
                    <w:rPr>
                      <w:b/>
                      <w:bCs/>
                      <w:sz w:val="20"/>
                      <w:szCs w:val="20"/>
                    </w:rPr>
                  </w:pPr>
                  <w:r>
                    <w:rPr>
                      <w:b/>
                      <w:bCs/>
                      <w:sz w:val="20"/>
                      <w:szCs w:val="20"/>
                    </w:rPr>
                    <w:t>в т.ч. НДС, руб.*</w:t>
                  </w:r>
                </w:p>
              </w:tc>
            </w:tr>
            <w:tr>
              <w:trPr/>
              <w:tc>
                <w:tcPr>
                  <w:tcW w:w="1216" w:type="dxa"/>
                  <w:tcBorders/>
                  <w:tcMar>
                    <w:top w:w="0" w:type="dxa"/>
                    <w:left w:w="0" w:type="dxa"/>
                    <w:right w:w="0" w:type="dxa"/>
                  </w:tcMar>
                </w:tcPr>
                <w:p>
                  <w:pPr>
                    <w:pStyle w:val="Normal"/>
                    <w:widowControl w:val="false"/>
                    <w:snapToGrid w:val="false"/>
                    <w:spacing w:lineRule="auto" w:line="240"/>
                    <w:ind w:hanging="0"/>
                    <w:jc w:val="center"/>
                    <w:rPr>
                      <w:b/>
                      <w:bCs/>
                      <w:sz w:val="20"/>
                      <w:szCs w:val="20"/>
                    </w:rPr>
                  </w:pPr>
                  <w:r>
                    <w:rPr>
                      <w:b/>
                      <w:bCs/>
                      <w:sz w:val="20"/>
                      <w:szCs w:val="20"/>
                    </w:rPr>
                  </w:r>
                </w:p>
              </w:tc>
              <w:tc>
                <w:tcPr>
                  <w:tcW w:w="1" w:type="dxa"/>
                  <w:tcBorders>
                    <w:left w:val="single" w:sz="8" w:space="0" w:color="000000"/>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ind w:hanging="0"/>
                    <w:jc w:val="center"/>
                    <w:rPr>
                      <w:b/>
                      <w:bCs/>
                      <w:sz w:val="20"/>
                      <w:szCs w:val="20"/>
                    </w:rPr>
                  </w:pPr>
                  <w:r>
                    <w:rPr>
                      <w:b/>
                      <w:bCs/>
                      <w:sz w:val="20"/>
                      <w:szCs w:val="20"/>
                    </w:rPr>
                    <w:t>1</w:t>
                  </w:r>
                </w:p>
              </w:tc>
              <w:tc>
                <w:tcPr>
                  <w:tcW w:w="2590" w:type="dxa"/>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ind w:hanging="0"/>
                    <w:jc w:val="center"/>
                    <w:rPr>
                      <w:b/>
                      <w:bCs/>
                      <w:sz w:val="20"/>
                      <w:szCs w:val="20"/>
                    </w:rPr>
                  </w:pPr>
                  <w:r>
                    <w:rPr>
                      <w:b/>
                      <w:bCs/>
                      <w:sz w:val="20"/>
                      <w:szCs w:val="20"/>
                    </w:rPr>
                    <w:t>2</w:t>
                  </w:r>
                </w:p>
              </w:tc>
              <w:tc>
                <w:tcPr>
                  <w:tcW w:w="1255" w:type="dxa"/>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ind w:hanging="0"/>
                    <w:jc w:val="center"/>
                    <w:rPr>
                      <w:b/>
                      <w:bCs/>
                      <w:sz w:val="20"/>
                      <w:szCs w:val="20"/>
                    </w:rPr>
                  </w:pPr>
                  <w:r>
                    <w:rPr>
                      <w:b/>
                      <w:bCs/>
                      <w:sz w:val="20"/>
                      <w:szCs w:val="20"/>
                    </w:rPr>
                    <w:t>3</w:t>
                  </w:r>
                </w:p>
              </w:tc>
              <w:tc>
                <w:tcPr>
                  <w:tcW w:w="813" w:type="dxa"/>
                  <w:gridSpan w:val="2"/>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ind w:hanging="0"/>
                    <w:jc w:val="center"/>
                    <w:rPr>
                      <w:b/>
                      <w:bCs/>
                      <w:sz w:val="20"/>
                      <w:szCs w:val="20"/>
                    </w:rPr>
                  </w:pPr>
                  <w:r>
                    <w:rPr>
                      <w:b/>
                      <w:bCs/>
                      <w:sz w:val="20"/>
                      <w:szCs w:val="20"/>
                    </w:rPr>
                    <w:t>4</w:t>
                  </w:r>
                </w:p>
              </w:tc>
              <w:tc>
                <w:tcPr>
                  <w:tcW w:w="1399" w:type="dxa"/>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ind w:hanging="0"/>
                    <w:jc w:val="center"/>
                    <w:rPr>
                      <w:b/>
                      <w:bCs/>
                      <w:sz w:val="20"/>
                      <w:szCs w:val="20"/>
                    </w:rPr>
                  </w:pPr>
                  <w:r>
                    <w:rPr>
                      <w:b/>
                      <w:bCs/>
                      <w:sz w:val="20"/>
                      <w:szCs w:val="20"/>
                    </w:rPr>
                    <w:t>5</w:t>
                  </w:r>
                </w:p>
              </w:tc>
              <w:tc>
                <w:tcPr>
                  <w:tcW w:w="1335" w:type="dxa"/>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ind w:hanging="0"/>
                    <w:jc w:val="center"/>
                    <w:rPr>
                      <w:b/>
                      <w:bCs/>
                      <w:sz w:val="20"/>
                      <w:szCs w:val="20"/>
                    </w:rPr>
                  </w:pPr>
                  <w:r>
                    <w:rPr>
                      <w:b/>
                      <w:bCs/>
                      <w:sz w:val="20"/>
                      <w:szCs w:val="20"/>
                    </w:rPr>
                    <w:t>6</w:t>
                  </w:r>
                </w:p>
              </w:tc>
              <w:tc>
                <w:tcPr>
                  <w:tcW w:w="1124" w:type="dxa"/>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ind w:hanging="0"/>
                    <w:jc w:val="center"/>
                    <w:rPr>
                      <w:b/>
                      <w:bCs/>
                      <w:sz w:val="20"/>
                      <w:szCs w:val="20"/>
                    </w:rPr>
                  </w:pPr>
                  <w:r>
                    <w:rPr>
                      <w:b/>
                      <w:bCs/>
                      <w:sz w:val="20"/>
                      <w:szCs w:val="20"/>
                    </w:rPr>
                    <w:t>7</w:t>
                  </w:r>
                </w:p>
              </w:tc>
            </w:tr>
            <w:tr>
              <w:trPr/>
              <w:tc>
                <w:tcPr>
                  <w:tcW w:w="1216" w:type="dxa"/>
                  <w:tcBorders/>
                  <w:tcMar>
                    <w:top w:w="0" w:type="dxa"/>
                    <w:left w:w="0" w:type="dxa"/>
                    <w:right w:w="0" w:type="dxa"/>
                  </w:tcMar>
                </w:tcPr>
                <w:p>
                  <w:pPr>
                    <w:pStyle w:val="Normal"/>
                    <w:widowControl w:val="false"/>
                    <w:snapToGrid w:val="false"/>
                    <w:spacing w:lineRule="auto" w:line="240"/>
                    <w:jc w:val="center"/>
                    <w:rPr>
                      <w:sz w:val="20"/>
                      <w:szCs w:val="20"/>
                    </w:rPr>
                  </w:pPr>
                  <w:r>
                    <w:rPr>
                      <w:sz w:val="20"/>
                      <w:szCs w:val="20"/>
                    </w:rPr>
                  </w:r>
                </w:p>
              </w:tc>
              <w:tc>
                <w:tcPr>
                  <w:tcW w:w="1" w:type="dxa"/>
                  <w:tcBorders>
                    <w:left w:val="single" w:sz="8" w:space="0" w:color="000000"/>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jc w:val="center"/>
                    <w:rPr>
                      <w:sz w:val="20"/>
                      <w:szCs w:val="20"/>
                    </w:rPr>
                  </w:pPr>
                  <w:r>
                    <w:rPr>
                      <w:sz w:val="20"/>
                      <w:szCs w:val="20"/>
                    </w:rPr>
                  </w:r>
                </w:p>
              </w:tc>
              <w:tc>
                <w:tcPr>
                  <w:tcW w:w="2590" w:type="dxa"/>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rPr>
                      <w:sz w:val="20"/>
                      <w:szCs w:val="20"/>
                    </w:rPr>
                  </w:pPr>
                  <w:r>
                    <w:rPr>
                      <w:sz w:val="20"/>
                      <w:szCs w:val="20"/>
                    </w:rPr>
                  </w:r>
                </w:p>
              </w:tc>
              <w:tc>
                <w:tcPr>
                  <w:tcW w:w="1255" w:type="dxa"/>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rPr>
                      <w:sz w:val="20"/>
                      <w:szCs w:val="20"/>
                    </w:rPr>
                  </w:pPr>
                  <w:r>
                    <w:rPr>
                      <w:sz w:val="20"/>
                      <w:szCs w:val="20"/>
                    </w:rPr>
                  </w:r>
                </w:p>
              </w:tc>
              <w:tc>
                <w:tcPr>
                  <w:tcW w:w="813" w:type="dxa"/>
                  <w:gridSpan w:val="2"/>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rPr>
                      <w:sz w:val="20"/>
                      <w:szCs w:val="20"/>
                    </w:rPr>
                  </w:pPr>
                  <w:r>
                    <w:rPr>
                      <w:sz w:val="20"/>
                      <w:szCs w:val="20"/>
                    </w:rPr>
                  </w:r>
                </w:p>
              </w:tc>
              <w:tc>
                <w:tcPr>
                  <w:tcW w:w="1399" w:type="dxa"/>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rPr>
                      <w:sz w:val="20"/>
                      <w:szCs w:val="20"/>
                    </w:rPr>
                  </w:pPr>
                  <w:r>
                    <w:rPr>
                      <w:sz w:val="20"/>
                      <w:szCs w:val="20"/>
                    </w:rPr>
                  </w:r>
                </w:p>
              </w:tc>
              <w:tc>
                <w:tcPr>
                  <w:tcW w:w="1335" w:type="dxa"/>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rPr>
                      <w:sz w:val="20"/>
                      <w:szCs w:val="20"/>
                    </w:rPr>
                  </w:pPr>
                  <w:r>
                    <w:rPr>
                      <w:sz w:val="20"/>
                      <w:szCs w:val="20"/>
                    </w:rPr>
                  </w:r>
                </w:p>
              </w:tc>
              <w:tc>
                <w:tcPr>
                  <w:tcW w:w="1124" w:type="dxa"/>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rPr>
                      <w:sz w:val="20"/>
                      <w:szCs w:val="20"/>
                    </w:rPr>
                  </w:pPr>
                  <w:r>
                    <w:rPr>
                      <w:sz w:val="20"/>
                      <w:szCs w:val="20"/>
                    </w:rPr>
                  </w:r>
                </w:p>
              </w:tc>
            </w:tr>
            <w:tr>
              <w:trPr/>
              <w:tc>
                <w:tcPr>
                  <w:tcW w:w="1216" w:type="dxa"/>
                  <w:tcBorders/>
                  <w:tcMar>
                    <w:top w:w="0" w:type="dxa"/>
                    <w:left w:w="0" w:type="dxa"/>
                    <w:right w:w="0" w:type="dxa"/>
                  </w:tcMar>
                </w:tcPr>
                <w:p>
                  <w:pPr>
                    <w:pStyle w:val="Normal"/>
                    <w:widowControl w:val="false"/>
                    <w:snapToGrid w:val="false"/>
                    <w:spacing w:lineRule="auto" w:line="240"/>
                    <w:jc w:val="center"/>
                    <w:rPr>
                      <w:sz w:val="20"/>
                      <w:szCs w:val="20"/>
                    </w:rPr>
                  </w:pPr>
                  <w:r>
                    <w:rPr>
                      <w:sz w:val="20"/>
                      <w:szCs w:val="20"/>
                    </w:rPr>
                  </w:r>
                </w:p>
              </w:tc>
              <w:tc>
                <w:tcPr>
                  <w:tcW w:w="1" w:type="dxa"/>
                  <w:tcBorders>
                    <w:left w:val="single" w:sz="8" w:space="0" w:color="000000"/>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jc w:val="center"/>
                    <w:rPr>
                      <w:sz w:val="20"/>
                      <w:szCs w:val="20"/>
                    </w:rPr>
                  </w:pPr>
                  <w:r>
                    <w:rPr>
                      <w:sz w:val="20"/>
                      <w:szCs w:val="20"/>
                    </w:rPr>
                  </w:r>
                </w:p>
              </w:tc>
              <w:tc>
                <w:tcPr>
                  <w:tcW w:w="2590" w:type="dxa"/>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rPr>
                      <w:sz w:val="20"/>
                      <w:szCs w:val="20"/>
                    </w:rPr>
                  </w:pPr>
                  <w:r>
                    <w:rPr>
                      <w:sz w:val="20"/>
                      <w:szCs w:val="20"/>
                    </w:rPr>
                  </w:r>
                </w:p>
              </w:tc>
              <w:tc>
                <w:tcPr>
                  <w:tcW w:w="1255" w:type="dxa"/>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rPr>
                      <w:sz w:val="20"/>
                      <w:szCs w:val="20"/>
                    </w:rPr>
                  </w:pPr>
                  <w:r>
                    <w:rPr>
                      <w:sz w:val="20"/>
                      <w:szCs w:val="20"/>
                    </w:rPr>
                  </w:r>
                </w:p>
              </w:tc>
              <w:tc>
                <w:tcPr>
                  <w:tcW w:w="813" w:type="dxa"/>
                  <w:gridSpan w:val="2"/>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rPr>
                      <w:sz w:val="20"/>
                      <w:szCs w:val="20"/>
                    </w:rPr>
                  </w:pPr>
                  <w:r>
                    <w:rPr>
                      <w:sz w:val="20"/>
                      <w:szCs w:val="20"/>
                    </w:rPr>
                  </w:r>
                </w:p>
              </w:tc>
              <w:tc>
                <w:tcPr>
                  <w:tcW w:w="1399" w:type="dxa"/>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rPr>
                      <w:sz w:val="20"/>
                      <w:szCs w:val="20"/>
                    </w:rPr>
                  </w:pPr>
                  <w:r>
                    <w:rPr>
                      <w:sz w:val="20"/>
                      <w:szCs w:val="20"/>
                    </w:rPr>
                  </w:r>
                </w:p>
              </w:tc>
              <w:tc>
                <w:tcPr>
                  <w:tcW w:w="1335" w:type="dxa"/>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rPr>
                      <w:sz w:val="20"/>
                      <w:szCs w:val="20"/>
                    </w:rPr>
                  </w:pPr>
                  <w:r>
                    <w:rPr>
                      <w:sz w:val="20"/>
                      <w:szCs w:val="20"/>
                    </w:rPr>
                  </w:r>
                </w:p>
              </w:tc>
              <w:tc>
                <w:tcPr>
                  <w:tcW w:w="1124" w:type="dxa"/>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rPr>
                      <w:sz w:val="20"/>
                      <w:szCs w:val="20"/>
                    </w:rPr>
                  </w:pPr>
                  <w:r>
                    <w:rPr>
                      <w:sz w:val="20"/>
                      <w:szCs w:val="20"/>
                    </w:rPr>
                  </w:r>
                </w:p>
              </w:tc>
            </w:tr>
            <w:tr>
              <w:trPr/>
              <w:tc>
                <w:tcPr>
                  <w:tcW w:w="1216" w:type="dxa"/>
                  <w:tcBorders/>
                  <w:tcMar>
                    <w:top w:w="0" w:type="dxa"/>
                    <w:left w:w="0" w:type="dxa"/>
                    <w:right w:w="0" w:type="dxa"/>
                  </w:tcMar>
                </w:tcPr>
                <w:p>
                  <w:pPr>
                    <w:pStyle w:val="Normal"/>
                    <w:widowControl w:val="false"/>
                    <w:snapToGrid w:val="false"/>
                    <w:spacing w:lineRule="auto" w:line="240"/>
                    <w:jc w:val="center"/>
                    <w:rPr>
                      <w:sz w:val="20"/>
                      <w:szCs w:val="20"/>
                    </w:rPr>
                  </w:pPr>
                  <w:r>
                    <w:rPr>
                      <w:sz w:val="20"/>
                      <w:szCs w:val="20"/>
                    </w:rPr>
                  </w:r>
                </w:p>
              </w:tc>
              <w:tc>
                <w:tcPr>
                  <w:tcW w:w="1" w:type="dxa"/>
                  <w:tcBorders>
                    <w:left w:val="single" w:sz="8" w:space="0" w:color="000000"/>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jc w:val="center"/>
                    <w:rPr>
                      <w:sz w:val="20"/>
                      <w:szCs w:val="20"/>
                    </w:rPr>
                  </w:pPr>
                  <w:r>
                    <w:rPr>
                      <w:sz w:val="20"/>
                      <w:szCs w:val="20"/>
                    </w:rPr>
                  </w:r>
                </w:p>
              </w:tc>
              <w:tc>
                <w:tcPr>
                  <w:tcW w:w="2590" w:type="dxa"/>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rPr>
                      <w:sz w:val="20"/>
                      <w:szCs w:val="20"/>
                    </w:rPr>
                  </w:pPr>
                  <w:r>
                    <w:rPr>
                      <w:sz w:val="20"/>
                      <w:szCs w:val="20"/>
                    </w:rPr>
                  </w:r>
                </w:p>
              </w:tc>
              <w:tc>
                <w:tcPr>
                  <w:tcW w:w="1255" w:type="dxa"/>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rPr>
                      <w:sz w:val="20"/>
                      <w:szCs w:val="20"/>
                    </w:rPr>
                  </w:pPr>
                  <w:r>
                    <w:rPr>
                      <w:sz w:val="20"/>
                      <w:szCs w:val="20"/>
                    </w:rPr>
                  </w:r>
                </w:p>
              </w:tc>
              <w:tc>
                <w:tcPr>
                  <w:tcW w:w="813" w:type="dxa"/>
                  <w:gridSpan w:val="2"/>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rPr>
                      <w:sz w:val="20"/>
                      <w:szCs w:val="20"/>
                    </w:rPr>
                  </w:pPr>
                  <w:r>
                    <w:rPr>
                      <w:sz w:val="20"/>
                      <w:szCs w:val="20"/>
                    </w:rPr>
                  </w:r>
                </w:p>
              </w:tc>
              <w:tc>
                <w:tcPr>
                  <w:tcW w:w="1399" w:type="dxa"/>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rPr>
                      <w:sz w:val="20"/>
                      <w:szCs w:val="20"/>
                    </w:rPr>
                  </w:pPr>
                  <w:r>
                    <w:rPr>
                      <w:sz w:val="20"/>
                      <w:szCs w:val="20"/>
                    </w:rPr>
                  </w:r>
                </w:p>
              </w:tc>
              <w:tc>
                <w:tcPr>
                  <w:tcW w:w="1335" w:type="dxa"/>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rPr>
                      <w:sz w:val="20"/>
                      <w:szCs w:val="20"/>
                    </w:rPr>
                  </w:pPr>
                  <w:r>
                    <w:rPr>
                      <w:sz w:val="20"/>
                      <w:szCs w:val="20"/>
                    </w:rPr>
                  </w:r>
                </w:p>
              </w:tc>
              <w:tc>
                <w:tcPr>
                  <w:tcW w:w="1124" w:type="dxa"/>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rPr>
                      <w:sz w:val="20"/>
                      <w:szCs w:val="20"/>
                    </w:rPr>
                  </w:pPr>
                  <w:r>
                    <w:rPr>
                      <w:sz w:val="20"/>
                      <w:szCs w:val="20"/>
                    </w:rPr>
                  </w:r>
                </w:p>
              </w:tc>
            </w:tr>
            <w:tr>
              <w:trPr/>
              <w:tc>
                <w:tcPr>
                  <w:tcW w:w="1216" w:type="dxa"/>
                  <w:tcBorders/>
                  <w:tcMar>
                    <w:top w:w="0" w:type="dxa"/>
                    <w:left w:w="0" w:type="dxa"/>
                    <w:right w:w="0" w:type="dxa"/>
                  </w:tcMar>
                </w:tcPr>
                <w:p>
                  <w:pPr>
                    <w:pStyle w:val="Normal"/>
                    <w:widowControl w:val="false"/>
                    <w:snapToGrid w:val="false"/>
                    <w:spacing w:lineRule="auto" w:line="240"/>
                    <w:rPr>
                      <w:sz w:val="20"/>
                      <w:szCs w:val="20"/>
                    </w:rPr>
                  </w:pPr>
                  <w:r>
                    <w:rPr>
                      <w:sz w:val="20"/>
                      <w:szCs w:val="20"/>
                    </w:rPr>
                  </w:r>
                </w:p>
              </w:tc>
              <w:tc>
                <w:tcPr>
                  <w:tcW w:w="2591" w:type="dxa"/>
                  <w:gridSpan w:val="2"/>
                  <w:tcBorders>
                    <w:left w:val="single" w:sz="8" w:space="0" w:color="000000"/>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rPr>
                      <w:sz w:val="20"/>
                      <w:szCs w:val="20"/>
                    </w:rPr>
                  </w:pPr>
                  <w:r>
                    <w:rPr>
                      <w:sz w:val="20"/>
                      <w:szCs w:val="20"/>
                    </w:rPr>
                    <w:t>Выполнено работ</w:t>
                  </w:r>
                </w:p>
              </w:tc>
              <w:tc>
                <w:tcPr>
                  <w:tcW w:w="3467" w:type="dxa"/>
                  <w:gridSpan w:val="4"/>
                  <w:tcBorders>
                    <w:bottom w:val="single" w:sz="8" w:space="0" w:color="000000"/>
                    <w:right w:val="single" w:sz="8" w:space="0" w:color="000000"/>
                  </w:tcBorders>
                  <w:tcMar>
                    <w:top w:w="0" w:type="dxa"/>
                    <w:left w:w="108" w:type="dxa"/>
                    <w:right w:w="108" w:type="dxa"/>
                  </w:tcMar>
                  <w:vAlign w:val="center"/>
                </w:tcPr>
                <w:p>
                  <w:pPr>
                    <w:pStyle w:val="Normal"/>
                    <w:widowControl w:val="false"/>
                    <w:snapToGrid w:val="false"/>
                    <w:spacing w:lineRule="auto" w:line="240"/>
                    <w:jc w:val="center"/>
                    <w:rPr>
                      <w:b/>
                      <w:bCs/>
                      <w:sz w:val="20"/>
                      <w:szCs w:val="20"/>
                    </w:rPr>
                  </w:pPr>
                  <w:r>
                    <w:rPr>
                      <w:b/>
                      <w:bCs/>
                      <w:sz w:val="20"/>
                      <w:szCs w:val="20"/>
                    </w:rPr>
                    <w:t>ИТОГО</w:t>
                  </w:r>
                </w:p>
              </w:tc>
              <w:tc>
                <w:tcPr>
                  <w:tcW w:w="1335" w:type="dxa"/>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rPr>
                      <w:sz w:val="20"/>
                      <w:szCs w:val="20"/>
                    </w:rPr>
                  </w:pPr>
                  <w:r>
                    <w:rPr>
                      <w:sz w:val="20"/>
                      <w:szCs w:val="20"/>
                    </w:rPr>
                  </w:r>
                </w:p>
              </w:tc>
              <w:tc>
                <w:tcPr>
                  <w:tcW w:w="1124" w:type="dxa"/>
                  <w:tcBorders>
                    <w:bottom w:val="single" w:sz="8" w:space="0" w:color="000000"/>
                    <w:right w:val="single" w:sz="8" w:space="0" w:color="000000"/>
                  </w:tcBorders>
                  <w:tcMar>
                    <w:top w:w="0" w:type="dxa"/>
                    <w:left w:w="108" w:type="dxa"/>
                    <w:right w:w="108" w:type="dxa"/>
                  </w:tcMar>
                </w:tcPr>
                <w:p>
                  <w:pPr>
                    <w:pStyle w:val="Normal"/>
                    <w:widowControl w:val="false"/>
                    <w:snapToGrid w:val="false"/>
                    <w:spacing w:lineRule="auto" w:line="240"/>
                    <w:rPr>
                      <w:sz w:val="20"/>
                      <w:szCs w:val="20"/>
                    </w:rPr>
                  </w:pPr>
                  <w:r>
                    <w:rPr>
                      <w:sz w:val="20"/>
                      <w:szCs w:val="20"/>
                    </w:rPr>
                  </w:r>
                </w:p>
              </w:tc>
            </w:tr>
          </w:tbl>
          <w:p>
            <w:pPr>
              <w:pStyle w:val="Normal"/>
              <w:widowControl w:val="false"/>
              <w:spacing w:lineRule="auto" w:line="240"/>
              <w:ind w:hanging="0" w:left="0" w:right="0"/>
              <w:jc w:val="both"/>
              <w:rPr>
                <w:i/>
                <w:i/>
                <w:iCs/>
                <w:sz w:val="16"/>
                <w:szCs w:val="20"/>
              </w:rPr>
            </w:pPr>
            <w:r>
              <w:rPr>
                <w:i w:val="false"/>
                <w:iCs w:val="false"/>
                <w:sz w:val="16"/>
              </w:rPr>
              <w:t>* Применимая ставка НДС в отчётных документах определяется на момент определения налоговой базы в соответствии с действующим законодательством Российской Федерации о налогах и сборах.</w:t>
            </w:r>
          </w:p>
          <w:p>
            <w:pPr>
              <w:pStyle w:val="Normal"/>
              <w:widowControl w:val="false"/>
              <w:spacing w:lineRule="auto" w:line="240"/>
              <w:ind w:hanging="0" w:left="0" w:right="0"/>
              <w:jc w:val="both"/>
              <w:rPr>
                <w:i/>
                <w:i/>
                <w:iCs/>
                <w:sz w:val="16"/>
                <w:szCs w:val="20"/>
              </w:rPr>
            </w:pPr>
            <w:r>
              <w:rPr>
                <w:i/>
                <w:iCs/>
                <w:sz w:val="16"/>
                <w:szCs w:val="20"/>
              </w:rPr>
            </w:r>
          </w:p>
          <w:p>
            <w:pPr>
              <w:pStyle w:val="Normal"/>
              <w:widowControl w:val="false"/>
              <w:spacing w:lineRule="auto" w:line="240"/>
              <w:rPr>
                <w:sz w:val="20"/>
                <w:szCs w:val="20"/>
              </w:rPr>
            </w:pPr>
            <w:r>
              <w:rPr>
                <w:sz w:val="20"/>
                <w:szCs w:val="20"/>
              </w:rPr>
              <w:t>Выполненные работы удовлетворяют условиям договора (техническому заданию).</w:t>
            </w:r>
          </w:p>
          <w:p>
            <w:pPr>
              <w:pStyle w:val="Normal"/>
              <w:widowControl w:val="false"/>
              <w:spacing w:lineRule="auto" w:line="240"/>
              <w:rPr>
                <w:sz w:val="20"/>
                <w:szCs w:val="20"/>
              </w:rPr>
            </w:pPr>
            <w:r>
              <w:rPr>
                <w:sz w:val="20"/>
                <w:szCs w:val="20"/>
              </w:rPr>
              <w:t>Подрядчиком переданы Заказчику следующие документы (с указанием количества оригиналов/копий, на каком носителе, в каком формате)</w:t>
            </w:r>
          </w:p>
          <w:p>
            <w:pPr>
              <w:pStyle w:val="Normal"/>
              <w:widowControl w:val="false"/>
              <w:spacing w:lineRule="auto" w:line="240"/>
              <w:rPr>
                <w:sz w:val="20"/>
                <w:szCs w:val="20"/>
              </w:rPr>
            </w:pPr>
            <w:r>
              <w:rPr>
                <w:sz w:val="20"/>
                <w:szCs w:val="20"/>
              </w:rPr>
              <w:t>____________________________________________________________________</w:t>
            </w:r>
          </w:p>
          <w:tbl>
            <w:tblPr>
              <w:tblW w:w="9720"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51"/>
              <w:gridCol w:w="4049"/>
              <w:gridCol w:w="710"/>
              <w:gridCol w:w="344"/>
              <w:gridCol w:w="4166"/>
            </w:tblGrid>
            <w:tr>
              <w:trPr>
                <w:cantSplit w:val="true"/>
              </w:trPr>
              <w:tc>
                <w:tcPr>
                  <w:tcW w:w="4500" w:type="dxa"/>
                  <w:gridSpan w:val="2"/>
                  <w:tcBorders/>
                </w:tcPr>
                <w:p>
                  <w:pPr>
                    <w:pStyle w:val="Normal"/>
                    <w:widowControl w:val="false"/>
                    <w:spacing w:lineRule="auto" w:line="240"/>
                    <w:rPr>
                      <w:sz w:val="20"/>
                      <w:szCs w:val="20"/>
                    </w:rPr>
                  </w:pPr>
                  <w:r>
                    <w:rPr>
                      <w:b/>
                      <w:bCs/>
                      <w:sz w:val="20"/>
                      <w:szCs w:val="20"/>
                    </w:rPr>
                    <w:t>Заказчика:</w:t>
                  </w:r>
                </w:p>
              </w:tc>
              <w:tc>
                <w:tcPr>
                  <w:tcW w:w="710" w:type="dxa"/>
                  <w:vMerge w:val="restart"/>
                  <w:tcBorders/>
                </w:tcPr>
                <w:p>
                  <w:pPr>
                    <w:pStyle w:val="Normal"/>
                    <w:widowControl w:val="false"/>
                    <w:snapToGrid w:val="false"/>
                    <w:spacing w:lineRule="auto" w:line="240"/>
                    <w:rPr>
                      <w:sz w:val="20"/>
                      <w:szCs w:val="20"/>
                    </w:rPr>
                  </w:pPr>
                  <w:r>
                    <w:rPr>
                      <w:sz w:val="20"/>
                      <w:szCs w:val="20"/>
                    </w:rPr>
                  </w:r>
                </w:p>
              </w:tc>
              <w:tc>
                <w:tcPr>
                  <w:tcW w:w="4510" w:type="dxa"/>
                  <w:gridSpan w:val="2"/>
                  <w:tcBorders/>
                </w:tcPr>
                <w:p>
                  <w:pPr>
                    <w:pStyle w:val="Normal"/>
                    <w:widowControl w:val="false"/>
                    <w:spacing w:lineRule="auto" w:line="240"/>
                    <w:rPr>
                      <w:sz w:val="20"/>
                      <w:szCs w:val="20"/>
                    </w:rPr>
                  </w:pPr>
                  <w:r>
                    <w:rPr>
                      <w:b/>
                      <w:bCs/>
                      <w:sz w:val="20"/>
                      <w:szCs w:val="20"/>
                    </w:rPr>
                    <w:t>Подрядчика:</w:t>
                  </w:r>
                </w:p>
              </w:tc>
            </w:tr>
            <w:tr>
              <w:trPr>
                <w:cantSplit w:val="true"/>
              </w:trPr>
              <w:tc>
                <w:tcPr>
                  <w:tcW w:w="4500" w:type="dxa"/>
                  <w:gridSpan w:val="2"/>
                  <w:tcBorders/>
                </w:tcPr>
                <w:p>
                  <w:pPr>
                    <w:pStyle w:val="Normal"/>
                    <w:widowControl w:val="false"/>
                    <w:snapToGrid w:val="false"/>
                    <w:spacing w:lineRule="auto" w:line="240"/>
                    <w:rPr>
                      <w:b/>
                      <w:bCs/>
                      <w:sz w:val="20"/>
                      <w:szCs w:val="20"/>
                    </w:rPr>
                  </w:pPr>
                  <w:r>
                    <w:rPr>
                      <w:b/>
                      <w:bCs/>
                      <w:sz w:val="20"/>
                      <w:szCs w:val="20"/>
                    </w:rPr>
                  </w:r>
                </w:p>
              </w:tc>
              <w:tc>
                <w:tcPr>
                  <w:tcW w:w="710"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4510" w:type="dxa"/>
                  <w:gridSpan w:val="2"/>
                  <w:tcBorders/>
                </w:tcPr>
                <w:p>
                  <w:pPr>
                    <w:pStyle w:val="Normal"/>
                    <w:widowControl w:val="false"/>
                    <w:snapToGrid w:val="false"/>
                    <w:spacing w:lineRule="auto" w:line="240"/>
                    <w:rPr>
                      <w:b/>
                      <w:bCs/>
                      <w:sz w:val="20"/>
                      <w:szCs w:val="20"/>
                    </w:rPr>
                  </w:pPr>
                  <w:r>
                    <w:rPr>
                      <w:b/>
                      <w:bCs/>
                      <w:sz w:val="20"/>
                      <w:szCs w:val="20"/>
                    </w:rPr>
                  </w:r>
                </w:p>
              </w:tc>
            </w:tr>
            <w:tr>
              <w:trPr>
                <w:cantSplit w:val="true"/>
              </w:trPr>
              <w:tc>
                <w:tcPr>
                  <w:tcW w:w="451" w:type="dxa"/>
                  <w:vMerge w:val="restart"/>
                  <w:tcBorders/>
                </w:tcPr>
                <w:p>
                  <w:pPr>
                    <w:pStyle w:val="Normal"/>
                    <w:widowControl w:val="false"/>
                    <w:snapToGrid w:val="false"/>
                    <w:spacing w:lineRule="auto" w:line="240"/>
                    <w:rPr>
                      <w:sz w:val="20"/>
                      <w:szCs w:val="20"/>
                    </w:rPr>
                  </w:pPr>
                  <w:r>
                    <w:rPr>
                      <w:sz w:val="20"/>
                      <w:szCs w:val="20"/>
                    </w:rPr>
                  </w:r>
                </w:p>
              </w:tc>
              <w:tc>
                <w:tcPr>
                  <w:tcW w:w="4049" w:type="dxa"/>
                  <w:tcBorders>
                    <w:top w:val="single" w:sz="4" w:space="0" w:color="000000"/>
                  </w:tcBorders>
                </w:tcPr>
                <w:p>
                  <w:pPr>
                    <w:pStyle w:val="Normal"/>
                    <w:widowControl w:val="false"/>
                    <w:snapToGrid w:val="false"/>
                    <w:spacing w:lineRule="auto" w:line="240"/>
                    <w:jc w:val="center"/>
                    <w:rPr>
                      <w:sz w:val="20"/>
                      <w:szCs w:val="20"/>
                    </w:rPr>
                  </w:pPr>
                  <w:r>
                    <w:rPr>
                      <w:i/>
                      <w:iCs/>
                      <w:sz w:val="20"/>
                      <w:szCs w:val="20"/>
                    </w:rPr>
                    <w:t>(должность)</w:t>
                  </w:r>
                </w:p>
              </w:tc>
              <w:tc>
                <w:tcPr>
                  <w:tcW w:w="710"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344" w:type="dxa"/>
                  <w:vMerge w:val="restart"/>
                  <w:tcBorders/>
                </w:tcPr>
                <w:p>
                  <w:pPr>
                    <w:pStyle w:val="Normal"/>
                    <w:widowControl w:val="false"/>
                    <w:snapToGrid w:val="false"/>
                    <w:spacing w:lineRule="auto" w:line="240"/>
                    <w:rPr>
                      <w:sz w:val="20"/>
                      <w:szCs w:val="20"/>
                    </w:rPr>
                  </w:pPr>
                  <w:r>
                    <w:rPr>
                      <w:sz w:val="20"/>
                      <w:szCs w:val="20"/>
                    </w:rPr>
                  </w:r>
                </w:p>
              </w:tc>
              <w:tc>
                <w:tcPr>
                  <w:tcW w:w="4166" w:type="dxa"/>
                  <w:tcBorders>
                    <w:top w:val="single" w:sz="4" w:space="0" w:color="000000"/>
                  </w:tcBorders>
                </w:tcPr>
                <w:p>
                  <w:pPr>
                    <w:pStyle w:val="Normal"/>
                    <w:widowControl w:val="false"/>
                    <w:snapToGrid w:val="false"/>
                    <w:spacing w:lineRule="auto" w:line="240"/>
                    <w:jc w:val="center"/>
                    <w:rPr>
                      <w:sz w:val="20"/>
                      <w:szCs w:val="20"/>
                    </w:rPr>
                  </w:pPr>
                  <w:r>
                    <w:rPr>
                      <w:i/>
                      <w:iCs/>
                      <w:sz w:val="20"/>
                      <w:szCs w:val="20"/>
                    </w:rPr>
                    <w:t>(должность)</w:t>
                  </w:r>
                </w:p>
              </w:tc>
            </w:tr>
            <w:tr>
              <w:trPr>
                <w:cantSplit w:val="true"/>
              </w:trPr>
              <w:tc>
                <w:tcPr>
                  <w:tcW w:w="451"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4049" w:type="dxa"/>
                  <w:tcBorders>
                    <w:bottom w:val="single" w:sz="4" w:space="0" w:color="000000"/>
                  </w:tcBorders>
                </w:tcPr>
                <w:p>
                  <w:pPr>
                    <w:pStyle w:val="Normal"/>
                    <w:widowControl w:val="false"/>
                    <w:snapToGrid w:val="false"/>
                    <w:spacing w:lineRule="auto" w:line="240"/>
                    <w:rPr>
                      <w:sz w:val="20"/>
                      <w:szCs w:val="20"/>
                    </w:rPr>
                  </w:pPr>
                  <w:r>
                    <w:rPr>
                      <w:sz w:val="20"/>
                      <w:szCs w:val="20"/>
                    </w:rPr>
                  </w:r>
                </w:p>
              </w:tc>
              <w:tc>
                <w:tcPr>
                  <w:tcW w:w="710"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344"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4166" w:type="dxa"/>
                  <w:tcBorders>
                    <w:bottom w:val="single" w:sz="4" w:space="0" w:color="000000"/>
                  </w:tcBorders>
                </w:tcPr>
                <w:p>
                  <w:pPr>
                    <w:pStyle w:val="Normal"/>
                    <w:widowControl w:val="false"/>
                    <w:snapToGrid w:val="false"/>
                    <w:spacing w:lineRule="auto" w:line="240"/>
                    <w:rPr>
                      <w:sz w:val="20"/>
                      <w:szCs w:val="20"/>
                    </w:rPr>
                  </w:pPr>
                  <w:r>
                    <w:rPr>
                      <w:sz w:val="20"/>
                      <w:szCs w:val="20"/>
                    </w:rPr>
                  </w:r>
                </w:p>
              </w:tc>
            </w:tr>
            <w:tr>
              <w:trPr>
                <w:cantSplit w:val="true"/>
              </w:trPr>
              <w:tc>
                <w:tcPr>
                  <w:tcW w:w="451"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4049" w:type="dxa"/>
                  <w:tcBorders>
                    <w:top w:val="single" w:sz="4" w:space="0" w:color="000000"/>
                  </w:tcBorders>
                </w:tcPr>
                <w:p>
                  <w:pPr>
                    <w:pStyle w:val="Normal"/>
                    <w:widowControl w:val="false"/>
                    <w:snapToGrid w:val="false"/>
                    <w:spacing w:lineRule="auto" w:line="240"/>
                    <w:jc w:val="center"/>
                    <w:rPr>
                      <w:sz w:val="20"/>
                      <w:szCs w:val="20"/>
                    </w:rPr>
                  </w:pPr>
                  <w:r>
                    <w:rPr>
                      <w:i/>
                      <w:iCs/>
                      <w:sz w:val="20"/>
                      <w:szCs w:val="20"/>
                    </w:rPr>
                    <w:t>(подпись)</w:t>
                  </w:r>
                </w:p>
              </w:tc>
              <w:tc>
                <w:tcPr>
                  <w:tcW w:w="710"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344"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4166" w:type="dxa"/>
                  <w:tcBorders>
                    <w:top w:val="single" w:sz="4" w:space="0" w:color="000000"/>
                  </w:tcBorders>
                </w:tcPr>
                <w:p>
                  <w:pPr>
                    <w:pStyle w:val="Normal"/>
                    <w:widowControl w:val="false"/>
                    <w:snapToGrid w:val="false"/>
                    <w:spacing w:lineRule="auto" w:line="240"/>
                    <w:jc w:val="center"/>
                    <w:rPr>
                      <w:sz w:val="20"/>
                      <w:szCs w:val="20"/>
                    </w:rPr>
                  </w:pPr>
                  <w:r>
                    <w:rPr>
                      <w:i/>
                      <w:iCs/>
                      <w:sz w:val="20"/>
                      <w:szCs w:val="20"/>
                    </w:rPr>
                    <w:t>(подпись)</w:t>
                  </w:r>
                </w:p>
              </w:tc>
            </w:tr>
            <w:tr>
              <w:trPr>
                <w:cantSplit w:val="true"/>
              </w:trPr>
              <w:tc>
                <w:tcPr>
                  <w:tcW w:w="451"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4049" w:type="dxa"/>
                  <w:tcBorders>
                    <w:bottom w:val="single" w:sz="4" w:space="0" w:color="000000"/>
                  </w:tcBorders>
                </w:tcPr>
                <w:p>
                  <w:pPr>
                    <w:pStyle w:val="Normal"/>
                    <w:widowControl w:val="false"/>
                    <w:snapToGrid w:val="false"/>
                    <w:spacing w:lineRule="auto" w:line="240"/>
                    <w:rPr>
                      <w:sz w:val="20"/>
                      <w:szCs w:val="20"/>
                    </w:rPr>
                  </w:pPr>
                  <w:r>
                    <w:rPr>
                      <w:sz w:val="20"/>
                      <w:szCs w:val="20"/>
                    </w:rPr>
                  </w:r>
                </w:p>
              </w:tc>
              <w:tc>
                <w:tcPr>
                  <w:tcW w:w="710"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344"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4166" w:type="dxa"/>
                  <w:tcBorders>
                    <w:bottom w:val="single" w:sz="4" w:space="0" w:color="000000"/>
                  </w:tcBorders>
                </w:tcPr>
                <w:p>
                  <w:pPr>
                    <w:pStyle w:val="Normal"/>
                    <w:widowControl w:val="false"/>
                    <w:snapToGrid w:val="false"/>
                    <w:spacing w:lineRule="auto" w:line="240"/>
                    <w:rPr>
                      <w:sz w:val="20"/>
                      <w:szCs w:val="20"/>
                    </w:rPr>
                  </w:pPr>
                  <w:r>
                    <w:rPr>
                      <w:sz w:val="20"/>
                      <w:szCs w:val="20"/>
                    </w:rPr>
                  </w:r>
                </w:p>
              </w:tc>
            </w:tr>
            <w:tr>
              <w:trPr>
                <w:cantSplit w:val="true"/>
              </w:trPr>
              <w:tc>
                <w:tcPr>
                  <w:tcW w:w="451"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4049" w:type="dxa"/>
                  <w:tcBorders>
                    <w:top w:val="single" w:sz="4" w:space="0" w:color="000000"/>
                  </w:tcBorders>
                </w:tcPr>
                <w:p>
                  <w:pPr>
                    <w:pStyle w:val="Normal"/>
                    <w:widowControl w:val="false"/>
                    <w:snapToGrid w:val="false"/>
                    <w:spacing w:lineRule="auto" w:line="240"/>
                    <w:ind w:firstLine="7"/>
                    <w:jc w:val="center"/>
                    <w:rPr>
                      <w:sz w:val="20"/>
                      <w:szCs w:val="20"/>
                    </w:rPr>
                  </w:pPr>
                  <w:r>
                    <w:rPr>
                      <w:i/>
                      <w:iCs/>
                      <w:sz w:val="20"/>
                      <w:szCs w:val="20"/>
                    </w:rPr>
                    <w:t>(расшифровка подписи)</w:t>
                  </w:r>
                </w:p>
              </w:tc>
              <w:tc>
                <w:tcPr>
                  <w:tcW w:w="710"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344"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4166" w:type="dxa"/>
                  <w:tcBorders>
                    <w:top w:val="single" w:sz="4" w:space="0" w:color="000000"/>
                  </w:tcBorders>
                </w:tcPr>
                <w:p>
                  <w:pPr>
                    <w:pStyle w:val="Normal"/>
                    <w:widowControl w:val="false"/>
                    <w:snapToGrid w:val="false"/>
                    <w:spacing w:lineRule="auto" w:line="240"/>
                    <w:jc w:val="center"/>
                    <w:rPr>
                      <w:sz w:val="20"/>
                      <w:szCs w:val="20"/>
                    </w:rPr>
                  </w:pPr>
                  <w:r>
                    <w:rPr>
                      <w:i/>
                      <w:iCs/>
                      <w:sz w:val="20"/>
                      <w:szCs w:val="20"/>
                    </w:rPr>
                    <w:t>(расшифровка подписи)</w:t>
                  </w:r>
                </w:p>
              </w:tc>
            </w:tr>
            <w:tr>
              <w:trPr>
                <w:cantSplit w:val="true"/>
              </w:trPr>
              <w:tc>
                <w:tcPr>
                  <w:tcW w:w="451"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4049" w:type="dxa"/>
                  <w:tcBorders/>
                </w:tcPr>
                <w:p>
                  <w:pPr>
                    <w:pStyle w:val="Normal"/>
                    <w:widowControl w:val="false"/>
                    <w:snapToGrid w:val="false"/>
                    <w:spacing w:lineRule="auto" w:line="240"/>
                    <w:rPr>
                      <w:sz w:val="20"/>
                      <w:szCs w:val="20"/>
                    </w:rPr>
                  </w:pPr>
                  <w:r>
                    <w:rPr>
                      <w:sz w:val="20"/>
                      <w:szCs w:val="20"/>
                    </w:rPr>
                  </w:r>
                </w:p>
              </w:tc>
              <w:tc>
                <w:tcPr>
                  <w:tcW w:w="710"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344" w:type="dxa"/>
                  <w:vMerge w:val="continue"/>
                  <w:tcBorders/>
                  <w:tcMar>
                    <w:left w:w="0" w:type="dxa"/>
                    <w:right w:w="0" w:type="dxa"/>
                  </w:tcMar>
                  <w:vAlign w:val="center"/>
                </w:tcPr>
                <w:p>
                  <w:pPr>
                    <w:pStyle w:val="Normal"/>
                    <w:widowControl w:val="false"/>
                    <w:spacing w:lineRule="auto" w:line="240"/>
                    <w:rPr>
                      <w:sz w:val="20"/>
                      <w:szCs w:val="20"/>
                    </w:rPr>
                  </w:pPr>
                  <w:r>
                    <w:rPr>
                      <w:sz w:val="20"/>
                      <w:szCs w:val="20"/>
                    </w:rPr>
                  </w:r>
                </w:p>
              </w:tc>
              <w:tc>
                <w:tcPr>
                  <w:tcW w:w="4166" w:type="dxa"/>
                  <w:tcBorders/>
                </w:tcPr>
                <w:p>
                  <w:pPr>
                    <w:pStyle w:val="Normal"/>
                    <w:widowControl w:val="false"/>
                    <w:snapToGrid w:val="false"/>
                    <w:spacing w:lineRule="auto" w:line="240"/>
                    <w:rPr>
                      <w:sz w:val="20"/>
                      <w:szCs w:val="20"/>
                    </w:rPr>
                  </w:pPr>
                  <w:r>
                    <w:rPr>
                      <w:sz w:val="20"/>
                      <w:szCs w:val="20"/>
                    </w:rPr>
                  </w:r>
                </w:p>
              </w:tc>
            </w:tr>
          </w:tbl>
          <w:p>
            <w:pPr>
              <w:pStyle w:val="Normal"/>
              <w:widowControl w:val="false"/>
              <w:snapToGrid w:val="false"/>
              <w:spacing w:lineRule="auto" w:line="240"/>
              <w:ind w:firstLine="567" w:right="-76"/>
              <w:jc w:val="center"/>
              <w:rPr>
                <w:szCs w:val="24"/>
              </w:rPr>
            </w:pPr>
            <w:r>
              <w:rPr>
                <w:szCs w:val="24"/>
              </w:rPr>
            </w:r>
          </w:p>
        </w:tc>
      </w:tr>
    </w:tbl>
    <w:p>
      <w:pPr>
        <w:pStyle w:val="Normal"/>
        <w:spacing w:lineRule="auto" w:line="240"/>
        <w:ind w:firstLine="567" w:left="5103"/>
        <w:rPr>
          <w:highlight w:val="yellow"/>
        </w:rPr>
      </w:pPr>
      <w:r>
        <w:rPr>
          <w:highlight w:val="yellow"/>
        </w:rPr>
      </w:r>
    </w:p>
    <w:p>
      <w:pPr>
        <w:pStyle w:val="Normal"/>
        <w:spacing w:lineRule="auto" w:line="240"/>
        <w:ind w:firstLine="567" w:left="5103"/>
        <w:rPr>
          <w:highlight w:val="yellow"/>
        </w:rPr>
      </w:pPr>
      <w:r>
        <w:rPr>
          <w:highlight w:val="yellow"/>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6"/>
      </w:tblGrid>
      <w:tr>
        <w:trPr/>
        <w:tc>
          <w:tcPr>
            <w:tcW w:w="4785" w:type="dxa"/>
            <w:tcBorders/>
          </w:tcPr>
          <w:p>
            <w:pPr>
              <w:pStyle w:val="Normal"/>
              <w:widowControl w:val="false"/>
              <w:spacing w:lineRule="auto" w:line="240"/>
              <w:ind w:hanging="0"/>
              <w:rPr>
                <w:b/>
                <w:sz w:val="24"/>
              </w:rPr>
            </w:pPr>
            <w:r>
              <w:rPr>
                <w:b/>
                <w:sz w:val="24"/>
              </w:rPr>
              <w:t>Заказчик:</w:t>
            </w:r>
          </w:p>
        </w:tc>
        <w:tc>
          <w:tcPr>
            <w:tcW w:w="4786" w:type="dxa"/>
            <w:tcBorders/>
          </w:tcPr>
          <w:p>
            <w:pPr>
              <w:pStyle w:val="Normal"/>
              <w:widowControl w:val="false"/>
              <w:spacing w:lineRule="auto" w:line="240"/>
              <w:ind w:hanging="0"/>
              <w:rPr>
                <w:b/>
                <w:sz w:val="24"/>
              </w:rPr>
            </w:pPr>
            <w:r>
              <w:rPr>
                <w:b/>
                <w:sz w:val="24"/>
              </w:rPr>
              <w:t>Подрядчик:</w:t>
            </w:r>
          </w:p>
        </w:tc>
      </w:tr>
      <w:tr>
        <w:trPr/>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6"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sectPr>
          <w:headerReference w:type="default" r:id="rId8"/>
          <w:headerReference w:type="first" r:id="rId9"/>
          <w:footerReference w:type="default" r:id="rId10"/>
          <w:footerReference w:type="first" r:id="rId11"/>
          <w:footnotePr>
            <w:numFmt w:val="decimal"/>
          </w:footnotePr>
          <w:type w:val="nextPage"/>
          <w:pgSz w:w="11906" w:h="16838"/>
          <w:pgMar w:left="1418" w:right="851" w:gutter="0" w:header="567" w:top="1134" w:footer="284" w:bottom="1134"/>
          <w:pgNumType w:fmt="decimal"/>
          <w:formProt w:val="false"/>
          <w:textDirection w:val="lrTb"/>
          <w:docGrid w:type="default" w:linePitch="360" w:charSpace="0"/>
        </w:sectPr>
      </w:pPr>
    </w:p>
    <w:p>
      <w:pPr>
        <w:pStyle w:val="Normal"/>
        <w:shd w:val="clear" w:color="auto" w:fill="FFFFFF"/>
        <w:spacing w:lineRule="auto" w:line="240"/>
        <w:ind w:hanging="0" w:left="4820"/>
        <w:rPr>
          <w:bCs/>
          <w:sz w:val="22"/>
          <w:szCs w:val="22"/>
        </w:rPr>
      </w:pPr>
      <w:bookmarkStart w:id="35" w:name="RANGE!A1%2525252525252525253AAG42"/>
      <w:bookmarkStart w:id="36" w:name="RANGE!A1%2525252525252525253AAG40"/>
      <w:bookmarkEnd w:id="35"/>
      <w:bookmarkEnd w:id="36"/>
      <w:r>
        <w:rPr>
          <w:bCs/>
          <w:sz w:val="22"/>
          <w:szCs w:val="22"/>
        </w:rPr>
        <w:t xml:space="preserve">Приложение № </w:t>
      </w:r>
      <w:r>
        <w:rPr>
          <w:bCs/>
          <w:sz w:val="22"/>
          <w:szCs w:val="22"/>
        </w:rPr>
        <w:t>7</w:t>
      </w:r>
    </w:p>
    <w:p>
      <w:pPr>
        <w:pStyle w:val="Normal"/>
        <w:shd w:val="clear" w:color="auto" w:fill="FFFFFF"/>
        <w:spacing w:lineRule="auto" w:line="240"/>
        <w:ind w:hanging="0" w:left="4820"/>
        <w:rPr>
          <w:bCs/>
          <w:sz w:val="22"/>
          <w:szCs w:val="22"/>
        </w:rPr>
      </w:pPr>
      <w:r>
        <w:rPr>
          <w:bCs/>
          <w:sz w:val="22"/>
          <w:szCs w:val="22"/>
        </w:rPr>
        <w:t xml:space="preserve">к Договору подряда </w:t>
      </w:r>
    </w:p>
    <w:p>
      <w:pPr>
        <w:pStyle w:val="Normal"/>
        <w:shd w:val="clear" w:color="auto" w:fill="FFFFFF"/>
        <w:spacing w:lineRule="auto" w:line="240"/>
        <w:ind w:hanging="0" w:left="4820"/>
        <w:rPr>
          <w:bCs/>
          <w:sz w:val="22"/>
          <w:szCs w:val="22"/>
        </w:rPr>
      </w:pPr>
      <w:r>
        <w:rPr>
          <w:bCs/>
          <w:sz w:val="22"/>
          <w:szCs w:val="22"/>
        </w:rPr>
        <w:t>от «___» ________20__ г. № ___</w:t>
      </w:r>
    </w:p>
    <w:p>
      <w:pPr>
        <w:pStyle w:val="Normal"/>
        <w:spacing w:lineRule="auto" w:line="240"/>
        <w:ind w:hanging="0"/>
        <w:rPr>
          <w:sz w:val="24"/>
          <w:szCs w:val="24"/>
        </w:rPr>
      </w:pPr>
      <w:r>
        <w:rPr>
          <w:sz w:val="24"/>
          <w:szCs w:val="24"/>
        </w:rPr>
      </w:r>
    </w:p>
    <w:p>
      <w:pPr>
        <w:pStyle w:val="Normal"/>
        <w:spacing w:lineRule="auto" w:line="240"/>
        <w:jc w:val="center"/>
        <w:rPr>
          <w:b/>
          <w:sz w:val="24"/>
          <w:szCs w:val="24"/>
        </w:rPr>
      </w:pPr>
      <w:r>
        <w:rPr>
          <w:b/>
          <w:sz w:val="24"/>
          <w:szCs w:val="24"/>
        </w:rPr>
        <w:t>Критерии отбора Банков-Гарантов</w:t>
      </w:r>
    </w:p>
    <w:p>
      <w:pPr>
        <w:pStyle w:val="Normal"/>
        <w:spacing w:lineRule="auto" w:line="240"/>
        <w:jc w:val="center"/>
        <w:rPr>
          <w:b/>
          <w:sz w:val="24"/>
          <w:szCs w:val="24"/>
        </w:rPr>
      </w:pPr>
      <w:r>
        <w:rPr>
          <w:b/>
          <w:sz w:val="24"/>
          <w:szCs w:val="24"/>
        </w:rPr>
      </w:r>
    </w:p>
    <w:p>
      <w:pPr>
        <w:pStyle w:val="Normal"/>
        <w:tabs>
          <w:tab w:val="clear" w:pos="709"/>
          <w:tab w:val="left" w:pos="1134" w:leader="none"/>
        </w:tabs>
        <w:spacing w:lineRule="auto" w:line="240"/>
        <w:ind w:firstLine="709"/>
        <w:rPr>
          <w:sz w:val="24"/>
          <w:szCs w:val="24"/>
        </w:rPr>
      </w:pPr>
      <w:r>
        <w:rPr>
          <w:sz w:val="24"/>
          <w:szCs w:val="24"/>
        </w:rPr>
        <w:t>Банк-Гарант (кредитная организация), выдающий банковскую гарантию, должен входить в перечень Банков-Гарантов Группы РусГидро</w:t>
      </w:r>
      <w:r>
        <w:rPr>
          <w:rStyle w:val="FootnoteReference"/>
          <w:sz w:val="24"/>
          <w:szCs w:val="24"/>
        </w:rPr>
        <w:footnoteReference w:id="12"/>
      </w:r>
      <w:r>
        <w:rPr>
          <w:sz w:val="24"/>
          <w:szCs w:val="24"/>
        </w:rPr>
        <w:t>, а также соответствовать следующим критериям:</w:t>
      </w:r>
    </w:p>
    <w:p>
      <w:pPr>
        <w:pStyle w:val="Normal"/>
        <w:numPr>
          <w:ilvl w:val="1"/>
          <w:numId w:val="20"/>
        </w:numPr>
        <w:tabs>
          <w:tab w:val="clear" w:pos="709"/>
          <w:tab w:val="left" w:pos="1134" w:leader="none"/>
        </w:tabs>
        <w:spacing w:lineRule="auto" w:line="240"/>
        <w:ind w:firstLine="710" w:left="0"/>
        <w:rPr>
          <w:sz w:val="24"/>
          <w:szCs w:val="24"/>
        </w:rPr>
      </w:pPr>
      <w:r>
        <w:rPr>
          <w:sz w:val="24"/>
          <w:szCs w:val="24"/>
        </w:rPr>
        <w:t>Иметь собственные средства (капитал) в размере не менее 25 млрд. рублей на 01 января текущего календарного года по данным отчетности (в соответствии с кодом формы по ОКУД 0409123</w:t>
      </w:r>
      <w:r>
        <w:rPr>
          <w:rFonts w:eastAsia="Times New Roman" w:cs="Times New Roman"/>
          <w:color w:val="auto"/>
          <w:kern w:val="0"/>
          <w:sz w:val="24"/>
          <w:szCs w:val="24"/>
          <w:lang w:val="ru-RU" w:eastAsia="ru-RU" w:bidi="ar-SA"/>
        </w:rPr>
        <w:t xml:space="preserve">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w:t>
      </w:r>
      <w:r>
        <w:rPr>
          <w:sz w:val="24"/>
          <w:szCs w:val="24"/>
        </w:rPr>
        <w:t>, опубликованной в информационно-телекоммуникационной сети «Интернет» (</w:t>
      </w:r>
      <w:hyperlink r:id="rId12">
        <w:r>
          <w:rPr>
            <w:rStyle w:val="Hyperlink"/>
            <w:rFonts w:eastAsia="Times New Roman" w:cs="Times New Roman"/>
            <w:color w:val="auto"/>
            <w:sz w:val="24"/>
            <w:szCs w:val="24"/>
            <w:lang w:val="ru-RU" w:eastAsia="ru-RU" w:bidi="ar-SA"/>
          </w:rPr>
          <w:t>www.cbr.ru</w:t>
        </w:r>
      </w:hyperlink>
      <w:r>
        <w:rPr>
          <w:sz w:val="24"/>
          <w:szCs w:val="24"/>
        </w:rPr>
        <w:t xml:space="preserve">) на официальных сайтах ЦБ РФ и/ или кредитной организации либо представленной кредитной </w:t>
      </w:r>
      <w:r>
        <w:rPr>
          <w:rFonts w:eastAsia="Times New Roman" w:cs="Times New Roman"/>
          <w:color w:val="auto"/>
          <w:kern w:val="0"/>
          <w:sz w:val="24"/>
          <w:szCs w:val="24"/>
          <w:lang w:val="ru-RU" w:eastAsia="ru-RU" w:bidi="ar-SA"/>
        </w:rPr>
        <w:t>организации</w:t>
      </w:r>
      <w:r>
        <w:rPr>
          <w:sz w:val="24"/>
          <w:szCs w:val="24"/>
        </w:rPr>
        <w:t xml:space="preserve"> Заказчику. </w:t>
      </w:r>
    </w:p>
    <w:p>
      <w:pPr>
        <w:pStyle w:val="Normal"/>
        <w:numPr>
          <w:ilvl w:val="1"/>
          <w:numId w:val="20"/>
        </w:numPr>
        <w:tabs>
          <w:tab w:val="clear" w:pos="709"/>
          <w:tab w:val="left" w:pos="1134" w:leader="none"/>
        </w:tabs>
        <w:spacing w:lineRule="auto" w:line="240"/>
        <w:ind w:firstLine="710" w:left="0"/>
        <w:rPr>
          <w:sz w:val="24"/>
          <w:szCs w:val="24"/>
        </w:rPr>
      </w:pPr>
      <w:r>
        <w:rPr>
          <w:sz w:val="24"/>
          <w:szCs w:val="24"/>
        </w:rPr>
        <w:t>Присутствовать в Перечне кредитных организаций, соответствующих требованиям, установленным ч. 1 ст. 2 Федерального закона от 21.07.2014 №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(далее – 213-ФЗ) или иным документом, его заменяющим (в случае отмены 213-ФЗ).</w:t>
      </w:r>
    </w:p>
    <w:p>
      <w:pPr>
        <w:pStyle w:val="Normal"/>
        <w:numPr>
          <w:ilvl w:val="1"/>
          <w:numId w:val="20"/>
        </w:numPr>
        <w:tabs>
          <w:tab w:val="clear" w:pos="709"/>
          <w:tab w:val="left" w:pos="1134" w:leader="none"/>
        </w:tabs>
        <w:spacing w:lineRule="auto" w:line="240"/>
        <w:ind w:firstLine="710" w:left="0"/>
        <w:rPr>
          <w:sz w:val="24"/>
          <w:szCs w:val="24"/>
        </w:rPr>
      </w:pPr>
      <w:r>
        <w:rPr>
          <w:sz w:val="24"/>
          <w:szCs w:val="24"/>
        </w:rPr>
        <w:t>Иметь собственные средства (капитал) в размере не менее 25 млрд. рублей на 01 января текущего календарного года по данным отчетности (в соответствии с кодом формы по ОКУД 0409123</w:t>
      </w:r>
      <w:r>
        <w:rPr>
          <w:rFonts w:eastAsia="Times New Roman" w:cs="Times New Roman"/>
          <w:color w:val="auto"/>
          <w:kern w:val="0"/>
          <w:sz w:val="24"/>
          <w:szCs w:val="24"/>
          <w:lang w:val="ru-RU" w:eastAsia="ru-RU" w:bidi="ar-SA"/>
        </w:rPr>
        <w:t xml:space="preserve">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w:t>
      </w:r>
      <w:r>
        <w:rPr>
          <w:sz w:val="24"/>
          <w:szCs w:val="24"/>
        </w:rPr>
        <w:t>, опубликованной в информационно-телекоммуникационной сети «Интернет» (</w:t>
      </w:r>
      <w:hyperlink r:id="rId13">
        <w:r>
          <w:rPr>
            <w:rStyle w:val="Hyperlink"/>
            <w:rFonts w:eastAsia="Times New Roman" w:cs="Times New Roman"/>
            <w:color w:val="auto"/>
            <w:sz w:val="24"/>
            <w:szCs w:val="24"/>
            <w:lang w:val="ru-RU" w:eastAsia="ru-RU" w:bidi="ar-SA"/>
          </w:rPr>
          <w:t>www.cbr.ru</w:t>
        </w:r>
      </w:hyperlink>
      <w:r>
        <w:rPr>
          <w:sz w:val="24"/>
          <w:szCs w:val="24"/>
        </w:rPr>
        <w:t xml:space="preserve">) на официальных сайтах ЦБ РФ и/ или кредитной организации либо представленной кредитной </w:t>
      </w:r>
      <w:r>
        <w:rPr>
          <w:rFonts w:eastAsia="Times New Roman" w:cs="Times New Roman"/>
          <w:color w:val="auto"/>
          <w:kern w:val="0"/>
          <w:sz w:val="24"/>
          <w:szCs w:val="24"/>
          <w:lang w:val="ru-RU" w:eastAsia="ru-RU" w:bidi="ar-SA"/>
        </w:rPr>
        <w:t>организации</w:t>
      </w:r>
      <w:r>
        <w:rPr>
          <w:sz w:val="24"/>
          <w:szCs w:val="24"/>
        </w:rPr>
        <w:t xml:space="preserve"> Заказчику. </w:t>
      </w:r>
    </w:p>
    <w:p>
      <w:pPr>
        <w:pStyle w:val="Normal"/>
        <w:numPr>
          <w:ilvl w:val="1"/>
          <w:numId w:val="20"/>
        </w:numPr>
        <w:tabs>
          <w:tab w:val="clear" w:pos="709"/>
          <w:tab w:val="left" w:pos="1134" w:leader="none"/>
        </w:tabs>
        <w:spacing w:lineRule="auto" w:line="240"/>
        <w:ind w:firstLine="710" w:left="0"/>
        <w:rPr>
          <w:sz w:val="24"/>
          <w:szCs w:val="24"/>
        </w:rPr>
      </w:pPr>
      <w:r>
        <w:rPr>
          <w:sz w:val="24"/>
          <w:szCs w:val="24"/>
        </w:rPr>
        <w:t>Иметь кредитный рейтинг по национальной шкале не ниже уровня «BBB» рейтингового агентства АКРА или не ниже уровня «ruBBB»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по классификации рейтинговых агентств «Fitch-Ratings» или «Standard &amp; Poor's» либо уровня «Bа2» по классификации рейтингового агентства «Moody's Investors Service»</w:t>
      </w:r>
      <w:r>
        <w:rPr>
          <w:rStyle w:val="FootnoteReference"/>
          <w:sz w:val="24"/>
          <w:szCs w:val="24"/>
        </w:rPr>
        <w:footnoteReference w:id="13"/>
      </w:r>
      <w:r>
        <w:rPr>
          <w:sz w:val="24"/>
          <w:szCs w:val="24"/>
        </w:rPr>
        <w:t xml:space="preserve">. </w:t>
      </w:r>
    </w:p>
    <w:p>
      <w:pPr>
        <w:pStyle w:val="Normal"/>
        <w:numPr>
          <w:ilvl w:val="1"/>
          <w:numId w:val="20"/>
        </w:numPr>
        <w:tabs>
          <w:tab w:val="clear" w:pos="709"/>
          <w:tab w:val="left" w:pos="1134" w:leader="none"/>
        </w:tabs>
        <w:spacing w:lineRule="auto" w:line="240"/>
        <w:ind w:firstLine="710" w:left="0"/>
        <w:rPr>
          <w:sz w:val="24"/>
          <w:szCs w:val="24"/>
        </w:rPr>
      </w:pPr>
      <w:r>
        <w:rPr>
          <w:sz w:val="24"/>
          <w:szCs w:val="24"/>
        </w:rPr>
        <w:t>Участвовать в системе обязательного страхования вкладов в банках Российской Федерации в соответствии с Федеральным законом от 23.12.2003 № 177-ФЗ «О страховании вкладов в банках Российской Федерации»</w:t>
      </w:r>
      <w:r>
        <w:rPr>
          <w:rStyle w:val="FootnoteReference"/>
          <w:sz w:val="24"/>
          <w:szCs w:val="24"/>
        </w:rPr>
        <w:footnoteReference w:id="14"/>
      </w:r>
      <w:r>
        <w:rPr>
          <w:sz w:val="24"/>
          <w:szCs w:val="24"/>
        </w:rPr>
        <w:t>.</w:t>
      </w:r>
    </w:p>
    <w:p>
      <w:pPr>
        <w:pStyle w:val="Normal"/>
        <w:numPr>
          <w:ilvl w:val="1"/>
          <w:numId w:val="20"/>
        </w:numPr>
        <w:tabs>
          <w:tab w:val="clear" w:pos="709"/>
          <w:tab w:val="left" w:pos="1134" w:leader="none"/>
        </w:tabs>
        <w:spacing w:lineRule="auto" w:line="240"/>
        <w:ind w:firstLine="710" w:left="0"/>
        <w:rPr>
          <w:sz w:val="24"/>
          <w:szCs w:val="24"/>
        </w:rPr>
      </w:pPr>
      <w:r>
        <w:rPr>
          <w:sz w:val="24"/>
          <w:szCs w:val="24"/>
        </w:rPr>
        <w:t>Не находиться в процессе финансового оздоровления (санации), а также в Реестре банков, находящихся в процессе финансового оздоровления (опубликован в разделе «Оздоровление банков» сайта Государственной корпорации «Агентство по страхованию вкладов» (http://www.asv.org.ru))».</w:t>
      </w:r>
    </w:p>
    <w:p>
      <w:pPr>
        <w:pStyle w:val="Normal"/>
        <w:numPr>
          <w:ilvl w:val="1"/>
          <w:numId w:val="20"/>
        </w:numPr>
        <w:tabs>
          <w:tab w:val="clear" w:pos="709"/>
          <w:tab w:val="left" w:pos="1134" w:leader="none"/>
        </w:tabs>
        <w:spacing w:lineRule="auto" w:line="240"/>
        <w:ind w:firstLine="710" w:left="0"/>
        <w:rPr>
          <w:sz w:val="24"/>
          <w:szCs w:val="24"/>
        </w:rPr>
      </w:pPr>
      <w:r>
        <w:rPr>
          <w:sz w:val="24"/>
          <w:szCs w:val="24"/>
        </w:rPr>
        <w:t>Не иметь просроченную задолженность перед Заказчиком и компаниями Группы РусГидро.</w:t>
      </w:r>
    </w:p>
    <w:p>
      <w:pPr>
        <w:pStyle w:val="Normal"/>
        <w:numPr>
          <w:ilvl w:val="1"/>
          <w:numId w:val="20"/>
        </w:numPr>
        <w:tabs>
          <w:tab w:val="clear" w:pos="709"/>
          <w:tab w:val="left" w:pos="1134" w:leader="none"/>
        </w:tabs>
        <w:spacing w:lineRule="auto" w:line="240"/>
        <w:ind w:firstLine="710" w:left="0"/>
        <w:rPr>
          <w:sz w:val="24"/>
          <w:szCs w:val="24"/>
        </w:rPr>
      </w:pPr>
      <w:r>
        <w:rPr>
          <w:sz w:val="24"/>
          <w:szCs w:val="24"/>
        </w:rPr>
        <w:t>Присутствовать (иметь отделение, филиал) по месту нахождения Заказчика, его обособленного подразделения или Филиала, для нужд которого заключается Договор.</w:t>
      </w:r>
    </w:p>
    <w:p>
      <w:pPr>
        <w:pStyle w:val="Normal"/>
        <w:numPr>
          <w:ilvl w:val="1"/>
          <w:numId w:val="20"/>
        </w:numPr>
        <w:tabs>
          <w:tab w:val="clear" w:pos="709"/>
          <w:tab w:val="left" w:pos="1134" w:leader="none"/>
        </w:tabs>
        <w:spacing w:lineRule="auto" w:line="240"/>
        <w:ind w:firstLine="710" w:left="0"/>
        <w:rPr>
          <w:sz w:val="24"/>
          <w:szCs w:val="24"/>
        </w:rPr>
      </w:pPr>
      <w:r>
        <w:rPr>
          <w:sz w:val="24"/>
          <w:szCs w:val="24"/>
        </w:rPr>
        <w:t>Требования, установленные пунктами 2 – 4 настоящих Критериев, не распространяются на кредитные организации:</w:t>
      </w:r>
    </w:p>
    <w:p>
      <w:pPr>
        <w:pStyle w:val="Normal"/>
        <w:numPr>
          <w:ilvl w:val="1"/>
          <w:numId w:val="21"/>
        </w:numPr>
        <w:tabs>
          <w:tab w:val="clear" w:pos="709"/>
          <w:tab w:val="left" w:pos="1134" w:leader="none"/>
        </w:tabs>
        <w:spacing w:lineRule="auto" w:line="240"/>
        <w:ind w:firstLine="709" w:left="0"/>
        <w:rPr>
          <w:sz w:val="24"/>
          <w:szCs w:val="24"/>
        </w:rPr>
      </w:pPr>
      <w:r>
        <w:rPr>
          <w:sz w:val="24"/>
          <w:szCs w:val="24"/>
        </w:rPr>
        <w:t xml:space="preserve"> </w:t>
      </w:r>
      <w:r>
        <w:rPr>
          <w:sz w:val="24"/>
          <w:szCs w:val="24"/>
        </w:rPr>
        <w:t>В отношении которых или в отношении лиц, под контролем либо значительным влиянием которых находятся кредитные организации, 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в которой могут размещаться средства федерального бюджета на банковских депозитах в соответствии с постановлением Правительства Российской Федерации 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p>
      <w:pPr>
        <w:pStyle w:val="Normal"/>
        <w:numPr>
          <w:ilvl w:val="1"/>
          <w:numId w:val="21"/>
        </w:numPr>
        <w:tabs>
          <w:tab w:val="clear" w:pos="709"/>
          <w:tab w:val="left" w:pos="1134" w:leader="none"/>
        </w:tabs>
        <w:spacing w:lineRule="auto" w:line="240"/>
        <w:ind w:firstLine="709" w:left="0"/>
        <w:rPr>
          <w:sz w:val="24"/>
          <w:szCs w:val="24"/>
        </w:rPr>
      </w:pPr>
      <w:r>
        <w:rPr>
          <w:sz w:val="24"/>
          <w:szCs w:val="24"/>
        </w:rPr>
        <w:t xml:space="preserve"> </w:t>
      </w:r>
      <w:r>
        <w:rPr>
          <w:sz w:val="24"/>
          <w:szCs w:val="24"/>
        </w:rPr>
        <w:t>Основной целью деятельности которых является реализация программ поддержки малого и среднего предпринимательства в соответствии с Федеральным законом от 24.07.2007 № 209-ФЗ «О развитии малого и среднего предпринимательства в Российской Федерации» и Указом Президента Российской Федерации от 05.06.2015 № 287 «О мерах по дальнейшему развитию малого и среднего предпринимательства».</w:t>
      </w:r>
    </w:p>
    <w:p>
      <w:pPr>
        <w:pStyle w:val="Normal"/>
        <w:numPr>
          <w:ilvl w:val="1"/>
          <w:numId w:val="21"/>
        </w:numPr>
        <w:tabs>
          <w:tab w:val="clear" w:pos="709"/>
          <w:tab w:val="left" w:pos="1134" w:leader="none"/>
        </w:tabs>
        <w:spacing w:lineRule="auto" w:line="240"/>
        <w:ind w:firstLine="709" w:left="0"/>
        <w:rPr>
          <w:sz w:val="24"/>
          <w:szCs w:val="24"/>
        </w:rPr>
      </w:pPr>
      <w:r>
        <w:rPr>
          <w:sz w:val="24"/>
          <w:szCs w:val="24"/>
        </w:rPr>
        <w:t xml:space="preserve"> </w:t>
      </w:r>
      <w:r>
        <w:rPr>
          <w:sz w:val="24"/>
          <w:szCs w:val="24"/>
        </w:rPr>
        <w:t>Утвержденную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в качестве уполномоченной кредитной организации, ответственной за проведение расчетов между субъектами ОРЭМ.</w:t>
      </w:r>
    </w:p>
    <w:p>
      <w:pPr>
        <w:pStyle w:val="Normal"/>
        <w:numPr>
          <w:ilvl w:val="1"/>
          <w:numId w:val="21"/>
        </w:numPr>
        <w:tabs>
          <w:tab w:val="clear" w:pos="709"/>
          <w:tab w:val="left" w:pos="1134" w:leader="none"/>
        </w:tabs>
        <w:spacing w:lineRule="auto" w:line="240"/>
        <w:ind w:firstLine="709" w:left="0"/>
        <w:rPr>
          <w:sz w:val="24"/>
          <w:szCs w:val="24"/>
        </w:rPr>
      </w:pPr>
      <w:r>
        <w:rPr>
          <w:sz w:val="24"/>
          <w:szCs w:val="24"/>
        </w:rPr>
        <w:t xml:space="preserve"> </w:t>
      </w:r>
      <w:r>
        <w:rPr>
          <w:sz w:val="24"/>
          <w:szCs w:val="24"/>
        </w:rPr>
        <w:t>ВЭБ.РФ.</w:t>
      </w:r>
    </w:p>
    <w:p>
      <w:pPr>
        <w:pStyle w:val="Normal"/>
        <w:numPr>
          <w:ilvl w:val="1"/>
          <w:numId w:val="21"/>
        </w:numPr>
        <w:tabs>
          <w:tab w:val="clear" w:pos="709"/>
          <w:tab w:val="left" w:pos="1134" w:leader="none"/>
        </w:tabs>
        <w:spacing w:lineRule="auto" w:line="240"/>
        <w:ind w:firstLine="709" w:left="0"/>
        <w:rPr>
          <w:sz w:val="24"/>
          <w:szCs w:val="24"/>
        </w:rPr>
      </w:pPr>
      <w:r>
        <w:rPr>
          <w:sz w:val="24"/>
          <w:szCs w:val="24"/>
        </w:rPr>
        <w:t>Нерезидентов Российской Федерации.</w:t>
      </w:r>
    </w:p>
    <w:p>
      <w:pPr>
        <w:pStyle w:val="Normal"/>
        <w:numPr>
          <w:ilvl w:val="1"/>
          <w:numId w:val="20"/>
        </w:numPr>
        <w:tabs>
          <w:tab w:val="clear" w:pos="709"/>
          <w:tab w:val="left" w:pos="1134" w:leader="none"/>
        </w:tabs>
        <w:spacing w:lineRule="auto" w:line="240"/>
        <w:ind w:firstLine="710" w:left="0"/>
        <w:rPr>
          <w:sz w:val="24"/>
          <w:szCs w:val="24"/>
        </w:rPr>
      </w:pPr>
      <w:r>
        <w:rPr>
          <w:sz w:val="24"/>
          <w:szCs w:val="24"/>
        </w:rPr>
        <w:t>Максимальная сумма всех одновременно действующих банковских гарантий, выданных одной кредитной организацией, обеспечивающих обязател</w:t>
      </w:r>
      <w:r>
        <w:rPr>
          <w:sz w:val="24"/>
          <w:szCs w:val="24"/>
          <w:shd w:fill="auto" w:val="clear"/>
        </w:rPr>
        <w:t>ьства Подрядчика перед Группой РусГидро, не должна превышать размер лимита риска, определяемого по фо</w:t>
      </w:r>
      <w:r>
        <w:rPr>
          <w:sz w:val="24"/>
          <w:szCs w:val="24"/>
        </w:rPr>
        <w:t>рмуле:</w:t>
      </w:r>
    </w:p>
    <w:p>
      <w:pPr>
        <w:pStyle w:val="Normal"/>
        <w:tabs>
          <w:tab w:val="clear" w:pos="709"/>
          <w:tab w:val="left" w:pos="1134" w:leader="none"/>
        </w:tabs>
        <w:spacing w:lineRule="auto" w:line="240"/>
        <w:ind w:firstLine="709"/>
        <w:jc w:val="center"/>
        <w:rPr>
          <w:sz w:val="24"/>
          <w:szCs w:val="24"/>
        </w:rPr>
      </w:pPr>
      <w:r>
        <w:rPr>
          <w:sz w:val="24"/>
          <w:szCs w:val="24"/>
        </w:rPr>
      </w:r>
    </w:p>
    <w:p>
      <w:pPr>
        <w:pStyle w:val="Normal"/>
        <w:spacing w:lineRule="auto" w:line="240" w:before="0" w:after="0"/>
        <w:ind w:hanging="0" w:left="360"/>
        <w:jc w:val="center"/>
        <w:rPr>
          <w:sz w:val="24"/>
          <w:szCs w:val="24"/>
        </w:rPr>
      </w:pPr>
      <w:r>
        <w:rPr>
          <w:rFonts w:eastAsia="Times New Roman" w:cs="Times New Roman"/>
          <w:b/>
          <w:i/>
          <w:sz w:val="24"/>
          <w:szCs w:val="24"/>
          <w:lang w:val="en-US" w:eastAsia="ru-RU"/>
        </w:rPr>
        <w:t>Lim</w:t>
      </w:r>
      <w:r>
        <w:rPr>
          <w:rFonts w:eastAsia="Times New Roman" w:cs="Times New Roman"/>
          <w:b/>
          <w:i/>
          <w:sz w:val="24"/>
          <w:szCs w:val="24"/>
          <w:vertAlign w:val="subscript"/>
          <w:lang w:val="en-US" w:eastAsia="ru-RU"/>
        </w:rPr>
        <w:t>Ai</w:t>
      </w:r>
      <w:r>
        <w:rPr>
          <w:rFonts w:eastAsia="Times New Roman" w:cs="Times New Roman"/>
          <w:b/>
          <w:i/>
          <w:sz w:val="24"/>
          <w:szCs w:val="24"/>
          <w:vertAlign w:val="subscript"/>
          <w:lang w:eastAsia="ru-RU"/>
        </w:rPr>
        <w:t xml:space="preserve"> </w:t>
      </w:r>
      <w:r>
        <w:rPr>
          <w:rFonts w:eastAsia="Times New Roman" w:cs="Times New Roman"/>
          <w:b/>
          <w:i/>
          <w:sz w:val="24"/>
          <w:szCs w:val="24"/>
          <w:lang w:eastAsia="ru-RU"/>
        </w:rPr>
        <w:t xml:space="preserve"> = </w:t>
      </w:r>
      <w:r>
        <w:rPr>
          <w:rFonts w:eastAsia="Times New Roman" w:cs="Times New Roman"/>
          <w:b/>
          <w:i/>
          <w:sz w:val="24"/>
          <w:szCs w:val="24"/>
          <w:lang w:val="en-US" w:eastAsia="ru-RU"/>
        </w:rPr>
        <w:t>r</w:t>
      </w:r>
      <w:r>
        <w:rPr>
          <w:rFonts w:eastAsia="Times New Roman" w:cs="Times New Roman"/>
          <w:b/>
          <w:i/>
          <w:sz w:val="24"/>
          <w:szCs w:val="24"/>
          <w:vertAlign w:val="subscript"/>
          <w:lang w:val="en-US" w:eastAsia="ru-RU"/>
        </w:rPr>
        <w:t>i</w:t>
      </w:r>
      <w:r>
        <w:rPr>
          <w:rFonts w:eastAsia="Times New Roman" w:cs="Times New Roman"/>
          <w:b/>
          <w:i/>
          <w:sz w:val="24"/>
          <w:szCs w:val="24"/>
          <w:lang w:eastAsia="ru-RU"/>
        </w:rPr>
        <w:t xml:space="preserve"> × С</w:t>
      </w:r>
      <w:r>
        <w:rPr>
          <w:rFonts w:eastAsia="Times New Roman" w:cs="Times New Roman"/>
          <w:b/>
          <w:i/>
          <w:sz w:val="24"/>
          <w:szCs w:val="24"/>
          <w:lang w:val="en-US" w:eastAsia="ru-RU"/>
        </w:rPr>
        <w:t>K</w:t>
      </w:r>
      <w:r>
        <w:rPr>
          <w:rFonts w:eastAsia="Times New Roman" w:cs="Times New Roman"/>
          <w:b/>
          <w:i/>
          <w:sz w:val="24"/>
          <w:szCs w:val="24"/>
          <w:vertAlign w:val="subscript"/>
          <w:lang w:val="en-US" w:eastAsia="ru-RU"/>
        </w:rPr>
        <w:t>i</w:t>
      </w:r>
      <w:r>
        <w:rPr>
          <w:rFonts w:eastAsia="Times New Roman" w:cs="Times New Roman"/>
          <w:b/>
          <w:i/>
          <w:sz w:val="24"/>
          <w:szCs w:val="24"/>
          <w:lang w:eastAsia="ru-RU"/>
        </w:rPr>
        <w:t>, где</w:t>
      </w:r>
    </w:p>
    <w:p>
      <w:pPr>
        <w:pStyle w:val="Normal"/>
        <w:tabs>
          <w:tab w:val="clear" w:pos="709"/>
          <w:tab w:val="left" w:pos="1134" w:leader="none"/>
        </w:tabs>
        <w:spacing w:lineRule="auto" w:line="240"/>
        <w:ind w:firstLine="709"/>
        <w:jc w:val="center"/>
        <w:rPr>
          <w:sz w:val="24"/>
          <w:szCs w:val="24"/>
        </w:rPr>
      </w:pPr>
      <w:r>
        <w:rPr>
          <w:sz w:val="24"/>
          <w:szCs w:val="24"/>
        </w:rPr>
      </w:r>
    </w:p>
    <w:tbl>
      <w:tblPr>
        <w:tblW w:w="9606"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817"/>
        <w:gridCol w:w="280"/>
        <w:gridCol w:w="8509"/>
      </w:tblGrid>
      <w:tr>
        <w:trPr>
          <w:trHeight w:val="426" w:hRule="atLeast"/>
        </w:trPr>
        <w:tc>
          <w:tcPr>
            <w:tcW w:w="817" w:type="dxa"/>
            <w:tcBorders/>
            <w:shd w:color="auto" w:fill="auto" w:val="clear"/>
          </w:tcPr>
          <w:p>
            <w:pPr>
              <w:pStyle w:val="Normal"/>
              <w:widowControl w:val="false"/>
              <w:spacing w:lineRule="auto" w:line="240"/>
              <w:ind w:hanging="0" w:left="0" w:right="-108"/>
              <w:rPr>
                <w:color w:val="000000"/>
                <w:sz w:val="24"/>
                <w:szCs w:val="24"/>
              </w:rPr>
            </w:pPr>
            <w:r>
              <w:rPr>
                <w:b/>
                <w:i/>
                <w:color w:val="000000"/>
                <w:sz w:val="24"/>
                <w:szCs w:val="24"/>
              </w:rPr>
              <w:t>Lim</w:t>
            </w:r>
            <w:r>
              <w:rPr>
                <w:b/>
                <w:i/>
                <w:color w:val="000000"/>
                <w:sz w:val="24"/>
                <w:szCs w:val="24"/>
                <w:vertAlign w:val="subscript"/>
                <w:lang w:val="en-US"/>
              </w:rPr>
              <w:t xml:space="preserve">Ai </w:t>
            </w:r>
          </w:p>
        </w:tc>
        <w:tc>
          <w:tcPr>
            <w:tcW w:w="280" w:type="dxa"/>
            <w:tcBorders/>
            <w:shd w:color="auto" w:fill="auto" w:val="clear"/>
          </w:tcPr>
          <w:p>
            <w:pPr>
              <w:pStyle w:val="Normal"/>
              <w:widowControl w:val="false"/>
              <w:spacing w:lineRule="auto" w:line="240"/>
              <w:ind w:hanging="317" w:left="317" w:right="-108"/>
              <w:rPr>
                <w:color w:val="000000"/>
                <w:sz w:val="24"/>
                <w:szCs w:val="24"/>
              </w:rPr>
            </w:pPr>
            <w:r>
              <w:rPr>
                <w:sz w:val="24"/>
                <w:szCs w:val="24"/>
              </w:rPr>
              <w:t xml:space="preserve">-  </w:t>
            </w:r>
          </w:p>
        </w:tc>
        <w:tc>
          <w:tcPr>
            <w:tcW w:w="8509" w:type="dxa"/>
            <w:tcBorders/>
            <w:shd w:color="auto" w:fill="auto" w:val="clear"/>
          </w:tcPr>
          <w:p>
            <w:pPr>
              <w:pStyle w:val="Normal"/>
              <w:widowControl w:val="false"/>
              <w:spacing w:lineRule="auto" w:line="240"/>
              <w:ind w:firstLine="567" w:left="-75" w:right="-108"/>
              <w:rPr>
                <w:color w:val="000000"/>
                <w:sz w:val="24"/>
                <w:szCs w:val="24"/>
              </w:rPr>
            </w:pPr>
            <w:r>
              <w:rPr>
                <w:rFonts w:eastAsia="Times New Roman" w:cs="Times New Roman"/>
                <w:sz w:val="24"/>
                <w:szCs w:val="24"/>
                <w:lang w:eastAsia="ru-RU"/>
              </w:rPr>
              <w:t>Лимит риска для i-ой кредитной организации</w:t>
            </w:r>
            <w:r>
              <w:rPr>
                <w:rStyle w:val="FootnoteReference"/>
                <w:rFonts w:eastAsia="Times New Roman" w:cs="Times New Roman"/>
                <w:sz w:val="24"/>
                <w:szCs w:val="24"/>
                <w:lang w:eastAsia="ru-RU"/>
              </w:rPr>
              <w:footnoteReference w:id="15"/>
            </w:r>
            <w:r>
              <w:rPr>
                <w:rFonts w:eastAsia="Times New Roman" w:cs="Times New Roman"/>
                <w:sz w:val="24"/>
                <w:szCs w:val="24"/>
                <w:lang w:eastAsia="ru-RU"/>
              </w:rPr>
              <w:t>.</w:t>
            </w:r>
          </w:p>
        </w:tc>
      </w:tr>
      <w:tr>
        <w:trPr>
          <w:trHeight w:val="280" w:hRule="atLeast"/>
        </w:trPr>
        <w:tc>
          <w:tcPr>
            <w:tcW w:w="817" w:type="dxa"/>
            <w:tcBorders/>
            <w:shd w:color="auto" w:fill="auto" w:val="clear"/>
          </w:tcPr>
          <w:p>
            <w:pPr>
              <w:pStyle w:val="Normal"/>
              <w:widowControl w:val="false"/>
              <w:spacing w:lineRule="auto" w:line="240"/>
              <w:ind w:hanging="0" w:left="0" w:right="-108"/>
              <w:rPr>
                <w:b/>
                <w:i/>
                <w:i/>
                <w:color w:val="000000"/>
                <w:sz w:val="24"/>
                <w:szCs w:val="24"/>
                <w:vertAlign w:val="subscript"/>
              </w:rPr>
            </w:pPr>
            <w:r>
              <w:rPr>
                <w:b/>
                <w:i/>
                <w:color w:val="000000"/>
                <w:sz w:val="24"/>
                <w:szCs w:val="24"/>
              </w:rPr>
              <w:t>С</w:t>
            </w:r>
            <w:r>
              <w:rPr>
                <w:b/>
                <w:i/>
                <w:color w:val="000000"/>
                <w:sz w:val="24"/>
                <w:szCs w:val="24"/>
                <w:lang w:val="en-US"/>
              </w:rPr>
              <w:t>K</w:t>
            </w:r>
            <w:r>
              <w:rPr>
                <w:b/>
                <w:i/>
                <w:color w:val="000000"/>
                <w:sz w:val="24"/>
                <w:szCs w:val="24"/>
                <w:vertAlign w:val="subscript"/>
                <w:lang w:val="en-US"/>
              </w:rPr>
              <w:t>i</w:t>
            </w:r>
          </w:p>
          <w:p>
            <w:pPr>
              <w:pStyle w:val="Normal"/>
              <w:widowControl w:val="false"/>
              <w:spacing w:lineRule="auto" w:line="240"/>
              <w:ind w:firstLine="567" w:left="0" w:right="-108"/>
              <w:rPr>
                <w:color w:val="000000"/>
                <w:sz w:val="24"/>
                <w:szCs w:val="24"/>
              </w:rPr>
            </w:pPr>
            <w:r>
              <w:rPr>
                <w:color w:val="000000"/>
                <w:sz w:val="24"/>
                <w:szCs w:val="24"/>
              </w:rPr>
            </w:r>
          </w:p>
        </w:tc>
        <w:tc>
          <w:tcPr>
            <w:tcW w:w="280" w:type="dxa"/>
            <w:tcBorders/>
            <w:shd w:color="auto" w:fill="auto" w:val="clear"/>
          </w:tcPr>
          <w:p>
            <w:pPr>
              <w:pStyle w:val="Normal"/>
              <w:widowControl w:val="false"/>
              <w:spacing w:lineRule="auto" w:line="240"/>
              <w:ind w:hanging="0" w:left="0" w:right="-108"/>
              <w:rPr>
                <w:color w:val="000000"/>
                <w:sz w:val="24"/>
                <w:szCs w:val="24"/>
              </w:rPr>
            </w:pPr>
            <w:r>
              <w:rPr>
                <w:sz w:val="24"/>
                <w:szCs w:val="24"/>
              </w:rPr>
              <w:t>-</w:t>
            </w:r>
            <w:r>
              <w:rPr>
                <w:color w:val="000000"/>
                <w:sz w:val="24"/>
                <w:szCs w:val="24"/>
              </w:rPr>
              <w:t xml:space="preserve">  </w:t>
            </w:r>
          </w:p>
        </w:tc>
        <w:tc>
          <w:tcPr>
            <w:tcW w:w="8509" w:type="dxa"/>
            <w:tcBorders/>
            <w:shd w:color="auto" w:fill="auto" w:val="clear"/>
          </w:tcPr>
          <w:p>
            <w:pPr>
              <w:pStyle w:val="Normal"/>
              <w:widowControl w:val="false"/>
              <w:spacing w:lineRule="auto" w:line="240"/>
              <w:ind w:firstLine="567" w:left="-75" w:right="-108"/>
              <w:rPr>
                <w:color w:val="000000"/>
                <w:sz w:val="24"/>
                <w:szCs w:val="24"/>
              </w:rPr>
            </w:pPr>
            <w:r>
              <w:rPr>
                <w:rFonts w:eastAsia="Times New Roman" w:cs="Times New Roman"/>
                <w:sz w:val="24"/>
                <w:szCs w:val="24"/>
                <w:lang w:eastAsia="ru-RU"/>
              </w:rPr>
              <w:t xml:space="preserve">размер собственных средств (капитала) i-ой кредитной организации </w:t>
              <w:br/>
              <w:t xml:space="preserve">на 1 января текущего календарного года по данным отчетности </w:t>
              <w:br/>
              <w:t>(в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14">
              <w:r>
                <w:rPr>
                  <w:rStyle w:val="Hyperlink"/>
                  <w:rFonts w:eastAsia="Times New Roman" w:cs="Times New Roman"/>
                  <w:sz w:val="24"/>
                  <w:szCs w:val="24"/>
                  <w:lang w:eastAsia="ru-RU"/>
                </w:rPr>
                <w:t>www.cbr.ru</w:t>
              </w:r>
            </w:hyperlink>
            <w:r>
              <w:rPr>
                <w:rFonts w:eastAsia="Times New Roman" w:cs="Times New Roman"/>
                <w:sz w:val="24"/>
                <w:szCs w:val="24"/>
                <w:lang w:eastAsia="ru-RU"/>
              </w:rPr>
              <w:t>) на официальных сайтах ЦБ РФ и / или кредитной организации либо представленной кредитной организацией Обществу;</w:t>
            </w:r>
          </w:p>
        </w:tc>
      </w:tr>
      <w:tr>
        <w:trPr>
          <w:trHeight w:val="993" w:hRule="atLeast"/>
        </w:trPr>
        <w:tc>
          <w:tcPr>
            <w:tcW w:w="817" w:type="dxa"/>
            <w:tcBorders/>
          </w:tcPr>
          <w:p>
            <w:pPr>
              <w:pStyle w:val="Normal"/>
              <w:widowControl w:val="false"/>
              <w:spacing w:lineRule="auto" w:line="240"/>
              <w:ind w:hanging="0" w:left="0" w:right="-108"/>
              <w:rPr>
                <w:b/>
                <w:i/>
                <w:i/>
                <w:color w:val="000000"/>
                <w:sz w:val="24"/>
                <w:szCs w:val="24"/>
              </w:rPr>
            </w:pPr>
            <w:r>
              <w:rPr>
                <w:b/>
                <w:i/>
                <w:color w:val="000000"/>
                <w:sz w:val="24"/>
                <w:szCs w:val="24"/>
              </w:rPr>
              <w:t>r</w:t>
            </w:r>
            <w:r>
              <w:rPr>
                <w:b/>
                <w:i/>
                <w:color w:val="000000"/>
                <w:sz w:val="24"/>
                <w:szCs w:val="24"/>
                <w:vertAlign w:val="subscript"/>
              </w:rPr>
              <w:t>i</w:t>
            </w:r>
          </w:p>
        </w:tc>
        <w:tc>
          <w:tcPr>
            <w:tcW w:w="280" w:type="dxa"/>
            <w:tcBorders/>
          </w:tcPr>
          <w:p>
            <w:pPr>
              <w:pStyle w:val="Normal"/>
              <w:widowControl w:val="false"/>
              <w:spacing w:lineRule="auto" w:line="240"/>
              <w:ind w:hanging="0" w:left="0" w:right="-108"/>
              <w:rPr>
                <w:sz w:val="24"/>
                <w:szCs w:val="24"/>
              </w:rPr>
            </w:pPr>
            <w:r>
              <w:rPr>
                <w:sz w:val="24"/>
                <w:szCs w:val="24"/>
              </w:rPr>
              <w:t>-</w:t>
            </w:r>
          </w:p>
        </w:tc>
        <w:tc>
          <w:tcPr>
            <w:tcW w:w="8509" w:type="dxa"/>
            <w:tcBorders/>
          </w:tcPr>
          <w:p>
            <w:pPr>
              <w:pStyle w:val="Normal"/>
              <w:widowControl w:val="false"/>
              <w:tabs>
                <w:tab w:val="left" w:pos="709" w:leader="none"/>
                <w:tab w:val="left" w:pos="851" w:leader="none"/>
              </w:tabs>
              <w:suppressAutoHyphens w:val="true"/>
              <w:overflowPunct w:val="false"/>
              <w:bidi w:val="0"/>
              <w:spacing w:lineRule="auto" w:line="240" w:before="0" w:after="0"/>
              <w:ind w:hanging="0" w:left="680" w:right="0"/>
              <w:jc w:val="both"/>
              <w:rPr/>
            </w:pPr>
            <w:r>
              <w:rPr>
                <w:rFonts w:eastAsia="Times New Roman" w:cs="Times New Roman"/>
                <w:sz w:val="24"/>
                <w:szCs w:val="24"/>
                <w:lang w:eastAsia="ru-RU"/>
              </w:rPr>
              <w:t>рейтинговый коэффициент</w:t>
            </w:r>
            <w:r>
              <w:rPr>
                <w:rStyle w:val="FootnoteReference"/>
                <w:rFonts w:eastAsia="Times New Roman" w:cs="Times New Roman"/>
                <w:sz w:val="24"/>
                <w:szCs w:val="24"/>
                <w:lang w:eastAsia="ru-RU"/>
              </w:rPr>
              <w:footnoteReference w:id="16"/>
            </w:r>
            <w:r>
              <w:rPr>
                <w:rFonts w:eastAsia="Times New Roman" w:cs="Times New Roman"/>
                <w:sz w:val="24"/>
                <w:szCs w:val="24"/>
                <w:lang w:eastAsia="ru-RU"/>
              </w:rPr>
              <w:t xml:space="preserve"> для i-ой кредитной организации, равный:</w:t>
            </w:r>
          </w:p>
          <w:p>
            <w:pPr>
              <w:pStyle w:val="Normal"/>
              <w:widowControl w:val="false"/>
              <w:tabs>
                <w:tab w:val="left" w:pos="709" w:leader="none"/>
                <w:tab w:val="left" w:pos="851" w:leader="none"/>
              </w:tabs>
              <w:spacing w:lineRule="auto" w:line="240" w:before="0" w:after="0"/>
              <w:ind w:firstLine="709" w:left="0" w:right="-108"/>
              <w:jc w:val="both"/>
              <w:rPr>
                <w:sz w:val="24"/>
                <w:szCs w:val="24"/>
              </w:rPr>
            </w:pPr>
            <w:r>
              <w:rPr>
                <w:rFonts w:eastAsia="Times New Roman" w:cs="Times New Roman"/>
                <w:b/>
                <w:sz w:val="24"/>
                <w:szCs w:val="24"/>
                <w:lang w:eastAsia="ru-RU"/>
              </w:rPr>
              <w:t>0,075</w:t>
            </w:r>
            <w:r>
              <w:rPr>
                <w:rFonts w:eastAsia="Times New Roman" w:cs="Times New Roman"/>
                <w:sz w:val="24"/>
                <w:szCs w:val="24"/>
                <w:lang w:eastAsia="ru-RU"/>
              </w:rPr>
              <w:t xml:space="preserve"> - если i-ая кредитная организация имеет национальный рейтинг кредитоспособности не ниже уровня </w:t>
            </w:r>
            <w:r>
              <w:rPr>
                <w:rFonts w:eastAsia="Times New Roman" w:cs="Times New Roman"/>
                <w:b/>
                <w:sz w:val="24"/>
                <w:szCs w:val="24"/>
                <w:lang w:eastAsia="ru-RU"/>
              </w:rPr>
              <w:t>«АА-»</w:t>
            </w:r>
            <w:r>
              <w:rPr>
                <w:rFonts w:eastAsia="Times New Roman" w:cs="Times New Roman"/>
                <w:sz w:val="24"/>
                <w:szCs w:val="24"/>
                <w:lang w:eastAsia="ru-RU"/>
              </w:rPr>
              <w:t xml:space="preserve">по классификации рейтингового агентства АКРА или не ниже уровня </w:t>
            </w:r>
            <w:r>
              <w:rPr>
                <w:rFonts w:eastAsia="Times New Roman" w:cs="Times New Roman"/>
                <w:b/>
                <w:sz w:val="24"/>
                <w:szCs w:val="24"/>
                <w:lang w:eastAsia="ru-RU"/>
              </w:rPr>
              <w:t>«</w:t>
            </w:r>
            <w:r>
              <w:rPr>
                <w:rFonts w:eastAsia="Times New Roman" w:cs="Times New Roman"/>
                <w:b/>
                <w:sz w:val="24"/>
                <w:szCs w:val="24"/>
                <w:lang w:val="en-US" w:eastAsia="ru-RU"/>
              </w:rPr>
              <w:t>ru</w:t>
            </w:r>
            <w:r>
              <w:rPr>
                <w:rFonts w:eastAsia="Times New Roman" w:cs="Times New Roman"/>
                <w:b/>
                <w:sz w:val="24"/>
                <w:szCs w:val="24"/>
                <w:lang w:eastAsia="ru-RU"/>
              </w:rPr>
              <w:t>А</w:t>
            </w:r>
            <w:r>
              <w:rPr>
                <w:rFonts w:eastAsia="Times New Roman" w:cs="Times New Roman"/>
                <w:b/>
                <w:sz w:val="24"/>
                <w:szCs w:val="24"/>
                <w:lang w:val="en-US" w:eastAsia="ru-RU"/>
              </w:rPr>
              <w:t>A</w:t>
            </w:r>
            <w:r>
              <w:rPr>
                <w:rFonts w:eastAsia="Times New Roman" w:cs="Times New Roman"/>
                <w:b/>
                <w:sz w:val="24"/>
                <w:szCs w:val="24"/>
                <w:lang w:eastAsia="ru-RU"/>
              </w:rPr>
              <w:t>-»</w:t>
            </w:r>
            <w:r>
              <w:rPr>
                <w:rFonts w:eastAsia="Times New Roman" w:cs="Times New Roman"/>
                <w:sz w:val="24"/>
                <w:szCs w:val="24"/>
                <w:lang w:eastAsia="ru-RU"/>
              </w:rPr>
              <w:t xml:space="preserve"> по классификации рейтингового агентства Эксперт РА;</w:t>
            </w:r>
          </w:p>
          <w:p>
            <w:pPr>
              <w:pStyle w:val="Normal"/>
              <w:widowControl w:val="false"/>
              <w:tabs>
                <w:tab w:val="left" w:pos="709" w:leader="none"/>
                <w:tab w:val="left" w:pos="851" w:leader="none"/>
              </w:tabs>
              <w:spacing w:lineRule="auto" w:line="240" w:before="0" w:after="0"/>
              <w:ind w:firstLine="709" w:left="0" w:right="-108"/>
              <w:jc w:val="both"/>
              <w:rPr>
                <w:sz w:val="24"/>
                <w:szCs w:val="24"/>
              </w:rPr>
            </w:pPr>
            <w:r>
              <w:rPr>
                <w:rFonts w:eastAsia="Times New Roman" w:cs="Times New Roman"/>
                <w:b/>
                <w:sz w:val="24"/>
                <w:szCs w:val="24"/>
                <w:lang w:eastAsia="ru-RU"/>
              </w:rPr>
              <w:t>0,05</w:t>
            </w:r>
            <w:r>
              <w:rPr>
                <w:rFonts w:eastAsia="Times New Roman" w:cs="Times New Roman"/>
                <w:sz w:val="24"/>
                <w:szCs w:val="24"/>
                <w:lang w:eastAsia="ru-RU"/>
              </w:rPr>
              <w:t xml:space="preserve"> - если i-ая кредитная организация имеет национальный рейтинг кредитоспособности не ниже уровня </w:t>
            </w:r>
            <w:r>
              <w:rPr>
                <w:rFonts w:eastAsia="Times New Roman" w:cs="Times New Roman"/>
                <w:b/>
                <w:sz w:val="24"/>
                <w:szCs w:val="24"/>
                <w:lang w:eastAsia="ru-RU"/>
              </w:rPr>
              <w:t>«А-»</w:t>
            </w:r>
            <w:r>
              <w:rPr>
                <w:rFonts w:eastAsia="Times New Roman" w:cs="Times New Roman"/>
                <w:sz w:val="24"/>
                <w:szCs w:val="24"/>
                <w:lang w:eastAsia="ru-RU"/>
              </w:rPr>
              <w:t xml:space="preserve"> по классификации рейтингового агентства АКРА или не ниже уровня </w:t>
            </w:r>
            <w:r>
              <w:rPr>
                <w:rFonts w:eastAsia="Times New Roman" w:cs="Times New Roman"/>
                <w:b/>
                <w:sz w:val="24"/>
                <w:szCs w:val="24"/>
                <w:lang w:eastAsia="ru-RU"/>
              </w:rPr>
              <w:t>«ruA-»</w:t>
            </w:r>
            <w:r>
              <w:rPr>
                <w:rFonts w:eastAsia="Times New Roman" w:cs="Times New Roman"/>
                <w:sz w:val="24"/>
                <w:szCs w:val="24"/>
                <w:lang w:eastAsia="ru-RU"/>
              </w:rPr>
              <w:t xml:space="preserve"> по классификации рейтингового агентства Эксперт РА;</w:t>
            </w:r>
          </w:p>
          <w:p>
            <w:pPr>
              <w:pStyle w:val="Normal"/>
              <w:widowControl w:val="false"/>
              <w:tabs>
                <w:tab w:val="clear" w:pos="709"/>
                <w:tab w:val="left" w:pos="7130" w:leader="none"/>
              </w:tabs>
              <w:spacing w:lineRule="auto" w:line="240"/>
              <w:ind w:firstLine="567" w:left="0" w:right="-108"/>
              <w:rPr>
                <w:sz w:val="24"/>
                <w:szCs w:val="24"/>
              </w:rPr>
            </w:pPr>
            <w:r>
              <w:rPr>
                <w:rFonts w:eastAsia="Times New Roman" w:cs="Times New Roman"/>
                <w:b/>
                <w:sz w:val="24"/>
                <w:szCs w:val="24"/>
                <w:lang w:eastAsia="ru-RU"/>
              </w:rPr>
              <w:t>0,025</w:t>
            </w:r>
            <w:r>
              <w:rPr>
                <w:rFonts w:eastAsia="Times New Roman" w:cs="Times New Roman"/>
                <w:sz w:val="24"/>
                <w:szCs w:val="24"/>
                <w:lang w:eastAsia="ru-RU"/>
              </w:rPr>
              <w:t xml:space="preserve"> - если i-ая кредитная организация имеет национальный рейтинг кредитоспособности не ниже уровня </w:t>
            </w:r>
            <w:r>
              <w:rPr>
                <w:rFonts w:eastAsia="Times New Roman" w:cs="Times New Roman"/>
                <w:b/>
                <w:sz w:val="24"/>
                <w:szCs w:val="24"/>
                <w:lang w:eastAsia="ru-RU"/>
              </w:rPr>
              <w:t>«</w:t>
            </w:r>
            <w:r>
              <w:rPr>
                <w:rFonts w:eastAsia="Times New Roman" w:cs="Times New Roman"/>
                <w:b/>
                <w:sz w:val="24"/>
                <w:szCs w:val="24"/>
                <w:lang w:val="en-US" w:eastAsia="ru-RU"/>
              </w:rPr>
              <w:t>BB</w:t>
            </w:r>
            <w:r>
              <w:rPr>
                <w:rFonts w:eastAsia="Times New Roman" w:cs="Times New Roman"/>
                <w:b/>
                <w:sz w:val="24"/>
                <w:szCs w:val="24"/>
                <w:lang w:eastAsia="ru-RU"/>
              </w:rPr>
              <w:t>В»</w:t>
            </w:r>
            <w:r>
              <w:rPr>
                <w:rFonts w:eastAsia="Times New Roman" w:cs="Times New Roman"/>
                <w:sz w:val="24"/>
                <w:szCs w:val="24"/>
                <w:lang w:eastAsia="ru-RU"/>
              </w:rPr>
              <w:t xml:space="preserve"> по классификации рейтингового агентства АКРА или не ниже уровня «</w:t>
            </w:r>
            <w:r>
              <w:rPr>
                <w:rFonts w:eastAsia="Times New Roman" w:cs="Times New Roman"/>
                <w:sz w:val="24"/>
                <w:szCs w:val="24"/>
                <w:lang w:val="en-US" w:eastAsia="ru-RU"/>
              </w:rPr>
              <w:t>ruBB</w:t>
            </w:r>
            <w:r>
              <w:rPr>
                <w:rFonts w:eastAsia="Times New Roman" w:cs="Times New Roman"/>
                <w:sz w:val="24"/>
                <w:szCs w:val="24"/>
                <w:lang w:eastAsia="ru-RU"/>
              </w:rPr>
              <w:t>В» по классификации рейтингового агентства Эксперт РА, а также находится в процессе финансового оздоровления (санации).</w:t>
            </w:r>
          </w:p>
        </w:tc>
      </w:tr>
    </w:tbl>
    <w:p>
      <w:pPr>
        <w:pStyle w:val="Normal"/>
        <w:tabs>
          <w:tab w:val="clear" w:pos="709"/>
          <w:tab w:val="left" w:pos="1134" w:leader="none"/>
        </w:tabs>
        <w:spacing w:lineRule="auto" w:line="240"/>
        <w:ind w:hanging="0"/>
        <w:jc w:val="center"/>
        <w:rPr>
          <w:sz w:val="24"/>
          <w:szCs w:val="24"/>
        </w:rPr>
      </w:pPr>
      <w:r>
        <w:rPr>
          <w:sz w:val="24"/>
          <w:szCs w:val="24"/>
        </w:rPr>
      </w:r>
    </w:p>
    <w:p>
      <w:pPr>
        <w:pStyle w:val="Normal"/>
        <w:widowControl/>
        <w:suppressAutoHyphens w:val="true"/>
        <w:bidi w:val="0"/>
        <w:spacing w:lineRule="auto" w:line="240" w:before="0" w:after="0"/>
        <w:ind w:hanging="0"/>
        <w:jc w:val="both"/>
        <w:rPr>
          <w:b/>
          <w:sz w:val="24"/>
          <w:szCs w:val="24"/>
        </w:rPr>
      </w:pPr>
      <w:r>
        <w:rPr>
          <w:b/>
          <w:sz w:val="24"/>
          <w:szCs w:val="24"/>
        </w:rPr>
      </w:r>
    </w:p>
    <w:p>
      <w:pPr>
        <w:pStyle w:val="Normal"/>
        <w:snapToGrid w:val="false"/>
        <w:spacing w:lineRule="auto" w:line="240"/>
        <w:ind w:firstLine="5103"/>
        <w:rPr/>
      </w:pPr>
      <w:r>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6"/>
      </w:tblGrid>
      <w:tr>
        <w:trPr/>
        <w:tc>
          <w:tcPr>
            <w:tcW w:w="4785" w:type="dxa"/>
            <w:tcBorders/>
          </w:tcPr>
          <w:p>
            <w:pPr>
              <w:pStyle w:val="Normal"/>
              <w:widowControl w:val="false"/>
              <w:spacing w:lineRule="auto" w:line="240"/>
              <w:ind w:hanging="0"/>
              <w:rPr>
                <w:b/>
                <w:sz w:val="24"/>
              </w:rPr>
            </w:pPr>
            <w:r>
              <w:rPr>
                <w:b/>
                <w:sz w:val="24"/>
              </w:rPr>
              <w:t>Заказчик:</w:t>
            </w:r>
          </w:p>
        </w:tc>
        <w:tc>
          <w:tcPr>
            <w:tcW w:w="4786" w:type="dxa"/>
            <w:tcBorders/>
          </w:tcPr>
          <w:p>
            <w:pPr>
              <w:pStyle w:val="Normal"/>
              <w:widowControl w:val="false"/>
              <w:spacing w:lineRule="auto" w:line="240"/>
              <w:ind w:hanging="0"/>
              <w:rPr>
                <w:b/>
                <w:sz w:val="24"/>
              </w:rPr>
            </w:pPr>
            <w:r>
              <w:rPr>
                <w:b/>
                <w:sz w:val="24"/>
              </w:rPr>
              <w:t>Подрядчик:</w:t>
            </w:r>
          </w:p>
        </w:tc>
      </w:tr>
      <w:tr>
        <w:trPr/>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6"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Normal"/>
        <w:rPr/>
      </w:pPr>
      <w:r>
        <w:rPr/>
      </w:r>
    </w:p>
    <w:sectPr>
      <w:headerReference w:type="default" r:id="rId15"/>
      <w:headerReference w:type="first" r:id="rId16"/>
      <w:footerReference w:type="default" r:id="rId17"/>
      <w:footerReference w:type="first" r:id="rId18"/>
      <w:footnotePr>
        <w:numFmt w:val="decimal"/>
      </w:footnotePr>
      <w:type w:val="nextPage"/>
      <w:pgSz w:w="11906" w:h="16838"/>
      <w:pgMar w:left="1418" w:right="851" w:gutter="0" w:header="567" w:top="1134" w:footer="284"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Cambria">
    <w:charset w:val="01"/>
    <w:family w:val="roman"/>
    <w:pitch w:val="variable"/>
  </w:font>
  <w:font w:name="Tahoma">
    <w:charset w:val="01"/>
    <w:family w:val="roman"/>
    <w:pitch w:val="variable"/>
  </w:font>
  <w:font w:name="Liberation Sans">
    <w:altName w:val="Arial"/>
    <w:charset w:val="01"/>
    <w:family w:val="roman"/>
    <w:pitch w:val="variable"/>
  </w:font>
  <w:font w:name="Verdana">
    <w:charset w:val="01"/>
    <w:family w:val="roman"/>
    <w:pitch w:val="variable"/>
  </w:font>
  <w:font w:name="Aria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0"/>
        <w:szCs w:val="20"/>
      </w:rPr>
    </w:pPr>
    <w:r>
      <w:rPr>
        <w:sz w:val="20"/>
        <w:szCs w:val="20"/>
      </w:rPr>
      <w:fldChar w:fldCharType="begin"/>
    </w:r>
    <w:r>
      <w:rPr>
        <w:sz w:val="20"/>
        <w:szCs w:val="20"/>
      </w:rPr>
      <w:instrText xml:space="preserve"> PAGE </w:instrText>
    </w:r>
    <w:r>
      <w:rPr>
        <w:sz w:val="20"/>
        <w:szCs w:val="20"/>
      </w:rPr>
      <w:fldChar w:fldCharType="separate"/>
    </w:r>
    <w:r>
      <w:rPr>
        <w:sz w:val="20"/>
        <w:szCs w:val="20"/>
      </w:rPr>
      <w:t>24</w:t>
    </w:r>
    <w:r>
      <w:rPr>
        <w:sz w:val="20"/>
        <w:szCs w:val="20"/>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30</w:t>
    </w:r>
    <w:r>
      <w:rPr>
        <w:sz w:val="22"/>
        <w:szCs w:val="22"/>
      </w:rPr>
      <w:fldChar w:fldCharType="end"/>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sz w:val="24"/>
        <w:szCs w:val="24"/>
      </w:rPr>
      <w:fldChar w:fldCharType="begin"/>
    </w:r>
    <w:r>
      <w:rPr>
        <w:sz w:val="24"/>
        <w:szCs w:val="24"/>
      </w:rPr>
      <w:instrText xml:space="preserve"> PAGE </w:instrText>
    </w:r>
    <w:r>
      <w:rPr>
        <w:sz w:val="24"/>
        <w:szCs w:val="24"/>
      </w:rPr>
      <w:fldChar w:fldCharType="separate"/>
    </w:r>
    <w:r>
      <w:rPr>
        <w:sz w:val="24"/>
        <w:szCs w:val="24"/>
      </w:rPr>
      <w:t>33</w:t>
    </w:r>
    <w:r>
      <w:rPr>
        <w:sz w:val="24"/>
        <w:szCs w:val="24"/>
      </w:rPr>
      <w:fldChar w:fldCharType="end"/>
    </w:r>
  </w:p>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6"/>
        </w:rPr>
        <w:footnoteRef/>
      </w:r>
      <w:r>
        <w:rPr/>
        <w:t xml:space="preserve"> </w:t>
      </w:r>
      <w:r>
        <w:rPr/>
        <w:t>Пункт включается в Договор в случае, если к Договору прикладывается полный комплект сметной документации.</w:t>
      </w:r>
    </w:p>
  </w:footnote>
  <w:footnote w:id="3">
    <w:p>
      <w:pPr>
        <w:pStyle w:val="FootnoteText"/>
        <w:jc w:val="both"/>
        <w:rPr>
          <w:highlight w:val="yellow"/>
        </w:rPr>
      </w:pPr>
      <w:r>
        <w:rPr>
          <w:rStyle w:val="Style6"/>
        </w:rPr>
        <w:footnoteRef/>
      </w:r>
      <w:r>
        <w:rPr/>
        <w:t xml:space="preserve"> </w:t>
      </w:r>
      <w:r>
        <w:rPr>
          <w:highlight w:val="lightGray"/>
        </w:rPr>
        <w:t>Условие включается в случае, когда на дату заключения Договора сметы Работ отсутствуют</w:t>
      </w:r>
      <w:r>
        <w:rPr/>
        <w:t>.</w:t>
      </w:r>
      <w:r>
        <w:rPr>
          <w:highlight w:val="yellow"/>
        </w:rPr>
        <w:t xml:space="preserve"> </w:t>
      </w:r>
    </w:p>
  </w:footnote>
  <w:footnote w:id="4">
    <w:p>
      <w:pPr>
        <w:pStyle w:val="FootnoteText"/>
        <w:jc w:val="both"/>
        <w:rPr/>
      </w:pPr>
      <w:r>
        <w:rPr>
          <w:rStyle w:val="Style6"/>
        </w:rPr>
        <w:footnoteRef/>
      </w:r>
      <w:r>
        <w:rPr/>
        <w:t xml:space="preserve"> </w:t>
      </w:r>
      <w:r>
        <w:rPr/>
        <w:t>Для договоров, заключенных в рамках операционной (текущей) деятельности Заказчика.</w:t>
      </w:r>
    </w:p>
  </w:footnote>
  <w:footnote w:id="5">
    <w:p>
      <w:pPr>
        <w:pStyle w:val="FootnoteText"/>
        <w:jc w:val="both"/>
        <w:rPr/>
      </w:pPr>
      <w:r>
        <w:rPr>
          <w:rStyle w:val="Style6"/>
        </w:rPr>
        <w:footnoteRef/>
      </w:r>
      <w:r>
        <w:rPr/>
        <w:t xml:space="preserve"> </w:t>
      </w:r>
      <w:r>
        <w:rPr/>
        <w:t>Для договоров, заключенных в рамках реализации инвестиционной программы Заказчика.</w:t>
      </w:r>
    </w:p>
  </w:footnote>
  <w:footnote w:id="6">
    <w:p>
      <w:pPr>
        <w:pStyle w:val="FootnoteText"/>
        <w:jc w:val="both"/>
        <w:rPr/>
      </w:pPr>
      <w:r>
        <w:rPr>
          <w:rStyle w:val="Style6"/>
        </w:rPr>
        <w:footnoteRef/>
      </w:r>
      <w:r>
        <w:rPr/>
        <w:t xml:space="preserve"> </w:t>
      </w:r>
      <w:r>
        <w:rPr/>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Заказчик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7">
    <w:p>
      <w:pPr>
        <w:pStyle w:val="FootnoteText"/>
        <w:rPr/>
      </w:pPr>
      <w:r>
        <w:rPr>
          <w:rStyle w:val="Style6"/>
        </w:rPr>
        <w:footnoteRef/>
      </w:r>
      <w:r>
        <w:rPr/>
        <w:t xml:space="preserve"> </w:t>
      </w:r>
      <w:r>
        <w:rPr/>
        <w:t>В случае непредоставления новой Банковской гарантии возврата авансового платежа.</w:t>
      </w:r>
    </w:p>
  </w:footnote>
  <w:footnote w:id="8">
    <w:p>
      <w:pPr>
        <w:pStyle w:val="FootnoteText"/>
        <w:jc w:val="both"/>
        <w:rPr/>
      </w:pPr>
      <w:r>
        <w:rPr>
          <w:rStyle w:val="Style6"/>
        </w:rPr>
        <w:footnoteRef/>
      </w:r>
      <w:r>
        <w:rPr/>
        <w:t xml:space="preserve"> </w:t>
      </w:r>
      <w:r>
        <w:rPr>
          <w:highlight w:val="lightGray"/>
        </w:rPr>
        <w:t>Данный пункт применяется только в случае, если в отношении контрагента (победителя закупки) введены санкции/ограничительные меры. Форма допсоглашения является типовой (ТФД № 12.3)</w:t>
      </w:r>
    </w:p>
  </w:footnote>
  <w:footnote w:id="9">
    <w:p>
      <w:pPr>
        <w:pStyle w:val="FootnoteText"/>
        <w:jc w:val="both"/>
        <w:rPr/>
      </w:pPr>
      <w:r>
        <w:rPr>
          <w:rStyle w:val="Style6"/>
        </w:rPr>
        <w:footnoteRef/>
      </w:r>
      <w:r>
        <w:rPr/>
        <w:t xml:space="preserve"> </w:t>
      </w:r>
      <w:r>
        <w:rPr>
          <w:highlight w:val="lightGray"/>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r>
        <w:rPr/>
        <w:t>.</w:t>
      </w:r>
    </w:p>
    <w:p>
      <w:pPr>
        <w:pStyle w:val="FootnoteText"/>
        <w:rPr/>
      </w:pPr>
      <w:r>
        <w:rPr/>
      </w:r>
    </w:p>
  </w:footnote>
  <w:footnote w:id="10">
    <w:p>
      <w:pPr>
        <w:pStyle w:val="FootnoteText"/>
        <w:jc w:val="both"/>
        <w:rPr/>
      </w:pPr>
      <w:r>
        <w:rPr>
          <w:rStyle w:val="Style6"/>
        </w:rPr>
        <w:footnoteRef/>
      </w:r>
      <w:r>
        <w:rPr/>
        <w:t xml:space="preserve"> </w:t>
      </w:r>
      <w:r>
        <w:rPr>
          <w:highlight w:val="lightGray"/>
        </w:rPr>
        <w:t>Применяется в случае подписания собственноручно без использования усиленных квалифицированных электронных подписей (УКЭП).</w:t>
      </w:r>
    </w:p>
  </w:footnote>
  <w:footnote w:id="11">
    <w:p>
      <w:pPr>
        <w:pStyle w:val="FootnoteText"/>
        <w:rPr/>
      </w:pPr>
      <w:r>
        <w:rPr>
          <w:rStyle w:val="Style6"/>
        </w:rPr>
        <w:footnoteRef/>
      </w:r>
      <w:r>
        <w:rPr/>
        <w:t xml:space="preserve"> </w:t>
      </w:r>
      <w:r>
        <w:rPr/>
        <w:t>Применяется, если не используется УПД.</w:t>
      </w:r>
    </w:p>
  </w:footnote>
  <w:footnote w:id="12">
    <w:p>
      <w:pPr>
        <w:pStyle w:val="FootnoteText"/>
        <w:jc w:val="both"/>
        <w:rPr/>
      </w:pPr>
      <w:r>
        <w:rPr>
          <w:rStyle w:val="Style6"/>
        </w:rPr>
        <w:footnoteRef/>
      </w:r>
      <w:r>
        <w:rPr/>
        <w:t xml:space="preserve"> </w:t>
      </w:r>
      <w:r>
        <w:rPr/>
        <w:t>Актуальный Перечень Банков-Гарантов Группы РусГидро размещен на официальном сайте ПАО «РусГидро» http://zakupki.rushydro.ru/PublicContent/Section/6</w:t>
      </w:r>
    </w:p>
  </w:footnote>
  <w:footnote w:id="13">
    <w:p>
      <w:pPr>
        <w:pStyle w:val="FootnoteText"/>
        <w:jc w:val="both"/>
        <w:rPr/>
      </w:pPr>
      <w:r>
        <w:rPr>
          <w:rStyle w:val="Style6"/>
        </w:rPr>
        <w:footnoteRef/>
      </w:r>
      <w:r>
        <w:rPr/>
        <w:t xml:space="preserve"> </w:t>
      </w:r>
      <w:r>
        <w:rPr/>
        <w:t>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Reuters, Bloomberg, Сbonds).</w:t>
      </w:r>
    </w:p>
  </w:footnote>
  <w:footnote w:id="14">
    <w:p>
      <w:pPr>
        <w:pStyle w:val="FootnoteText"/>
        <w:jc w:val="both"/>
        <w:rPr/>
      </w:pPr>
      <w:r>
        <w:rPr>
          <w:rStyle w:val="Style6"/>
        </w:rPr>
        <w:footnoteRef/>
      </w:r>
      <w:r>
        <w:rPr/>
        <w:t xml:space="preserve"> </w:t>
      </w:r>
      <w:r>
        <w:rPr/>
        <w:t>Данное требование не применяется в отношении небанковских кредитных организаций.</w:t>
      </w:r>
    </w:p>
  </w:footnote>
  <w:footnote w:id="15">
    <w:p>
      <w:pPr>
        <w:pStyle w:val="FootnoteText"/>
        <w:jc w:val="both"/>
        <w:rPr/>
      </w:pPr>
      <w:r>
        <w:rPr>
          <w:rStyle w:val="Style6"/>
        </w:rPr>
        <w:footnoteRef/>
      </w:r>
      <w:r>
        <w:rPr/>
        <w:t xml:space="preserve"> </w:t>
      </w:r>
      <w:r>
        <w:rPr>
          <w:rFonts w:cs="Times New Roman"/>
        </w:rPr>
        <w:t xml:space="preserve">Значение показателя округляется в большую или меньшую сторону до суммы, кратной 100 млн. руб. </w:t>
        <w:br/>
        <w:t xml:space="preserve">по правилам математического округления. В случае если первая из отделяемых цифр меньше 5, то значение показателя округляется в меньшую сторону; если первая из отделяемых цифр больше 5, то значение показателя округляется в большую сторону. Например, расчетное значение лимита - 5 440 млн. руб., лимит </w:t>
        <w:br/>
        <w:t xml:space="preserve">к установлению - 5 400 млн. руб.; расчетное значение лимита - 5 450 млн. руб., лимит к установлению - </w:t>
        <w:br/>
        <w:t>5 500 млн. руб.</w:t>
      </w:r>
    </w:p>
  </w:footnote>
  <w:footnote w:id="16">
    <w:p>
      <w:pPr>
        <w:pStyle w:val="FootnoteText"/>
        <w:jc w:val="both"/>
        <w:rPr/>
      </w:pPr>
      <w:r>
        <w:rPr>
          <w:rStyle w:val="Style6"/>
        </w:rPr>
        <w:footnoteRef/>
      </w:r>
      <w:r>
        <w:rPr/>
        <w:t xml:space="preserve"> </w:t>
      </w:r>
      <w:r>
        <w:rPr>
          <w:rFonts w:cs="Times New Roman"/>
        </w:rPr>
        <w:t xml:space="preserve">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w:t>
        <w:br/>
        <w:t xml:space="preserve">из присвоенных (по данным сайта кредитной организации и / или рейтинговых агентств и/или </w:t>
        <w:br/>
        <w:t>из информационных систем Reuters, Bloomberg, Сbonds).</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88"/>
      <w:jc w:val="right"/>
      <w:rPr>
        <w:sz w:val="20"/>
        <w:szCs w:val="20"/>
      </w:rPr>
    </w:pPr>
    <w:r>
      <w:rPr>
        <w:bCs/>
        <w:color w:val="000000"/>
        <w:sz w:val="20"/>
        <w:szCs w:val="20"/>
      </w:rPr>
      <w:t>ТФД №1.5.1.</w:t>
    </w:r>
    <w:r>
      <w:rPr>
        <w:sz w:val="20"/>
        <w:szCs w:val="20"/>
      </w:rPr>
      <w:t xml:space="preserve">     </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rPr>
    </w:pPr>
    <w:r>
      <w:rPr>
        <w:sz w:val="20"/>
        <w:szCs w:val="20"/>
      </w:rPr>
      <w:t>ТФД № 1.5.1.</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hanging="0"/>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3">
    <w:lvl w:ilvl="0">
      <w:start w:val="1"/>
      <w:numFmt w:val="bullet"/>
      <w:lvlText w:val=""/>
      <w:lvlJc w:val="left"/>
      <w:pPr>
        <w:tabs>
          <w:tab w:val="num" w:pos="360"/>
        </w:tabs>
        <w:ind w:left="360" w:hanging="360"/>
      </w:pPr>
      <w:rPr>
        <w:rFonts w:ascii="Symbol" w:hAnsi="Symbol" w:cs="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decimal"/>
      <w:lvlText w:val="%1."/>
      <w:lvlJc w:val="left"/>
      <w:pPr>
        <w:tabs>
          <w:tab w:val="num" w:pos="0"/>
        </w:tabs>
        <w:ind w:left="2204" w:hanging="360"/>
      </w:pPr>
      <w:rPr>
        <w:b/>
      </w:rPr>
    </w:lvl>
    <w:lvl w:ilvl="1">
      <w:start w:val="1"/>
      <w:numFmt w:val="decimal"/>
      <w:lvlText w:val="%1.%2."/>
      <w:lvlJc w:val="left"/>
      <w:pPr>
        <w:tabs>
          <w:tab w:val="num" w:pos="0"/>
        </w:tabs>
        <w:ind w:left="1000" w:hanging="432"/>
      </w:pPr>
      <w:rPr>
        <w:u w:val="none"/>
        <w:b w:val="false"/>
      </w:rPr>
    </w:lvl>
    <w:lvl w:ilvl="2">
      <w:start w:val="1"/>
      <w:numFmt w:val="decimal"/>
      <w:lvlText w:val="%1.%2.%3."/>
      <w:lvlJc w:val="left"/>
      <w:pPr>
        <w:tabs>
          <w:tab w:val="num" w:pos="0"/>
        </w:tabs>
        <w:ind w:left="1214"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
    <w:lvl w:ilvl="0">
      <w:start w:val="1"/>
      <w:numFmt w:val="decimal"/>
      <w:lvlText w:val="%1."/>
      <w:lvlJc w:val="left"/>
      <w:pPr>
        <w:tabs>
          <w:tab w:val="num" w:pos="3240"/>
        </w:tabs>
        <w:ind w:left="3240" w:hanging="0"/>
      </w:pPr>
      <w:rPr/>
    </w:lvl>
    <w:lvl w:ilvl="1">
      <w:start w:val="1"/>
      <w:numFmt w:val="decimal"/>
      <w:lvlText w:val="%1.%2."/>
      <w:lvlJc w:val="left"/>
      <w:pPr>
        <w:tabs>
          <w:tab w:val="num" w:pos="851"/>
        </w:tabs>
        <w:ind w:left="851" w:hanging="851"/>
      </w:pPr>
      <w:rPr/>
    </w:lvl>
    <w:lvl w:ilvl="2">
      <w:start w:val="1"/>
      <w:numFmt w:val="decimal"/>
      <w:lvlText w:val="%1.%2.%3."/>
      <w:lvlJc w:val="left"/>
      <w:pPr>
        <w:tabs>
          <w:tab w:val="num" w:pos="851"/>
        </w:tabs>
        <w:ind w:left="851" w:hanging="851"/>
      </w:pPr>
      <w:rPr/>
    </w:lvl>
    <w:lvl w:ilvl="3">
      <w:start w:val="1"/>
      <w:numFmt w:val="lowerLetter"/>
      <w:lvlText w:val="%4)"/>
      <w:lvlJc w:val="left"/>
      <w:pPr>
        <w:tabs>
          <w:tab w:val="num" w:pos="1418"/>
        </w:tabs>
        <w:ind w:left="1418" w:hanging="567"/>
      </w:pPr>
      <w:rPr/>
    </w:lvl>
    <w:lvl w:ilvl="4">
      <w:start w:val="1"/>
      <w:numFmt w:val="decimal"/>
      <w:lvlText w:val="%1.%2.%3.%4.%5"/>
      <w:lvlJc w:val="left"/>
      <w:pPr>
        <w:tabs>
          <w:tab w:val="num" w:pos="1008"/>
        </w:tabs>
        <w:ind w:left="1008" w:hanging="1008"/>
      </w:pPr>
      <w:rPr/>
    </w:lvl>
    <w:lvl w:ilvl="5">
      <w:start w:val="1"/>
      <w:numFmt w:val="decimal"/>
      <w:lvlText w:val="%1.%2.%3.%4.%5.%6"/>
      <w:lvlJc w:val="left"/>
      <w:pPr>
        <w:tabs>
          <w:tab w:val="num" w:pos="1152"/>
        </w:tabs>
        <w:ind w:left="1152" w:hanging="1152"/>
      </w:pPr>
      <w:rPr/>
    </w:lvl>
    <w:lvl w:ilvl="6">
      <w:start w:val="1"/>
      <w:numFmt w:val="decimal"/>
      <w:lvlText w:val="%1.%2.%3.%4.%5.%6.%7"/>
      <w:lvlJc w:val="left"/>
      <w:pPr>
        <w:tabs>
          <w:tab w:val="num" w:pos="1296"/>
        </w:tabs>
        <w:ind w:left="1296" w:hanging="1296"/>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584"/>
        </w:tabs>
        <w:ind w:left="1584" w:hanging="1584"/>
      </w:pPr>
      <w:rPr/>
    </w:lvl>
  </w:abstractNum>
  <w:abstractNum w:abstractNumId="6">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7">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3">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4">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5">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6">
    <w:lvl w:ilvl="0">
      <w:start w:val="7"/>
      <w:numFmt w:val="decimal"/>
      <w:lvlText w:val="%1."/>
      <w:lvlJc w:val="left"/>
      <w:pPr>
        <w:tabs>
          <w:tab w:val="num" w:pos="0"/>
        </w:tabs>
        <w:ind w:left="360" w:hanging="360"/>
      </w:pPr>
      <w:rPr>
        <w:sz w:val="24"/>
        <w:b/>
      </w:rPr>
    </w:lvl>
    <w:lvl w:ilvl="1">
      <w:start w:val="6"/>
      <w:numFmt w:val="decimal"/>
      <w:lvlText w:val="%1.%2."/>
      <w:lvlJc w:val="left"/>
      <w:pPr>
        <w:tabs>
          <w:tab w:val="num" w:pos="0"/>
        </w:tabs>
        <w:ind w:left="1288" w:hanging="720"/>
      </w:pPr>
      <w:rPr>
        <w:sz w:val="24"/>
      </w:rPr>
    </w:lvl>
    <w:lvl w:ilvl="2">
      <w:start w:val="1"/>
      <w:numFmt w:val="decimal"/>
      <w:lvlText w:val="%1.%2.%3."/>
      <w:lvlJc w:val="left"/>
      <w:pPr>
        <w:tabs>
          <w:tab w:val="num" w:pos="0"/>
        </w:tabs>
        <w:ind w:left="1856" w:hanging="720"/>
      </w:pPr>
      <w:rPr>
        <w:sz w:val="24"/>
      </w:rPr>
    </w:lvl>
    <w:lvl w:ilvl="3">
      <w:start w:val="1"/>
      <w:numFmt w:val="decimal"/>
      <w:lvlText w:val="%1.%2.%3.%4."/>
      <w:lvlJc w:val="left"/>
      <w:pPr>
        <w:tabs>
          <w:tab w:val="num" w:pos="0"/>
        </w:tabs>
        <w:ind w:left="2784" w:hanging="1080"/>
      </w:pPr>
      <w:rPr>
        <w:sz w:val="24"/>
      </w:rPr>
    </w:lvl>
    <w:lvl w:ilvl="4">
      <w:start w:val="1"/>
      <w:numFmt w:val="decimal"/>
      <w:lvlText w:val="%1.%2.%3.%4.%5."/>
      <w:lvlJc w:val="left"/>
      <w:pPr>
        <w:tabs>
          <w:tab w:val="num" w:pos="0"/>
        </w:tabs>
        <w:ind w:left="3352" w:hanging="1080"/>
      </w:pPr>
      <w:rPr>
        <w:sz w:val="24"/>
      </w:rPr>
    </w:lvl>
    <w:lvl w:ilvl="5">
      <w:start w:val="1"/>
      <w:numFmt w:val="decimal"/>
      <w:lvlText w:val="%1.%2.%3.%4.%5.%6."/>
      <w:lvlJc w:val="left"/>
      <w:pPr>
        <w:tabs>
          <w:tab w:val="num" w:pos="0"/>
        </w:tabs>
        <w:ind w:left="4280" w:hanging="1440"/>
      </w:pPr>
      <w:rPr>
        <w:sz w:val="24"/>
      </w:rPr>
    </w:lvl>
    <w:lvl w:ilvl="6">
      <w:start w:val="1"/>
      <w:numFmt w:val="decimal"/>
      <w:lvlText w:val="%1.%2.%3.%4.%5.%6.%7."/>
      <w:lvlJc w:val="left"/>
      <w:pPr>
        <w:tabs>
          <w:tab w:val="num" w:pos="0"/>
        </w:tabs>
        <w:ind w:left="5208" w:hanging="1800"/>
      </w:pPr>
      <w:rPr>
        <w:sz w:val="24"/>
      </w:rPr>
    </w:lvl>
    <w:lvl w:ilvl="7">
      <w:start w:val="1"/>
      <w:numFmt w:val="decimal"/>
      <w:lvlText w:val="%1.%2.%3.%4.%5.%6.%7.%8."/>
      <w:lvlJc w:val="left"/>
      <w:pPr>
        <w:tabs>
          <w:tab w:val="num" w:pos="0"/>
        </w:tabs>
        <w:ind w:left="5776" w:hanging="1800"/>
      </w:pPr>
      <w:rPr>
        <w:sz w:val="24"/>
      </w:rPr>
    </w:lvl>
    <w:lvl w:ilvl="8">
      <w:start w:val="1"/>
      <w:numFmt w:val="decimal"/>
      <w:lvlText w:val="%1.%2.%3.%4.%5.%6.%7.%8.%9."/>
      <w:lvlJc w:val="left"/>
      <w:pPr>
        <w:tabs>
          <w:tab w:val="num" w:pos="0"/>
        </w:tabs>
        <w:ind w:left="6704" w:hanging="2160"/>
      </w:pPr>
      <w:rPr>
        <w:sz w:val="24"/>
      </w:rPr>
    </w:lvl>
  </w:abstractNum>
  <w:abstractNum w:abstractNumId="17">
    <w:lvl w:ilvl="0">
      <w:start w:val="8"/>
      <w:numFmt w:val="decimal"/>
      <w:lvlText w:val="%1."/>
      <w:lvlJc w:val="left"/>
      <w:pPr>
        <w:tabs>
          <w:tab w:val="num" w:pos="0"/>
        </w:tabs>
        <w:ind w:left="360" w:hanging="360"/>
      </w:pPr>
      <w:rPr>
        <w:sz w:val="24"/>
        <w:b/>
      </w:rPr>
    </w:lvl>
    <w:lvl w:ilvl="1">
      <w:start w:val="1"/>
      <w:numFmt w:val="decimal"/>
      <w:lvlText w:val="%1.%2."/>
      <w:lvlJc w:val="left"/>
      <w:pPr>
        <w:tabs>
          <w:tab w:val="num" w:pos="0"/>
        </w:tabs>
        <w:ind w:left="1288" w:hanging="720"/>
      </w:pPr>
      <w:rPr>
        <w:sz w:val="24"/>
      </w:rPr>
    </w:lvl>
    <w:lvl w:ilvl="2">
      <w:start w:val="1"/>
      <w:numFmt w:val="decimal"/>
      <w:lvlText w:val="%1.%2.%3."/>
      <w:lvlJc w:val="left"/>
      <w:pPr>
        <w:tabs>
          <w:tab w:val="num" w:pos="0"/>
        </w:tabs>
        <w:ind w:left="1856" w:hanging="720"/>
      </w:pPr>
      <w:rPr>
        <w:sz w:val="24"/>
      </w:rPr>
    </w:lvl>
    <w:lvl w:ilvl="3">
      <w:start w:val="1"/>
      <w:numFmt w:val="decimal"/>
      <w:lvlText w:val="%1.%2.%3.%4."/>
      <w:lvlJc w:val="left"/>
      <w:pPr>
        <w:tabs>
          <w:tab w:val="num" w:pos="0"/>
        </w:tabs>
        <w:ind w:left="2784" w:hanging="1080"/>
      </w:pPr>
      <w:rPr>
        <w:sz w:val="24"/>
      </w:rPr>
    </w:lvl>
    <w:lvl w:ilvl="4">
      <w:start w:val="1"/>
      <w:numFmt w:val="decimal"/>
      <w:lvlText w:val="%1.%2.%3.%4.%5."/>
      <w:lvlJc w:val="left"/>
      <w:pPr>
        <w:tabs>
          <w:tab w:val="num" w:pos="0"/>
        </w:tabs>
        <w:ind w:left="3352" w:hanging="1080"/>
      </w:pPr>
      <w:rPr>
        <w:sz w:val="24"/>
      </w:rPr>
    </w:lvl>
    <w:lvl w:ilvl="5">
      <w:start w:val="1"/>
      <w:numFmt w:val="decimal"/>
      <w:lvlText w:val="%1.%2.%3.%4.%5.%6."/>
      <w:lvlJc w:val="left"/>
      <w:pPr>
        <w:tabs>
          <w:tab w:val="num" w:pos="0"/>
        </w:tabs>
        <w:ind w:left="4280" w:hanging="1440"/>
      </w:pPr>
      <w:rPr>
        <w:sz w:val="24"/>
      </w:rPr>
    </w:lvl>
    <w:lvl w:ilvl="6">
      <w:start w:val="1"/>
      <w:numFmt w:val="decimal"/>
      <w:lvlText w:val="%1.%2.%3.%4.%5.%6.%7."/>
      <w:lvlJc w:val="left"/>
      <w:pPr>
        <w:tabs>
          <w:tab w:val="num" w:pos="0"/>
        </w:tabs>
        <w:ind w:left="5208" w:hanging="1800"/>
      </w:pPr>
      <w:rPr>
        <w:sz w:val="24"/>
      </w:rPr>
    </w:lvl>
    <w:lvl w:ilvl="7">
      <w:start w:val="1"/>
      <w:numFmt w:val="decimal"/>
      <w:lvlText w:val="%1.%2.%3.%4.%5.%6.%7.%8."/>
      <w:lvlJc w:val="left"/>
      <w:pPr>
        <w:tabs>
          <w:tab w:val="num" w:pos="0"/>
        </w:tabs>
        <w:ind w:left="5776" w:hanging="1800"/>
      </w:pPr>
      <w:rPr>
        <w:sz w:val="24"/>
      </w:rPr>
    </w:lvl>
    <w:lvl w:ilvl="8">
      <w:start w:val="1"/>
      <w:numFmt w:val="decimal"/>
      <w:lvlText w:val="%1.%2.%3.%4.%5.%6.%7.%8.%9."/>
      <w:lvlJc w:val="left"/>
      <w:pPr>
        <w:tabs>
          <w:tab w:val="num" w:pos="0"/>
        </w:tabs>
        <w:ind w:left="6704" w:hanging="2160"/>
      </w:pPr>
      <w:rPr>
        <w:sz w:val="24"/>
      </w:rPr>
    </w:lvl>
  </w:abstractNum>
  <w:abstractNum w:abstractNumId="18">
    <w:lvl w:ilvl="0">
      <w:start w:val="1"/>
      <w:numFmt w:val="bullet"/>
      <w:lvlText w:val=""/>
      <w:lvlJc w:val="left"/>
      <w:pPr>
        <w:tabs>
          <w:tab w:val="num" w:pos="0"/>
        </w:tabs>
        <w:ind w:left="720" w:hanging="360"/>
      </w:pPr>
      <w:rPr>
        <w:rFonts w:ascii="Symbol" w:hAnsi="Symbol" w:cs="Symbol" w:hint="default"/>
        <w:u w:val="none"/>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lvl w:ilvl="0">
      <w:start w:val="1"/>
      <w:numFmt w:val="bullet"/>
      <w:lvlText w:val=""/>
      <w:lvlJc w:val="left"/>
      <w:pPr>
        <w:tabs>
          <w:tab w:val="num" w:pos="0"/>
        </w:tabs>
        <w:ind w:left="720" w:hanging="360"/>
      </w:pPr>
      <w:rPr>
        <w:rFonts w:ascii="Symbol" w:hAnsi="Symbol" w:cs="Symbol" w:hint="default"/>
        <w:u w:val="none"/>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lvl w:ilvl="0">
      <w:start w:val="1"/>
      <w:numFmt w:val="decimal"/>
      <w:lvlText w:val="%1."/>
      <w:lvlJc w:val="left"/>
      <w:pPr>
        <w:tabs>
          <w:tab w:val="num" w:pos="0"/>
        </w:tabs>
        <w:ind w:left="720" w:hanging="360"/>
      </w:pPr>
      <w:rPr/>
    </w:lvl>
    <w:lvl w:ilvl="1">
      <w:start w:val="1"/>
      <w:numFmt w:val="decimal"/>
      <w:lvlText w:val="%2."/>
      <w:lvlJc w:val="left"/>
      <w:pPr>
        <w:tabs>
          <w:tab w:val="num" w:pos="0"/>
        </w:tabs>
        <w:ind w:left="1430" w:hanging="720"/>
      </w:pPr>
      <w:rPr/>
    </w:lvl>
    <w:lvl w:ilvl="2">
      <w:start w:val="1"/>
      <w:numFmt w:val="decimal"/>
      <w:lvlText w:val="%1.%2.%3."/>
      <w:lvlJc w:val="left"/>
      <w:pPr>
        <w:tabs>
          <w:tab w:val="num" w:pos="0"/>
        </w:tabs>
        <w:ind w:left="1146" w:hanging="720"/>
      </w:pPr>
      <w:rPr>
        <w:b w:val="false"/>
      </w:rPr>
    </w:lvl>
    <w:lvl w:ilvl="3">
      <w:start w:val="1"/>
      <w:numFmt w:val="decimal"/>
      <w:lvlText w:val="%1.%2.%3.%4."/>
      <w:lvlJc w:val="left"/>
      <w:pPr>
        <w:tabs>
          <w:tab w:val="num" w:pos="0"/>
        </w:tabs>
        <w:ind w:left="1506" w:hanging="1080"/>
      </w:pPr>
      <w:rPr/>
    </w:lvl>
    <w:lvl w:ilvl="4">
      <w:start w:val="1"/>
      <w:numFmt w:val="decimal"/>
      <w:lvlText w:val="%1.%2.%3.%4.%5."/>
      <w:lvlJc w:val="left"/>
      <w:pPr>
        <w:tabs>
          <w:tab w:val="num" w:pos="0"/>
        </w:tabs>
        <w:ind w:left="1440" w:hanging="1080"/>
      </w:pPr>
      <w:rPr/>
    </w:lvl>
    <w:lvl w:ilvl="5">
      <w:start w:val="1"/>
      <w:numFmt w:val="decimal"/>
      <w:lvlText w:val="%1.%2.%3.%4.%5.%6."/>
      <w:lvlJc w:val="left"/>
      <w:pPr>
        <w:tabs>
          <w:tab w:val="num" w:pos="0"/>
        </w:tabs>
        <w:ind w:left="1800" w:hanging="1440"/>
      </w:pPr>
      <w:rPr/>
    </w:lvl>
    <w:lvl w:ilvl="6">
      <w:start w:val="1"/>
      <w:numFmt w:val="decimal"/>
      <w:lvlText w:val="%1.%2.%3.%4.%5.%6.%7."/>
      <w:lvlJc w:val="left"/>
      <w:pPr>
        <w:tabs>
          <w:tab w:val="num" w:pos="0"/>
        </w:tabs>
        <w:ind w:left="2160" w:hanging="1800"/>
      </w:pPr>
      <w:rPr/>
    </w:lvl>
    <w:lvl w:ilvl="7">
      <w:start w:val="1"/>
      <w:numFmt w:val="decimal"/>
      <w:lvlText w:val="%1.%2.%3.%4.%5.%6.%7.%8."/>
      <w:lvlJc w:val="left"/>
      <w:pPr>
        <w:tabs>
          <w:tab w:val="num" w:pos="0"/>
        </w:tabs>
        <w:ind w:left="2160" w:hanging="1800"/>
      </w:pPr>
      <w:rPr/>
    </w:lvl>
    <w:lvl w:ilvl="8">
      <w:start w:val="1"/>
      <w:numFmt w:val="decimal"/>
      <w:lvlText w:val="%1.%2.%3.%4.%5.%6.%7.%8.%9."/>
      <w:lvlJc w:val="left"/>
      <w:pPr>
        <w:tabs>
          <w:tab w:val="num" w:pos="0"/>
        </w:tabs>
        <w:ind w:left="2520" w:hanging="2160"/>
      </w:pPr>
      <w:rPr/>
    </w:lvl>
  </w:abstractNum>
  <w:abstractNum w:abstractNumId="21">
    <w:lvl w:ilvl="0">
      <w:start w:val="9"/>
      <w:numFmt w:val="decimal"/>
      <w:lvlText w:val="%1."/>
      <w:lvlJc w:val="left"/>
      <w:pPr>
        <w:tabs>
          <w:tab w:val="num" w:pos="0"/>
        </w:tabs>
        <w:ind w:left="450" w:hanging="450"/>
      </w:pPr>
      <w:rPr/>
    </w:lvl>
    <w:lvl w:ilvl="1">
      <w:start w:val="1"/>
      <w:numFmt w:val="decimal"/>
      <w:lvlText w:val="%1.%2."/>
      <w:lvlJc w:val="left"/>
      <w:pPr>
        <w:tabs>
          <w:tab w:val="num" w:pos="0"/>
        </w:tabs>
        <w:ind w:left="2136" w:hanging="720"/>
      </w:pPr>
      <w:rPr/>
    </w:lvl>
    <w:lvl w:ilvl="2">
      <w:start w:val="1"/>
      <w:numFmt w:val="decimal"/>
      <w:lvlText w:val="%1.%2.%3."/>
      <w:lvlJc w:val="left"/>
      <w:pPr>
        <w:tabs>
          <w:tab w:val="num" w:pos="0"/>
        </w:tabs>
        <w:ind w:left="3552" w:hanging="720"/>
      </w:pPr>
      <w:rPr/>
    </w:lvl>
    <w:lvl w:ilvl="3">
      <w:start w:val="1"/>
      <w:numFmt w:val="decimal"/>
      <w:lvlText w:val="%1.%2.%3.%4."/>
      <w:lvlJc w:val="left"/>
      <w:pPr>
        <w:tabs>
          <w:tab w:val="num" w:pos="0"/>
        </w:tabs>
        <w:ind w:left="5328" w:hanging="1080"/>
      </w:pPr>
      <w:rPr/>
    </w:lvl>
    <w:lvl w:ilvl="4">
      <w:start w:val="1"/>
      <w:numFmt w:val="decimal"/>
      <w:lvlText w:val="%1.%2.%3.%4.%5."/>
      <w:lvlJc w:val="left"/>
      <w:pPr>
        <w:tabs>
          <w:tab w:val="num" w:pos="0"/>
        </w:tabs>
        <w:ind w:left="6744" w:hanging="1080"/>
      </w:pPr>
      <w:rPr/>
    </w:lvl>
    <w:lvl w:ilvl="5">
      <w:start w:val="1"/>
      <w:numFmt w:val="decimal"/>
      <w:lvlText w:val="%1.%2.%3.%4.%5.%6."/>
      <w:lvlJc w:val="left"/>
      <w:pPr>
        <w:tabs>
          <w:tab w:val="num" w:pos="0"/>
        </w:tabs>
        <w:ind w:left="8520" w:hanging="1440"/>
      </w:pPr>
      <w:rPr/>
    </w:lvl>
    <w:lvl w:ilvl="6">
      <w:start w:val="1"/>
      <w:numFmt w:val="decimal"/>
      <w:lvlText w:val="%1.%2.%3.%4.%5.%6.%7."/>
      <w:lvlJc w:val="left"/>
      <w:pPr>
        <w:tabs>
          <w:tab w:val="num" w:pos="0"/>
        </w:tabs>
        <w:ind w:left="10296" w:hanging="1800"/>
      </w:pPr>
      <w:rPr/>
    </w:lvl>
    <w:lvl w:ilvl="7">
      <w:start w:val="1"/>
      <w:numFmt w:val="decimal"/>
      <w:lvlText w:val="%1.%2.%3.%4.%5.%6.%7.%8."/>
      <w:lvlJc w:val="left"/>
      <w:pPr>
        <w:tabs>
          <w:tab w:val="num" w:pos="0"/>
        </w:tabs>
        <w:ind w:left="11712" w:hanging="1800"/>
      </w:pPr>
      <w:rPr/>
    </w:lvl>
    <w:lvl w:ilvl="8">
      <w:start w:val="1"/>
      <w:numFmt w:val="decimal"/>
      <w:lvlText w:val="%1.%2.%3.%4.%5.%6.%7.%8.%9."/>
      <w:lvlJc w:val="left"/>
      <w:pPr>
        <w:tabs>
          <w:tab w:val="num" w:pos="0"/>
        </w:tabs>
        <w:ind w:left="13488" w:hanging="21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w="http://schemas.openxmlformats.org/wordprocessingml/2006/main">
  <w:zoom w:percent="120"/>
  <w:embedSystemFonts/>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uiPriority="0"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16193c"/>
    <w:pPr>
      <w:widowControl/>
      <w:suppressAutoHyphens w:val="true"/>
      <w:bidi w:val="0"/>
      <w:spacing w:lineRule="auto" w:line="360" w:before="0" w:after="0"/>
      <w:ind w:firstLine="567"/>
      <w:jc w:val="both"/>
    </w:pPr>
    <w:rPr>
      <w:rFonts w:ascii="Times New Roman" w:hAnsi="Times New Roman" w:eastAsia="Times New Roman" w:cs="Times New Roman"/>
      <w:color w:val="auto"/>
      <w:kern w:val="0"/>
      <w:sz w:val="28"/>
      <w:szCs w:val="28"/>
      <w:lang w:val="ru-RU" w:eastAsia="ru-RU" w:bidi="ar-SA"/>
    </w:rPr>
  </w:style>
  <w:style w:type="paragraph" w:styleId="Heading1">
    <w:name w:val="Heading 1"/>
    <w:basedOn w:val="Normal"/>
    <w:next w:val="Normal"/>
    <w:link w:val="11"/>
    <w:qFormat/>
    <w:rsid w:val="00ae674d"/>
    <w:pPr>
      <w:keepNext w:val="true"/>
      <w:spacing w:before="240" w:after="60"/>
      <w:outlineLvl w:val="0"/>
    </w:pPr>
    <w:rPr>
      <w:rFonts w:ascii="Cambria" w:hAnsi="Cambria"/>
      <w:b/>
      <w:bCs/>
      <w:kern w:val="2"/>
      <w:sz w:val="32"/>
      <w:szCs w:val="32"/>
      <w:lang w:val="x-none" w:eastAsia="x-none"/>
    </w:rPr>
  </w:style>
  <w:style w:type="paragraph" w:styleId="Heading2">
    <w:name w:val="Heading 2"/>
    <w:basedOn w:val="Normal"/>
    <w:next w:val="Normal"/>
    <w:link w:val="2"/>
    <w:qFormat/>
    <w:rsid w:val="00ae674d"/>
    <w:pPr>
      <w:keepNext w:val="true"/>
      <w:spacing w:before="240" w:after="60"/>
      <w:outlineLvl w:val="1"/>
    </w:pPr>
    <w:rPr>
      <w:rFonts w:ascii="Cambria" w:hAnsi="Cambria"/>
      <w:b/>
      <w:bCs/>
      <w:i/>
      <w:iCs/>
      <w:lang w:val="x-none" w:eastAsia="x-none"/>
    </w:rPr>
  </w:style>
  <w:style w:type="paragraph" w:styleId="Heading3">
    <w:name w:val="Heading 3"/>
    <w:basedOn w:val="Normal"/>
    <w:next w:val="Normal"/>
    <w:link w:val="3"/>
    <w:uiPriority w:val="9"/>
    <w:qFormat/>
    <w:rsid w:val="005f3f9e"/>
    <w:pPr>
      <w:keepNext w:val="true"/>
      <w:suppressAutoHyphens w:val="true"/>
      <w:spacing w:lineRule="auto" w:line="240" w:before="120" w:after="120"/>
      <w:ind w:hanging="0"/>
      <w:jc w:val="left"/>
      <w:outlineLvl w:val="2"/>
    </w:pPr>
    <w:rPr>
      <w:b/>
      <w:szCs w:val="20"/>
      <w:lang w:val="x-none" w:eastAsia="x-none"/>
    </w:rPr>
  </w:style>
  <w:style w:type="character" w:styleId="DefaultParagraphFont" w:default="1">
    <w:name w:val="Default Paragraph Font"/>
    <w:uiPriority w:val="1"/>
    <w:unhideWhenUsed/>
    <w:qFormat/>
    <w:rPr/>
  </w:style>
  <w:style w:type="character" w:styleId="Style6">
    <w:name w:val="Символ сноски"/>
    <w:qFormat/>
    <w:rsid w:val="00d45657"/>
    <w:rPr>
      <w:vertAlign w:val="superscript"/>
    </w:rPr>
  </w:style>
  <w:style w:type="character" w:styleId="FootnoteReference">
    <w:name w:val="Footnote Reference"/>
    <w:rPr>
      <w:vertAlign w:val="superscript"/>
    </w:rPr>
  </w:style>
  <w:style w:type="character" w:styleId="3" w:customStyle="1">
    <w:name w:val="Заголовок 3 Знак"/>
    <w:qFormat/>
    <w:rsid w:val="005f3f9e"/>
    <w:rPr>
      <w:b/>
      <w:sz w:val="28"/>
    </w:rPr>
  </w:style>
  <w:style w:type="character" w:styleId="31" w:customStyle="1">
    <w:name w:val="3. Подпункт Знак"/>
    <w:link w:val="33"/>
    <w:qFormat/>
    <w:rsid w:val="005f4a86"/>
    <w:rPr>
      <w:b/>
      <w:bCs/>
      <w:sz w:val="24"/>
      <w:szCs w:val="24"/>
    </w:rPr>
  </w:style>
  <w:style w:type="character" w:styleId="Style7" w:customStyle="1">
    <w:name w:val="Текст выноски Знак"/>
    <w:link w:val="BalloonText"/>
    <w:qFormat/>
    <w:rsid w:val="00dc2b59"/>
    <w:rPr>
      <w:rFonts w:ascii="Tahoma" w:hAnsi="Tahoma" w:cs="Tahoma"/>
      <w:sz w:val="16"/>
      <w:szCs w:val="16"/>
    </w:rPr>
  </w:style>
  <w:style w:type="character" w:styleId="1" w:customStyle="1">
    <w:name w:val="1. Статья Знак"/>
    <w:link w:val="12"/>
    <w:qFormat/>
    <w:rsid w:val="00f50d64"/>
    <w:rPr>
      <w:b w:val="false"/>
      <w:sz w:val="24"/>
      <w:szCs w:val="24"/>
    </w:rPr>
  </w:style>
  <w:style w:type="character" w:styleId="4" w:customStyle="1">
    <w:name w:val="4. Отчерк Знак"/>
    <w:link w:val="41"/>
    <w:qFormat/>
    <w:rsid w:val="00f50d64"/>
    <w:rPr>
      <w:sz w:val="24"/>
      <w:szCs w:val="24"/>
    </w:rPr>
  </w:style>
  <w:style w:type="character" w:styleId="Annotationreference">
    <w:name w:val="annotation reference"/>
    <w:qFormat/>
    <w:rsid w:val="00f50d64"/>
    <w:rPr>
      <w:sz w:val="16"/>
      <w:szCs w:val="16"/>
    </w:rPr>
  </w:style>
  <w:style w:type="character" w:styleId="Style8" w:customStyle="1">
    <w:name w:val="Текст примечания Знак"/>
    <w:link w:val="Annotationtext"/>
    <w:qFormat/>
    <w:rsid w:val="00f50d64"/>
    <w:rPr/>
  </w:style>
  <w:style w:type="character" w:styleId="Style9" w:customStyle="1">
    <w:name w:val="Тема примечания Знак"/>
    <w:link w:val="Annotationsubject"/>
    <w:qFormat/>
    <w:rsid w:val="00f50d64"/>
    <w:rPr>
      <w:b/>
      <w:bCs/>
    </w:rPr>
  </w:style>
  <w:style w:type="character" w:styleId="Style10" w:customStyle="1">
    <w:name w:val="Нижний колонтитул Знак"/>
    <w:uiPriority w:val="99"/>
    <w:qFormat/>
    <w:rsid w:val="0043217c"/>
    <w:rPr>
      <w:sz w:val="28"/>
      <w:szCs w:val="28"/>
    </w:rPr>
  </w:style>
  <w:style w:type="character" w:styleId="32" w:customStyle="1">
    <w:name w:val="Основной текст 3 Знак"/>
    <w:link w:val="BodyText3"/>
    <w:qFormat/>
    <w:rsid w:val="001d2676"/>
    <w:rPr>
      <w:color w:val="0000FF"/>
      <w:sz w:val="24"/>
      <w:szCs w:val="24"/>
      <w:lang w:eastAsia="en-US"/>
    </w:rPr>
  </w:style>
  <w:style w:type="character" w:styleId="Style11" w:customStyle="1">
    <w:name w:val="Заголовок Знак"/>
    <w:qFormat/>
    <w:rsid w:val="00ae674d"/>
    <w:rPr>
      <w:b/>
      <w:sz w:val="22"/>
      <w:szCs w:val="22"/>
      <w:shd w:fill="FFFFFF" w:val="clear"/>
    </w:rPr>
  </w:style>
  <w:style w:type="character" w:styleId="11" w:customStyle="1">
    <w:name w:val="Заголовок 1 Знак"/>
    <w:qFormat/>
    <w:rsid w:val="00ae674d"/>
    <w:rPr>
      <w:rFonts w:ascii="Cambria" w:hAnsi="Cambria" w:eastAsia="Times New Roman" w:cs="Times New Roman"/>
      <w:b/>
      <w:bCs/>
      <w:kern w:val="2"/>
      <w:sz w:val="32"/>
      <w:szCs w:val="32"/>
    </w:rPr>
  </w:style>
  <w:style w:type="character" w:styleId="2" w:customStyle="1">
    <w:name w:val="Заголовок 2 Знак"/>
    <w:semiHidden/>
    <w:qFormat/>
    <w:rsid w:val="00ae674d"/>
    <w:rPr>
      <w:rFonts w:ascii="Cambria" w:hAnsi="Cambria" w:eastAsia="Times New Roman" w:cs="Times New Roman"/>
      <w:b/>
      <w:bCs/>
      <w:i/>
      <w:iCs/>
      <w:sz w:val="28"/>
      <w:szCs w:val="28"/>
    </w:rPr>
  </w:style>
  <w:style w:type="character" w:styleId="Style12" w:customStyle="1">
    <w:name w:val="Основной текст с отступом Знак"/>
    <w:qFormat/>
    <w:rsid w:val="00ae674d"/>
    <w:rPr>
      <w:sz w:val="28"/>
      <w:szCs w:val="28"/>
    </w:rPr>
  </w:style>
  <w:style w:type="character" w:styleId="FontStyle16" w:customStyle="1">
    <w:name w:val="Font Style16"/>
    <w:qFormat/>
    <w:rsid w:val="00204c48"/>
    <w:rPr>
      <w:rFonts w:ascii="Times New Roman" w:hAnsi="Times New Roman" w:cs="Times New Roman"/>
      <w:sz w:val="24"/>
      <w:szCs w:val="24"/>
    </w:rPr>
  </w:style>
  <w:style w:type="character" w:styleId="Style13" w:customStyle="1">
    <w:name w:val="Текст сноски Знак"/>
    <w:uiPriority w:val="99"/>
    <w:qFormat/>
    <w:rsid w:val="00f43f0d"/>
    <w:rPr/>
  </w:style>
  <w:style w:type="character" w:styleId="Hyperlink">
    <w:name w:val="Hyperlink"/>
    <w:uiPriority w:val="99"/>
    <w:unhideWhenUsed/>
    <w:rsid w:val="00ee68c6"/>
    <w:rPr>
      <w:color w:val="0000FF"/>
      <w:u w:val="single"/>
    </w:rPr>
  </w:style>
  <w:style w:type="character" w:styleId="Style14" w:customStyle="1">
    <w:name w:val="Текст концевой сноски Знак"/>
    <w:uiPriority w:val="99"/>
    <w:semiHidden/>
    <w:qFormat/>
    <w:rsid w:val="008c02d8"/>
    <w:rPr/>
  </w:style>
  <w:style w:type="character" w:styleId="Style15">
    <w:name w:val="Символ концевой сноски"/>
    <w:uiPriority w:val="99"/>
    <w:semiHidden/>
    <w:unhideWhenUsed/>
    <w:qFormat/>
    <w:rsid w:val="008c02d8"/>
    <w:rPr>
      <w:vertAlign w:val="superscript"/>
    </w:rPr>
  </w:style>
  <w:style w:type="character" w:styleId="EndnoteReference">
    <w:name w:val="Endnote Reference"/>
    <w:rPr>
      <w:vertAlign w:val="superscript"/>
    </w:rPr>
  </w:style>
  <w:style w:type="character" w:styleId="Style16" w:customStyle="1">
    <w:name w:val="Абзац списка Знак"/>
    <w:link w:val="ListParagraph"/>
    <w:uiPriority w:val="34"/>
    <w:qFormat/>
    <w:locked/>
    <w:rsid w:val="005a5217"/>
    <w:rPr>
      <w:sz w:val="24"/>
      <w:szCs w:val="24"/>
    </w:rPr>
  </w:style>
  <w:style w:type="character" w:styleId="LineNumber">
    <w:name w:val="Line Number"/>
    <w:rPr/>
  </w:style>
  <w:style w:type="character" w:styleId="FollowedHyperlink">
    <w:name w:val="FollowedHyperlink"/>
    <w:rPr>
      <w:color w:val="800000"/>
      <w:u w:val="single"/>
    </w:rPr>
  </w:style>
  <w:style w:type="paragraph" w:styleId="Style17">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rsid w:val="004b090f"/>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8">
    <w:name w:val="Указатель"/>
    <w:basedOn w:val="Normal"/>
    <w:qFormat/>
    <w:pPr>
      <w:suppressLineNumbers/>
    </w:pPr>
    <w:rPr/>
  </w:style>
  <w:style w:type="paragraph" w:styleId="BodyText3">
    <w:name w:val="Body Text 3"/>
    <w:basedOn w:val="Normal"/>
    <w:link w:val="32"/>
    <w:qFormat/>
    <w:rsid w:val="004b090f"/>
    <w:pPr>
      <w:spacing w:lineRule="auto" w:line="240"/>
      <w:ind w:hanging="0"/>
    </w:pPr>
    <w:rPr>
      <w:color w:val="0000FF"/>
      <w:sz w:val="24"/>
      <w:szCs w:val="24"/>
      <w:lang w:val="x-none" w:eastAsia="en-US"/>
    </w:rPr>
  </w:style>
  <w:style w:type="paragraph" w:styleId="Style19">
    <w:name w:val="Колонтитул"/>
    <w:basedOn w:val="Normal"/>
    <w:qFormat/>
    <w:pPr/>
    <w:rPr/>
  </w:style>
  <w:style w:type="paragraph" w:styleId="Header">
    <w:name w:val="Header"/>
    <w:basedOn w:val="Normal"/>
    <w:rsid w:val="004b090f"/>
    <w:pPr>
      <w:tabs>
        <w:tab w:val="clear" w:pos="709"/>
        <w:tab w:val="center" w:pos="4677" w:leader="none"/>
        <w:tab w:val="right" w:pos="9355" w:leader="none"/>
      </w:tabs>
    </w:pPr>
    <w:rPr/>
  </w:style>
  <w:style w:type="paragraph" w:styleId="Style110" w:customStyle="1">
    <w:name w:val="Style1"/>
    <w:basedOn w:val="Normal"/>
    <w:autoRedefine/>
    <w:qFormat/>
    <w:rsid w:val="004b090f"/>
    <w:pPr>
      <w:spacing w:lineRule="auto" w:line="240" w:before="240" w:after="0"/>
      <w:ind w:hanging="0"/>
      <w:jc w:val="left"/>
    </w:pPr>
    <w:rPr>
      <w:b/>
      <w:sz w:val="22"/>
      <w:szCs w:val="20"/>
    </w:rPr>
  </w:style>
  <w:style w:type="paragraph" w:styleId="BodyText2">
    <w:name w:val="Body Text 2"/>
    <w:basedOn w:val="Normal"/>
    <w:qFormat/>
    <w:rsid w:val="004b090f"/>
    <w:pPr>
      <w:widowControl w:val="false"/>
      <w:spacing w:lineRule="auto" w:line="480" w:before="0" w:after="120"/>
      <w:ind w:hanging="0"/>
      <w:jc w:val="left"/>
    </w:pPr>
    <w:rPr>
      <w:sz w:val="20"/>
      <w:szCs w:val="20"/>
    </w:rPr>
  </w:style>
  <w:style w:type="paragraph" w:styleId="Style20" w:customStyle="1">
    <w:name w:val="Знак"/>
    <w:basedOn w:val="Normal"/>
    <w:qFormat/>
    <w:rsid w:val="000873ec"/>
    <w:pPr>
      <w:spacing w:lineRule="exact" w:line="240" w:before="0" w:after="160"/>
      <w:ind w:hanging="0"/>
      <w:jc w:val="left"/>
    </w:pPr>
    <w:rPr>
      <w:rFonts w:ascii="Verdana" w:hAnsi="Verdana" w:cs="Verdana"/>
      <w:sz w:val="20"/>
      <w:szCs w:val="20"/>
      <w:lang w:val="en-US" w:eastAsia="en-US"/>
    </w:rPr>
  </w:style>
  <w:style w:type="paragraph" w:styleId="FootnoteText">
    <w:name w:val="Footnote Text"/>
    <w:basedOn w:val="Normal"/>
    <w:link w:val="Style13"/>
    <w:uiPriority w:val="99"/>
    <w:rsid w:val="00d45657"/>
    <w:pPr>
      <w:spacing w:lineRule="auto" w:line="240"/>
      <w:ind w:hanging="0"/>
      <w:jc w:val="left"/>
    </w:pPr>
    <w:rPr>
      <w:sz w:val="20"/>
      <w:szCs w:val="20"/>
    </w:rPr>
  </w:style>
  <w:style w:type="paragraph" w:styleId="Style21" w:customStyle="1">
    <w:name w:val="Знак Знак Знак Знак Знак Знак Знак"/>
    <w:basedOn w:val="Normal"/>
    <w:qFormat/>
    <w:rsid w:val="00773634"/>
    <w:pPr>
      <w:spacing w:lineRule="exact" w:line="240" w:before="0" w:after="160"/>
      <w:ind w:hanging="0"/>
      <w:jc w:val="left"/>
    </w:pPr>
    <w:rPr>
      <w:rFonts w:ascii="Verdana" w:hAnsi="Verdana" w:cs="Verdana"/>
      <w:sz w:val="20"/>
      <w:szCs w:val="20"/>
      <w:lang w:val="en-US" w:eastAsia="en-US"/>
    </w:rPr>
  </w:style>
  <w:style w:type="paragraph" w:styleId="21" w:customStyle="1">
    <w:name w:val="Знак2"/>
    <w:basedOn w:val="Normal"/>
    <w:qFormat/>
    <w:rsid w:val="00f65662"/>
    <w:pPr>
      <w:spacing w:lineRule="exact" w:line="240" w:before="0" w:after="160"/>
      <w:ind w:hanging="0"/>
      <w:jc w:val="left"/>
    </w:pPr>
    <w:rPr>
      <w:rFonts w:ascii="Verdana" w:hAnsi="Verdana" w:cs="Verdana"/>
      <w:sz w:val="20"/>
      <w:szCs w:val="20"/>
      <w:lang w:val="en-US" w:eastAsia="en-US"/>
    </w:rPr>
  </w:style>
  <w:style w:type="paragraph" w:styleId="Style22" w:customStyle="1">
    <w:name w:val="Знак Знак Знак Знак Знак Знак Знак Знак Знак"/>
    <w:basedOn w:val="Normal"/>
    <w:qFormat/>
    <w:rsid w:val="007c5ecd"/>
    <w:pPr>
      <w:spacing w:lineRule="exact" w:line="240" w:before="0" w:after="160"/>
      <w:ind w:hanging="0"/>
    </w:pPr>
    <w:rPr>
      <w:rFonts w:ascii="Verdana" w:hAnsi="Verdana"/>
      <w:sz w:val="22"/>
      <w:szCs w:val="20"/>
      <w:lang w:val="en-US" w:eastAsia="en-US"/>
    </w:rPr>
  </w:style>
  <w:style w:type="paragraph" w:styleId="Style23" w:customStyle="1">
    <w:name w:val="Пункт договора"/>
    <w:basedOn w:val="Normal"/>
    <w:qFormat/>
    <w:rsid w:val="004d4328"/>
    <w:pPr>
      <w:widowControl w:val="false"/>
      <w:spacing w:lineRule="auto" w:line="240"/>
      <w:ind w:hanging="0"/>
    </w:pPr>
    <w:rPr>
      <w:rFonts w:ascii="Arial" w:hAnsi="Arial"/>
      <w:sz w:val="20"/>
      <w:szCs w:val="20"/>
    </w:rPr>
  </w:style>
  <w:style w:type="paragraph" w:styleId="Style24" w:customStyle="1">
    <w:name w:val="Подпункт договора"/>
    <w:basedOn w:val="Normal"/>
    <w:qFormat/>
    <w:rsid w:val="00617a62"/>
    <w:pPr>
      <w:tabs>
        <w:tab w:val="clear" w:pos="709"/>
        <w:tab w:val="left" w:pos="360" w:leader="none"/>
      </w:tabs>
      <w:spacing w:lineRule="auto" w:line="240"/>
      <w:ind w:hanging="0"/>
    </w:pPr>
    <w:rPr>
      <w:rFonts w:ascii="Arial" w:hAnsi="Arial"/>
      <w:sz w:val="20"/>
      <w:szCs w:val="20"/>
    </w:rPr>
  </w:style>
  <w:style w:type="paragraph" w:styleId="BodyTextIndent3">
    <w:name w:val="Body Text Indent 3"/>
    <w:basedOn w:val="Normal"/>
    <w:qFormat/>
    <w:rsid w:val="006329b9"/>
    <w:pPr>
      <w:spacing w:before="0" w:after="120"/>
      <w:ind w:firstLine="567" w:left="283"/>
    </w:pPr>
    <w:rPr>
      <w:sz w:val="16"/>
      <w:szCs w:val="16"/>
    </w:rPr>
  </w:style>
  <w:style w:type="paragraph" w:styleId="ListParagraph">
    <w:name w:val="List Paragraph"/>
    <w:basedOn w:val="Normal"/>
    <w:link w:val="Style16"/>
    <w:uiPriority w:val="34"/>
    <w:qFormat/>
    <w:rsid w:val="005f3f9e"/>
    <w:pPr>
      <w:spacing w:lineRule="auto" w:line="240" w:before="0" w:after="0"/>
      <w:ind w:hanging="0" w:left="720"/>
      <w:contextualSpacing/>
      <w:jc w:val="left"/>
    </w:pPr>
    <w:rPr>
      <w:sz w:val="24"/>
      <w:szCs w:val="24"/>
    </w:rPr>
  </w:style>
  <w:style w:type="paragraph" w:styleId="12" w:customStyle="1">
    <w:name w:val="1. Статья"/>
    <w:basedOn w:val="Heading3"/>
    <w:link w:val="1"/>
    <w:qFormat/>
    <w:rsid w:val="005f4a86"/>
    <w:pPr>
      <w:keepNext w:val="false"/>
      <w:widowControl w:val="false"/>
      <w:numPr>
        <w:ilvl w:val="0"/>
        <w:numId w:val="2"/>
      </w:numPr>
      <w:tabs>
        <w:tab w:val="clear" w:pos="709"/>
        <w:tab w:val="left" w:pos="2340" w:leader="none"/>
      </w:tabs>
      <w:suppressAutoHyphens w:val="false"/>
      <w:overflowPunct w:val="false"/>
      <w:spacing w:before="0" w:after="0"/>
      <w:ind w:hanging="0" w:right="1462"/>
      <w:jc w:val="center"/>
      <w:textAlignment w:val="baseline"/>
    </w:pPr>
    <w:rPr>
      <w:b w:val="false"/>
      <w:sz w:val="24"/>
      <w:szCs w:val="24"/>
    </w:rPr>
  </w:style>
  <w:style w:type="paragraph" w:styleId="22" w:customStyle="1">
    <w:name w:val="2. Пункт"/>
    <w:basedOn w:val="Heading3"/>
    <w:qFormat/>
    <w:rsid w:val="005f4a86"/>
    <w:pPr>
      <w:keepNext w:val="false"/>
      <w:widowControl w:val="false"/>
      <w:numPr>
        <w:ilvl w:val="1"/>
        <w:numId w:val="2"/>
      </w:numPr>
      <w:suppressAutoHyphens w:val="false"/>
      <w:overflowPunct w:val="false"/>
      <w:spacing w:before="0" w:after="0"/>
      <w:jc w:val="both"/>
      <w:textAlignment w:val="baseline"/>
    </w:pPr>
    <w:rPr>
      <w:b w:val="false"/>
      <w:sz w:val="24"/>
      <w:szCs w:val="24"/>
    </w:rPr>
  </w:style>
  <w:style w:type="paragraph" w:styleId="33" w:customStyle="1">
    <w:name w:val="3. Подпункт"/>
    <w:basedOn w:val="Heading3"/>
    <w:link w:val="31"/>
    <w:qFormat/>
    <w:rsid w:val="005f4a86"/>
    <w:pPr>
      <w:keepNext w:val="false"/>
      <w:widowControl w:val="false"/>
      <w:numPr>
        <w:ilvl w:val="2"/>
        <w:numId w:val="2"/>
      </w:numPr>
      <w:tabs>
        <w:tab w:val="clear" w:pos="709"/>
        <w:tab w:val="left" w:pos="1620" w:leader="none"/>
      </w:tabs>
      <w:suppressAutoHyphens w:val="false"/>
      <w:overflowPunct w:val="false"/>
      <w:spacing w:before="0" w:after="0"/>
      <w:jc w:val="both"/>
      <w:textAlignment w:val="baseline"/>
    </w:pPr>
    <w:rPr>
      <w:bCs/>
      <w:sz w:val="24"/>
      <w:szCs w:val="24"/>
    </w:rPr>
  </w:style>
  <w:style w:type="paragraph" w:styleId="ConsNormal" w:customStyle="1">
    <w:name w:val="ConsNormal"/>
    <w:qFormat/>
    <w:rsid w:val="008a113a"/>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BalloonText">
    <w:name w:val="Balloon Text"/>
    <w:basedOn w:val="Normal"/>
    <w:link w:val="Style7"/>
    <w:qFormat/>
    <w:rsid w:val="00dc2b59"/>
    <w:pPr>
      <w:spacing w:lineRule="auto" w:line="240"/>
    </w:pPr>
    <w:rPr>
      <w:rFonts w:ascii="Tahoma" w:hAnsi="Tahoma"/>
      <w:sz w:val="16"/>
      <w:szCs w:val="16"/>
      <w:lang w:val="x-none" w:eastAsia="x-none"/>
    </w:rPr>
  </w:style>
  <w:style w:type="paragraph" w:styleId="41" w:customStyle="1">
    <w:name w:val="4. Отчерк"/>
    <w:basedOn w:val="Normal"/>
    <w:link w:val="4"/>
    <w:qFormat/>
    <w:rsid w:val="00f50d64"/>
    <w:pPr>
      <w:widowControl w:val="false"/>
      <w:numPr>
        <w:ilvl w:val="0"/>
        <w:numId w:val="3"/>
      </w:numPr>
      <w:spacing w:lineRule="auto" w:line="240"/>
    </w:pPr>
    <w:rPr>
      <w:sz w:val="24"/>
      <w:szCs w:val="24"/>
      <w:lang w:val="x-none" w:eastAsia="x-none"/>
    </w:rPr>
  </w:style>
  <w:style w:type="paragraph" w:styleId="Annotationtext">
    <w:name w:val="annotation text"/>
    <w:basedOn w:val="Normal"/>
    <w:link w:val="Style8"/>
    <w:qFormat/>
    <w:rsid w:val="00f50d64"/>
    <w:pPr>
      <w:spacing w:lineRule="auto" w:line="240"/>
    </w:pPr>
    <w:rPr>
      <w:sz w:val="20"/>
      <w:szCs w:val="20"/>
      <w:lang w:val="x-none" w:eastAsia="x-none"/>
    </w:rPr>
  </w:style>
  <w:style w:type="paragraph" w:styleId="Annotationsubject">
    <w:name w:val="annotation subject"/>
    <w:basedOn w:val="Annotationtext"/>
    <w:next w:val="Annotationtext"/>
    <w:link w:val="Style9"/>
    <w:qFormat/>
    <w:rsid w:val="00f50d64"/>
    <w:pPr/>
    <w:rPr>
      <w:b/>
      <w:bCs/>
    </w:rPr>
  </w:style>
  <w:style w:type="paragraph" w:styleId="Footer">
    <w:name w:val="Footer"/>
    <w:basedOn w:val="Normal"/>
    <w:link w:val="Style10"/>
    <w:uiPriority w:val="99"/>
    <w:rsid w:val="0043217c"/>
    <w:pPr>
      <w:tabs>
        <w:tab w:val="clear" w:pos="709"/>
        <w:tab w:val="center" w:pos="4677" w:leader="none"/>
        <w:tab w:val="right" w:pos="9355" w:leader="none"/>
      </w:tabs>
      <w:spacing w:lineRule="auto" w:line="240"/>
    </w:pPr>
    <w:rPr>
      <w:lang w:val="x-none" w:eastAsia="x-none"/>
    </w:rPr>
  </w:style>
  <w:style w:type="paragraph" w:styleId="Revision">
    <w:name w:val="Revision"/>
    <w:uiPriority w:val="99"/>
    <w:semiHidden/>
    <w:qFormat/>
    <w:rsid w:val="003003ef"/>
    <w:pPr>
      <w:widowControl/>
      <w:suppressAutoHyphens w:val="true"/>
      <w:bidi w:val="0"/>
      <w:spacing w:before="0" w:after="0"/>
      <w:jc w:val="left"/>
    </w:pPr>
    <w:rPr>
      <w:rFonts w:ascii="Times New Roman" w:hAnsi="Times New Roman" w:eastAsia="Times New Roman" w:cs="Times New Roman"/>
      <w:color w:val="auto"/>
      <w:kern w:val="0"/>
      <w:sz w:val="28"/>
      <w:szCs w:val="28"/>
      <w:lang w:val="ru-RU" w:eastAsia="ru-RU" w:bidi="ar-SA"/>
    </w:rPr>
  </w:style>
  <w:style w:type="paragraph" w:styleId="Title" w:customStyle="1">
    <w:name w:val="Title"/>
    <w:basedOn w:val="Normal"/>
    <w:link w:val="Style11"/>
    <w:qFormat/>
    <w:rsid w:val="00ae674d"/>
    <w:pPr>
      <w:widowControl w:val="false"/>
      <w:overflowPunct w:val="false"/>
      <w:spacing w:lineRule="auto" w:line="240" w:before="0" w:after="120"/>
      <w:ind w:hanging="0"/>
      <w:jc w:val="center"/>
      <w:textAlignment w:val="baseline"/>
    </w:pPr>
    <w:rPr>
      <w:b/>
      <w:bCs/>
      <w:sz w:val="32"/>
      <w:szCs w:val="20"/>
    </w:rPr>
  </w:style>
  <w:style w:type="paragraph" w:styleId="BodyTextIndent">
    <w:name w:val="Body Text Indent"/>
    <w:basedOn w:val="Normal"/>
    <w:link w:val="Style12"/>
    <w:rsid w:val="00ae674d"/>
    <w:pPr>
      <w:spacing w:before="0" w:after="120"/>
      <w:ind w:firstLine="567" w:left="283"/>
    </w:pPr>
    <w:rPr>
      <w:lang w:val="x-none" w:eastAsia="x-none"/>
    </w:rPr>
  </w:style>
  <w:style w:type="paragraph" w:styleId="333" w:customStyle="1">
    <w:name w:val="Пункт 3.3.3"/>
    <w:basedOn w:val="Normal"/>
    <w:qFormat/>
    <w:rsid w:val="00ae674d"/>
    <w:pPr>
      <w:keepNext w:val="true"/>
      <w:keepLines/>
      <w:widowControl w:val="false"/>
      <w:tabs>
        <w:tab w:val="clear" w:pos="709"/>
        <w:tab w:val="left" w:pos="920" w:leader="none"/>
      </w:tabs>
      <w:overflowPunct w:val="false"/>
      <w:spacing w:lineRule="auto" w:line="240" w:before="240" w:after="240"/>
      <w:ind w:hanging="504" w:left="704"/>
      <w:jc w:val="left"/>
      <w:textAlignment w:val="baseline"/>
      <w:outlineLvl w:val="1"/>
    </w:pPr>
    <w:rPr>
      <w:sz w:val="24"/>
      <w:szCs w:val="20"/>
    </w:rPr>
  </w:style>
  <w:style w:type="paragraph" w:styleId="Caption1">
    <w:name w:val="caption1"/>
    <w:basedOn w:val="Normal"/>
    <w:next w:val="Normal"/>
    <w:qFormat/>
    <w:rsid w:val="00ae674d"/>
    <w:pPr>
      <w:widowControl w:val="false"/>
      <w:overflowPunct w:val="false"/>
      <w:spacing w:lineRule="auto" w:line="240" w:before="120" w:after="120"/>
      <w:ind w:hanging="0"/>
      <w:textAlignment w:val="baseline"/>
    </w:pPr>
    <w:rPr>
      <w:b/>
      <w:bCs/>
      <w:sz w:val="24"/>
      <w:szCs w:val="24"/>
    </w:rPr>
  </w:style>
  <w:style w:type="paragraph" w:styleId="13" w:customStyle="1">
    <w:name w:val="Знак1"/>
    <w:basedOn w:val="Normal"/>
    <w:qFormat/>
    <w:rsid w:val="00f43f0d"/>
    <w:pPr>
      <w:spacing w:lineRule="exact" w:line="240" w:before="0" w:after="160"/>
      <w:ind w:hanging="0"/>
      <w:jc w:val="left"/>
    </w:pPr>
    <w:rPr>
      <w:rFonts w:ascii="Verdana" w:hAnsi="Verdana" w:cs="Verdana"/>
      <w:sz w:val="20"/>
      <w:szCs w:val="20"/>
      <w:lang w:val="en-US" w:eastAsia="en-US"/>
    </w:rPr>
  </w:style>
  <w:style w:type="paragraph" w:styleId="-" w:customStyle="1">
    <w:name w:val="Контракт-раздел"/>
    <w:basedOn w:val="Normal"/>
    <w:qFormat/>
    <w:rsid w:val="00f43f0d"/>
    <w:pPr>
      <w:keepNext w:val="true"/>
      <w:keepLines/>
      <w:numPr>
        <w:ilvl w:val="0"/>
        <w:numId w:val="5"/>
      </w:numPr>
      <w:tabs>
        <w:tab w:val="clear" w:pos="709"/>
        <w:tab w:val="left" w:pos="0" w:leader="none"/>
        <w:tab w:val="left" w:pos="567" w:leader="none"/>
      </w:tabs>
      <w:suppressAutoHyphens w:val="true"/>
      <w:spacing w:lineRule="auto" w:line="240" w:before="360" w:after="120"/>
      <w:jc w:val="center"/>
      <w:textAlignment w:val="baseline"/>
      <w:outlineLvl w:val="1"/>
    </w:pPr>
    <w:rPr>
      <w:b/>
      <w:bCs/>
      <w:caps/>
    </w:rPr>
  </w:style>
  <w:style w:type="paragraph" w:styleId="-1" w:customStyle="1">
    <w:name w:val="Контракт-пункт"/>
    <w:basedOn w:val="Normal"/>
    <w:qFormat/>
    <w:rsid w:val="00f43f0d"/>
    <w:pPr>
      <w:numPr>
        <w:ilvl w:val="1"/>
        <w:numId w:val="5"/>
      </w:numPr>
    </w:pPr>
    <w:rPr/>
  </w:style>
  <w:style w:type="paragraph" w:styleId="-2" w:customStyle="1">
    <w:name w:val="Контракт-подпункт"/>
    <w:basedOn w:val="Normal"/>
    <w:qFormat/>
    <w:rsid w:val="00f43f0d"/>
    <w:pPr>
      <w:numPr>
        <w:ilvl w:val="2"/>
        <w:numId w:val="5"/>
      </w:numPr>
    </w:pPr>
    <w:rPr/>
  </w:style>
  <w:style w:type="paragraph" w:styleId="-3" w:customStyle="1">
    <w:name w:val="Контракт-подподпункт"/>
    <w:basedOn w:val="Normal"/>
    <w:qFormat/>
    <w:rsid w:val="00f43f0d"/>
    <w:pPr>
      <w:numPr>
        <w:ilvl w:val="3"/>
        <w:numId w:val="5"/>
      </w:numPr>
    </w:pPr>
    <w:rPr/>
  </w:style>
  <w:style w:type="paragraph" w:styleId="EndnoteText">
    <w:name w:val="Endnote Text"/>
    <w:basedOn w:val="Normal"/>
    <w:link w:val="Style14"/>
    <w:uiPriority w:val="99"/>
    <w:semiHidden/>
    <w:unhideWhenUsed/>
    <w:rsid w:val="008c02d8"/>
    <w:pPr/>
    <w:rPr>
      <w:sz w:val="20"/>
      <w:szCs w:val="20"/>
      <w:lang w:val="x-none" w:eastAsia="x-none"/>
    </w:rPr>
  </w:style>
  <w:style w:type="paragraph" w:styleId="Style25">
    <w:name w:val="Содержимое таблицы"/>
    <w:basedOn w:val="Normal"/>
    <w:qFormat/>
    <w:pPr>
      <w:widowControl w:val="false"/>
      <w:suppressLineNumbers/>
    </w:pPr>
    <w:rPr/>
  </w:style>
  <w:style w:type="paragraph" w:styleId="Style26">
    <w:name w:val="Заголовок таблицы"/>
    <w:basedOn w:val="Style25"/>
    <w:qFormat/>
    <w:pPr>
      <w:suppressLineNumbers/>
      <w:jc w:val="center"/>
    </w:pPr>
    <w:rPr>
      <w:b/>
      <w:bCs/>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9">
    <w:name w:val="Table Grid"/>
    <w:basedOn w:val="a1"/>
    <w:rsid w:val="00336503"/>
    <w:pPr>
      <w:spacing w:line="36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hyperlink" Target="http://www.cbr.ru/" TargetMode="External"/><Relationship Id="rId13" Type="http://schemas.openxmlformats.org/officeDocument/2006/relationships/hyperlink" Target="http://www.cbr.ru/" TargetMode="External"/><Relationship Id="rId14" Type="http://schemas.openxmlformats.org/officeDocument/2006/relationships/hyperlink" Target="http://www.cbr.ru/" TargetMode="External"/><Relationship Id="rId15" Type="http://schemas.openxmlformats.org/officeDocument/2006/relationships/header" Target="header5.xml"/><Relationship Id="rId16" Type="http://schemas.openxmlformats.org/officeDocument/2006/relationships/header" Target="header6.xml"/><Relationship Id="rId17" Type="http://schemas.openxmlformats.org/officeDocument/2006/relationships/footer" Target="footer4.xml"/><Relationship Id="rId18" Type="http://schemas.openxmlformats.org/officeDocument/2006/relationships/footer" Target="footer5.xml"/><Relationship Id="rId19" Type="http://schemas.openxmlformats.org/officeDocument/2006/relationships/footnotes" Target="footnotes.xml"/><Relationship Id="rId20" Type="http://schemas.openxmlformats.org/officeDocument/2006/relationships/numbering" Target="numbering.xml"/><Relationship Id="rId21" Type="http://schemas.openxmlformats.org/officeDocument/2006/relationships/fontTable" Target="fontTable.xml"/><Relationship Id="rId22" Type="http://schemas.openxmlformats.org/officeDocument/2006/relationships/settings" Target="settings.xml"/><Relationship Id="rId23" Type="http://schemas.openxmlformats.org/officeDocument/2006/relationships/theme" Target="theme/theme1.xml"/><Relationship Id="rId24" Type="http://schemas.openxmlformats.org/officeDocument/2006/relationships/customXml" Target="../customXml/item1.xml"/><Relationship Id="rId25" Type="http://schemas.openxmlformats.org/officeDocument/2006/relationships/customXml" Target="../customXml/item2.xml"/><Relationship Id="rId26" Type="http://schemas.openxmlformats.org/officeDocument/2006/relationships/customXml" Target="../customXml/item3.xml"/><Relationship Id="rId27" Type="http://schemas.openxmlformats.org/officeDocument/2006/relationships/customXml" Target="../customXml/item4.xml"/><Relationship Id="rId28" Type="http://schemas.openxmlformats.org/officeDocument/2006/relationships/customXml" Target="../customXml/item5.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85905A-A849-4DFE-9DCC-7F92ED66E4B2}">
  <ds:schemaRefs>
    <ds:schemaRef ds:uri="http://schemas.microsoft.com/sharepoint/v3/contenttype/forms"/>
  </ds:schemaRefs>
</ds:datastoreItem>
</file>

<file path=customXml/itemProps2.xml><?xml version="1.0" encoding="utf-8"?>
<ds:datastoreItem xmlns:ds="http://schemas.openxmlformats.org/officeDocument/2006/customXml" ds:itemID="{C1258912-A860-4625-B7F6-93D124AA8AD6}">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3E9EA690-B79B-4E85-8E80-B2F3A394B8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69374648-B27C-499C-B934-9BBA69B431CE}">
  <ds:schemaRefs>
    <ds:schemaRef ds:uri="http://schemas.openxmlformats.org/officeDocument/2006/bibliography"/>
  </ds:schemaRefs>
</ds:datastoreItem>
</file>

<file path=customXml/itemProps5.xml><?xml version="1.0" encoding="utf-8"?>
<ds:datastoreItem xmlns:ds="http://schemas.openxmlformats.org/officeDocument/2006/customXml" ds:itemID="{8963A186-2212-472B-A2E1-F536B92D6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Application>AlterOffice/2026.2.0.0$Linux_X86_64 LibreOffice_project/bc4ef1adf80b36c7a6365f8ed6cbf29021361edd</Application>
  <AppVersion>15.0000</AppVersion>
  <Pages>33</Pages>
  <Words>11303</Words>
  <Characters>81108</Characters>
  <CharactersWithSpaces>92051</CharactersWithSpaces>
  <Paragraphs>569</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2020-02-07T09:53:00Z</dcterms:created>
  <dc:creator>UK VoHEC</dc:creator>
  <dc:description/>
  <dc:language>ru-RU</dc:language>
  <cp:lastModifiedBy/>
  <cp:lastPrinted>2018-03-15T11:33:00Z</cp:lastPrinted>
  <dcterms:modified xsi:type="dcterms:W3CDTF">2026-09-29T11:07:45Z</dcterms:modified>
  <cp:revision>91</cp:revision>
  <dc:subject/>
  <dc:title>ДОГОВОР № ____</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