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11" w:left="34"/>
        <w:jc w:val="center"/>
        <w:rPr>
          <w:b/>
          <w:szCs w:val="28"/>
        </w:rPr>
      </w:pPr>
      <w:r>
        <w:rPr>
          <w:b/>
          <w:szCs w:val="28"/>
        </w:rPr>
        <w:t xml:space="preserve">Обоснование </w:t>
        <w:br/>
        <w:t xml:space="preserve">начальной (максимальной) цены договора </w:t>
      </w:r>
    </w:p>
    <w:p>
      <w:pPr>
        <w:pStyle w:val="Normal"/>
        <w:spacing w:lineRule="auto" w:line="240"/>
        <w:ind w:hanging="11" w:left="34"/>
        <w:jc w:val="center"/>
        <w:rPr>
          <w:i/>
          <w:i/>
          <w:highlight w:val="yellow"/>
        </w:rPr>
      </w:pPr>
      <w:r>
        <w:rPr>
          <w:i/>
          <w:highlight w:val="yellow"/>
        </w:rPr>
      </w:r>
    </w:p>
    <w:p>
      <w:pPr>
        <w:pStyle w:val="ListParagraph"/>
        <w:numPr>
          <w:ilvl w:val="0"/>
          <w:numId w:val="3"/>
        </w:numPr>
        <w:spacing w:before="0" w:after="120"/>
        <w:ind w:hanging="357" w:left="714"/>
        <w:contextualSpacing w:val="false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f1"/>
        <w:tblW w:w="981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13"/>
        <w:gridCol w:w="3375"/>
        <w:gridCol w:w="5422"/>
      </w:tblGrid>
      <w:tr>
        <w:trPr/>
        <w:tc>
          <w:tcPr>
            <w:tcW w:w="1013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120" w:after="0"/>
              <w:ind w:hanging="0" w:left="0"/>
              <w:contextualSpacing/>
              <w:jc w:val="center"/>
              <w:rPr/>
            </w:pPr>
            <w:r>
              <w:rPr>
                <w:rFonts w:ascii="Times New Roman" w:hAnsi="Times New Roman"/>
                <w:kern w:val="0"/>
                <w:szCs w:val="24"/>
                <w:lang w:val="ru-RU" w:bidi="ar-SA"/>
              </w:rPr>
              <w:t xml:space="preserve">№ </w:t>
            </w:r>
            <w:r>
              <w:rPr>
                <w:rFonts w:ascii="Times New Roman" w:hAnsi="Times New Roman"/>
                <w:kern w:val="0"/>
                <w:szCs w:val="24"/>
                <w:lang w:val="ru-RU" w:bidi="ar-SA"/>
              </w:rPr>
              <w:t>п/п</w:t>
            </w:r>
          </w:p>
        </w:tc>
        <w:tc>
          <w:tcPr>
            <w:tcW w:w="337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120" w:after="0"/>
              <w:ind w:hanging="0" w:left="0"/>
              <w:contextualSpacing/>
              <w:jc w:val="center"/>
              <w:rPr/>
            </w:pPr>
            <w:r>
              <w:rPr>
                <w:rFonts w:ascii="Times New Roman" w:hAnsi="Times New Roman"/>
                <w:kern w:val="0"/>
                <w:szCs w:val="24"/>
                <w:lang w:val="ru-RU" w:bidi="ar-SA"/>
              </w:rPr>
              <w:t>Наименование</w:t>
            </w:r>
          </w:p>
        </w:tc>
        <w:tc>
          <w:tcPr>
            <w:tcW w:w="542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120" w:after="0"/>
              <w:ind w:hanging="0" w:left="0"/>
              <w:contextualSpacing/>
              <w:jc w:val="center"/>
              <w:rPr/>
            </w:pPr>
            <w:r>
              <w:rPr>
                <w:rFonts w:ascii="Times New Roman" w:hAnsi="Times New Roman"/>
                <w:kern w:val="0"/>
                <w:szCs w:val="24"/>
                <w:lang w:val="ru-RU" w:bidi="ar-SA"/>
              </w:rPr>
              <w:t>Информация по лоту</w:t>
            </w:r>
          </w:p>
        </w:tc>
      </w:tr>
      <w:tr>
        <w:trPr/>
        <w:tc>
          <w:tcPr>
            <w:tcW w:w="101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0" w:after="120"/>
              <w:ind w:hanging="0" w:left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337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120" w:after="0"/>
              <w:ind w:hanging="0" w:left="0"/>
              <w:contextualSpacing/>
              <w:jc w:val="center"/>
              <w:rPr/>
            </w:pPr>
            <w:r>
              <w:rPr>
                <w:rFonts w:ascii="Times New Roman" w:hAnsi="Times New Roman"/>
                <w:kern w:val="0"/>
                <w:szCs w:val="24"/>
                <w:lang w:val="ru-RU" w:bidi="ar-SA"/>
              </w:rPr>
              <w:t>Наименование лота</w:t>
            </w:r>
          </w:p>
        </w:tc>
        <w:tc>
          <w:tcPr>
            <w:tcW w:w="542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i/>
                <w:iCs/>
                <w:color w:val="000000"/>
                <w:kern w:val="0"/>
                <w:sz w:val="22"/>
                <w:szCs w:val="22"/>
                <w:shd w:fill="auto" w:val="clear"/>
                <w:lang w:val="ru-RU" w:bidi="ar-SA"/>
              </w:rPr>
              <w:t>ОКПД2 71.12.17.000 Разработка рабочей документации на модернизацию силового трансформатора ТДЦ-400000/500 № 6 Бурейской ГЭС путем установки оборудования системы защиты от взрывов и пожаров "SERGI"</w:t>
            </w:r>
          </w:p>
        </w:tc>
      </w:tr>
      <w:tr>
        <w:trPr/>
        <w:tc>
          <w:tcPr>
            <w:tcW w:w="101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0" w:after="120"/>
              <w:ind w:hanging="0" w:left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337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120" w:after="0"/>
              <w:ind w:hanging="0" w:left="0"/>
              <w:contextualSpacing/>
              <w:jc w:val="center"/>
              <w:rPr/>
            </w:pPr>
            <w:r>
              <w:rPr>
                <w:rFonts w:ascii="Times New Roman" w:hAnsi="Times New Roman"/>
                <w:kern w:val="0"/>
                <w:szCs w:val="24"/>
                <w:lang w:val="ru-RU" w:bidi="ar-SA"/>
              </w:rPr>
              <w:t>Номер лота</w:t>
            </w:r>
          </w:p>
        </w:tc>
        <w:tc>
          <w:tcPr>
            <w:tcW w:w="542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hanging="0" w:left="-108" w:right="-108"/>
              <w:jc w:val="center"/>
              <w:rPr>
                <w:kern w:val="0"/>
                <w:sz w:val="24"/>
                <w:szCs w:val="24"/>
                <w:lang w:val="ru-RU" w:bidi="ar-SA"/>
              </w:rPr>
            </w:pPr>
            <w:r>
              <w:rPr>
                <w:i/>
                <w:kern w:val="0"/>
                <w:sz w:val="24"/>
                <w:szCs w:val="24"/>
                <w:lang w:val="ru-RU" w:eastAsia="en-US" w:bidi="ar-SA"/>
              </w:rPr>
              <w:t>6-ТПИР-ПИР-2026-БурГЭС</w:t>
            </w:r>
          </w:p>
        </w:tc>
      </w:tr>
      <w:tr>
        <w:trPr/>
        <w:tc>
          <w:tcPr>
            <w:tcW w:w="101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0" w:after="120"/>
              <w:ind w:hanging="0" w:left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337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120" w:after="0"/>
              <w:ind w:hanging="0" w:left="0"/>
              <w:contextualSpacing/>
              <w:jc w:val="center"/>
              <w:rPr/>
            </w:pPr>
            <w:r>
              <w:rPr>
                <w:rFonts w:ascii="Times New Roman" w:hAnsi="Times New Roman"/>
                <w:kern w:val="0"/>
                <w:szCs w:val="24"/>
                <w:shd w:fill="FFFFFF" w:val="clear"/>
                <w:lang w:val="ru-RU" w:bidi="ar-SA"/>
              </w:rPr>
              <w:t>НМЦ</w:t>
            </w:r>
          </w:p>
        </w:tc>
        <w:tc>
          <w:tcPr>
            <w:tcW w:w="542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10 000 883,52</w:t>
            </w:r>
          </w:p>
        </w:tc>
      </w:tr>
    </w:tbl>
    <w:p>
      <w:pPr>
        <w:pStyle w:val="ListParagraph"/>
        <w:numPr>
          <w:ilvl w:val="0"/>
          <w:numId w:val="3"/>
        </w:numPr>
        <w:spacing w:before="120" w:after="120"/>
        <w:ind w:hanging="357" w:left="714"/>
        <w:contextualSpacing w:val="false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>
      <w:pPr>
        <w:pStyle w:val="ListParagraph"/>
        <w:keepNext w:val="true"/>
        <w:spacing w:before="0" w:after="0"/>
        <w:ind w:hanging="0" w:left="709"/>
        <w:contextualSpacing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>Метод ресурсно-индексных расчетов</w:t>
      </w:r>
    </w:p>
    <w:p>
      <w:pPr>
        <w:pStyle w:val="ListParagraph"/>
        <w:keepNext w:val="true"/>
        <w:spacing w:before="0" w:after="0"/>
        <w:ind w:hanging="0" w:left="709"/>
        <w:contextualSpacing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Обоснование расчета НМЦ: прилагаемый сметный расчет</w:t>
      </w:r>
    </w:p>
    <w:sectPr>
      <w:type w:val="nextPage"/>
      <w:pgSz w:w="11906" w:h="16838"/>
      <w:pgMar w:left="1276" w:right="851" w:gutter="0" w:header="0" w:top="964" w:footer="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Geneva CY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35d4d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635d4d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635d4d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635d4d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635d4d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635d4d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Hyperlink">
    <w:name w:val="Hyperlink"/>
    <w:uiPriority w:val="99"/>
    <w:rsid w:val="00635d4d"/>
    <w:rPr>
      <w:color w:val="0000FF"/>
      <w:u w:val="single"/>
    </w:rPr>
  </w:style>
  <w:style w:type="character" w:styleId="Style6" w:customStyle="1">
    <w:name w:val="Символ сноски"/>
    <w:uiPriority w:val="99"/>
    <w:qFormat/>
    <w:rsid w:val="00635d4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635d4d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Абзац списка Знак"/>
    <w:link w:val="ListParagraph"/>
    <w:uiPriority w:val="34"/>
    <w:qFormat/>
    <w:locked/>
    <w:rsid w:val="00635d4d"/>
    <w:rPr>
      <w:rFonts w:ascii="Geneva CY" w:hAnsi="Geneva CY" w:eastAsia="Geneva" w:cs="Times New Roman"/>
      <w:sz w:val="24"/>
      <w:szCs w:val="26"/>
    </w:rPr>
  </w:style>
  <w:style w:type="character" w:styleId="Style9" w:customStyle="1">
    <w:name w:val="РГ_номер текста табл Знак"/>
    <w:basedOn w:val="DefaultParagraphFont"/>
    <w:link w:val="Style12"/>
    <w:qFormat/>
    <w:rsid w:val="00635d4d"/>
    <w:rPr>
      <w:rFonts w:eastAsia="Calibri" w:cs="Calibri" w:cstheme="minorHAnsi"/>
      <w:sz w:val="24"/>
    </w:rPr>
  </w:style>
  <w:style w:type="character" w:styleId="1" w:customStyle="1">
    <w:name w:val="Заголовок 1 Знак"/>
    <w:basedOn w:val="DefaultParagraphFont"/>
    <w:uiPriority w:val="9"/>
    <w:qFormat/>
    <w:rsid w:val="00635d4d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635d4d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635d4d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ListParagraph">
    <w:name w:val="List Paragraph"/>
    <w:basedOn w:val="Normal"/>
    <w:link w:val="Style8"/>
    <w:uiPriority w:val="34"/>
    <w:qFormat/>
    <w:rsid w:val="00635d4d"/>
    <w:pPr>
      <w:spacing w:lineRule="auto" w:line="240" w:before="120" w:after="0"/>
      <w:ind w:hanging="0" w:left="720"/>
      <w:contextualSpacing/>
      <w:jc w:val="left"/>
    </w:pPr>
    <w:rPr>
      <w:rFonts w:ascii="Geneva CY" w:hAnsi="Geneva CY" w:eastAsia="Geneva"/>
      <w:sz w:val="24"/>
      <w:szCs w:val="26"/>
      <w:lang w:eastAsia="en-US"/>
    </w:rPr>
  </w:style>
  <w:style w:type="paragraph" w:styleId="Style12" w:customStyle="1">
    <w:name w:val="РГ_номер текста табл"/>
    <w:basedOn w:val="ListParagraph"/>
    <w:link w:val="Style9"/>
    <w:qFormat/>
    <w:rsid w:val="00635d4d"/>
    <w:pPr>
      <w:numPr>
        <w:ilvl w:val="0"/>
        <w:numId w:val="4"/>
      </w:numPr>
      <w:spacing w:before="0" w:after="0"/>
      <w:contextualSpacing/>
      <w:jc w:val="both"/>
    </w:pPr>
    <w:rPr>
      <w:rFonts w:ascii="Calibri" w:hAnsi="Calibri" w:eastAsia="Calibri" w:cs="Calibri" w:asciiTheme="minorHAnsi" w:cstheme="minorHAnsi" w:hAnsiTheme="minorHAnsi"/>
      <w:szCs w:val="22"/>
    </w:rPr>
  </w:style>
  <w:style w:type="paragraph" w:styleId="111" w:customStyle="1">
    <w:name w:val="1.1. таблица"/>
    <w:basedOn w:val="Style12"/>
    <w:qFormat/>
    <w:rsid w:val="00635d4d"/>
    <w:pPr>
      <w:numPr>
        <w:ilvl w:val="1"/>
      </w:numPr>
      <w:tabs>
        <w:tab w:val="clear" w:pos="708"/>
        <w:tab w:val="left" w:pos="360" w:leader="none"/>
        <w:tab w:val="left" w:pos="1440" w:leader="none"/>
      </w:tabs>
      <w:ind w:hanging="0" w:left="1440"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2"/>
    <w:uiPriority w:val="59"/>
    <w:rsid w:val="00635d4d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AlterOffice/2026.2.0.0$Linux_X86_64 LibreOffice_project/bc4ef1adf80b36c7a6365f8ed6cbf29021361edd</Application>
  <AppVersion>15.0000</AppVersion>
  <Pages>1</Pages>
  <Words>71</Words>
  <Characters>490</Characters>
  <CharactersWithSpaces>544</CharactersWithSpaces>
  <Paragraphs>17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2024-01-11T06:52:00Z</dcterms:created>
  <dc:creator>Лысенко Екатерина Алексеевна</dc:creator>
  <dc:description/>
  <dc:language>ru-RU</dc:language>
  <cp:lastModifiedBy/>
  <dcterms:modified xsi:type="dcterms:W3CDTF">2026-09-29T13:03:57Z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