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header6.xml" ContentType="application/vnd.openxmlformats-officedocument.wordprocessingml.head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eastAsia="Times New Roman" w:cs="Times New Roman"/>
          <w:b/>
          <w:szCs w:val="24"/>
          <w:lang w:eastAsia="ru-RU"/>
        </w:rPr>
      </w:pPr>
      <w:r>
        <w:rPr>
          <w:rFonts w:eastAsia="Times New Roman" w:cs="Times New Roman"/>
          <w:b/>
          <w:szCs w:val="24"/>
          <w:lang w:eastAsia="ru-RU"/>
        </w:rPr>
        <w:t>ТЕХНИЧЕСКОЕ ЗАДАНИЕ К RFI</w:t>
      </w:r>
    </w:p>
    <w:p>
      <w:pPr>
        <w:pStyle w:val="Normal"/>
        <w:jc w:val="center"/>
        <w:rPr>
          <w:rFonts w:eastAsia="Times New Roman" w:cs="Times New Roman"/>
          <w:b/>
          <w:szCs w:val="24"/>
          <w:lang w:eastAsia="ru-RU"/>
        </w:rPr>
      </w:pPr>
      <w:r>
        <w:rPr>
          <w:rFonts w:eastAsia="Times New Roman" w:cs="Times New Roman"/>
          <w:b/>
          <w:szCs w:val="24"/>
          <w:lang w:eastAsia="ru-RU"/>
        </w:rPr>
        <w:t>на  выполнение строительно - монтажных, пуско - наладочных работ включая поставку оборудования, оказание услуг по техническому обслуживанию</w:t>
      </w:r>
    </w:p>
    <w:p>
      <w:pPr>
        <w:pStyle w:val="Normal"/>
        <w:jc w:val="end"/>
        <w:rPr>
          <w:rFonts w:eastAsia="Times New Roman" w:cs="Times New Roman"/>
          <w:lang w:eastAsia="ru-RU"/>
        </w:rPr>
      </w:pPr>
      <w:r>
        <w:rPr>
          <w:rFonts w:eastAsia="Times New Roman" w:cs="Times New Roman"/>
          <w:lang w:eastAsia="ru-RU"/>
        </w:rPr>
      </w:r>
    </w:p>
    <w:p>
      <w:pPr>
        <w:pStyle w:val="Normal"/>
        <w:tabs>
          <w:tab w:val="clear" w:pos="708"/>
          <w:tab w:val="left" w:pos="6735" w:leader="none"/>
        </w:tabs>
        <w:jc w:val="both"/>
        <w:rPr/>
      </w:pPr>
      <w:r>
        <w:rPr>
          <w:szCs w:val="24"/>
        </w:rPr>
        <w:t>1. Адрес выполнения работ: Нижегородская область, город Нижний Новгород, улица Новикова-Прибоя.</w:t>
      </w:r>
    </w:p>
    <w:p>
      <w:pPr>
        <w:pStyle w:val="Normal"/>
        <w:tabs>
          <w:tab w:val="clear" w:pos="708"/>
          <w:tab w:val="left" w:pos="6735" w:leader="none"/>
        </w:tabs>
        <w:jc w:val="both"/>
        <w:rPr/>
      </w:pPr>
      <w:r>
        <w:rPr>
          <w:szCs w:val="24"/>
        </w:rPr>
        <w:t>2. Технические требования</w:t>
      </w:r>
    </w:p>
    <w:p>
      <w:pPr>
        <w:pStyle w:val="Normal"/>
        <w:tabs>
          <w:tab w:val="clear" w:pos="708"/>
          <w:tab w:val="left" w:pos="851" w:leader="none"/>
          <w:tab w:val="left" w:pos="1276" w:leader="none"/>
          <w:tab w:val="left" w:pos="1985" w:leader="none"/>
          <w:tab w:val="left" w:pos="2127" w:leader="none"/>
          <w:tab w:val="left" w:pos="2268" w:leader="none"/>
        </w:tabs>
        <w:spacing w:lineRule="auto" w:line="276" w:before="0" w:after="0"/>
        <w:contextualSpacing/>
        <w:rPr/>
      </w:pPr>
      <w:r>
        <w:rPr/>
        <w:t xml:space="preserve">   </w:t>
      </w:r>
      <w:r>
        <w:rPr/>
        <w:t>2.1. Назначение общего освещения</w:t>
      </w:r>
    </w:p>
    <w:p>
      <w:pPr>
        <w:pStyle w:val="Normal"/>
        <w:spacing w:lineRule="auto" w:line="276" w:before="0" w:after="0"/>
        <w:ind w:firstLine="720"/>
        <w:contextualSpacing/>
        <w:jc w:val="both"/>
        <w:rPr/>
      </w:pPr>
      <w:r>
        <w:rPr/>
        <w:t>Потолочное освещение предназначено для освещения рабочих зон в производственных помещениях Объекта с пребыванием в них людей в течение рабочей смены.</w:t>
      </w:r>
    </w:p>
    <w:p>
      <w:pPr>
        <w:pStyle w:val="Normal"/>
        <w:spacing w:lineRule="auto" w:line="276" w:before="0" w:after="0"/>
        <w:ind w:firstLine="720"/>
        <w:contextualSpacing/>
        <w:jc w:val="both"/>
        <w:rPr/>
      </w:pPr>
      <w:r>
        <w:rPr/>
        <w:t>Наружное освещение предназначено для обеспечения безопасности персонала, охраны периметра, безопасного передвижения людей и транспорта, а также для осуществления производственных процессов в темное время суток</w:t>
      </w:r>
    </w:p>
    <w:p>
      <w:pPr>
        <w:pStyle w:val="Heading1"/>
        <w:tabs>
          <w:tab w:val="clear" w:pos="708"/>
          <w:tab w:val="left" w:pos="851" w:leader="none"/>
          <w:tab w:val="left" w:pos="1276" w:leader="none"/>
          <w:tab w:val="left" w:pos="1985" w:leader="none"/>
          <w:tab w:val="left" w:pos="2127" w:leader="none"/>
          <w:tab w:val="left" w:pos="2268" w:leader="none"/>
        </w:tabs>
        <w:spacing w:lineRule="auto" w:line="276" w:before="0" w:after="0"/>
        <w:ind w:firstLine="709"/>
        <w:contextualSpacing/>
        <w:jc w:val="start"/>
        <w:rPr>
          <w:rFonts w:ascii="Times New Roman" w:hAnsi="Times New Roman"/>
        </w:rPr>
      </w:pPr>
      <w:r>
        <w:rPr>
          <w:rFonts w:ascii="Times New Roman" w:hAnsi="Times New Roman"/>
          <w:b w:val="false"/>
          <w:sz w:val="24"/>
        </w:rPr>
        <w:t>2.2. Требования к техническим решениям при проектировании и монтаже</w:t>
      </w:r>
    </w:p>
    <w:p>
      <w:pPr>
        <w:pStyle w:val="Normal"/>
        <w:numPr>
          <w:ilvl w:val="2"/>
          <w:numId w:val="2"/>
        </w:numPr>
        <w:spacing w:lineRule="auto" w:line="276" w:before="0" w:after="0"/>
        <w:ind w:firstLine="709"/>
        <w:contextualSpacing/>
        <w:jc w:val="both"/>
        <w:rPr/>
      </w:pPr>
      <w:r>
        <w:rPr/>
        <w:t>Необходимо выполнить полный комплекс работ по модернизации потолочного освещения;</w:t>
      </w:r>
    </w:p>
    <w:p>
      <w:pPr>
        <w:pStyle w:val="Normal"/>
        <w:numPr>
          <w:ilvl w:val="2"/>
          <w:numId w:val="2"/>
        </w:numPr>
        <w:spacing w:lineRule="auto" w:line="276" w:before="0" w:after="0"/>
        <w:ind w:firstLine="709"/>
        <w:contextualSpacing/>
        <w:jc w:val="both"/>
        <w:rPr/>
      </w:pPr>
      <w:r>
        <w:rPr/>
        <w:t>Необходимо выполнить полный комплекс работ по созданию наружного освещения;</w:t>
      </w:r>
    </w:p>
    <w:p>
      <w:pPr>
        <w:pStyle w:val="Normal"/>
        <w:numPr>
          <w:ilvl w:val="2"/>
          <w:numId w:val="2"/>
        </w:numPr>
        <w:spacing w:lineRule="auto" w:line="276" w:before="0" w:after="0"/>
        <w:ind w:firstLine="709"/>
        <w:contextualSpacing/>
        <w:jc w:val="both"/>
        <w:rPr/>
      </w:pPr>
      <w:r>
        <w:rPr/>
        <w:t xml:space="preserve">Для модернизации потолочного освещения предусмотреть использование существующей схемы электроснабжения. Предусмотреть замену светильников Старого оборудования и произвести монтаж светильников Нового оборудования с использованием существующих кабелей электропитания. </w:t>
      </w:r>
    </w:p>
    <w:p>
      <w:pPr>
        <w:pStyle w:val="Normal"/>
        <w:spacing w:lineRule="auto" w:line="276" w:before="0" w:after="0"/>
        <w:contextualSpacing/>
        <w:jc w:val="both"/>
        <w:rPr/>
      </w:pPr>
      <w:r>
        <w:rPr/>
        <w:t>В рамках данного проекта замена светильников дежурного освещения не предусмотрена.</w:t>
      </w:r>
    </w:p>
    <w:p>
      <w:pPr>
        <w:pStyle w:val="Normal"/>
        <w:spacing w:lineRule="auto" w:line="276" w:before="0" w:after="0"/>
        <w:ind w:firstLine="709"/>
        <w:contextualSpacing/>
        <w:jc w:val="both"/>
        <w:rPr/>
      </w:pPr>
      <w:r>
        <w:rPr/>
        <w:t>Заказчик гарантирует отсутствие посторонних потребителей электрической энергии на модернизируемых щитах рабочего освещения.</w:t>
      </w:r>
    </w:p>
    <w:p>
      <w:pPr>
        <w:pStyle w:val="Normal"/>
        <w:numPr>
          <w:ilvl w:val="2"/>
          <w:numId w:val="2"/>
        </w:numPr>
        <w:spacing w:lineRule="auto" w:line="276" w:before="0" w:after="0"/>
        <w:ind w:firstLine="709"/>
        <w:contextualSpacing/>
        <w:jc w:val="both"/>
        <w:rPr/>
      </w:pPr>
      <w:r>
        <w:rPr/>
        <w:t>При модернизации потолочного освещения цеха  предусмотреть установку пяти шкафов учёта электроэнергии для щитов управления освещением (ЩО5, ЩО6, ЩО8, ЩО5, ЩО6). Вновь устанавливаемые шкафы должны быть оснащены современным, находящимся на гарантии коммутационным оборудованием, узлами учета электрической энергии. Обладать степенью защиты не ниже IP54. Монтаж должен быть выполнен в соответствии с ПУЭ. Следует учесть, что существующие кабельные линии имеют параметры, указанные в Приложении 1.</w:t>
      </w:r>
    </w:p>
    <w:p>
      <w:pPr>
        <w:pStyle w:val="Normal"/>
        <w:numPr>
          <w:ilvl w:val="2"/>
          <w:numId w:val="2"/>
        </w:numPr>
        <w:spacing w:lineRule="auto" w:line="276" w:before="0" w:after="0"/>
        <w:ind w:firstLine="709"/>
        <w:contextualSpacing/>
        <w:jc w:val="both"/>
        <w:rPr/>
      </w:pPr>
      <w:r>
        <w:rPr/>
        <w:t>При создании наружного освещения необходимо разместить светильники на фасаде здания. Для электропитания светильников должен быть использован СИП прокладываемый по фасаду здания при помощи соответствующих крепёжных материалов и конструкций. Для управления системой наружного освещения предусмотреть установку одного шкафа управления. Шкаф управления наружным освещением должен располагаться в помещении определяемым при разработке проекта. Питание электрической энергией будет осуществляться от клемм существующего распределительного щита. Шкаф должен быть оснащён современным, находящимся на гарантии коммутационным оборудованием, узлом учета электрической энергии, датчиком освещённости и астрономическим электронным таймером. Выполнить демонтаж Старого оборудования в соответствии с Приложением 3.</w:t>
      </w:r>
    </w:p>
    <w:p>
      <w:pPr>
        <w:pStyle w:val="Normal"/>
        <w:numPr>
          <w:ilvl w:val="2"/>
          <w:numId w:val="2"/>
        </w:numPr>
        <w:spacing w:lineRule="auto" w:line="276" w:before="0" w:after="0"/>
        <w:ind w:firstLine="709"/>
        <w:contextualSpacing/>
        <w:jc w:val="both"/>
        <w:rPr/>
      </w:pPr>
      <w:r>
        <w:rPr/>
        <w:t>Светотехнические расчеты выполнить методом компьютерного моделирования в среде DiaLux. В расчетах принять коэффициент эксплуатации (коэффициент запаса) равным 0.8;</w:t>
      </w:r>
    </w:p>
    <w:p>
      <w:pPr>
        <w:pStyle w:val="Normal"/>
        <w:numPr>
          <w:ilvl w:val="2"/>
          <w:numId w:val="2"/>
        </w:numPr>
        <w:spacing w:lineRule="auto" w:line="276" w:before="0" w:after="0"/>
        <w:ind w:firstLine="709"/>
        <w:contextualSpacing/>
        <w:jc w:val="both"/>
        <w:rPr/>
      </w:pPr>
      <w:r>
        <w:rPr/>
        <w:t>В результате реализации проектных решений должен быть обеспечен уровень освещенности не ниже показателей, указанных в п. 2.5.3.1.</w:t>
      </w:r>
    </w:p>
    <w:p>
      <w:pPr>
        <w:pStyle w:val="Heading1"/>
        <w:tabs>
          <w:tab w:val="clear" w:pos="708"/>
          <w:tab w:val="left" w:pos="851" w:leader="none"/>
          <w:tab w:val="left" w:pos="1276" w:leader="none"/>
          <w:tab w:val="left" w:pos="1985" w:leader="none"/>
          <w:tab w:val="left" w:pos="2127" w:leader="none"/>
          <w:tab w:val="left" w:pos="2268" w:leader="none"/>
        </w:tabs>
        <w:spacing w:lineRule="auto" w:line="276" w:before="0" w:after="0"/>
        <w:contextualSpacing/>
        <w:jc w:val="start"/>
        <w:rPr>
          <w:rFonts w:ascii="Times New Roman" w:hAnsi="Times New Roman"/>
        </w:rPr>
      </w:pPr>
      <w:r>
        <w:rPr>
          <w:rFonts w:ascii="Times New Roman" w:hAnsi="Times New Roman"/>
          <w:b w:val="false"/>
          <w:sz w:val="24"/>
        </w:rPr>
        <w:t>2.3. Исходные требования к установке оборудования</w:t>
      </w:r>
    </w:p>
    <w:p>
      <w:pPr>
        <w:pStyle w:val="Normal"/>
        <w:spacing w:lineRule="auto" w:line="276" w:before="0" w:after="0"/>
        <w:ind w:firstLine="709"/>
        <w:contextualSpacing/>
        <w:jc w:val="both"/>
        <w:rPr/>
      </w:pPr>
      <w:r>
        <w:rPr/>
        <w:t>2.3.1 В случае, если предлагаемое решение включает установку оборудования Исполнителя на объектах Заказчика, то работы и устанавливаемое оборудование должны соответствовать следующим требованиям:</w:t>
      </w:r>
    </w:p>
    <w:p>
      <w:pPr>
        <w:pStyle w:val="Normal"/>
        <w:spacing w:lineRule="auto" w:line="276" w:before="0" w:after="0"/>
        <w:ind w:firstLine="709"/>
        <w:contextualSpacing/>
        <w:jc w:val="both"/>
        <w:rPr/>
      </w:pPr>
      <w:r>
        <w:rPr/>
        <w:t>2.3.1.1 Светильники должны быть смонтированы согласно предоставленному проекту. Возможно использование мест креплений демонтируемых светильников.</w:t>
      </w:r>
    </w:p>
    <w:p>
      <w:pPr>
        <w:pStyle w:val="Normal"/>
        <w:spacing w:lineRule="auto" w:line="276" w:before="0" w:after="0"/>
        <w:ind w:firstLine="709"/>
        <w:contextualSpacing/>
        <w:jc w:val="both"/>
        <w:rPr/>
      </w:pPr>
      <w:r>
        <w:rPr/>
        <w:t>2.3.1.2 Места размещения по пролетам Объекта и технические характеристики осветительных устройств, которые могут быть заменены в рамках реализации решения, приведены в Приложении 1.</w:t>
      </w:r>
    </w:p>
    <w:p>
      <w:pPr>
        <w:pStyle w:val="Normal"/>
        <w:numPr>
          <w:ilvl w:val="0"/>
          <w:numId w:val="0"/>
        </w:numPr>
        <w:tabs>
          <w:tab w:val="clear" w:pos="708"/>
          <w:tab w:val="left" w:pos="851" w:leader="none"/>
          <w:tab w:val="left" w:pos="1276" w:leader="none"/>
          <w:tab w:val="left" w:pos="1985" w:leader="none"/>
          <w:tab w:val="left" w:pos="2127" w:leader="none"/>
          <w:tab w:val="left" w:pos="2268" w:leader="none"/>
        </w:tabs>
        <w:spacing w:lineRule="auto" w:line="276" w:before="0" w:after="0"/>
        <w:ind w:firstLine="709" w:start="0"/>
        <w:contextualSpacing/>
        <w:jc w:val="both"/>
        <w:outlineLvl w:val="0"/>
        <w:rPr/>
      </w:pPr>
      <w:r>
        <w:rPr/>
        <w:t>2.4. Требования к оборудованию Исполнителя</w:t>
      </w:r>
    </w:p>
    <w:p>
      <w:pPr>
        <w:pStyle w:val="Normal"/>
        <w:spacing w:lineRule="auto" w:line="276" w:before="0" w:after="0"/>
        <w:ind w:firstLine="709"/>
        <w:contextualSpacing/>
        <w:jc w:val="both"/>
        <w:rPr/>
      </w:pPr>
      <w:r>
        <w:rPr/>
        <w:t>2.4.1 Оборудование должно быть новым. Основные технические характеристики светотехнического оборудования должны соответствовать параметрам, приведенным в Таблице 1.</w:t>
      </w:r>
    </w:p>
    <w:p>
      <w:pPr>
        <w:pStyle w:val="Normal"/>
        <w:spacing w:lineRule="auto" w:line="276" w:before="0" w:after="0"/>
        <w:ind w:firstLine="851"/>
        <w:contextualSpacing/>
        <w:rPr/>
      </w:pPr>
      <w:r>
        <w:rPr/>
        <w:t>Таблица 1</w:t>
      </w:r>
    </w:p>
    <w:tbl>
      <w:tblPr>
        <w:tblW w:w="9503"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526"/>
        <w:gridCol w:w="3451"/>
        <w:gridCol w:w="1277"/>
        <w:gridCol w:w="4249"/>
      </w:tblGrid>
      <w:tr>
        <w:trPr>
          <w:trHeight w:val="828" w:hRule="atLeast"/>
        </w:trPr>
        <w:tc>
          <w:tcPr>
            <w:tcW w:w="526" w:type="dxa"/>
            <w:tcBorders>
              <w:top w:val="single" w:sz="4" w:space="0" w:color="000000"/>
              <w:bottom w:val="single" w:sz="4" w:space="0" w:color="000000"/>
            </w:tcBorders>
          </w:tcPr>
          <w:p>
            <w:pPr>
              <w:pStyle w:val="Normal"/>
              <w:tabs>
                <w:tab w:val="clear" w:pos="708"/>
                <w:tab w:val="left" w:pos="600" w:leader="none"/>
                <w:tab w:val="left" w:pos="5880" w:leader="none"/>
              </w:tabs>
              <w:spacing w:lineRule="auto" w:line="276" w:beforeAutospacing="1" w:after="0"/>
              <w:contextualSpacing/>
              <w:jc w:val="center"/>
              <w:rPr/>
            </w:pPr>
            <w:r>
              <w:rPr>
                <w:b/>
              </w:rPr>
              <w:t xml:space="preserve">№ </w:t>
            </w:r>
            <w:r>
              <w:rPr>
                <w:b/>
              </w:rPr>
              <w:t>п.п</w:t>
            </w:r>
          </w:p>
        </w:tc>
        <w:tc>
          <w:tcPr>
            <w:tcW w:w="3451" w:type="dxa"/>
            <w:tcBorders>
              <w:top w:val="single" w:sz="4" w:space="0" w:color="000000"/>
              <w:bottom w:val="single" w:sz="4" w:space="0" w:color="000000"/>
            </w:tcBorders>
          </w:tcPr>
          <w:p>
            <w:pPr>
              <w:pStyle w:val="Normal"/>
              <w:tabs>
                <w:tab w:val="clear" w:pos="708"/>
                <w:tab w:val="left" w:pos="600" w:leader="none"/>
                <w:tab w:val="left" w:pos="5880" w:leader="none"/>
              </w:tabs>
              <w:spacing w:lineRule="auto" w:line="276" w:beforeAutospacing="1" w:after="0"/>
              <w:contextualSpacing/>
              <w:jc w:val="center"/>
              <w:rPr/>
            </w:pPr>
            <w:r>
              <w:rPr>
                <w:b/>
              </w:rPr>
              <w:t>Наименование</w:t>
            </w:r>
          </w:p>
          <w:p>
            <w:pPr>
              <w:pStyle w:val="Normal"/>
              <w:tabs>
                <w:tab w:val="clear" w:pos="708"/>
                <w:tab w:val="left" w:pos="600" w:leader="none"/>
                <w:tab w:val="left" w:pos="5880" w:leader="none"/>
              </w:tabs>
              <w:spacing w:lineRule="auto" w:line="276" w:before="0" w:after="0"/>
              <w:contextualSpacing/>
              <w:jc w:val="center"/>
              <w:rPr/>
            </w:pPr>
            <w:r>
              <w:rPr>
                <w:b/>
              </w:rPr>
              <w:t>технических</w:t>
            </w:r>
          </w:p>
          <w:p>
            <w:pPr>
              <w:pStyle w:val="Normal"/>
              <w:tabs>
                <w:tab w:val="clear" w:pos="708"/>
                <w:tab w:val="left" w:pos="600" w:leader="none"/>
                <w:tab w:val="left" w:pos="5880" w:leader="none"/>
              </w:tabs>
              <w:spacing w:lineRule="auto" w:line="276" w:before="0" w:after="0"/>
              <w:contextualSpacing/>
              <w:jc w:val="center"/>
              <w:rPr/>
            </w:pPr>
            <w:r>
              <w:rPr>
                <w:b/>
              </w:rPr>
              <w:t>характеристик</w:t>
            </w:r>
          </w:p>
        </w:tc>
        <w:tc>
          <w:tcPr>
            <w:tcW w:w="1277" w:type="dxa"/>
            <w:tcBorders>
              <w:top w:val="single" w:sz="4" w:space="0" w:color="000000"/>
              <w:bottom w:val="single" w:sz="4" w:space="0" w:color="000000"/>
            </w:tcBorders>
          </w:tcPr>
          <w:p>
            <w:pPr>
              <w:pStyle w:val="Normal"/>
              <w:tabs>
                <w:tab w:val="clear" w:pos="708"/>
                <w:tab w:val="left" w:pos="600" w:leader="none"/>
                <w:tab w:val="left" w:pos="5880" w:leader="none"/>
              </w:tabs>
              <w:spacing w:lineRule="auto" w:line="276" w:beforeAutospacing="1" w:after="0"/>
              <w:contextualSpacing/>
              <w:jc w:val="center"/>
              <w:rPr/>
            </w:pPr>
            <w:r>
              <w:rPr>
                <w:b/>
              </w:rPr>
              <w:t>Единицы измерения</w:t>
            </w:r>
          </w:p>
        </w:tc>
        <w:tc>
          <w:tcPr>
            <w:tcW w:w="4249"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jc w:val="center"/>
              <w:rPr/>
            </w:pPr>
            <w:r>
              <w:rPr>
                <w:b/>
              </w:rPr>
              <w:t>Требуемое значение</w:t>
            </w:r>
          </w:p>
        </w:tc>
      </w:tr>
      <w:tr>
        <w:trPr/>
        <w:tc>
          <w:tcPr>
            <w:tcW w:w="526" w:type="dxa"/>
            <w:tcBorders>
              <w:top w:val="single" w:sz="4" w:space="0" w:color="000000"/>
              <w:bottom w:val="single" w:sz="4" w:space="0" w:color="000000"/>
            </w:tcBorders>
          </w:tcPr>
          <w:p>
            <w:pPr>
              <w:pStyle w:val="Normal"/>
              <w:tabs>
                <w:tab w:val="clear" w:pos="708"/>
                <w:tab w:val="left" w:pos="600" w:leader="none"/>
                <w:tab w:val="left" w:pos="5880" w:leader="none"/>
              </w:tabs>
              <w:spacing w:lineRule="auto" w:line="276" w:beforeAutospacing="1" w:after="0"/>
              <w:contextualSpacing/>
              <w:jc w:val="center"/>
              <w:rPr/>
            </w:pPr>
            <w:r>
              <w:rPr/>
              <w:t>1.</w:t>
            </w:r>
          </w:p>
        </w:tc>
        <w:tc>
          <w:tcPr>
            <w:tcW w:w="3451"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rPr/>
            </w:pPr>
            <w:r>
              <w:rPr/>
              <w:t xml:space="preserve">Тип тока </w:t>
            </w:r>
          </w:p>
        </w:tc>
        <w:tc>
          <w:tcPr>
            <w:tcW w:w="1277" w:type="dxa"/>
            <w:tcBorders>
              <w:top w:val="single" w:sz="4" w:space="0" w:color="000000"/>
              <w:bottom w:val="single" w:sz="4" w:space="0" w:color="000000"/>
            </w:tcBorders>
            <w:vAlign w:val="center"/>
          </w:tcPr>
          <w:p>
            <w:pPr>
              <w:pStyle w:val="Normal"/>
              <w:tabs>
                <w:tab w:val="clear" w:pos="708"/>
                <w:tab w:val="left" w:pos="681" w:leader="none"/>
                <w:tab w:val="left" w:pos="5880" w:leader="none"/>
              </w:tabs>
              <w:spacing w:lineRule="auto" w:line="276" w:beforeAutospacing="1" w:after="0"/>
              <w:contextualSpacing/>
              <w:jc w:val="center"/>
              <w:rPr/>
            </w:pPr>
            <w:r>
              <w:rPr/>
              <w:t>-</w:t>
            </w:r>
          </w:p>
        </w:tc>
        <w:tc>
          <w:tcPr>
            <w:tcW w:w="4249" w:type="dxa"/>
            <w:tcBorders>
              <w:top w:val="single" w:sz="4" w:space="0" w:color="000000"/>
              <w:bottom w:val="single" w:sz="4" w:space="0" w:color="000000"/>
            </w:tcBorders>
            <w:vAlign w:val="center"/>
          </w:tcPr>
          <w:p>
            <w:pPr>
              <w:pStyle w:val="Normal"/>
              <w:tabs>
                <w:tab w:val="clear" w:pos="708"/>
                <w:tab w:val="left" w:pos="681" w:leader="none"/>
                <w:tab w:val="left" w:pos="5880" w:leader="none"/>
              </w:tabs>
              <w:spacing w:lineRule="auto" w:line="276" w:beforeAutospacing="1" w:after="0"/>
              <w:contextualSpacing/>
              <w:jc w:val="center"/>
              <w:rPr/>
            </w:pPr>
            <w:r>
              <w:rPr/>
              <w:t>перем.</w:t>
            </w:r>
          </w:p>
        </w:tc>
      </w:tr>
      <w:tr>
        <w:trPr/>
        <w:tc>
          <w:tcPr>
            <w:tcW w:w="526" w:type="dxa"/>
            <w:tcBorders>
              <w:top w:val="single" w:sz="4" w:space="0" w:color="000000"/>
              <w:bottom w:val="single" w:sz="4" w:space="0" w:color="000000"/>
            </w:tcBorders>
          </w:tcPr>
          <w:p>
            <w:pPr>
              <w:pStyle w:val="Normal"/>
              <w:tabs>
                <w:tab w:val="clear" w:pos="708"/>
                <w:tab w:val="left" w:pos="600" w:leader="none"/>
                <w:tab w:val="left" w:pos="5880" w:leader="none"/>
              </w:tabs>
              <w:spacing w:lineRule="auto" w:line="276" w:beforeAutospacing="1" w:after="0"/>
              <w:contextualSpacing/>
              <w:jc w:val="center"/>
              <w:rPr/>
            </w:pPr>
            <w:r>
              <w:rPr/>
              <w:t>2.</w:t>
            </w:r>
          </w:p>
        </w:tc>
        <w:tc>
          <w:tcPr>
            <w:tcW w:w="3451"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rPr/>
            </w:pPr>
            <w:r>
              <w:rPr/>
              <w:t>Напряжение (U)</w:t>
            </w:r>
          </w:p>
        </w:tc>
        <w:tc>
          <w:tcPr>
            <w:tcW w:w="1277"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jc w:val="center"/>
              <w:rPr/>
            </w:pPr>
            <w:r>
              <w:rPr/>
              <w:t>В</w:t>
            </w:r>
          </w:p>
        </w:tc>
        <w:tc>
          <w:tcPr>
            <w:tcW w:w="4249"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jc w:val="center"/>
              <w:rPr/>
            </w:pPr>
            <w:r>
              <w:rPr/>
              <w:t>180-245</w:t>
            </w:r>
          </w:p>
        </w:tc>
      </w:tr>
      <w:tr>
        <w:trPr>
          <w:trHeight w:val="403" w:hRule="atLeast"/>
        </w:trPr>
        <w:tc>
          <w:tcPr>
            <w:tcW w:w="526" w:type="dxa"/>
            <w:tcBorders>
              <w:top w:val="single" w:sz="4" w:space="0" w:color="000000"/>
              <w:bottom w:val="single" w:sz="4" w:space="0" w:color="000000"/>
            </w:tcBorders>
          </w:tcPr>
          <w:p>
            <w:pPr>
              <w:pStyle w:val="Normal"/>
              <w:tabs>
                <w:tab w:val="clear" w:pos="708"/>
                <w:tab w:val="left" w:pos="600" w:leader="none"/>
                <w:tab w:val="left" w:pos="5880" w:leader="none"/>
              </w:tabs>
              <w:spacing w:lineRule="auto" w:line="276" w:beforeAutospacing="1" w:after="0"/>
              <w:contextualSpacing/>
              <w:jc w:val="center"/>
              <w:rPr/>
            </w:pPr>
            <w:r>
              <w:rPr/>
              <w:t>3.</w:t>
            </w:r>
          </w:p>
        </w:tc>
        <w:tc>
          <w:tcPr>
            <w:tcW w:w="3451"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rPr/>
            </w:pPr>
            <w:r>
              <w:rPr/>
              <w:t>Частота (f)</w:t>
            </w:r>
          </w:p>
        </w:tc>
        <w:tc>
          <w:tcPr>
            <w:tcW w:w="1277"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jc w:val="center"/>
              <w:rPr/>
            </w:pPr>
            <w:r>
              <w:rPr/>
              <w:t>Гц</w:t>
            </w:r>
          </w:p>
        </w:tc>
        <w:tc>
          <w:tcPr>
            <w:tcW w:w="4249"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jc w:val="center"/>
              <w:rPr/>
            </w:pPr>
            <w:r>
              <w:rPr/>
              <w:t>50</w:t>
            </w:r>
          </w:p>
        </w:tc>
      </w:tr>
      <w:tr>
        <w:trPr/>
        <w:tc>
          <w:tcPr>
            <w:tcW w:w="526" w:type="dxa"/>
            <w:tcBorders>
              <w:top w:val="single" w:sz="4" w:space="0" w:color="000000"/>
              <w:bottom w:val="single" w:sz="4" w:space="0" w:color="000000"/>
            </w:tcBorders>
          </w:tcPr>
          <w:p>
            <w:pPr>
              <w:pStyle w:val="Normal"/>
              <w:tabs>
                <w:tab w:val="clear" w:pos="708"/>
                <w:tab w:val="left" w:pos="600" w:leader="none"/>
                <w:tab w:val="left" w:pos="5880" w:leader="none"/>
              </w:tabs>
              <w:spacing w:lineRule="auto" w:line="276" w:beforeAutospacing="1" w:after="0"/>
              <w:contextualSpacing/>
              <w:jc w:val="center"/>
              <w:rPr/>
            </w:pPr>
            <w:r>
              <w:rPr/>
              <w:t>4.</w:t>
            </w:r>
          </w:p>
        </w:tc>
        <w:tc>
          <w:tcPr>
            <w:tcW w:w="3451" w:type="dxa"/>
            <w:tcBorders>
              <w:top w:val="single" w:sz="4" w:space="0" w:color="000000"/>
              <w:bottom w:val="single" w:sz="4" w:space="0" w:color="000000"/>
            </w:tcBorders>
          </w:tcPr>
          <w:p>
            <w:pPr>
              <w:pStyle w:val="Normal"/>
              <w:tabs>
                <w:tab w:val="clear" w:pos="708"/>
                <w:tab w:val="left" w:pos="600" w:leader="none"/>
                <w:tab w:val="left" w:pos="5880" w:leader="none"/>
              </w:tabs>
              <w:spacing w:lineRule="auto" w:line="276" w:beforeAutospacing="1" w:after="0"/>
              <w:contextualSpacing/>
              <w:jc w:val="both"/>
              <w:rPr/>
            </w:pPr>
            <w:r>
              <w:rPr/>
              <w:t>Коэффициент пульсации осветительных устройств (К</w:t>
            </w:r>
            <w:r>
              <w:rPr>
                <w:vertAlign w:val="subscript"/>
              </w:rPr>
              <w:t>п</w:t>
            </w:r>
            <w:r>
              <w:rPr/>
              <w:t>)</w:t>
            </w:r>
          </w:p>
        </w:tc>
        <w:tc>
          <w:tcPr>
            <w:tcW w:w="1277"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jc w:val="center"/>
              <w:rPr/>
            </w:pPr>
            <w:r>
              <w:rPr/>
              <w:t>%</w:t>
            </w:r>
          </w:p>
        </w:tc>
        <w:tc>
          <w:tcPr>
            <w:tcW w:w="4249" w:type="dxa"/>
            <w:tcBorders>
              <w:top w:val="single" w:sz="4" w:space="0" w:color="000000"/>
              <w:bottom w:val="single" w:sz="4" w:space="0" w:color="000000"/>
            </w:tcBorders>
            <w:vAlign w:val="center"/>
          </w:tcPr>
          <w:p>
            <w:pPr>
              <w:pStyle w:val="Normal"/>
              <w:tabs>
                <w:tab w:val="clear" w:pos="708"/>
                <w:tab w:val="left" w:pos="792" w:leader="none"/>
                <w:tab w:val="left" w:pos="5880" w:leader="none"/>
              </w:tabs>
              <w:spacing w:lineRule="auto" w:line="276" w:beforeAutospacing="1" w:after="0"/>
              <w:contextualSpacing/>
              <w:jc w:val="center"/>
              <w:rPr/>
            </w:pPr>
            <w:r>
              <w:rPr/>
              <w:t>не более 20</w:t>
            </w:r>
          </w:p>
        </w:tc>
      </w:tr>
      <w:tr>
        <w:trPr/>
        <w:tc>
          <w:tcPr>
            <w:tcW w:w="526" w:type="dxa"/>
            <w:tcBorders>
              <w:top w:val="single" w:sz="4" w:space="0" w:color="000000"/>
              <w:bottom w:val="single" w:sz="4" w:space="0" w:color="000000"/>
            </w:tcBorders>
          </w:tcPr>
          <w:p>
            <w:pPr>
              <w:pStyle w:val="Normal"/>
              <w:tabs>
                <w:tab w:val="clear" w:pos="708"/>
                <w:tab w:val="left" w:pos="600" w:leader="none"/>
                <w:tab w:val="left" w:pos="5880" w:leader="none"/>
              </w:tabs>
              <w:spacing w:lineRule="auto" w:line="276" w:beforeAutospacing="1" w:after="0"/>
              <w:contextualSpacing/>
              <w:jc w:val="center"/>
              <w:rPr/>
            </w:pPr>
            <w:r>
              <w:rPr/>
              <w:t>5.</w:t>
            </w:r>
          </w:p>
        </w:tc>
        <w:tc>
          <w:tcPr>
            <w:tcW w:w="3451" w:type="dxa"/>
            <w:tcBorders>
              <w:top w:val="single" w:sz="4" w:space="0" w:color="000000"/>
              <w:bottom w:val="single" w:sz="4" w:space="0" w:color="000000"/>
            </w:tcBorders>
          </w:tcPr>
          <w:p>
            <w:pPr>
              <w:pStyle w:val="Normal"/>
              <w:tabs>
                <w:tab w:val="clear" w:pos="708"/>
                <w:tab w:val="left" w:pos="600" w:leader="none"/>
                <w:tab w:val="left" w:pos="5880" w:leader="none"/>
              </w:tabs>
              <w:spacing w:lineRule="auto" w:line="276" w:beforeAutospacing="1" w:after="0"/>
              <w:contextualSpacing/>
              <w:rPr/>
            </w:pPr>
            <w:r>
              <w:rPr/>
              <w:t>Диапазон цветовой температуры (Т</w:t>
            </w:r>
            <w:r>
              <w:rPr>
                <w:vertAlign w:val="subscript"/>
              </w:rPr>
              <w:t>ц</w:t>
            </w:r>
            <w:r>
              <w:rPr/>
              <w:t>)</w:t>
            </w:r>
          </w:p>
        </w:tc>
        <w:tc>
          <w:tcPr>
            <w:tcW w:w="1277"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jc w:val="center"/>
              <w:rPr/>
            </w:pPr>
            <w:r>
              <w:rPr/>
              <w:t>К</w:t>
            </w:r>
          </w:p>
        </w:tc>
        <w:tc>
          <w:tcPr>
            <w:tcW w:w="4249" w:type="dxa"/>
            <w:tcBorders>
              <w:top w:val="single" w:sz="4" w:space="0" w:color="000000"/>
              <w:bottom w:val="single" w:sz="4" w:space="0" w:color="000000"/>
            </w:tcBorders>
            <w:vAlign w:val="center"/>
          </w:tcPr>
          <w:p>
            <w:pPr>
              <w:pStyle w:val="Normal"/>
              <w:tabs>
                <w:tab w:val="clear" w:pos="708"/>
                <w:tab w:val="left" w:pos="792" w:leader="none"/>
                <w:tab w:val="left" w:pos="5880" w:leader="none"/>
              </w:tabs>
              <w:spacing w:lineRule="auto" w:line="276" w:beforeAutospacing="1" w:after="0"/>
              <w:contextualSpacing/>
              <w:jc w:val="center"/>
              <w:rPr/>
            </w:pPr>
            <w:r>
              <w:rPr/>
              <w:t>4700-5300</w:t>
            </w:r>
          </w:p>
        </w:tc>
      </w:tr>
      <w:tr>
        <w:trPr/>
        <w:tc>
          <w:tcPr>
            <w:tcW w:w="526" w:type="dxa"/>
            <w:tcBorders>
              <w:top w:val="single" w:sz="4" w:space="0" w:color="000000"/>
              <w:bottom w:val="single" w:sz="4" w:space="0" w:color="000000"/>
            </w:tcBorders>
          </w:tcPr>
          <w:p>
            <w:pPr>
              <w:pStyle w:val="Normal"/>
              <w:tabs>
                <w:tab w:val="clear" w:pos="708"/>
                <w:tab w:val="left" w:pos="600" w:leader="none"/>
                <w:tab w:val="left" w:pos="5880" w:leader="none"/>
              </w:tabs>
              <w:spacing w:lineRule="auto" w:line="276" w:beforeAutospacing="1" w:after="0"/>
              <w:contextualSpacing/>
              <w:jc w:val="center"/>
              <w:rPr/>
            </w:pPr>
            <w:r>
              <w:rPr/>
              <w:t>6.</w:t>
            </w:r>
          </w:p>
        </w:tc>
        <w:tc>
          <w:tcPr>
            <w:tcW w:w="3451" w:type="dxa"/>
            <w:tcBorders>
              <w:top w:val="single" w:sz="4" w:space="0" w:color="000000"/>
              <w:bottom w:val="single" w:sz="4" w:space="0" w:color="000000"/>
            </w:tcBorders>
          </w:tcPr>
          <w:p>
            <w:pPr>
              <w:pStyle w:val="Normal"/>
              <w:tabs>
                <w:tab w:val="clear" w:pos="708"/>
                <w:tab w:val="left" w:pos="600" w:leader="none"/>
                <w:tab w:val="left" w:pos="5880" w:leader="none"/>
              </w:tabs>
              <w:spacing w:lineRule="auto" w:line="276" w:beforeAutospacing="1" w:after="0"/>
              <w:contextualSpacing/>
              <w:rPr/>
            </w:pPr>
            <w:r>
              <w:rPr/>
              <w:t xml:space="preserve">Индекс цветопередачи </w:t>
            </w:r>
          </w:p>
        </w:tc>
        <w:tc>
          <w:tcPr>
            <w:tcW w:w="1277"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jc w:val="center"/>
              <w:rPr/>
            </w:pPr>
            <w:r>
              <w:rPr/>
              <w:t>Ra</w:t>
            </w:r>
          </w:p>
        </w:tc>
        <w:tc>
          <w:tcPr>
            <w:tcW w:w="4249"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jc w:val="center"/>
              <w:rPr/>
            </w:pPr>
            <w:r>
              <w:rPr/>
              <w:t xml:space="preserve"> </w:t>
            </w:r>
            <w:r>
              <w:rPr/>
              <w:t>не менее 80</w:t>
            </w:r>
          </w:p>
        </w:tc>
      </w:tr>
      <w:tr>
        <w:trPr/>
        <w:tc>
          <w:tcPr>
            <w:tcW w:w="526" w:type="dxa"/>
            <w:tcBorders>
              <w:top w:val="single" w:sz="4" w:space="0" w:color="000000"/>
              <w:bottom w:val="single" w:sz="4" w:space="0" w:color="000000"/>
            </w:tcBorders>
          </w:tcPr>
          <w:p>
            <w:pPr>
              <w:pStyle w:val="Normal"/>
              <w:tabs>
                <w:tab w:val="clear" w:pos="708"/>
                <w:tab w:val="left" w:pos="600" w:leader="none"/>
                <w:tab w:val="left" w:pos="5880" w:leader="none"/>
              </w:tabs>
              <w:spacing w:lineRule="auto" w:line="276" w:beforeAutospacing="1" w:after="0"/>
              <w:contextualSpacing/>
              <w:jc w:val="center"/>
              <w:rPr/>
            </w:pPr>
            <w:r>
              <w:rPr/>
              <w:t>7.</w:t>
            </w:r>
          </w:p>
        </w:tc>
        <w:tc>
          <w:tcPr>
            <w:tcW w:w="3451" w:type="dxa"/>
            <w:tcBorders>
              <w:top w:val="single" w:sz="4" w:space="0" w:color="000000"/>
              <w:bottom w:val="single" w:sz="4" w:space="0" w:color="000000"/>
            </w:tcBorders>
          </w:tcPr>
          <w:p>
            <w:pPr>
              <w:pStyle w:val="Normal"/>
              <w:tabs>
                <w:tab w:val="clear" w:pos="708"/>
                <w:tab w:val="left" w:pos="600" w:leader="none"/>
                <w:tab w:val="left" w:pos="5880" w:leader="none"/>
              </w:tabs>
              <w:spacing w:lineRule="auto" w:line="276" w:beforeAutospacing="1" w:after="0"/>
              <w:contextualSpacing/>
              <w:rPr/>
            </w:pPr>
            <w:r>
              <w:rPr/>
              <w:t xml:space="preserve">Эффективность светового прибора  </w:t>
            </w:r>
          </w:p>
        </w:tc>
        <w:tc>
          <w:tcPr>
            <w:tcW w:w="1277"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jc w:val="center"/>
              <w:rPr/>
            </w:pPr>
            <w:r>
              <w:rPr/>
              <w:t>Лм/вт</w:t>
            </w:r>
          </w:p>
        </w:tc>
        <w:tc>
          <w:tcPr>
            <w:tcW w:w="4249"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jc w:val="center"/>
              <w:rPr/>
            </w:pPr>
            <w:r>
              <w:rPr/>
              <w:t>не менее 80</w:t>
            </w:r>
          </w:p>
        </w:tc>
      </w:tr>
      <w:tr>
        <w:trPr>
          <w:trHeight w:val="473" w:hRule="atLeast"/>
        </w:trPr>
        <w:tc>
          <w:tcPr>
            <w:tcW w:w="526" w:type="dxa"/>
            <w:tcBorders>
              <w:top w:val="single" w:sz="4" w:space="0" w:color="000000"/>
              <w:bottom w:val="single" w:sz="4" w:space="0" w:color="000000"/>
            </w:tcBorders>
          </w:tcPr>
          <w:p>
            <w:pPr>
              <w:pStyle w:val="Normal"/>
              <w:tabs>
                <w:tab w:val="clear" w:pos="708"/>
                <w:tab w:val="left" w:pos="600" w:leader="none"/>
                <w:tab w:val="left" w:pos="5880" w:leader="none"/>
              </w:tabs>
              <w:spacing w:lineRule="auto" w:line="276" w:beforeAutospacing="1" w:after="0"/>
              <w:contextualSpacing/>
              <w:jc w:val="center"/>
              <w:rPr/>
            </w:pPr>
            <w:r>
              <w:rPr/>
              <w:t>8.</w:t>
            </w:r>
          </w:p>
        </w:tc>
        <w:tc>
          <w:tcPr>
            <w:tcW w:w="3451" w:type="dxa"/>
            <w:tcBorders>
              <w:top w:val="single" w:sz="4" w:space="0" w:color="000000"/>
              <w:bottom w:val="single" w:sz="4" w:space="0" w:color="000000"/>
            </w:tcBorders>
          </w:tcPr>
          <w:p>
            <w:pPr>
              <w:pStyle w:val="Normal"/>
              <w:tabs>
                <w:tab w:val="clear" w:pos="708"/>
                <w:tab w:val="left" w:pos="600" w:leader="none"/>
                <w:tab w:val="left" w:pos="5880" w:leader="none"/>
              </w:tabs>
              <w:spacing w:lineRule="auto" w:line="276" w:beforeAutospacing="1" w:after="0"/>
              <w:contextualSpacing/>
              <w:rPr/>
            </w:pPr>
            <w:r>
              <w:rPr/>
              <w:t>Степень защиты светильников (IP)</w:t>
            </w:r>
          </w:p>
        </w:tc>
        <w:tc>
          <w:tcPr>
            <w:tcW w:w="1277"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jc w:val="center"/>
              <w:rPr/>
            </w:pPr>
            <w:r>
              <w:rPr/>
              <w:t>-</w:t>
            </w:r>
          </w:p>
        </w:tc>
        <w:tc>
          <w:tcPr>
            <w:tcW w:w="4249"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jc w:val="center"/>
              <w:rPr/>
            </w:pPr>
            <w:r>
              <w:rPr/>
              <w:t>определить проектом</w:t>
            </w:r>
          </w:p>
        </w:tc>
      </w:tr>
      <w:tr>
        <w:trPr/>
        <w:tc>
          <w:tcPr>
            <w:tcW w:w="526" w:type="dxa"/>
            <w:tcBorders>
              <w:top w:val="single" w:sz="4" w:space="0" w:color="000000"/>
              <w:bottom w:val="single" w:sz="4" w:space="0" w:color="000000"/>
            </w:tcBorders>
          </w:tcPr>
          <w:p>
            <w:pPr>
              <w:pStyle w:val="Normal"/>
              <w:tabs>
                <w:tab w:val="clear" w:pos="708"/>
                <w:tab w:val="left" w:pos="600" w:leader="none"/>
                <w:tab w:val="left" w:pos="5880" w:leader="none"/>
              </w:tabs>
              <w:spacing w:lineRule="auto" w:line="276" w:beforeAutospacing="1" w:after="0"/>
              <w:contextualSpacing/>
              <w:jc w:val="center"/>
              <w:rPr/>
            </w:pPr>
            <w:r>
              <w:rPr/>
              <w:t>9.</w:t>
            </w:r>
          </w:p>
        </w:tc>
        <w:tc>
          <w:tcPr>
            <w:tcW w:w="3451"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rPr/>
            </w:pPr>
            <w:r>
              <w:rPr/>
              <w:t>Используемая технология</w:t>
            </w:r>
          </w:p>
        </w:tc>
        <w:tc>
          <w:tcPr>
            <w:tcW w:w="1277"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jc w:val="center"/>
              <w:rPr/>
            </w:pPr>
            <w:r>
              <w:rPr/>
              <w:t>-</w:t>
            </w:r>
          </w:p>
        </w:tc>
        <w:tc>
          <w:tcPr>
            <w:tcW w:w="4249"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jc w:val="center"/>
              <w:rPr/>
            </w:pPr>
            <w:r>
              <w:rPr/>
              <w:t>светодиоды</w:t>
            </w:r>
          </w:p>
        </w:tc>
      </w:tr>
      <w:tr>
        <w:trPr/>
        <w:tc>
          <w:tcPr>
            <w:tcW w:w="526" w:type="dxa"/>
            <w:tcBorders>
              <w:top w:val="single" w:sz="4" w:space="0" w:color="000000"/>
              <w:bottom w:val="single" w:sz="4" w:space="0" w:color="000000"/>
            </w:tcBorders>
          </w:tcPr>
          <w:p>
            <w:pPr>
              <w:pStyle w:val="Normal"/>
              <w:tabs>
                <w:tab w:val="clear" w:pos="708"/>
                <w:tab w:val="left" w:pos="600" w:leader="none"/>
                <w:tab w:val="left" w:pos="5880" w:leader="none"/>
              </w:tabs>
              <w:spacing w:lineRule="auto" w:line="276" w:beforeAutospacing="1" w:after="0"/>
              <w:contextualSpacing/>
              <w:jc w:val="center"/>
              <w:rPr/>
            </w:pPr>
            <w:r>
              <w:rPr/>
              <w:t>10.</w:t>
            </w:r>
          </w:p>
        </w:tc>
        <w:tc>
          <w:tcPr>
            <w:tcW w:w="3451"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rPr/>
            </w:pPr>
            <w:r>
              <w:rPr/>
              <w:t>Количество световых приборов</w:t>
            </w:r>
          </w:p>
        </w:tc>
        <w:tc>
          <w:tcPr>
            <w:tcW w:w="1277"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jc w:val="center"/>
              <w:rPr/>
            </w:pPr>
            <w:r>
              <w:rPr/>
              <w:t>шт.</w:t>
            </w:r>
          </w:p>
        </w:tc>
        <w:tc>
          <w:tcPr>
            <w:tcW w:w="4249" w:type="dxa"/>
            <w:tcBorders>
              <w:top w:val="single" w:sz="4" w:space="0" w:color="000000"/>
              <w:bottom w:val="single" w:sz="4" w:space="0" w:color="000000"/>
            </w:tcBorders>
            <w:vAlign w:val="center"/>
          </w:tcPr>
          <w:p>
            <w:pPr>
              <w:pStyle w:val="Normal"/>
              <w:tabs>
                <w:tab w:val="clear" w:pos="708"/>
                <w:tab w:val="left" w:pos="600" w:leader="none"/>
                <w:tab w:val="left" w:pos="5880" w:leader="none"/>
              </w:tabs>
              <w:spacing w:lineRule="auto" w:line="276" w:beforeAutospacing="1" w:after="0"/>
              <w:contextualSpacing/>
              <w:jc w:val="center"/>
              <w:rPr/>
            </w:pPr>
            <w:r>
              <w:rPr/>
              <w:t>определить</w:t>
              <w:br/>
              <w:t>светотехническим расчетом</w:t>
            </w:r>
          </w:p>
        </w:tc>
      </w:tr>
    </w:tbl>
    <w:p>
      <w:pPr>
        <w:pStyle w:val="Normal"/>
        <w:spacing w:lineRule="auto" w:line="276" w:before="0" w:after="0"/>
        <w:ind w:firstLine="720"/>
        <w:contextualSpacing/>
        <w:jc w:val="both"/>
        <w:rPr/>
      </w:pPr>
      <w:r>
        <w:rPr/>
        <w:t>2.4.2  Все поставляемое и монтируемое оборудование должно быть сертифицировано и долж</w:t>
      </w:r>
      <w:r>
        <w:rPr>
          <w:color w:val="000000"/>
        </w:rPr>
        <w:t>но соответствовать требованиям норм и правил, действующих на территории Российской Федерации (РФ).</w:t>
      </w:r>
    </w:p>
    <w:p>
      <w:pPr>
        <w:pStyle w:val="Normal"/>
        <w:spacing w:lineRule="auto" w:line="276" w:before="0" w:after="0"/>
        <w:ind w:firstLine="720"/>
        <w:contextualSpacing/>
        <w:jc w:val="both"/>
        <w:rPr>
          <w:color w:val="000000"/>
        </w:rPr>
      </w:pPr>
      <w:r>
        <w:rPr>
          <w:color w:val="000000"/>
        </w:rPr>
        <w:t xml:space="preserve">2.4.3 </w:t>
      </w:r>
      <w:r>
        <w:rPr>
          <w:b w:val="false"/>
          <w:i w:val="false"/>
          <w:caps w:val="false"/>
          <w:smallCaps w:val="false"/>
          <w:color w:val="000000"/>
          <w:spacing w:val="0"/>
          <w:sz w:val="24"/>
          <w:szCs w:val="24"/>
        </w:rPr>
        <w:t xml:space="preserve">Исполнение условий настоящего технического задания должно осуществляется в точном соответствии с Постановлением Правительства Российской Федерации от 23 декабря 2024 года № 1875. </w:t>
      </w:r>
    </w:p>
    <w:p>
      <w:pPr>
        <w:pStyle w:val="Normal"/>
        <w:spacing w:lineRule="auto" w:line="276" w:before="0" w:after="0"/>
        <w:ind w:firstLine="720"/>
        <w:contextualSpacing/>
        <w:jc w:val="both"/>
        <w:rPr/>
      </w:pPr>
      <w:r>
        <w:rPr>
          <w:b w:val="false"/>
          <w:i w:val="false"/>
          <w:caps w:val="false"/>
          <w:smallCaps w:val="false"/>
          <w:color w:val="000000"/>
          <w:spacing w:val="0"/>
          <w:sz w:val="24"/>
          <w:szCs w:val="24"/>
        </w:rPr>
        <w:t>Светотехническое о</w:t>
      </w:r>
      <w:r>
        <w:rPr>
          <w:b w:val="false"/>
          <w:i w:val="false"/>
          <w:caps w:val="false"/>
          <w:smallCaps w:val="false"/>
          <w:color w:val="000000"/>
          <w:spacing w:val="0"/>
          <w:sz w:val="24"/>
          <w:szCs w:val="24"/>
        </w:rPr>
        <w:t>борудование должно иметь реестровую запись из Единого реестра российской радиоэлектронной продукции (</w:t>
      </w:r>
      <w:r>
        <w:rPr>
          <w:b w:val="false"/>
          <w:i w:val="false"/>
          <w:caps w:val="false"/>
          <w:smallCaps w:val="false"/>
          <w:color w:val="121212"/>
          <w:spacing w:val="0"/>
          <w:sz w:val="24"/>
        </w:rPr>
        <w:t>Постановлением Правительства РФ от 10.07.2019 № 878</w:t>
      </w:r>
      <w:r>
        <w:rPr>
          <w:b w:val="false"/>
          <w:i w:val="false"/>
          <w:caps w:val="false"/>
          <w:smallCaps w:val="false"/>
          <w:color w:val="333333"/>
          <w:spacing w:val="0"/>
          <w:sz w:val="24"/>
          <w:szCs w:val="24"/>
        </w:rPr>
        <w:t>).</w:t>
      </w:r>
    </w:p>
    <w:p>
      <w:pPr>
        <w:pStyle w:val="Normal"/>
        <w:spacing w:lineRule="auto" w:line="276" w:before="0" w:after="0"/>
        <w:ind w:firstLine="720"/>
        <w:contextualSpacing/>
        <w:jc w:val="both"/>
        <w:rPr/>
      </w:pPr>
      <w:r>
        <w:rPr/>
        <w:t>2.4.4 Требования к электротехническому оборудованию:</w:t>
      </w:r>
    </w:p>
    <w:p>
      <w:pPr>
        <w:pStyle w:val="Normal"/>
        <w:numPr>
          <w:ilvl w:val="0"/>
          <w:numId w:val="3"/>
        </w:numPr>
        <w:spacing w:lineRule="auto" w:line="276" w:before="0" w:after="0"/>
        <w:ind w:firstLine="785"/>
        <w:contextualSpacing/>
        <w:jc w:val="both"/>
        <w:rPr/>
      </w:pPr>
      <w:r>
        <w:rPr>
          <w:u w:val="single"/>
        </w:rPr>
        <w:t>Шкафы учёта электроэнергии:</w:t>
      </w:r>
    </w:p>
    <w:p>
      <w:pPr>
        <w:pStyle w:val="Normal"/>
        <w:numPr>
          <w:ilvl w:val="1"/>
          <w:numId w:val="3"/>
        </w:numPr>
        <w:spacing w:lineRule="auto" w:line="276" w:before="0" w:after="0"/>
        <w:ind w:hanging="426"/>
        <w:contextualSpacing/>
        <w:jc w:val="both"/>
        <w:rPr/>
      </w:pPr>
      <w:r>
        <w:rPr/>
        <w:t>Количество – 6 шкафов;</w:t>
      </w:r>
    </w:p>
    <w:p>
      <w:pPr>
        <w:pStyle w:val="Normal"/>
        <w:numPr>
          <w:ilvl w:val="1"/>
          <w:numId w:val="3"/>
        </w:numPr>
        <w:spacing w:lineRule="auto" w:line="276" w:before="0" w:after="0"/>
        <w:ind w:hanging="426"/>
        <w:contextualSpacing/>
        <w:jc w:val="both"/>
        <w:rPr/>
      </w:pPr>
      <w:r>
        <w:rPr/>
        <w:t>Мощность (характеристики силовой части и защитной аппаратуры): определить проектом;</w:t>
      </w:r>
    </w:p>
    <w:p>
      <w:pPr>
        <w:pStyle w:val="Normal"/>
        <w:numPr>
          <w:ilvl w:val="1"/>
          <w:numId w:val="3"/>
        </w:numPr>
        <w:spacing w:lineRule="auto" w:line="276" w:before="0" w:after="0"/>
        <w:ind w:hanging="426"/>
        <w:contextualSpacing/>
        <w:jc w:val="both"/>
        <w:rPr/>
      </w:pPr>
      <w:r>
        <w:rPr/>
        <w:t>Месторасположение: определить проектом;</w:t>
      </w:r>
    </w:p>
    <w:p>
      <w:pPr>
        <w:pStyle w:val="Normal"/>
        <w:numPr>
          <w:ilvl w:val="1"/>
          <w:numId w:val="3"/>
        </w:numPr>
        <w:spacing w:lineRule="auto" w:line="276" w:before="0" w:after="0"/>
        <w:ind w:hanging="426"/>
        <w:contextualSpacing/>
        <w:jc w:val="both"/>
        <w:rPr/>
      </w:pPr>
      <w:r>
        <w:rPr/>
        <w:t>Производитель комплектующих: определить проектом;</w:t>
      </w:r>
    </w:p>
    <w:p>
      <w:pPr>
        <w:pStyle w:val="Normal"/>
        <w:numPr>
          <w:ilvl w:val="1"/>
          <w:numId w:val="3"/>
        </w:numPr>
        <w:spacing w:lineRule="auto" w:line="276" w:before="0" w:after="0"/>
        <w:ind w:hanging="426"/>
        <w:contextualSpacing/>
        <w:jc w:val="both"/>
        <w:rPr/>
      </w:pPr>
      <w:r>
        <w:rPr/>
        <w:t>Основные требования к счётчикам электроэнергии:</w:t>
      </w:r>
    </w:p>
    <w:p>
      <w:pPr>
        <w:pStyle w:val="Normal"/>
        <w:numPr>
          <w:ilvl w:val="0"/>
          <w:numId w:val="4"/>
        </w:numPr>
        <w:spacing w:lineRule="auto" w:line="276" w:before="0" w:after="0"/>
        <w:contextualSpacing/>
        <w:jc w:val="both"/>
        <w:rPr/>
      </w:pPr>
      <w:r>
        <w:rPr/>
        <w:t>Трехфазные счетчики электроэнергии должны соответствовать классу точности не менее 2.0;</w:t>
      </w:r>
    </w:p>
    <w:p>
      <w:pPr>
        <w:pStyle w:val="Normal"/>
        <w:numPr>
          <w:ilvl w:val="0"/>
          <w:numId w:val="4"/>
        </w:numPr>
        <w:spacing w:lineRule="auto" w:line="276" w:before="0" w:after="0"/>
        <w:contextualSpacing/>
        <w:jc w:val="both"/>
        <w:rPr/>
      </w:pPr>
      <w:r>
        <w:rPr/>
        <w:t>Тип включения: Прямое (до 100А);</w:t>
      </w:r>
    </w:p>
    <w:p>
      <w:pPr>
        <w:pStyle w:val="Normal"/>
        <w:numPr>
          <w:ilvl w:val="0"/>
          <w:numId w:val="4"/>
        </w:numPr>
        <w:spacing w:lineRule="auto" w:line="276" w:before="0" w:after="0"/>
        <w:contextualSpacing/>
        <w:jc w:val="both"/>
        <w:rPr/>
      </w:pPr>
      <w:r>
        <w:rPr/>
        <w:t>Напряжение и частота: Номинальное напряжение 3x230/400 В, частота 50 Гц;</w:t>
      </w:r>
    </w:p>
    <w:p>
      <w:pPr>
        <w:pStyle w:val="Normal"/>
        <w:numPr>
          <w:ilvl w:val="0"/>
          <w:numId w:val="4"/>
        </w:numPr>
        <w:spacing w:lineRule="auto" w:line="276" w:before="0" w:after="0"/>
        <w:contextualSpacing/>
        <w:jc w:val="both"/>
        <w:rPr/>
      </w:pPr>
      <w:r>
        <w:rPr/>
        <w:t>Условия эксплуатации</w:t>
      </w:r>
      <w:r>
        <w:rPr>
          <w:b/>
        </w:rPr>
        <w:t>:</w:t>
      </w:r>
      <w:r>
        <w:rPr/>
        <w:t> Температура от +5°С до +40°С (для внутренней установки), температура от -40°С до +40°С (для наружной установки);</w:t>
      </w:r>
    </w:p>
    <w:p>
      <w:pPr>
        <w:pStyle w:val="Normal"/>
        <w:numPr>
          <w:ilvl w:val="0"/>
          <w:numId w:val="4"/>
        </w:numPr>
        <w:spacing w:lineRule="auto" w:line="276" w:before="0" w:after="0"/>
        <w:contextualSpacing/>
        <w:jc w:val="both"/>
        <w:rPr/>
      </w:pPr>
      <w:r>
        <w:rPr/>
        <w:t>Функционал: Счетчики должны обеспечивать однотарифный учет;</w:t>
      </w:r>
    </w:p>
    <w:p>
      <w:pPr>
        <w:pStyle w:val="Normal"/>
        <w:numPr>
          <w:ilvl w:val="0"/>
          <w:numId w:val="4"/>
        </w:numPr>
        <w:spacing w:lineRule="auto" w:line="276" w:before="0" w:after="0"/>
        <w:contextualSpacing/>
        <w:jc w:val="both"/>
        <w:rPr/>
      </w:pPr>
      <w:r>
        <w:rPr/>
        <w:t>Обязательное наличие вводного автоматического выключателя перед счетчиком для возможности безопасного обслуживания.</w:t>
      </w:r>
    </w:p>
    <w:p>
      <w:pPr>
        <w:pStyle w:val="Normal"/>
        <w:numPr>
          <w:ilvl w:val="0"/>
          <w:numId w:val="3"/>
        </w:numPr>
        <w:spacing w:lineRule="auto" w:line="276" w:before="0" w:after="0"/>
        <w:ind w:firstLine="785"/>
        <w:contextualSpacing/>
        <w:jc w:val="both"/>
        <w:rPr/>
      </w:pPr>
      <w:r>
        <w:rPr>
          <w:u w:val="single"/>
        </w:rPr>
        <w:t>Кабельные линии наружного освещения:</w:t>
      </w:r>
    </w:p>
    <w:p>
      <w:pPr>
        <w:pStyle w:val="Normal"/>
        <w:numPr>
          <w:ilvl w:val="1"/>
          <w:numId w:val="3"/>
        </w:numPr>
        <w:spacing w:lineRule="auto" w:line="276" w:before="0" w:after="0"/>
        <w:ind w:hanging="426"/>
        <w:contextualSpacing/>
        <w:jc w:val="both"/>
        <w:rPr/>
      </w:pPr>
      <w:r>
        <w:rPr/>
        <w:t>Сечения – определить проектом;</w:t>
      </w:r>
    </w:p>
    <w:p>
      <w:pPr>
        <w:pStyle w:val="Normal"/>
        <w:numPr>
          <w:ilvl w:val="1"/>
          <w:numId w:val="3"/>
        </w:numPr>
        <w:spacing w:lineRule="auto" w:line="276" w:before="0" w:after="0"/>
        <w:ind w:hanging="426"/>
        <w:contextualSpacing/>
        <w:jc w:val="both"/>
        <w:rPr/>
      </w:pPr>
      <w:r>
        <w:rPr/>
        <w:t>Длины – определить проектом;</w:t>
      </w:r>
    </w:p>
    <w:p>
      <w:pPr>
        <w:pStyle w:val="Normal"/>
        <w:numPr>
          <w:ilvl w:val="1"/>
          <w:numId w:val="3"/>
        </w:numPr>
        <w:spacing w:lineRule="auto" w:line="276" w:before="0" w:after="0"/>
        <w:ind w:hanging="426"/>
        <w:contextualSpacing/>
        <w:jc w:val="both"/>
        <w:rPr/>
      </w:pPr>
      <w:r>
        <w:rPr/>
        <w:t>Предусмотреть пофазное распределение питающих линий.</w:t>
      </w:r>
    </w:p>
    <w:p>
      <w:pPr>
        <w:pStyle w:val="Normal"/>
        <w:numPr>
          <w:ilvl w:val="0"/>
          <w:numId w:val="3"/>
        </w:numPr>
        <w:spacing w:lineRule="auto" w:line="276" w:before="0" w:after="0"/>
        <w:ind w:firstLine="785"/>
        <w:contextualSpacing/>
        <w:jc w:val="both"/>
        <w:rPr/>
      </w:pPr>
      <w:r>
        <w:rPr>
          <w:u w:val="single"/>
        </w:rPr>
        <w:t>Кабельные линии внутреннего освещения:</w:t>
      </w:r>
    </w:p>
    <w:p>
      <w:pPr>
        <w:pStyle w:val="Normal"/>
        <w:numPr>
          <w:ilvl w:val="1"/>
          <w:numId w:val="3"/>
        </w:numPr>
        <w:spacing w:lineRule="auto" w:line="276" w:before="0" w:after="0"/>
        <w:ind w:hanging="426"/>
        <w:contextualSpacing/>
        <w:jc w:val="both"/>
        <w:rPr/>
      </w:pPr>
      <w:r>
        <w:rPr/>
        <w:t>Использовать существующие, в соответствии с Приложением 1.</w:t>
      </w:r>
    </w:p>
    <w:p>
      <w:pPr>
        <w:pStyle w:val="Heading1"/>
        <w:tabs>
          <w:tab w:val="clear" w:pos="708"/>
          <w:tab w:val="left" w:pos="851" w:leader="none"/>
          <w:tab w:val="left" w:pos="1276" w:leader="none"/>
          <w:tab w:val="left" w:pos="1985" w:leader="none"/>
          <w:tab w:val="left" w:pos="2127" w:leader="none"/>
          <w:tab w:val="left" w:pos="2268" w:leader="none"/>
          <w:tab w:val="left" w:pos="3532" w:leader="none"/>
        </w:tabs>
        <w:spacing w:lineRule="auto" w:line="276" w:before="0" w:after="0"/>
        <w:ind w:firstLine="720"/>
        <w:contextualSpacing/>
        <w:jc w:val="both"/>
        <w:rPr>
          <w:rFonts w:ascii="Times New Roman" w:hAnsi="Times New Roman"/>
        </w:rPr>
      </w:pPr>
      <w:r>
        <w:rPr>
          <w:rFonts w:ascii="Times New Roman" w:hAnsi="Times New Roman"/>
          <w:b w:val="false"/>
          <w:sz w:val="24"/>
        </w:rPr>
        <w:t>2.5. Гарантийные требования и показатели проекта</w:t>
      </w:r>
      <w:r>
        <w:rPr>
          <w:rFonts w:ascii="Times New Roman" w:hAnsi="Times New Roman"/>
          <w:sz w:val="24"/>
        </w:rPr>
        <w:tab/>
      </w:r>
    </w:p>
    <w:p>
      <w:pPr>
        <w:pStyle w:val="Normal"/>
        <w:spacing w:lineRule="auto" w:line="276" w:before="0" w:after="0"/>
        <w:ind w:firstLine="720"/>
        <w:contextualSpacing/>
        <w:jc w:val="both"/>
        <w:rPr/>
      </w:pPr>
      <w:r>
        <w:rPr/>
        <w:t>2.5.1 Исполнитель должен гарантировать выполнение основных требований к Новому оборудованию, указанных в технической спецификации, документации и в настоящем Техническом задании.</w:t>
      </w:r>
    </w:p>
    <w:p>
      <w:pPr>
        <w:pStyle w:val="Normal"/>
        <w:spacing w:lineRule="auto" w:line="276" w:before="0" w:after="0"/>
        <w:ind w:firstLine="720"/>
        <w:contextualSpacing/>
        <w:jc w:val="both"/>
        <w:rPr/>
      </w:pPr>
      <w:r>
        <w:rPr/>
        <w:t xml:space="preserve">2.5.2 Срок гарантии на поставляемое светотехническое оборудование (светодиодные светильники) должен составлять </w:t>
      </w:r>
      <w:r>
        <w:rPr>
          <w:b/>
        </w:rPr>
        <w:t>не менее 60 месяцев</w:t>
      </w:r>
      <w:r>
        <w:rPr/>
        <w:t>. При выставлении коммерческого предложения должны быть учтены затраты на замену оборудования силами Исполнителя в течение срока действия гарантии. Срок гарантии исчисляется со дня ввода в эксплуатацию осветительных устройств. Датой ввода в эксплуатацию является дата подписания акта сдачи-приемки. При наличии в акте сдачи – приемки замечаний, датой ввода в эксплуатацию является документально подтвержденная дата устранения замечаний (оборудование на весь срок действия договора остается в собственности Исполнителя).</w:t>
      </w:r>
    </w:p>
    <w:p>
      <w:pPr>
        <w:pStyle w:val="Normal"/>
        <w:spacing w:lineRule="auto" w:line="276" w:before="0" w:after="0"/>
        <w:ind w:firstLine="720"/>
        <w:contextualSpacing/>
        <w:jc w:val="both"/>
        <w:rPr/>
      </w:pPr>
      <w:r>
        <w:rPr/>
        <w:t>2.5.3 Основными гарантийными показателя проекта являются:</w:t>
      </w:r>
    </w:p>
    <w:p>
      <w:pPr>
        <w:pStyle w:val="Normal"/>
        <w:spacing w:lineRule="auto" w:line="276" w:before="0" w:after="0"/>
        <w:ind w:firstLine="720"/>
        <w:contextualSpacing/>
        <w:jc w:val="both"/>
        <w:rPr/>
      </w:pPr>
      <w:r>
        <w:rPr/>
        <w:t xml:space="preserve">2.5.3.1 Уровень освещенности рабочих мест должен быть не ниже 200-300лк на уровне 0.8м.(в зависимости от типа работ и производства). </w:t>
      </w:r>
    </w:p>
    <w:p>
      <w:pPr>
        <w:pStyle w:val="Normal"/>
        <w:spacing w:lineRule="auto" w:line="276" w:before="0" w:after="0"/>
        <w:ind w:firstLine="720"/>
        <w:contextualSpacing/>
        <w:jc w:val="both"/>
        <w:rPr/>
      </w:pPr>
      <w:r>
        <w:rPr/>
        <w:t>2.5.3.2. Размер экономии электроэнергии от существующего уровня потребления электроэнергии (расчетные данные, утвержденные заказчиком в Приложении 1) должен составлять не менее 70% за счёт высокоэффективных светодиодных технологий, обеспечивающих максимальную световую отдачу при минимальной потребляемой мощности. Размер экономии должен подтверждаться фактическими замерами потребления электроэнергии после установки оборудования в течение согласованного срока гарантийных обязательств.</w:t>
      </w:r>
    </w:p>
    <w:p>
      <w:pPr>
        <w:pStyle w:val="Normal"/>
        <w:spacing w:lineRule="auto" w:line="276" w:before="0" w:after="0"/>
        <w:ind w:firstLine="720"/>
        <w:contextualSpacing/>
        <w:jc w:val="both"/>
        <w:rPr/>
      </w:pPr>
      <w:r>
        <w:rPr/>
        <w:t xml:space="preserve">В случае недостижения Оборудованием одного или нескольких гарантийных показателей Оборудование подлежит доработке или замене за счет Исполнителя. При этом доработанное или замененное Оборудование должно обеспечить достижение гарантийных показателей. Сроки такой доработки или замены Оборудования не должны превышать 1 месяца от момента их выявления.  </w:t>
      </w:r>
    </w:p>
    <w:p>
      <w:pPr>
        <w:pStyle w:val="Normal"/>
        <w:spacing w:lineRule="auto" w:line="276" w:before="0" w:after="0"/>
        <w:ind w:firstLine="720"/>
        <w:contextualSpacing/>
        <w:jc w:val="both"/>
        <w:rPr/>
      </w:pPr>
      <w:r>
        <w:rPr/>
        <w:t>В случае повторного недостижения гарантийных показателей после доработки или замены оборудования, к Исполнителю применяются штрафные санкции (оговариваются на стадии рассмотрения ТКП и заключения договора).</w:t>
      </w:r>
    </w:p>
    <w:p>
      <w:pPr>
        <w:pStyle w:val="Normal"/>
        <w:spacing w:lineRule="auto" w:line="276" w:before="0" w:after="0"/>
        <w:ind w:firstLine="720"/>
        <w:contextualSpacing/>
        <w:jc w:val="both"/>
        <w:rPr/>
      </w:pPr>
      <w:r>
        <w:rPr/>
        <w:t xml:space="preserve">2.5.3.3. Число отказов должно составлять не более 10% от общего количества установленного оборудования при времени наработки не менее 5000 ч. </w:t>
      </w:r>
    </w:p>
    <w:p>
      <w:pPr>
        <w:pStyle w:val="Heading1"/>
        <w:tabs>
          <w:tab w:val="clear" w:pos="708"/>
          <w:tab w:val="left" w:pos="851" w:leader="none"/>
          <w:tab w:val="left" w:pos="1134" w:leader="none"/>
          <w:tab w:val="left" w:pos="1276" w:leader="none"/>
          <w:tab w:val="left" w:pos="1985" w:leader="none"/>
          <w:tab w:val="left" w:pos="2127" w:leader="none"/>
          <w:tab w:val="left" w:pos="2268" w:leader="none"/>
        </w:tabs>
        <w:spacing w:lineRule="auto" w:line="276" w:before="0" w:after="0"/>
        <w:ind w:firstLine="720"/>
        <w:contextualSpacing/>
        <w:jc w:val="both"/>
        <w:rPr>
          <w:rFonts w:ascii="Times New Roman" w:hAnsi="Times New Roman"/>
        </w:rPr>
      </w:pPr>
      <w:r>
        <w:rPr>
          <w:rFonts w:ascii="Times New Roman" w:hAnsi="Times New Roman"/>
          <w:b w:val="false"/>
          <w:sz w:val="24"/>
        </w:rPr>
        <w:t>2.6. Объем оказываемых услуг</w:t>
      </w:r>
    </w:p>
    <w:p>
      <w:pPr>
        <w:pStyle w:val="Normal"/>
        <w:spacing w:lineRule="auto" w:line="276" w:before="0" w:after="0"/>
        <w:ind w:firstLine="720"/>
        <w:contextualSpacing/>
        <w:jc w:val="both"/>
        <w:rPr/>
      </w:pPr>
      <w:r>
        <w:rPr/>
        <w:t>В рамках проекта Исполнитель обеспечивает выполнение следующего объема работ/услуг:</w:t>
      </w:r>
    </w:p>
    <w:p>
      <w:pPr>
        <w:pStyle w:val="Normal"/>
        <w:spacing w:lineRule="auto" w:line="276" w:before="0" w:after="0"/>
        <w:ind w:firstLine="720"/>
        <w:contextualSpacing/>
        <w:jc w:val="both"/>
        <w:rPr/>
      </w:pPr>
      <w:r>
        <w:rPr/>
        <w:t>2.6.1. Проводит предпроектное обследование с целью получения необходимых данных для разработки технического решения и рабочей документации;</w:t>
      </w:r>
    </w:p>
    <w:p>
      <w:pPr>
        <w:pStyle w:val="Normal"/>
        <w:spacing w:lineRule="auto" w:line="276" w:before="0" w:after="0"/>
        <w:ind w:firstLine="720"/>
        <w:contextualSpacing/>
        <w:jc w:val="both"/>
        <w:rPr/>
      </w:pPr>
      <w:r>
        <w:rPr/>
        <w:t>2.6.2. Разрабатывает наиболее подходящее для Заказчика техническое решение в специализированном программном продукте (Dialux) и согласовывает его с последним. Проектные работы выполняются в два этапа: утвержденный рабочий проект и исполнительная документация.</w:t>
      </w:r>
    </w:p>
    <w:p>
      <w:pPr>
        <w:pStyle w:val="Normal"/>
        <w:spacing w:lineRule="auto" w:line="276" w:before="0" w:after="0"/>
        <w:ind w:firstLine="720"/>
        <w:contextualSpacing/>
        <w:jc w:val="both"/>
        <w:rPr/>
      </w:pPr>
      <w:r>
        <w:rPr/>
        <w:t>2.6.3. Корректирует и согласовывает с Заказчиком координаты проведения контрольных замеров показателей освещенности согласно п. 2.5.3.1.</w:t>
      </w:r>
    </w:p>
    <w:p>
      <w:pPr>
        <w:pStyle w:val="Normal"/>
        <w:spacing w:lineRule="auto" w:line="276" w:before="0" w:after="0"/>
        <w:ind w:firstLine="720"/>
        <w:contextualSpacing/>
        <w:jc w:val="both"/>
        <w:rPr/>
      </w:pPr>
      <w:r>
        <w:rPr/>
        <w:t>2.6.4. Обеспечивает максимально высокую технологическую эффективность представленного решения, гарантирует надежность, как всего решения, так и отдельных его частей.</w:t>
      </w:r>
    </w:p>
    <w:p>
      <w:pPr>
        <w:pStyle w:val="Normal"/>
        <w:spacing w:lineRule="auto" w:line="276" w:before="0" w:after="0"/>
        <w:ind w:firstLine="720"/>
        <w:contextualSpacing/>
        <w:jc w:val="both"/>
        <w:rPr/>
      </w:pPr>
      <w:r>
        <w:rPr/>
        <w:t>2.6.5. Осуществляет поставку основного и вспомогательного оборудования на условиях DDP согласно разработанного проекта.</w:t>
      </w:r>
    </w:p>
    <w:p>
      <w:pPr>
        <w:pStyle w:val="Normal"/>
        <w:spacing w:lineRule="auto" w:line="276" w:before="0" w:after="0"/>
        <w:ind w:firstLine="720"/>
        <w:contextualSpacing/>
        <w:jc w:val="both"/>
        <w:rPr/>
      </w:pPr>
      <w:r>
        <w:rPr/>
        <w:t>2.6.6. Проводит демонтаж электрооборудования (светильники, отражатели, ПРА, лампы и кронштейны крепления) и передачу его Заказчику для дальнейшей утилизации в той степени, в которой это требуется для оказания Услуги и согласовано Заказчиком. При этом демонтированное оборудование остается в собственности Заказчика.</w:t>
      </w:r>
    </w:p>
    <w:p>
      <w:pPr>
        <w:pStyle w:val="Normal"/>
        <w:spacing w:lineRule="auto" w:line="276" w:before="0" w:after="0"/>
        <w:ind w:firstLine="720"/>
        <w:contextualSpacing/>
        <w:jc w:val="both"/>
        <w:rPr/>
      </w:pPr>
      <w:r>
        <w:rPr/>
        <w:t xml:space="preserve">2.6.7. Выполняет электромонтажные работы, соблюдая Правила безопасности работ на объекте, в т.ч. демонтаж светильников старой системы освещения в количестве, определенном в Приложении 1, и монтаж Нового оборудования. </w:t>
      </w:r>
    </w:p>
    <w:p>
      <w:pPr>
        <w:pStyle w:val="Normal"/>
        <w:spacing w:lineRule="auto" w:line="276" w:before="0" w:after="0"/>
        <w:ind w:firstLine="720"/>
        <w:contextualSpacing/>
        <w:jc w:val="both"/>
        <w:rPr/>
      </w:pPr>
      <w:r>
        <w:rPr/>
        <w:t xml:space="preserve">2.6.8. Проводит пусконаладочные работы, необходимые испытания и вводит оборудование в эксплуатацию; </w:t>
      </w:r>
    </w:p>
    <w:p>
      <w:pPr>
        <w:pStyle w:val="Normal"/>
        <w:spacing w:lineRule="auto" w:line="276" w:before="0" w:after="0"/>
        <w:ind w:firstLine="720"/>
        <w:contextualSpacing/>
        <w:jc w:val="both"/>
        <w:rPr/>
      </w:pPr>
      <w:r>
        <w:rPr/>
        <w:t>2.6.9. Производит мониторинг и техническое обслуживание нового оборудования в течение 34 месяцев с даты подписания Акта предварительной приемки Основных мероприятий.</w:t>
      </w:r>
    </w:p>
    <w:p>
      <w:pPr>
        <w:pStyle w:val="Normal"/>
        <w:spacing w:lineRule="auto" w:line="276" w:before="0" w:after="0"/>
        <w:ind w:firstLine="720"/>
        <w:contextualSpacing/>
        <w:jc w:val="both"/>
        <w:rPr/>
      </w:pPr>
      <w:r>
        <w:rPr>
          <w:b/>
        </w:rPr>
        <w:t>Техническое обслуживание (проводится 1 раз в 6 месяцев):</w:t>
      </w:r>
    </w:p>
    <w:p>
      <w:pPr>
        <w:pStyle w:val="Normal"/>
        <w:spacing w:lineRule="auto" w:line="276" w:before="0" w:after="0"/>
        <w:ind w:firstLine="720"/>
        <w:contextualSpacing/>
        <w:jc w:val="both"/>
        <w:rPr/>
      </w:pPr>
      <w:r>
        <w:rPr/>
        <w:t>- Проверка состояния светотехнического оборудования;</w:t>
      </w:r>
    </w:p>
    <w:p>
      <w:pPr>
        <w:pStyle w:val="Normal"/>
        <w:spacing w:lineRule="auto" w:line="276" w:before="0" w:after="0"/>
        <w:ind w:firstLine="720"/>
        <w:contextualSpacing/>
        <w:jc w:val="both"/>
        <w:rPr/>
      </w:pPr>
      <w:r>
        <w:rPr/>
        <w:t>- Проверка кабельного и электротехнического оборудования в местах подключения, затяжка клемм при необходимости;</w:t>
      </w:r>
    </w:p>
    <w:p>
      <w:pPr>
        <w:pStyle w:val="Normal"/>
        <w:spacing w:lineRule="auto" w:line="276" w:before="0" w:after="0"/>
        <w:ind w:firstLine="720"/>
        <w:contextualSpacing/>
        <w:jc w:val="both"/>
        <w:rPr/>
      </w:pPr>
      <w:r>
        <w:rPr/>
        <w:t>- Очистка оборудования от загрязнений;</w:t>
      </w:r>
    </w:p>
    <w:p>
      <w:pPr>
        <w:pStyle w:val="Normal"/>
        <w:spacing w:lineRule="auto" w:line="276" w:before="0" w:after="0"/>
        <w:ind w:firstLine="720"/>
        <w:contextualSpacing/>
        <w:jc w:val="both"/>
        <w:rPr/>
      </w:pPr>
      <w:r>
        <w:rPr/>
        <w:t>- Дополнительные выезды на объект по обоснованной просьбе заказчика;</w:t>
      </w:r>
    </w:p>
    <w:p>
      <w:pPr>
        <w:pStyle w:val="Normal"/>
        <w:spacing w:lineRule="auto" w:line="276" w:before="0" w:after="0"/>
        <w:ind w:firstLine="720"/>
        <w:contextualSpacing/>
        <w:jc w:val="both"/>
        <w:rPr/>
      </w:pPr>
      <w:r>
        <w:rPr/>
        <w:t>Отчет по выполненным работам оформляется в виде акта.</w:t>
      </w:r>
    </w:p>
    <w:p>
      <w:pPr>
        <w:pStyle w:val="Normal"/>
        <w:spacing w:lineRule="auto" w:line="276" w:before="0" w:after="0"/>
        <w:ind w:firstLine="720"/>
        <w:contextualSpacing/>
        <w:jc w:val="both"/>
        <w:rPr/>
      </w:pPr>
      <w:r>
        <w:rPr>
          <w:b/>
        </w:rPr>
        <w:t>Мониторинг (1 раз в квартал):</w:t>
      </w:r>
    </w:p>
    <w:p>
      <w:pPr>
        <w:pStyle w:val="Normal"/>
        <w:spacing w:lineRule="auto" w:line="276" w:before="0" w:after="0"/>
        <w:ind w:firstLine="720"/>
        <w:contextualSpacing/>
        <w:jc w:val="both"/>
        <w:rPr/>
      </w:pPr>
      <w:r>
        <w:rPr/>
        <w:t>- Выезд сервисного инженера для проведения измерений;</w:t>
      </w:r>
    </w:p>
    <w:p>
      <w:pPr>
        <w:pStyle w:val="Normal"/>
        <w:spacing w:lineRule="auto" w:line="276" w:before="0" w:after="0"/>
        <w:ind w:firstLine="720"/>
        <w:contextualSpacing/>
        <w:jc w:val="both"/>
        <w:rPr/>
      </w:pPr>
      <w:r>
        <w:rPr/>
        <w:t>- Замеры показателей освещенности в контрольных точках;</w:t>
      </w:r>
    </w:p>
    <w:p>
      <w:pPr>
        <w:pStyle w:val="Normal"/>
        <w:spacing w:lineRule="auto" w:line="276" w:before="0" w:after="0"/>
        <w:ind w:firstLine="720"/>
        <w:contextualSpacing/>
        <w:jc w:val="both"/>
        <w:rPr/>
      </w:pPr>
      <w:r>
        <w:rPr/>
        <w:t xml:space="preserve">- Замеры показателей потребления электроэнергии (поверка приборов учета </w:t>
      </w:r>
    </w:p>
    <w:p>
      <w:pPr>
        <w:pStyle w:val="Normal"/>
        <w:spacing w:lineRule="auto" w:line="276" w:before="0" w:after="0"/>
        <w:ind w:firstLine="720"/>
        <w:contextualSpacing/>
        <w:jc w:val="both"/>
        <w:rPr/>
      </w:pPr>
      <w:r>
        <w:rPr/>
        <w:t xml:space="preserve">  </w:t>
      </w:r>
      <w:r>
        <w:rPr/>
        <w:t>при необходимости);</w:t>
      </w:r>
    </w:p>
    <w:p>
      <w:pPr>
        <w:pStyle w:val="Normal"/>
        <w:spacing w:lineRule="auto" w:line="276" w:before="0" w:after="0"/>
        <w:ind w:firstLine="720"/>
        <w:contextualSpacing/>
        <w:jc w:val="both"/>
        <w:rPr/>
      </w:pPr>
      <w:r>
        <w:rPr/>
        <w:t>- Проверка обновлений ПО системы управления, мониторинг работы;</w:t>
      </w:r>
    </w:p>
    <w:p>
      <w:pPr>
        <w:pStyle w:val="Normal"/>
        <w:spacing w:lineRule="auto" w:line="276" w:before="0" w:after="0"/>
        <w:ind w:firstLine="720"/>
        <w:contextualSpacing/>
        <w:jc w:val="both"/>
        <w:rPr/>
      </w:pPr>
      <w:r>
        <w:rPr/>
        <w:t xml:space="preserve">Отчет по проведенным работам предоставляется Заказчику в виде протокола </w:t>
      </w:r>
    </w:p>
    <w:p>
      <w:pPr>
        <w:pStyle w:val="Normal"/>
        <w:spacing w:lineRule="auto" w:line="276" w:before="0" w:after="0"/>
        <w:ind w:firstLine="720"/>
        <w:contextualSpacing/>
        <w:jc w:val="both"/>
        <w:rPr/>
      </w:pPr>
      <w:r>
        <w:rPr/>
        <w:t>измерений;</w:t>
      </w:r>
    </w:p>
    <w:p>
      <w:pPr>
        <w:pStyle w:val="Heading1"/>
        <w:tabs>
          <w:tab w:val="clear" w:pos="708"/>
          <w:tab w:val="left" w:pos="851" w:leader="none"/>
          <w:tab w:val="left" w:pos="1134" w:leader="none"/>
          <w:tab w:val="left" w:pos="1276" w:leader="none"/>
          <w:tab w:val="left" w:pos="1985" w:leader="none"/>
          <w:tab w:val="left" w:pos="2127" w:leader="none"/>
          <w:tab w:val="left" w:pos="2268" w:leader="none"/>
        </w:tabs>
        <w:spacing w:lineRule="auto" w:line="276" w:before="0" w:after="0"/>
        <w:ind w:firstLine="720"/>
        <w:contextualSpacing/>
        <w:jc w:val="both"/>
        <w:rPr>
          <w:rFonts w:ascii="Times New Roman" w:hAnsi="Times New Roman"/>
        </w:rPr>
      </w:pPr>
      <w:r>
        <w:rPr>
          <w:rFonts w:ascii="Times New Roman" w:hAnsi="Times New Roman"/>
          <w:b w:val="false"/>
          <w:sz w:val="24"/>
        </w:rPr>
        <w:t>2.7. Разграничение ответственности.</w:t>
      </w:r>
    </w:p>
    <w:p>
      <w:pPr>
        <w:pStyle w:val="Normal"/>
        <w:spacing w:lineRule="auto" w:line="276" w:before="0" w:after="0"/>
        <w:ind w:firstLine="720"/>
        <w:contextualSpacing/>
        <w:jc w:val="both"/>
        <w:rPr/>
      </w:pPr>
      <w:r>
        <w:rPr/>
        <w:t>В рамках настоящего технического задания предусматривается оказание Услуги по повышению энергоэффективности основного рабочего освещения в помещениях и участках, с учетом границ проектирования. Мероприятия, направленные на систему аварийного освещения и освещения световых тоннелей в рамках настоящего технического задания не предусмотрены.</w:t>
      </w:r>
    </w:p>
    <w:p>
      <w:pPr>
        <w:pStyle w:val="Heading1"/>
        <w:tabs>
          <w:tab w:val="clear" w:pos="708"/>
          <w:tab w:val="left" w:pos="284" w:leader="none"/>
          <w:tab w:val="left" w:pos="851" w:leader="none"/>
          <w:tab w:val="left" w:pos="1276" w:leader="none"/>
          <w:tab w:val="left" w:pos="1985" w:leader="none"/>
          <w:tab w:val="left" w:pos="2127" w:leader="none"/>
          <w:tab w:val="left" w:pos="2268" w:leader="none"/>
        </w:tabs>
        <w:spacing w:lineRule="auto" w:line="276" w:before="0" w:after="0"/>
        <w:ind w:firstLine="720"/>
        <w:contextualSpacing/>
        <w:jc w:val="both"/>
        <w:rPr/>
      </w:pPr>
      <w:r>
        <w:rPr/>
      </w:r>
    </w:p>
    <w:p>
      <w:pPr>
        <w:pStyle w:val="Normal"/>
        <w:spacing w:lineRule="auto" w:line="276" w:before="0" w:after="0"/>
        <w:ind w:firstLine="720"/>
        <w:contextualSpacing/>
        <w:jc w:val="center"/>
        <w:rPr/>
      </w:pPr>
      <w:r>
        <w:rPr>
          <w:b/>
        </w:rPr>
        <w:t>ПРИЛОЖЕНИЯ:</w:t>
      </w:r>
    </w:p>
    <w:p>
      <w:pPr>
        <w:pStyle w:val="Normal"/>
        <w:spacing w:lineRule="auto" w:line="276" w:before="0" w:after="0"/>
        <w:contextualSpacing/>
        <w:jc w:val="both"/>
        <w:rPr/>
        <w:sectPr>
          <w:headerReference w:type="even" r:id="rId2"/>
          <w:headerReference w:type="default" r:id="rId3"/>
          <w:headerReference w:type="first" r:id="rId4"/>
          <w:type w:val="nextPage"/>
          <w:pgSz w:w="11906" w:h="16838"/>
          <w:pgMar w:left="1418" w:right="851" w:gutter="0" w:header="720" w:top="1134" w:footer="0" w:bottom="1134"/>
          <w:pgNumType w:fmt="decimal"/>
          <w:formProt w:val="false"/>
          <w:textDirection w:val="lrTb"/>
          <w:docGrid w:type="default" w:linePitch="100" w:charSpace="0"/>
        </w:sectPr>
      </w:pPr>
      <w:r>
        <w:rPr/>
        <w:t>Приложение 1. Параметры существующей осветительной установки.</w:t>
      </w:r>
      <w:r>
        <w:br w:type="page"/>
      </w:r>
    </w:p>
    <w:p>
      <w:pPr>
        <w:pStyle w:val="Normal"/>
        <w:spacing w:before="0" w:after="0"/>
        <w:jc w:val="center"/>
        <w:rPr>
          <w:sz w:val="22"/>
        </w:rPr>
      </w:pPr>
      <w:r>
        <w:rPr>
          <w:sz w:val="22"/>
        </w:rPr>
        <w:t>Приложение 1 к ТЗ.</w:t>
      </w:r>
    </w:p>
    <w:p>
      <w:pPr>
        <w:pStyle w:val="Normal"/>
        <w:jc w:val="center"/>
        <w:rPr>
          <w:sz w:val="22"/>
        </w:rPr>
      </w:pPr>
      <w:r>
        <w:rPr>
          <w:sz w:val="22"/>
        </w:rPr>
        <w:t xml:space="preserve">Параметры существующей осветительной установки </w:t>
      </w:r>
    </w:p>
    <w:p>
      <w:pPr>
        <w:pStyle w:val="Normal"/>
        <w:jc w:val="center"/>
        <w:rPr>
          <w:b/>
          <w:sz w:val="22"/>
        </w:rPr>
      </w:pPr>
      <w:r>
        <w:rPr>
          <w:b/>
          <w:sz w:val="22"/>
        </w:rPr>
        <w:t>Исходные данные для проектирования</w:t>
      </w:r>
    </w:p>
    <w:p>
      <w:pPr>
        <w:pStyle w:val="Normal"/>
        <w:spacing w:lineRule="auto" w:line="216"/>
        <w:jc w:val="center"/>
        <w:rPr>
          <w:sz w:val="22"/>
        </w:rPr>
      </w:pPr>
      <w:r>
        <w:rPr>
          <w:sz w:val="22"/>
        </w:rPr>
      </w:r>
    </w:p>
    <w:tbl>
      <w:tblPr>
        <w:tblW w:w="15982" w:type="dxa"/>
        <w:jc w:val="start"/>
        <w:tblInd w:w="-5" w:type="dxa"/>
        <w:tblLayout w:type="fixed"/>
        <w:tblCellMar>
          <w:top w:w="55" w:type="dxa"/>
          <w:start w:w="108" w:type="dxa"/>
          <w:bottom w:w="55" w:type="dxa"/>
          <w:end w:w="108" w:type="dxa"/>
        </w:tblCellMar>
        <w:tblLook w:val="04a0" w:noHBand="0" w:noVBand="1" w:firstColumn="1" w:lastRow="0" w:lastColumn="0" w:firstRow="1"/>
      </w:tblPr>
      <w:tblGrid>
        <w:gridCol w:w="773"/>
        <w:gridCol w:w="1063"/>
        <w:gridCol w:w="711"/>
        <w:gridCol w:w="849"/>
        <w:gridCol w:w="708"/>
        <w:gridCol w:w="850"/>
        <w:gridCol w:w="1135"/>
        <w:gridCol w:w="2693"/>
        <w:gridCol w:w="1277"/>
        <w:gridCol w:w="1134"/>
        <w:gridCol w:w="1276"/>
        <w:gridCol w:w="3513"/>
      </w:tblGrid>
      <w:tr>
        <w:trPr>
          <w:trHeight w:val="1680" w:hRule="atLeast"/>
        </w:trPr>
        <w:tc>
          <w:tcPr>
            <w:tcW w:w="773" w:type="dxa"/>
            <w:tcBorders>
              <w:top w:val="single" w:sz="4" w:space="0" w:color="000000"/>
              <w:bottom w:val="single" w:sz="4" w:space="0" w:color="000000"/>
            </w:tcBorders>
          </w:tcPr>
          <w:p>
            <w:pPr>
              <w:pStyle w:val="Normal"/>
              <w:jc w:val="center"/>
              <w:rPr>
                <w:b/>
                <w:sz w:val="18"/>
              </w:rPr>
            </w:pPr>
            <w:r>
              <w:rPr>
                <w:b/>
                <w:sz w:val="18"/>
              </w:rPr>
              <w:t>Тип лампы</w:t>
            </w:r>
          </w:p>
        </w:tc>
        <w:tc>
          <w:tcPr>
            <w:tcW w:w="1063" w:type="dxa"/>
            <w:tcBorders>
              <w:top w:val="single" w:sz="4" w:space="0" w:color="000000"/>
              <w:bottom w:val="single" w:sz="4" w:space="0" w:color="000000"/>
            </w:tcBorders>
          </w:tcPr>
          <w:p>
            <w:pPr>
              <w:pStyle w:val="Normal"/>
              <w:jc w:val="center"/>
              <w:rPr>
                <w:b/>
                <w:sz w:val="18"/>
              </w:rPr>
            </w:pPr>
            <w:r>
              <w:rPr>
                <w:b/>
                <w:sz w:val="18"/>
              </w:rPr>
              <w:t>Тип светильника в котором установлена лампа (желательно)</w:t>
            </w:r>
          </w:p>
        </w:tc>
        <w:tc>
          <w:tcPr>
            <w:tcW w:w="711" w:type="dxa"/>
            <w:tcBorders>
              <w:top w:val="single" w:sz="4" w:space="0" w:color="000000"/>
              <w:bottom w:val="single" w:sz="4" w:space="0" w:color="000000"/>
            </w:tcBorders>
          </w:tcPr>
          <w:p>
            <w:pPr>
              <w:pStyle w:val="Normal"/>
              <w:jc w:val="center"/>
              <w:rPr>
                <w:b/>
                <w:sz w:val="18"/>
              </w:rPr>
            </w:pPr>
            <w:r>
              <w:rPr>
                <w:b/>
                <w:sz w:val="18"/>
              </w:rPr>
              <w:t>Кол-во часов работы в год</w:t>
            </w:r>
          </w:p>
        </w:tc>
        <w:tc>
          <w:tcPr>
            <w:tcW w:w="849" w:type="dxa"/>
            <w:tcBorders>
              <w:top w:val="single" w:sz="4" w:space="0" w:color="000000"/>
              <w:bottom w:val="single" w:sz="4" w:space="0" w:color="000000"/>
            </w:tcBorders>
          </w:tcPr>
          <w:p>
            <w:pPr>
              <w:pStyle w:val="Normal"/>
              <w:jc w:val="center"/>
              <w:rPr>
                <w:b/>
                <w:sz w:val="18"/>
              </w:rPr>
            </w:pPr>
            <w:r>
              <w:rPr>
                <w:b/>
                <w:sz w:val="18"/>
              </w:rPr>
              <w:t xml:space="preserve">Номинальная мощность светильника (вт) </w:t>
            </w:r>
          </w:p>
        </w:tc>
        <w:tc>
          <w:tcPr>
            <w:tcW w:w="708" w:type="dxa"/>
            <w:tcBorders>
              <w:top w:val="single" w:sz="4" w:space="0" w:color="000000"/>
              <w:bottom w:val="single" w:sz="4" w:space="0" w:color="000000"/>
            </w:tcBorders>
          </w:tcPr>
          <w:p>
            <w:pPr>
              <w:pStyle w:val="Normal"/>
              <w:jc w:val="center"/>
              <w:rPr>
                <w:b/>
                <w:sz w:val="18"/>
              </w:rPr>
            </w:pPr>
            <w:r>
              <w:rPr>
                <w:b/>
                <w:sz w:val="18"/>
              </w:rPr>
              <w:t>Количество ламп (шт)</w:t>
            </w:r>
          </w:p>
        </w:tc>
        <w:tc>
          <w:tcPr>
            <w:tcW w:w="850" w:type="dxa"/>
            <w:tcBorders>
              <w:top w:val="single" w:sz="4" w:space="0" w:color="000000"/>
              <w:bottom w:val="single" w:sz="4" w:space="0" w:color="000000"/>
            </w:tcBorders>
          </w:tcPr>
          <w:p>
            <w:pPr>
              <w:pStyle w:val="Normal"/>
              <w:jc w:val="center"/>
              <w:rPr>
                <w:b/>
                <w:sz w:val="18"/>
              </w:rPr>
            </w:pPr>
            <w:r>
              <w:rPr>
                <w:b/>
                <w:sz w:val="18"/>
              </w:rPr>
              <w:t>Общая мощность,Вт</w:t>
            </w:r>
          </w:p>
        </w:tc>
        <w:tc>
          <w:tcPr>
            <w:tcW w:w="1135" w:type="dxa"/>
            <w:tcBorders>
              <w:top w:val="single" w:sz="4" w:space="0" w:color="000000"/>
              <w:bottom w:val="single" w:sz="4" w:space="0" w:color="000000"/>
            </w:tcBorders>
          </w:tcPr>
          <w:p>
            <w:pPr>
              <w:pStyle w:val="Normal"/>
              <w:jc w:val="center"/>
              <w:rPr>
                <w:b/>
                <w:sz w:val="18"/>
              </w:rPr>
            </w:pPr>
            <w:r>
              <w:rPr>
                <w:b/>
                <w:sz w:val="18"/>
              </w:rPr>
              <w:t>Общее энергопотребление,Вт*ч</w:t>
            </w:r>
          </w:p>
        </w:tc>
        <w:tc>
          <w:tcPr>
            <w:tcW w:w="2693" w:type="dxa"/>
            <w:tcBorders>
              <w:top w:val="single" w:sz="4" w:space="0" w:color="000000"/>
              <w:bottom w:val="single" w:sz="4" w:space="0" w:color="000000"/>
            </w:tcBorders>
          </w:tcPr>
          <w:p>
            <w:pPr>
              <w:pStyle w:val="Normal"/>
              <w:jc w:val="center"/>
              <w:rPr>
                <w:b/>
                <w:sz w:val="18"/>
              </w:rPr>
            </w:pPr>
            <w:r>
              <w:rPr>
                <w:b/>
                <w:sz w:val="18"/>
              </w:rPr>
              <w:t xml:space="preserve">Назначение участка/ помещения/ территории </w:t>
            </w:r>
          </w:p>
        </w:tc>
        <w:tc>
          <w:tcPr>
            <w:tcW w:w="1277" w:type="dxa"/>
            <w:tcBorders>
              <w:top w:val="single" w:sz="4" w:space="0" w:color="000000"/>
              <w:bottom w:val="single" w:sz="4" w:space="0" w:color="000000"/>
            </w:tcBorders>
          </w:tcPr>
          <w:p>
            <w:pPr>
              <w:pStyle w:val="Normal"/>
              <w:jc w:val="center"/>
              <w:rPr>
                <w:b/>
                <w:sz w:val="18"/>
              </w:rPr>
            </w:pPr>
            <w:r>
              <w:rPr>
                <w:b/>
                <w:sz w:val="18"/>
              </w:rPr>
              <w:t>Объем помещения (длина х ширина х высота) (м)</w:t>
            </w:r>
          </w:p>
        </w:tc>
        <w:tc>
          <w:tcPr>
            <w:tcW w:w="1134" w:type="dxa"/>
            <w:tcBorders>
              <w:top w:val="single" w:sz="4" w:space="0" w:color="000000"/>
              <w:bottom w:val="single" w:sz="4" w:space="0" w:color="000000"/>
            </w:tcBorders>
          </w:tcPr>
          <w:p>
            <w:pPr>
              <w:pStyle w:val="Normal"/>
              <w:jc w:val="center"/>
              <w:rPr>
                <w:b/>
                <w:sz w:val="18"/>
              </w:rPr>
            </w:pPr>
            <w:r>
              <w:rPr>
                <w:b/>
                <w:sz w:val="18"/>
              </w:rPr>
              <w:t>Высота монтажа свет-ков (м)</w:t>
            </w:r>
          </w:p>
        </w:tc>
        <w:tc>
          <w:tcPr>
            <w:tcW w:w="1276" w:type="dxa"/>
            <w:tcBorders>
              <w:top w:val="single" w:sz="4" w:space="0" w:color="000000"/>
              <w:bottom w:val="single" w:sz="4" w:space="0" w:color="000000"/>
            </w:tcBorders>
          </w:tcPr>
          <w:p>
            <w:pPr>
              <w:pStyle w:val="Normal"/>
              <w:jc w:val="center"/>
              <w:rPr>
                <w:b/>
                <w:sz w:val="18"/>
              </w:rPr>
            </w:pPr>
            <w:r>
              <w:rPr>
                <w:b/>
                <w:sz w:val="18"/>
              </w:rPr>
              <w:t>Макс. т-ра окружающей среды в зоне работы светильника (С°)</w:t>
            </w:r>
          </w:p>
        </w:tc>
        <w:tc>
          <w:tcPr>
            <w:tcW w:w="3513" w:type="dxa"/>
            <w:tcBorders>
              <w:top w:val="single" w:sz="4" w:space="0" w:color="000000"/>
              <w:bottom w:val="single" w:sz="4" w:space="0" w:color="000000"/>
            </w:tcBorders>
          </w:tcPr>
          <w:p>
            <w:pPr>
              <w:pStyle w:val="Normal"/>
              <w:jc w:val="center"/>
              <w:rPr>
                <w:b/>
                <w:sz w:val="18"/>
              </w:rPr>
            </w:pPr>
            <w:r>
              <w:rPr>
                <w:b/>
                <w:sz w:val="18"/>
              </w:rPr>
              <w:t>Особенности монтажа и обслуживания светильников</w:t>
            </w:r>
          </w:p>
        </w:tc>
      </w:tr>
      <w:tr>
        <w:trPr>
          <w:trHeight w:val="560" w:hRule="atLeast"/>
        </w:trPr>
        <w:tc>
          <w:tcPr>
            <w:tcW w:w="773" w:type="dxa"/>
            <w:tcBorders>
              <w:bottom w:val="single" w:sz="4" w:space="0" w:color="000000"/>
            </w:tcBorders>
          </w:tcPr>
          <w:p>
            <w:pPr>
              <w:pStyle w:val="Normal"/>
              <w:jc w:val="center"/>
              <w:rPr>
                <w:sz w:val="18"/>
              </w:rPr>
            </w:pPr>
            <w:r>
              <w:rPr>
                <w:sz w:val="18"/>
              </w:rPr>
              <w:t>ДРЛ-1000</w:t>
            </w:r>
          </w:p>
        </w:tc>
        <w:tc>
          <w:tcPr>
            <w:tcW w:w="1063" w:type="dxa"/>
            <w:tcBorders>
              <w:bottom w:val="single" w:sz="4" w:space="0" w:color="000000"/>
            </w:tcBorders>
          </w:tcPr>
          <w:p>
            <w:pPr>
              <w:pStyle w:val="Normal"/>
              <w:jc w:val="center"/>
              <w:rPr>
                <w:sz w:val="18"/>
              </w:rPr>
            </w:pPr>
            <w:r>
              <w:rPr>
                <w:sz w:val="18"/>
              </w:rPr>
              <w:t>НСП 1000</w:t>
            </w:r>
          </w:p>
        </w:tc>
        <w:tc>
          <w:tcPr>
            <w:tcW w:w="711" w:type="dxa"/>
            <w:tcBorders>
              <w:bottom w:val="single" w:sz="4" w:space="0" w:color="000000"/>
            </w:tcBorders>
          </w:tcPr>
          <w:p>
            <w:pPr>
              <w:pStyle w:val="Normal"/>
              <w:jc w:val="center"/>
              <w:rPr>
                <w:sz w:val="18"/>
              </w:rPr>
            </w:pPr>
            <w:r>
              <w:rPr>
                <w:sz w:val="18"/>
              </w:rPr>
              <w:t>4 872</w:t>
            </w:r>
          </w:p>
        </w:tc>
        <w:tc>
          <w:tcPr>
            <w:tcW w:w="849" w:type="dxa"/>
            <w:tcBorders>
              <w:bottom w:val="single" w:sz="4" w:space="0" w:color="000000"/>
            </w:tcBorders>
          </w:tcPr>
          <w:p>
            <w:pPr>
              <w:pStyle w:val="Normal"/>
              <w:jc w:val="center"/>
              <w:rPr>
                <w:sz w:val="18"/>
              </w:rPr>
            </w:pPr>
            <w:r>
              <w:rPr>
                <w:sz w:val="18"/>
              </w:rPr>
              <w:t>1 000</w:t>
            </w:r>
          </w:p>
        </w:tc>
        <w:tc>
          <w:tcPr>
            <w:tcW w:w="708" w:type="dxa"/>
            <w:tcBorders>
              <w:bottom w:val="single" w:sz="4" w:space="0" w:color="000000"/>
            </w:tcBorders>
          </w:tcPr>
          <w:p>
            <w:pPr>
              <w:pStyle w:val="Normal"/>
              <w:jc w:val="center"/>
              <w:rPr>
                <w:sz w:val="18"/>
              </w:rPr>
            </w:pPr>
            <w:r>
              <w:rPr>
                <w:sz w:val="18"/>
              </w:rPr>
              <w:t>21</w:t>
            </w:r>
          </w:p>
        </w:tc>
        <w:tc>
          <w:tcPr>
            <w:tcW w:w="850" w:type="dxa"/>
            <w:tcBorders>
              <w:bottom w:val="single" w:sz="4" w:space="0" w:color="000000"/>
            </w:tcBorders>
          </w:tcPr>
          <w:p>
            <w:pPr>
              <w:pStyle w:val="Normal"/>
              <w:jc w:val="center"/>
              <w:rPr>
                <w:sz w:val="18"/>
              </w:rPr>
            </w:pPr>
            <w:r>
              <w:rPr>
                <w:sz w:val="18"/>
              </w:rPr>
              <w:t>21 000</w:t>
            </w:r>
          </w:p>
        </w:tc>
        <w:tc>
          <w:tcPr>
            <w:tcW w:w="1135" w:type="dxa"/>
            <w:tcBorders>
              <w:bottom w:val="single" w:sz="4" w:space="0" w:color="000000"/>
            </w:tcBorders>
          </w:tcPr>
          <w:p>
            <w:pPr>
              <w:pStyle w:val="Normal"/>
              <w:jc w:val="center"/>
              <w:rPr>
                <w:sz w:val="18"/>
              </w:rPr>
            </w:pPr>
            <w:r>
              <w:rPr>
                <w:sz w:val="18"/>
              </w:rPr>
              <w:t>102 312 000</w:t>
            </w:r>
          </w:p>
        </w:tc>
        <w:tc>
          <w:tcPr>
            <w:tcW w:w="2693" w:type="dxa"/>
            <w:tcBorders>
              <w:bottom w:val="single" w:sz="4" w:space="0" w:color="000000"/>
            </w:tcBorders>
          </w:tcPr>
          <w:p>
            <w:pPr>
              <w:pStyle w:val="Normal"/>
              <w:jc w:val="center"/>
              <w:rPr>
                <w:sz w:val="18"/>
              </w:rPr>
            </w:pPr>
            <w:r>
              <w:rPr>
                <w:sz w:val="18"/>
              </w:rPr>
              <w:t>участок порошковой металлургии о/к А-Л 1-9</w:t>
            </w:r>
          </w:p>
        </w:tc>
        <w:tc>
          <w:tcPr>
            <w:tcW w:w="1277" w:type="dxa"/>
            <w:tcBorders>
              <w:bottom w:val="single" w:sz="4" w:space="0" w:color="000000"/>
            </w:tcBorders>
          </w:tcPr>
          <w:p>
            <w:pPr>
              <w:pStyle w:val="Normal"/>
              <w:jc w:val="center"/>
              <w:rPr>
                <w:sz w:val="18"/>
              </w:rPr>
            </w:pPr>
            <w:r>
              <w:rPr>
                <w:sz w:val="18"/>
              </w:rPr>
              <w:t>48х48х13</w:t>
            </w:r>
          </w:p>
        </w:tc>
        <w:tc>
          <w:tcPr>
            <w:tcW w:w="1134" w:type="dxa"/>
            <w:tcBorders>
              <w:bottom w:val="single" w:sz="4" w:space="0" w:color="000000"/>
            </w:tcBorders>
          </w:tcPr>
          <w:p>
            <w:pPr>
              <w:pStyle w:val="Normal"/>
              <w:jc w:val="center"/>
              <w:rPr>
                <w:sz w:val="18"/>
              </w:rPr>
            </w:pPr>
            <w:r>
              <w:rPr>
                <w:sz w:val="18"/>
              </w:rPr>
              <w:t>10,5</w:t>
            </w:r>
          </w:p>
        </w:tc>
        <w:tc>
          <w:tcPr>
            <w:tcW w:w="1276" w:type="dxa"/>
            <w:tcBorders>
              <w:bottom w:val="single" w:sz="4" w:space="0" w:color="000000"/>
            </w:tcBorders>
          </w:tcPr>
          <w:p>
            <w:pPr>
              <w:pStyle w:val="Normal"/>
              <w:jc w:val="center"/>
              <w:rPr>
                <w:sz w:val="18"/>
              </w:rPr>
            </w:pPr>
            <w:r>
              <w:rPr>
                <w:sz w:val="18"/>
              </w:rPr>
              <w:t xml:space="preserve">до +40 °С </w:t>
            </w:r>
          </w:p>
        </w:tc>
        <w:tc>
          <w:tcPr>
            <w:tcW w:w="3513" w:type="dxa"/>
            <w:tcBorders>
              <w:bottom w:val="single" w:sz="4" w:space="0" w:color="000000"/>
            </w:tcBorders>
          </w:tcPr>
          <w:p>
            <w:pPr>
              <w:pStyle w:val="Normal"/>
              <w:jc w:val="center"/>
              <w:rPr>
                <w:sz w:val="18"/>
              </w:rPr>
            </w:pPr>
            <w:r>
              <w:rPr>
                <w:sz w:val="18"/>
              </w:rPr>
              <w:t>кран-балка</w:t>
            </w:r>
          </w:p>
        </w:tc>
      </w:tr>
      <w:tr>
        <w:trPr>
          <w:trHeight w:val="426" w:hRule="atLeast"/>
        </w:trPr>
        <w:tc>
          <w:tcPr>
            <w:tcW w:w="773" w:type="dxa"/>
            <w:tcBorders>
              <w:bottom w:val="single" w:sz="4" w:space="0" w:color="000000"/>
            </w:tcBorders>
          </w:tcPr>
          <w:p>
            <w:pPr>
              <w:pStyle w:val="Normal"/>
              <w:jc w:val="center"/>
              <w:rPr>
                <w:sz w:val="18"/>
              </w:rPr>
            </w:pPr>
            <w:r>
              <w:rPr>
                <w:sz w:val="18"/>
              </w:rPr>
              <w:t>ITL RT 300</w:t>
            </w:r>
          </w:p>
        </w:tc>
        <w:tc>
          <w:tcPr>
            <w:tcW w:w="1063" w:type="dxa"/>
            <w:tcBorders>
              <w:bottom w:val="single" w:sz="4" w:space="0" w:color="000000"/>
            </w:tcBorders>
          </w:tcPr>
          <w:p>
            <w:pPr>
              <w:pStyle w:val="Normal"/>
              <w:jc w:val="center"/>
              <w:rPr>
                <w:sz w:val="18"/>
              </w:rPr>
            </w:pPr>
            <w:r>
              <w:rPr>
                <w:sz w:val="18"/>
              </w:rPr>
              <w:t>ITL HB002-300</w:t>
            </w:r>
          </w:p>
        </w:tc>
        <w:tc>
          <w:tcPr>
            <w:tcW w:w="711" w:type="dxa"/>
            <w:tcBorders>
              <w:bottom w:val="single" w:sz="4" w:space="0" w:color="000000"/>
            </w:tcBorders>
          </w:tcPr>
          <w:p>
            <w:pPr>
              <w:pStyle w:val="Normal"/>
              <w:jc w:val="center"/>
              <w:rPr>
                <w:sz w:val="18"/>
              </w:rPr>
            </w:pPr>
            <w:r>
              <w:rPr>
                <w:sz w:val="18"/>
              </w:rPr>
              <w:t>4 872</w:t>
            </w:r>
          </w:p>
        </w:tc>
        <w:tc>
          <w:tcPr>
            <w:tcW w:w="849" w:type="dxa"/>
            <w:tcBorders>
              <w:bottom w:val="single" w:sz="4" w:space="0" w:color="000000"/>
            </w:tcBorders>
          </w:tcPr>
          <w:p>
            <w:pPr>
              <w:pStyle w:val="Normal"/>
              <w:jc w:val="center"/>
              <w:rPr>
                <w:sz w:val="18"/>
              </w:rPr>
            </w:pPr>
            <w:r>
              <w:rPr>
                <w:sz w:val="18"/>
              </w:rPr>
              <w:t>300</w:t>
            </w:r>
          </w:p>
        </w:tc>
        <w:tc>
          <w:tcPr>
            <w:tcW w:w="708" w:type="dxa"/>
            <w:tcBorders>
              <w:bottom w:val="single" w:sz="4" w:space="0" w:color="000000"/>
            </w:tcBorders>
          </w:tcPr>
          <w:p>
            <w:pPr>
              <w:pStyle w:val="Normal"/>
              <w:jc w:val="center"/>
              <w:rPr>
                <w:sz w:val="18"/>
              </w:rPr>
            </w:pPr>
            <w:r>
              <w:rPr>
                <w:sz w:val="18"/>
              </w:rPr>
              <w:t>17</w:t>
            </w:r>
          </w:p>
        </w:tc>
        <w:tc>
          <w:tcPr>
            <w:tcW w:w="850" w:type="dxa"/>
            <w:tcBorders>
              <w:bottom w:val="single" w:sz="4" w:space="0" w:color="000000"/>
            </w:tcBorders>
          </w:tcPr>
          <w:p>
            <w:pPr>
              <w:pStyle w:val="Normal"/>
              <w:jc w:val="center"/>
              <w:rPr>
                <w:sz w:val="18"/>
              </w:rPr>
            </w:pPr>
            <w:r>
              <w:rPr>
                <w:sz w:val="18"/>
              </w:rPr>
              <w:t>5 100</w:t>
            </w:r>
          </w:p>
        </w:tc>
        <w:tc>
          <w:tcPr>
            <w:tcW w:w="1135" w:type="dxa"/>
            <w:tcBorders>
              <w:bottom w:val="single" w:sz="4" w:space="0" w:color="000000"/>
            </w:tcBorders>
          </w:tcPr>
          <w:p>
            <w:pPr>
              <w:pStyle w:val="Normal"/>
              <w:jc w:val="center"/>
              <w:rPr>
                <w:sz w:val="18"/>
              </w:rPr>
            </w:pPr>
            <w:r>
              <w:rPr>
                <w:sz w:val="18"/>
              </w:rPr>
              <w:t>24 847 200</w:t>
            </w:r>
          </w:p>
        </w:tc>
        <w:tc>
          <w:tcPr>
            <w:tcW w:w="2693" w:type="dxa"/>
            <w:tcBorders>
              <w:bottom w:val="single" w:sz="4" w:space="0" w:color="000000"/>
            </w:tcBorders>
          </w:tcPr>
          <w:p>
            <w:pPr>
              <w:pStyle w:val="Normal"/>
              <w:jc w:val="center"/>
              <w:rPr>
                <w:sz w:val="18"/>
              </w:rPr>
            </w:pPr>
            <w:r>
              <w:rPr>
                <w:sz w:val="18"/>
              </w:rPr>
              <w:t>участок порошковой металлургии о/к А-Л 1-9</w:t>
            </w:r>
          </w:p>
        </w:tc>
        <w:tc>
          <w:tcPr>
            <w:tcW w:w="1277" w:type="dxa"/>
            <w:tcBorders>
              <w:bottom w:val="single" w:sz="4" w:space="0" w:color="000000"/>
            </w:tcBorders>
          </w:tcPr>
          <w:p>
            <w:pPr>
              <w:pStyle w:val="Normal"/>
              <w:jc w:val="center"/>
              <w:rPr>
                <w:sz w:val="18"/>
              </w:rPr>
            </w:pPr>
            <w:r>
              <w:rPr>
                <w:sz w:val="18"/>
              </w:rPr>
              <w:t>48х48х13</w:t>
            </w:r>
          </w:p>
        </w:tc>
        <w:tc>
          <w:tcPr>
            <w:tcW w:w="1134" w:type="dxa"/>
            <w:tcBorders>
              <w:bottom w:val="single" w:sz="4" w:space="0" w:color="000000"/>
            </w:tcBorders>
          </w:tcPr>
          <w:p>
            <w:pPr>
              <w:pStyle w:val="Normal"/>
              <w:jc w:val="center"/>
              <w:rPr>
                <w:sz w:val="18"/>
              </w:rPr>
            </w:pPr>
            <w:r>
              <w:rPr>
                <w:sz w:val="18"/>
              </w:rPr>
              <w:t>10,5</w:t>
            </w:r>
          </w:p>
        </w:tc>
        <w:tc>
          <w:tcPr>
            <w:tcW w:w="1276" w:type="dxa"/>
            <w:tcBorders>
              <w:bottom w:val="single" w:sz="4" w:space="0" w:color="000000"/>
            </w:tcBorders>
          </w:tcPr>
          <w:p>
            <w:pPr>
              <w:pStyle w:val="Normal"/>
              <w:jc w:val="center"/>
              <w:rPr>
                <w:sz w:val="18"/>
              </w:rPr>
            </w:pPr>
            <w:r>
              <w:rPr>
                <w:sz w:val="18"/>
              </w:rPr>
              <w:t xml:space="preserve">до +40 °С </w:t>
            </w:r>
          </w:p>
        </w:tc>
        <w:tc>
          <w:tcPr>
            <w:tcW w:w="3513" w:type="dxa"/>
            <w:tcBorders>
              <w:bottom w:val="single" w:sz="4" w:space="0" w:color="000000"/>
            </w:tcBorders>
          </w:tcPr>
          <w:p>
            <w:pPr>
              <w:pStyle w:val="Normal"/>
              <w:jc w:val="center"/>
              <w:rPr>
                <w:sz w:val="18"/>
              </w:rPr>
            </w:pPr>
            <w:r>
              <w:rPr>
                <w:sz w:val="18"/>
              </w:rPr>
              <w:t>кран-балка</w:t>
            </w:r>
          </w:p>
        </w:tc>
      </w:tr>
      <w:tr>
        <w:trPr>
          <w:trHeight w:val="506" w:hRule="atLeast"/>
        </w:trPr>
        <w:tc>
          <w:tcPr>
            <w:tcW w:w="773" w:type="dxa"/>
            <w:tcBorders>
              <w:bottom w:val="single" w:sz="4" w:space="0" w:color="000000"/>
            </w:tcBorders>
          </w:tcPr>
          <w:p>
            <w:pPr>
              <w:pStyle w:val="Normal"/>
              <w:jc w:val="center"/>
              <w:rPr>
                <w:sz w:val="18"/>
              </w:rPr>
            </w:pPr>
            <w:r>
              <w:rPr>
                <w:sz w:val="18"/>
              </w:rPr>
              <w:t>ДРЛ-1000</w:t>
            </w:r>
          </w:p>
        </w:tc>
        <w:tc>
          <w:tcPr>
            <w:tcW w:w="1063" w:type="dxa"/>
            <w:tcBorders>
              <w:bottom w:val="single" w:sz="4" w:space="0" w:color="000000"/>
            </w:tcBorders>
          </w:tcPr>
          <w:p>
            <w:pPr>
              <w:pStyle w:val="Normal"/>
              <w:jc w:val="center"/>
              <w:rPr>
                <w:sz w:val="18"/>
              </w:rPr>
            </w:pPr>
            <w:r>
              <w:rPr>
                <w:sz w:val="18"/>
              </w:rPr>
              <w:t>НСП 1000</w:t>
            </w:r>
          </w:p>
        </w:tc>
        <w:tc>
          <w:tcPr>
            <w:tcW w:w="711" w:type="dxa"/>
            <w:tcBorders>
              <w:bottom w:val="single" w:sz="4" w:space="0" w:color="000000"/>
            </w:tcBorders>
          </w:tcPr>
          <w:p>
            <w:pPr>
              <w:pStyle w:val="Normal"/>
              <w:jc w:val="center"/>
              <w:rPr>
                <w:sz w:val="18"/>
              </w:rPr>
            </w:pPr>
            <w:r>
              <w:rPr>
                <w:sz w:val="18"/>
              </w:rPr>
              <w:t>4 872</w:t>
            </w:r>
          </w:p>
        </w:tc>
        <w:tc>
          <w:tcPr>
            <w:tcW w:w="849" w:type="dxa"/>
            <w:tcBorders>
              <w:bottom w:val="single" w:sz="4" w:space="0" w:color="000000"/>
            </w:tcBorders>
          </w:tcPr>
          <w:p>
            <w:pPr>
              <w:pStyle w:val="Normal"/>
              <w:jc w:val="center"/>
              <w:rPr>
                <w:sz w:val="18"/>
              </w:rPr>
            </w:pPr>
            <w:r>
              <w:rPr>
                <w:sz w:val="18"/>
              </w:rPr>
              <w:t>1 000</w:t>
            </w:r>
          </w:p>
        </w:tc>
        <w:tc>
          <w:tcPr>
            <w:tcW w:w="708" w:type="dxa"/>
            <w:tcBorders>
              <w:bottom w:val="single" w:sz="4" w:space="0" w:color="000000"/>
            </w:tcBorders>
          </w:tcPr>
          <w:p>
            <w:pPr>
              <w:pStyle w:val="Normal"/>
              <w:jc w:val="center"/>
              <w:rPr>
                <w:sz w:val="18"/>
              </w:rPr>
            </w:pPr>
            <w:r>
              <w:rPr>
                <w:sz w:val="18"/>
              </w:rPr>
              <w:t>25</w:t>
            </w:r>
          </w:p>
        </w:tc>
        <w:tc>
          <w:tcPr>
            <w:tcW w:w="850" w:type="dxa"/>
            <w:tcBorders>
              <w:bottom w:val="single" w:sz="4" w:space="0" w:color="000000"/>
            </w:tcBorders>
          </w:tcPr>
          <w:p>
            <w:pPr>
              <w:pStyle w:val="Normal"/>
              <w:jc w:val="center"/>
              <w:rPr>
                <w:sz w:val="18"/>
              </w:rPr>
            </w:pPr>
            <w:r>
              <w:rPr>
                <w:sz w:val="18"/>
              </w:rPr>
              <w:t>29 000</w:t>
            </w:r>
          </w:p>
        </w:tc>
        <w:tc>
          <w:tcPr>
            <w:tcW w:w="1135" w:type="dxa"/>
            <w:tcBorders>
              <w:bottom w:val="single" w:sz="4" w:space="0" w:color="000000"/>
            </w:tcBorders>
          </w:tcPr>
          <w:p>
            <w:pPr>
              <w:pStyle w:val="Normal"/>
              <w:jc w:val="center"/>
              <w:rPr>
                <w:sz w:val="18"/>
              </w:rPr>
            </w:pPr>
            <w:r>
              <w:rPr>
                <w:sz w:val="18"/>
              </w:rPr>
              <w:t>141 288 000</w:t>
            </w:r>
          </w:p>
        </w:tc>
        <w:tc>
          <w:tcPr>
            <w:tcW w:w="2693" w:type="dxa"/>
            <w:tcBorders>
              <w:bottom w:val="single" w:sz="4" w:space="0" w:color="000000"/>
            </w:tcBorders>
          </w:tcPr>
          <w:p>
            <w:pPr>
              <w:pStyle w:val="Normal"/>
              <w:jc w:val="center"/>
              <w:rPr>
                <w:sz w:val="18"/>
              </w:rPr>
            </w:pPr>
            <w:r>
              <w:rPr>
                <w:sz w:val="18"/>
              </w:rPr>
              <w:t>участок порошковой металлургии о/к Л-Ф 1-9</w:t>
            </w:r>
          </w:p>
        </w:tc>
        <w:tc>
          <w:tcPr>
            <w:tcW w:w="1277" w:type="dxa"/>
            <w:tcBorders>
              <w:bottom w:val="single" w:sz="4" w:space="0" w:color="000000"/>
            </w:tcBorders>
          </w:tcPr>
          <w:p>
            <w:pPr>
              <w:pStyle w:val="Normal"/>
              <w:jc w:val="center"/>
              <w:rPr>
                <w:sz w:val="18"/>
              </w:rPr>
            </w:pPr>
            <w:r>
              <w:rPr>
                <w:sz w:val="18"/>
              </w:rPr>
              <w:t>48х48х13</w:t>
            </w:r>
          </w:p>
        </w:tc>
        <w:tc>
          <w:tcPr>
            <w:tcW w:w="1134" w:type="dxa"/>
            <w:tcBorders>
              <w:bottom w:val="single" w:sz="4" w:space="0" w:color="000000"/>
            </w:tcBorders>
          </w:tcPr>
          <w:p>
            <w:pPr>
              <w:pStyle w:val="Normal"/>
              <w:jc w:val="center"/>
              <w:rPr>
                <w:sz w:val="18"/>
              </w:rPr>
            </w:pPr>
            <w:r>
              <w:rPr>
                <w:sz w:val="18"/>
              </w:rPr>
              <w:t>10,5</w:t>
            </w:r>
          </w:p>
        </w:tc>
        <w:tc>
          <w:tcPr>
            <w:tcW w:w="1276" w:type="dxa"/>
            <w:tcBorders>
              <w:bottom w:val="single" w:sz="4" w:space="0" w:color="000000"/>
            </w:tcBorders>
          </w:tcPr>
          <w:p>
            <w:pPr>
              <w:pStyle w:val="Normal"/>
              <w:jc w:val="center"/>
              <w:rPr>
                <w:sz w:val="18"/>
              </w:rPr>
            </w:pPr>
            <w:r>
              <w:rPr>
                <w:sz w:val="18"/>
              </w:rPr>
              <w:t xml:space="preserve">до +40 °С </w:t>
            </w:r>
          </w:p>
        </w:tc>
        <w:tc>
          <w:tcPr>
            <w:tcW w:w="3513" w:type="dxa"/>
            <w:tcBorders>
              <w:bottom w:val="single" w:sz="4" w:space="0" w:color="000000"/>
            </w:tcBorders>
          </w:tcPr>
          <w:p>
            <w:pPr>
              <w:pStyle w:val="Normal"/>
              <w:jc w:val="center"/>
              <w:rPr>
                <w:sz w:val="18"/>
              </w:rPr>
            </w:pPr>
            <w:r>
              <w:rPr>
                <w:sz w:val="18"/>
              </w:rPr>
              <w:t>кран-балка</w:t>
            </w:r>
          </w:p>
        </w:tc>
      </w:tr>
      <w:tr>
        <w:trPr>
          <w:trHeight w:val="556" w:hRule="atLeast"/>
        </w:trPr>
        <w:tc>
          <w:tcPr>
            <w:tcW w:w="773" w:type="dxa"/>
            <w:tcBorders>
              <w:bottom w:val="single" w:sz="4" w:space="0" w:color="000000"/>
            </w:tcBorders>
          </w:tcPr>
          <w:p>
            <w:pPr>
              <w:pStyle w:val="Normal"/>
              <w:jc w:val="center"/>
              <w:rPr>
                <w:sz w:val="18"/>
              </w:rPr>
            </w:pPr>
            <w:r>
              <w:rPr>
                <w:sz w:val="18"/>
              </w:rPr>
              <w:t>ITL RT 300</w:t>
            </w:r>
          </w:p>
        </w:tc>
        <w:tc>
          <w:tcPr>
            <w:tcW w:w="1063" w:type="dxa"/>
            <w:tcBorders>
              <w:bottom w:val="single" w:sz="4" w:space="0" w:color="000000"/>
            </w:tcBorders>
          </w:tcPr>
          <w:p>
            <w:pPr>
              <w:pStyle w:val="Normal"/>
              <w:jc w:val="center"/>
              <w:rPr>
                <w:sz w:val="18"/>
              </w:rPr>
            </w:pPr>
            <w:r>
              <w:rPr>
                <w:sz w:val="18"/>
              </w:rPr>
              <w:t>ITL HB002-300</w:t>
            </w:r>
          </w:p>
        </w:tc>
        <w:tc>
          <w:tcPr>
            <w:tcW w:w="711" w:type="dxa"/>
            <w:tcBorders>
              <w:bottom w:val="single" w:sz="4" w:space="0" w:color="000000"/>
            </w:tcBorders>
          </w:tcPr>
          <w:p>
            <w:pPr>
              <w:pStyle w:val="Normal"/>
              <w:jc w:val="center"/>
              <w:rPr>
                <w:sz w:val="18"/>
              </w:rPr>
            </w:pPr>
            <w:r>
              <w:rPr>
                <w:sz w:val="18"/>
              </w:rPr>
              <w:t>4 872</w:t>
            </w:r>
          </w:p>
        </w:tc>
        <w:tc>
          <w:tcPr>
            <w:tcW w:w="849" w:type="dxa"/>
            <w:tcBorders>
              <w:bottom w:val="single" w:sz="4" w:space="0" w:color="000000"/>
            </w:tcBorders>
          </w:tcPr>
          <w:p>
            <w:pPr>
              <w:pStyle w:val="Normal"/>
              <w:jc w:val="center"/>
              <w:rPr>
                <w:sz w:val="18"/>
              </w:rPr>
            </w:pPr>
            <w:r>
              <w:rPr>
                <w:sz w:val="18"/>
              </w:rPr>
              <w:t>300</w:t>
            </w:r>
          </w:p>
        </w:tc>
        <w:tc>
          <w:tcPr>
            <w:tcW w:w="708" w:type="dxa"/>
            <w:tcBorders>
              <w:bottom w:val="single" w:sz="4" w:space="0" w:color="000000"/>
            </w:tcBorders>
          </w:tcPr>
          <w:p>
            <w:pPr>
              <w:pStyle w:val="Normal"/>
              <w:jc w:val="center"/>
              <w:rPr>
                <w:sz w:val="18"/>
              </w:rPr>
            </w:pPr>
            <w:r>
              <w:rPr>
                <w:sz w:val="18"/>
              </w:rPr>
              <w:t>13</w:t>
            </w:r>
          </w:p>
        </w:tc>
        <w:tc>
          <w:tcPr>
            <w:tcW w:w="850" w:type="dxa"/>
            <w:tcBorders>
              <w:bottom w:val="single" w:sz="4" w:space="0" w:color="000000"/>
            </w:tcBorders>
          </w:tcPr>
          <w:p>
            <w:pPr>
              <w:pStyle w:val="Normal"/>
              <w:jc w:val="center"/>
              <w:rPr>
                <w:sz w:val="18"/>
              </w:rPr>
            </w:pPr>
            <w:r>
              <w:rPr>
                <w:sz w:val="18"/>
              </w:rPr>
              <w:t>3 900</w:t>
            </w:r>
          </w:p>
        </w:tc>
        <w:tc>
          <w:tcPr>
            <w:tcW w:w="1135" w:type="dxa"/>
            <w:tcBorders>
              <w:bottom w:val="single" w:sz="4" w:space="0" w:color="000000"/>
            </w:tcBorders>
          </w:tcPr>
          <w:p>
            <w:pPr>
              <w:pStyle w:val="Normal"/>
              <w:jc w:val="center"/>
              <w:rPr>
                <w:sz w:val="18"/>
              </w:rPr>
            </w:pPr>
            <w:r>
              <w:rPr>
                <w:sz w:val="18"/>
              </w:rPr>
              <w:t>21 924 000</w:t>
            </w:r>
          </w:p>
        </w:tc>
        <w:tc>
          <w:tcPr>
            <w:tcW w:w="2693" w:type="dxa"/>
            <w:tcBorders>
              <w:bottom w:val="single" w:sz="4" w:space="0" w:color="000000"/>
            </w:tcBorders>
          </w:tcPr>
          <w:p>
            <w:pPr>
              <w:pStyle w:val="Normal"/>
              <w:jc w:val="center"/>
              <w:rPr>
                <w:sz w:val="18"/>
              </w:rPr>
            </w:pPr>
            <w:r>
              <w:rPr>
                <w:sz w:val="18"/>
              </w:rPr>
              <w:t>участок порошковой металлургии о/к Л-Ф 1-9</w:t>
            </w:r>
          </w:p>
        </w:tc>
        <w:tc>
          <w:tcPr>
            <w:tcW w:w="1277" w:type="dxa"/>
            <w:tcBorders>
              <w:bottom w:val="single" w:sz="4" w:space="0" w:color="000000"/>
            </w:tcBorders>
          </w:tcPr>
          <w:p>
            <w:pPr>
              <w:pStyle w:val="Normal"/>
              <w:jc w:val="center"/>
              <w:rPr>
                <w:sz w:val="18"/>
              </w:rPr>
            </w:pPr>
            <w:r>
              <w:rPr>
                <w:sz w:val="18"/>
              </w:rPr>
              <w:t>48х48х13</w:t>
            </w:r>
          </w:p>
        </w:tc>
        <w:tc>
          <w:tcPr>
            <w:tcW w:w="1134" w:type="dxa"/>
            <w:tcBorders>
              <w:bottom w:val="single" w:sz="4" w:space="0" w:color="000000"/>
            </w:tcBorders>
          </w:tcPr>
          <w:p>
            <w:pPr>
              <w:pStyle w:val="Normal"/>
              <w:jc w:val="center"/>
              <w:rPr>
                <w:sz w:val="18"/>
              </w:rPr>
            </w:pPr>
            <w:r>
              <w:rPr>
                <w:sz w:val="18"/>
              </w:rPr>
              <w:t>10,5</w:t>
            </w:r>
          </w:p>
        </w:tc>
        <w:tc>
          <w:tcPr>
            <w:tcW w:w="1276" w:type="dxa"/>
            <w:tcBorders>
              <w:bottom w:val="single" w:sz="4" w:space="0" w:color="000000"/>
            </w:tcBorders>
          </w:tcPr>
          <w:p>
            <w:pPr>
              <w:pStyle w:val="Normal"/>
              <w:jc w:val="center"/>
              <w:rPr>
                <w:sz w:val="18"/>
              </w:rPr>
            </w:pPr>
            <w:r>
              <w:rPr>
                <w:sz w:val="18"/>
              </w:rPr>
              <w:t xml:space="preserve">до +40 °С </w:t>
            </w:r>
          </w:p>
        </w:tc>
        <w:tc>
          <w:tcPr>
            <w:tcW w:w="3513" w:type="dxa"/>
            <w:tcBorders>
              <w:bottom w:val="single" w:sz="4" w:space="0" w:color="000000"/>
            </w:tcBorders>
          </w:tcPr>
          <w:p>
            <w:pPr>
              <w:pStyle w:val="Normal"/>
              <w:jc w:val="center"/>
              <w:rPr>
                <w:sz w:val="18"/>
              </w:rPr>
            </w:pPr>
            <w:r>
              <w:rPr>
                <w:sz w:val="18"/>
              </w:rPr>
              <w:t>кран-балка</w:t>
            </w:r>
          </w:p>
        </w:tc>
      </w:tr>
      <w:tr>
        <w:trPr>
          <w:trHeight w:val="494" w:hRule="atLeast"/>
        </w:trPr>
        <w:tc>
          <w:tcPr>
            <w:tcW w:w="773" w:type="dxa"/>
            <w:tcBorders>
              <w:bottom w:val="single" w:sz="4" w:space="0" w:color="000000"/>
            </w:tcBorders>
          </w:tcPr>
          <w:p>
            <w:pPr>
              <w:pStyle w:val="Normal"/>
              <w:jc w:val="center"/>
              <w:rPr>
                <w:sz w:val="18"/>
              </w:rPr>
            </w:pPr>
            <w:r>
              <w:rPr>
                <w:sz w:val="18"/>
              </w:rPr>
              <w:t>ДРЛ-1000</w:t>
            </w:r>
          </w:p>
        </w:tc>
        <w:tc>
          <w:tcPr>
            <w:tcW w:w="1063" w:type="dxa"/>
            <w:tcBorders>
              <w:bottom w:val="single" w:sz="4" w:space="0" w:color="000000"/>
            </w:tcBorders>
          </w:tcPr>
          <w:p>
            <w:pPr>
              <w:pStyle w:val="Normal"/>
              <w:jc w:val="center"/>
              <w:rPr>
                <w:sz w:val="18"/>
              </w:rPr>
            </w:pPr>
            <w:r>
              <w:rPr>
                <w:sz w:val="18"/>
              </w:rPr>
              <w:t>НСП 1000</w:t>
            </w:r>
          </w:p>
        </w:tc>
        <w:tc>
          <w:tcPr>
            <w:tcW w:w="711" w:type="dxa"/>
            <w:tcBorders>
              <w:bottom w:val="single" w:sz="4" w:space="0" w:color="000000"/>
            </w:tcBorders>
          </w:tcPr>
          <w:p>
            <w:pPr>
              <w:pStyle w:val="Normal"/>
              <w:jc w:val="center"/>
              <w:rPr>
                <w:sz w:val="18"/>
              </w:rPr>
            </w:pPr>
            <w:r>
              <w:rPr>
                <w:sz w:val="18"/>
              </w:rPr>
              <w:t>4 872</w:t>
            </w:r>
          </w:p>
        </w:tc>
        <w:tc>
          <w:tcPr>
            <w:tcW w:w="849" w:type="dxa"/>
            <w:tcBorders>
              <w:bottom w:val="single" w:sz="4" w:space="0" w:color="000000"/>
            </w:tcBorders>
          </w:tcPr>
          <w:p>
            <w:pPr>
              <w:pStyle w:val="Normal"/>
              <w:jc w:val="center"/>
              <w:rPr>
                <w:sz w:val="18"/>
              </w:rPr>
            </w:pPr>
            <w:r>
              <w:rPr>
                <w:sz w:val="18"/>
              </w:rPr>
              <w:t>1 000</w:t>
            </w:r>
          </w:p>
        </w:tc>
        <w:tc>
          <w:tcPr>
            <w:tcW w:w="708" w:type="dxa"/>
            <w:tcBorders>
              <w:bottom w:val="single" w:sz="4" w:space="0" w:color="000000"/>
            </w:tcBorders>
          </w:tcPr>
          <w:p>
            <w:pPr>
              <w:pStyle w:val="Normal"/>
              <w:jc w:val="center"/>
              <w:rPr>
                <w:sz w:val="18"/>
              </w:rPr>
            </w:pPr>
            <w:r>
              <w:rPr>
                <w:sz w:val="18"/>
              </w:rPr>
              <w:t>4</w:t>
            </w:r>
          </w:p>
        </w:tc>
        <w:tc>
          <w:tcPr>
            <w:tcW w:w="850" w:type="dxa"/>
            <w:tcBorders>
              <w:bottom w:val="single" w:sz="4" w:space="0" w:color="000000"/>
            </w:tcBorders>
          </w:tcPr>
          <w:p>
            <w:pPr>
              <w:pStyle w:val="Normal"/>
              <w:jc w:val="center"/>
              <w:rPr>
                <w:sz w:val="18"/>
              </w:rPr>
            </w:pPr>
            <w:r>
              <w:rPr>
                <w:sz w:val="18"/>
              </w:rPr>
              <w:t>2 000</w:t>
            </w:r>
          </w:p>
        </w:tc>
        <w:tc>
          <w:tcPr>
            <w:tcW w:w="1135" w:type="dxa"/>
            <w:tcBorders>
              <w:bottom w:val="single" w:sz="4" w:space="0" w:color="000000"/>
            </w:tcBorders>
          </w:tcPr>
          <w:p>
            <w:pPr>
              <w:pStyle w:val="Normal"/>
              <w:jc w:val="center"/>
              <w:rPr>
                <w:sz w:val="18"/>
              </w:rPr>
            </w:pPr>
            <w:r>
              <w:rPr>
                <w:sz w:val="18"/>
              </w:rPr>
              <w:t>9 744 000</w:t>
            </w:r>
          </w:p>
        </w:tc>
        <w:tc>
          <w:tcPr>
            <w:tcW w:w="2693" w:type="dxa"/>
            <w:tcBorders>
              <w:bottom w:val="single" w:sz="4" w:space="0" w:color="000000"/>
            </w:tcBorders>
          </w:tcPr>
          <w:p>
            <w:pPr>
              <w:pStyle w:val="Normal"/>
              <w:jc w:val="center"/>
              <w:rPr>
                <w:sz w:val="18"/>
              </w:rPr>
            </w:pPr>
            <w:r>
              <w:rPr>
                <w:sz w:val="18"/>
              </w:rPr>
              <w:t>участок порошковой металлургии о/к Ф-Я 1-9</w:t>
            </w:r>
          </w:p>
        </w:tc>
        <w:tc>
          <w:tcPr>
            <w:tcW w:w="1277" w:type="dxa"/>
            <w:tcBorders>
              <w:bottom w:val="single" w:sz="4" w:space="0" w:color="000000"/>
            </w:tcBorders>
          </w:tcPr>
          <w:p>
            <w:pPr>
              <w:pStyle w:val="Normal"/>
              <w:jc w:val="center"/>
              <w:rPr>
                <w:sz w:val="18"/>
              </w:rPr>
            </w:pPr>
            <w:r>
              <w:rPr>
                <w:sz w:val="18"/>
              </w:rPr>
              <w:t>48х48х13</w:t>
            </w:r>
          </w:p>
        </w:tc>
        <w:tc>
          <w:tcPr>
            <w:tcW w:w="1134" w:type="dxa"/>
            <w:tcBorders>
              <w:bottom w:val="single" w:sz="4" w:space="0" w:color="000000"/>
            </w:tcBorders>
          </w:tcPr>
          <w:p>
            <w:pPr>
              <w:pStyle w:val="Normal"/>
              <w:jc w:val="center"/>
              <w:rPr>
                <w:sz w:val="18"/>
              </w:rPr>
            </w:pPr>
            <w:r>
              <w:rPr>
                <w:sz w:val="18"/>
              </w:rPr>
              <w:t>10,5</w:t>
            </w:r>
          </w:p>
        </w:tc>
        <w:tc>
          <w:tcPr>
            <w:tcW w:w="1276" w:type="dxa"/>
            <w:tcBorders>
              <w:bottom w:val="single" w:sz="4" w:space="0" w:color="000000"/>
            </w:tcBorders>
          </w:tcPr>
          <w:p>
            <w:pPr>
              <w:pStyle w:val="Normal"/>
              <w:jc w:val="center"/>
              <w:rPr>
                <w:sz w:val="18"/>
              </w:rPr>
            </w:pPr>
            <w:r>
              <w:rPr>
                <w:sz w:val="18"/>
              </w:rPr>
              <w:t xml:space="preserve">до +40 °С </w:t>
            </w:r>
          </w:p>
        </w:tc>
        <w:tc>
          <w:tcPr>
            <w:tcW w:w="3513" w:type="dxa"/>
            <w:tcBorders>
              <w:bottom w:val="single" w:sz="4" w:space="0" w:color="000000"/>
            </w:tcBorders>
          </w:tcPr>
          <w:p>
            <w:pPr>
              <w:pStyle w:val="Normal"/>
              <w:jc w:val="center"/>
              <w:rPr>
                <w:sz w:val="18"/>
              </w:rPr>
            </w:pPr>
            <w:r>
              <w:rPr>
                <w:sz w:val="18"/>
              </w:rPr>
              <w:t>автовышка</w:t>
            </w:r>
          </w:p>
        </w:tc>
      </w:tr>
      <w:tr>
        <w:trPr>
          <w:trHeight w:val="402" w:hRule="atLeast"/>
        </w:trPr>
        <w:tc>
          <w:tcPr>
            <w:tcW w:w="773" w:type="dxa"/>
            <w:tcBorders>
              <w:bottom w:val="single" w:sz="4" w:space="0" w:color="000000"/>
            </w:tcBorders>
          </w:tcPr>
          <w:p>
            <w:pPr>
              <w:pStyle w:val="Normal"/>
              <w:jc w:val="center"/>
              <w:rPr>
                <w:sz w:val="18"/>
              </w:rPr>
            </w:pPr>
            <w:r>
              <w:rPr>
                <w:sz w:val="18"/>
              </w:rPr>
              <w:t>ITL RT 300</w:t>
            </w:r>
          </w:p>
        </w:tc>
        <w:tc>
          <w:tcPr>
            <w:tcW w:w="1063" w:type="dxa"/>
            <w:tcBorders>
              <w:bottom w:val="single" w:sz="4" w:space="0" w:color="000000"/>
            </w:tcBorders>
          </w:tcPr>
          <w:p>
            <w:pPr>
              <w:pStyle w:val="Normal"/>
              <w:jc w:val="center"/>
              <w:rPr>
                <w:sz w:val="18"/>
              </w:rPr>
            </w:pPr>
            <w:r>
              <w:rPr>
                <w:sz w:val="18"/>
              </w:rPr>
              <w:t>ITL HB002-300</w:t>
            </w:r>
          </w:p>
        </w:tc>
        <w:tc>
          <w:tcPr>
            <w:tcW w:w="711" w:type="dxa"/>
            <w:tcBorders>
              <w:bottom w:val="single" w:sz="4" w:space="0" w:color="000000"/>
            </w:tcBorders>
          </w:tcPr>
          <w:p>
            <w:pPr>
              <w:pStyle w:val="Normal"/>
              <w:jc w:val="center"/>
              <w:rPr>
                <w:sz w:val="18"/>
              </w:rPr>
            </w:pPr>
            <w:r>
              <w:rPr>
                <w:sz w:val="18"/>
              </w:rPr>
              <w:t>4 872</w:t>
            </w:r>
          </w:p>
        </w:tc>
        <w:tc>
          <w:tcPr>
            <w:tcW w:w="849" w:type="dxa"/>
            <w:tcBorders>
              <w:bottom w:val="single" w:sz="4" w:space="0" w:color="000000"/>
            </w:tcBorders>
          </w:tcPr>
          <w:p>
            <w:pPr>
              <w:pStyle w:val="Normal"/>
              <w:jc w:val="center"/>
              <w:rPr>
                <w:sz w:val="18"/>
              </w:rPr>
            </w:pPr>
            <w:r>
              <w:rPr>
                <w:sz w:val="18"/>
              </w:rPr>
              <w:t>300</w:t>
            </w:r>
          </w:p>
        </w:tc>
        <w:tc>
          <w:tcPr>
            <w:tcW w:w="708" w:type="dxa"/>
            <w:tcBorders>
              <w:bottom w:val="single" w:sz="4" w:space="0" w:color="000000"/>
            </w:tcBorders>
          </w:tcPr>
          <w:p>
            <w:pPr>
              <w:pStyle w:val="Normal"/>
              <w:jc w:val="center"/>
              <w:rPr>
                <w:sz w:val="18"/>
              </w:rPr>
            </w:pPr>
            <w:r>
              <w:rPr>
                <w:sz w:val="18"/>
              </w:rPr>
              <w:t>6</w:t>
            </w:r>
          </w:p>
        </w:tc>
        <w:tc>
          <w:tcPr>
            <w:tcW w:w="850" w:type="dxa"/>
            <w:tcBorders>
              <w:bottom w:val="single" w:sz="4" w:space="0" w:color="000000"/>
            </w:tcBorders>
          </w:tcPr>
          <w:p>
            <w:pPr>
              <w:pStyle w:val="Normal"/>
              <w:jc w:val="center"/>
              <w:rPr>
                <w:sz w:val="18"/>
              </w:rPr>
            </w:pPr>
            <w:r>
              <w:rPr>
                <w:sz w:val="18"/>
              </w:rPr>
              <w:t>1 800</w:t>
            </w:r>
          </w:p>
        </w:tc>
        <w:tc>
          <w:tcPr>
            <w:tcW w:w="1135" w:type="dxa"/>
            <w:tcBorders>
              <w:bottom w:val="single" w:sz="4" w:space="0" w:color="000000"/>
            </w:tcBorders>
          </w:tcPr>
          <w:p>
            <w:pPr>
              <w:pStyle w:val="Normal"/>
              <w:jc w:val="center"/>
              <w:rPr>
                <w:sz w:val="18"/>
              </w:rPr>
            </w:pPr>
            <w:r>
              <w:rPr>
                <w:sz w:val="18"/>
              </w:rPr>
              <w:t>8 769 600</w:t>
            </w:r>
          </w:p>
        </w:tc>
        <w:tc>
          <w:tcPr>
            <w:tcW w:w="2693" w:type="dxa"/>
            <w:tcBorders>
              <w:bottom w:val="single" w:sz="4" w:space="0" w:color="000000"/>
            </w:tcBorders>
          </w:tcPr>
          <w:p>
            <w:pPr>
              <w:pStyle w:val="Normal"/>
              <w:jc w:val="center"/>
              <w:rPr>
                <w:sz w:val="18"/>
              </w:rPr>
            </w:pPr>
            <w:r>
              <w:rPr>
                <w:sz w:val="18"/>
              </w:rPr>
              <w:t>участок порошковой металлургии о/к Ф-Я 1-9</w:t>
            </w:r>
          </w:p>
        </w:tc>
        <w:tc>
          <w:tcPr>
            <w:tcW w:w="1277" w:type="dxa"/>
            <w:tcBorders>
              <w:bottom w:val="single" w:sz="4" w:space="0" w:color="000000"/>
            </w:tcBorders>
          </w:tcPr>
          <w:p>
            <w:pPr>
              <w:pStyle w:val="Normal"/>
              <w:jc w:val="center"/>
              <w:rPr>
                <w:sz w:val="18"/>
              </w:rPr>
            </w:pPr>
            <w:r>
              <w:rPr>
                <w:sz w:val="18"/>
              </w:rPr>
              <w:t>48х48х13</w:t>
            </w:r>
          </w:p>
        </w:tc>
        <w:tc>
          <w:tcPr>
            <w:tcW w:w="1134" w:type="dxa"/>
            <w:tcBorders>
              <w:bottom w:val="single" w:sz="4" w:space="0" w:color="000000"/>
            </w:tcBorders>
          </w:tcPr>
          <w:p>
            <w:pPr>
              <w:pStyle w:val="Normal"/>
              <w:jc w:val="center"/>
              <w:rPr>
                <w:sz w:val="18"/>
              </w:rPr>
            </w:pPr>
            <w:r>
              <w:rPr>
                <w:sz w:val="18"/>
              </w:rPr>
              <w:t>10,5</w:t>
            </w:r>
          </w:p>
        </w:tc>
        <w:tc>
          <w:tcPr>
            <w:tcW w:w="1276" w:type="dxa"/>
            <w:tcBorders>
              <w:bottom w:val="single" w:sz="4" w:space="0" w:color="000000"/>
            </w:tcBorders>
          </w:tcPr>
          <w:p>
            <w:pPr>
              <w:pStyle w:val="Normal"/>
              <w:jc w:val="center"/>
              <w:rPr>
                <w:sz w:val="18"/>
              </w:rPr>
            </w:pPr>
            <w:r>
              <w:rPr>
                <w:sz w:val="18"/>
              </w:rPr>
              <w:t xml:space="preserve">до +40 °С </w:t>
            </w:r>
          </w:p>
        </w:tc>
        <w:tc>
          <w:tcPr>
            <w:tcW w:w="3513" w:type="dxa"/>
            <w:tcBorders>
              <w:bottom w:val="single" w:sz="4" w:space="0" w:color="000000"/>
            </w:tcBorders>
          </w:tcPr>
          <w:p>
            <w:pPr>
              <w:pStyle w:val="Normal"/>
              <w:jc w:val="center"/>
              <w:rPr>
                <w:sz w:val="18"/>
              </w:rPr>
            </w:pPr>
            <w:r>
              <w:rPr>
                <w:sz w:val="18"/>
              </w:rPr>
              <w:t>автовышка</w:t>
            </w:r>
          </w:p>
        </w:tc>
      </w:tr>
      <w:tr>
        <w:trPr>
          <w:trHeight w:val="482" w:hRule="atLeast"/>
        </w:trPr>
        <w:tc>
          <w:tcPr>
            <w:tcW w:w="773" w:type="dxa"/>
            <w:tcBorders>
              <w:bottom w:val="single" w:sz="4" w:space="0" w:color="000000"/>
            </w:tcBorders>
          </w:tcPr>
          <w:p>
            <w:pPr>
              <w:pStyle w:val="Normal"/>
              <w:jc w:val="center"/>
              <w:rPr>
                <w:sz w:val="18"/>
              </w:rPr>
            </w:pPr>
            <w:r>
              <w:rPr>
                <w:sz w:val="18"/>
              </w:rPr>
              <w:t>ДРЛ-1000</w:t>
            </w:r>
          </w:p>
        </w:tc>
        <w:tc>
          <w:tcPr>
            <w:tcW w:w="1063" w:type="dxa"/>
            <w:tcBorders>
              <w:bottom w:val="single" w:sz="4" w:space="0" w:color="000000"/>
            </w:tcBorders>
          </w:tcPr>
          <w:p>
            <w:pPr>
              <w:pStyle w:val="Normal"/>
              <w:jc w:val="center"/>
              <w:rPr>
                <w:sz w:val="18"/>
              </w:rPr>
            </w:pPr>
            <w:r>
              <w:rPr>
                <w:sz w:val="18"/>
              </w:rPr>
              <w:t>НСП 1000</w:t>
            </w:r>
          </w:p>
        </w:tc>
        <w:tc>
          <w:tcPr>
            <w:tcW w:w="711" w:type="dxa"/>
            <w:tcBorders>
              <w:bottom w:val="single" w:sz="4" w:space="0" w:color="000000"/>
            </w:tcBorders>
          </w:tcPr>
          <w:p>
            <w:pPr>
              <w:pStyle w:val="Normal"/>
              <w:jc w:val="center"/>
              <w:rPr>
                <w:sz w:val="18"/>
              </w:rPr>
            </w:pPr>
            <w:r>
              <w:rPr>
                <w:sz w:val="18"/>
              </w:rPr>
              <w:t>2 300</w:t>
            </w:r>
          </w:p>
        </w:tc>
        <w:tc>
          <w:tcPr>
            <w:tcW w:w="849" w:type="dxa"/>
            <w:tcBorders>
              <w:bottom w:val="single" w:sz="4" w:space="0" w:color="000000"/>
            </w:tcBorders>
          </w:tcPr>
          <w:p>
            <w:pPr>
              <w:pStyle w:val="Normal"/>
              <w:jc w:val="center"/>
              <w:rPr>
                <w:sz w:val="18"/>
              </w:rPr>
            </w:pPr>
            <w:r>
              <w:rPr>
                <w:sz w:val="18"/>
              </w:rPr>
              <w:t>1 000</w:t>
            </w:r>
          </w:p>
        </w:tc>
        <w:tc>
          <w:tcPr>
            <w:tcW w:w="708" w:type="dxa"/>
            <w:tcBorders>
              <w:bottom w:val="single" w:sz="4" w:space="0" w:color="000000"/>
            </w:tcBorders>
          </w:tcPr>
          <w:p>
            <w:pPr>
              <w:pStyle w:val="Normal"/>
              <w:jc w:val="center"/>
              <w:rPr>
                <w:sz w:val="18"/>
              </w:rPr>
            </w:pPr>
            <w:r>
              <w:rPr>
                <w:sz w:val="18"/>
              </w:rPr>
              <w:t>20</w:t>
            </w:r>
          </w:p>
        </w:tc>
        <w:tc>
          <w:tcPr>
            <w:tcW w:w="850" w:type="dxa"/>
            <w:tcBorders>
              <w:bottom w:val="single" w:sz="4" w:space="0" w:color="000000"/>
            </w:tcBorders>
          </w:tcPr>
          <w:p>
            <w:pPr>
              <w:pStyle w:val="Normal"/>
              <w:jc w:val="center"/>
              <w:rPr>
                <w:sz w:val="18"/>
              </w:rPr>
            </w:pPr>
            <w:r>
              <w:rPr>
                <w:sz w:val="18"/>
              </w:rPr>
              <w:t>16 000</w:t>
            </w:r>
          </w:p>
        </w:tc>
        <w:tc>
          <w:tcPr>
            <w:tcW w:w="1135" w:type="dxa"/>
            <w:tcBorders>
              <w:bottom w:val="single" w:sz="4" w:space="0" w:color="000000"/>
            </w:tcBorders>
          </w:tcPr>
          <w:p>
            <w:pPr>
              <w:pStyle w:val="Normal"/>
              <w:jc w:val="center"/>
              <w:rPr>
                <w:sz w:val="18"/>
              </w:rPr>
            </w:pPr>
            <w:r>
              <w:rPr>
                <w:sz w:val="18"/>
              </w:rPr>
              <w:t>36 800 000</w:t>
            </w:r>
          </w:p>
        </w:tc>
        <w:tc>
          <w:tcPr>
            <w:tcW w:w="2693" w:type="dxa"/>
            <w:tcBorders>
              <w:bottom w:val="single" w:sz="4" w:space="0" w:color="000000"/>
            </w:tcBorders>
          </w:tcPr>
          <w:p>
            <w:pPr>
              <w:pStyle w:val="Normal"/>
              <w:jc w:val="center"/>
              <w:rPr>
                <w:sz w:val="18"/>
              </w:rPr>
            </w:pPr>
            <w:r>
              <w:rPr>
                <w:sz w:val="18"/>
              </w:rPr>
              <w:t>участок порошковой металлургии о/к У-Р 10-15</w:t>
            </w:r>
          </w:p>
        </w:tc>
        <w:tc>
          <w:tcPr>
            <w:tcW w:w="1277" w:type="dxa"/>
            <w:tcBorders>
              <w:bottom w:val="single" w:sz="4" w:space="0" w:color="000000"/>
            </w:tcBorders>
          </w:tcPr>
          <w:p>
            <w:pPr>
              <w:pStyle w:val="Normal"/>
              <w:jc w:val="center"/>
              <w:rPr>
                <w:sz w:val="18"/>
              </w:rPr>
            </w:pPr>
            <w:r>
              <w:rPr>
                <w:sz w:val="18"/>
              </w:rPr>
              <w:t>36х24х13</w:t>
            </w:r>
          </w:p>
        </w:tc>
        <w:tc>
          <w:tcPr>
            <w:tcW w:w="1134" w:type="dxa"/>
            <w:tcBorders>
              <w:bottom w:val="single" w:sz="4" w:space="0" w:color="000000"/>
            </w:tcBorders>
          </w:tcPr>
          <w:p>
            <w:pPr>
              <w:pStyle w:val="Normal"/>
              <w:jc w:val="center"/>
              <w:rPr>
                <w:sz w:val="18"/>
              </w:rPr>
            </w:pPr>
            <w:r>
              <w:rPr>
                <w:sz w:val="18"/>
              </w:rPr>
              <w:t>10,5</w:t>
            </w:r>
          </w:p>
        </w:tc>
        <w:tc>
          <w:tcPr>
            <w:tcW w:w="1276" w:type="dxa"/>
            <w:tcBorders>
              <w:bottom w:val="single" w:sz="4" w:space="0" w:color="000000"/>
            </w:tcBorders>
          </w:tcPr>
          <w:p>
            <w:pPr>
              <w:pStyle w:val="Normal"/>
              <w:jc w:val="center"/>
              <w:rPr>
                <w:sz w:val="18"/>
              </w:rPr>
            </w:pPr>
            <w:r>
              <w:rPr>
                <w:sz w:val="18"/>
              </w:rPr>
              <w:t xml:space="preserve">до +40 °С </w:t>
            </w:r>
          </w:p>
        </w:tc>
        <w:tc>
          <w:tcPr>
            <w:tcW w:w="3513" w:type="dxa"/>
            <w:tcBorders>
              <w:bottom w:val="single" w:sz="4" w:space="0" w:color="000000"/>
            </w:tcBorders>
          </w:tcPr>
          <w:p>
            <w:pPr>
              <w:pStyle w:val="Normal"/>
              <w:jc w:val="center"/>
              <w:rPr>
                <w:sz w:val="18"/>
              </w:rPr>
            </w:pPr>
            <w:r>
              <w:rPr>
                <w:sz w:val="18"/>
              </w:rPr>
              <w:t>кран-балка</w:t>
            </w:r>
          </w:p>
        </w:tc>
      </w:tr>
      <w:tr>
        <w:trPr>
          <w:trHeight w:val="560" w:hRule="atLeast"/>
        </w:trPr>
        <w:tc>
          <w:tcPr>
            <w:tcW w:w="773" w:type="dxa"/>
            <w:tcBorders>
              <w:bottom w:val="single" w:sz="4" w:space="0" w:color="000000"/>
            </w:tcBorders>
          </w:tcPr>
          <w:p>
            <w:pPr>
              <w:pStyle w:val="Normal"/>
              <w:jc w:val="center"/>
              <w:rPr>
                <w:sz w:val="18"/>
              </w:rPr>
            </w:pPr>
            <w:r>
              <w:rPr>
                <w:sz w:val="18"/>
              </w:rPr>
              <w:t>ITL RT 300</w:t>
            </w:r>
          </w:p>
        </w:tc>
        <w:tc>
          <w:tcPr>
            <w:tcW w:w="1063" w:type="dxa"/>
            <w:tcBorders>
              <w:bottom w:val="single" w:sz="4" w:space="0" w:color="000000"/>
            </w:tcBorders>
          </w:tcPr>
          <w:p>
            <w:pPr>
              <w:pStyle w:val="Normal"/>
              <w:jc w:val="center"/>
              <w:rPr>
                <w:sz w:val="18"/>
              </w:rPr>
            </w:pPr>
            <w:r>
              <w:rPr>
                <w:sz w:val="18"/>
              </w:rPr>
              <w:t>ITL HB002-300</w:t>
            </w:r>
          </w:p>
        </w:tc>
        <w:tc>
          <w:tcPr>
            <w:tcW w:w="711" w:type="dxa"/>
            <w:tcBorders>
              <w:bottom w:val="single" w:sz="4" w:space="0" w:color="000000"/>
            </w:tcBorders>
          </w:tcPr>
          <w:p>
            <w:pPr>
              <w:pStyle w:val="Normal"/>
              <w:jc w:val="center"/>
              <w:rPr>
                <w:sz w:val="18"/>
              </w:rPr>
            </w:pPr>
            <w:r>
              <w:rPr>
                <w:sz w:val="18"/>
              </w:rPr>
              <w:t>2 300</w:t>
            </w:r>
          </w:p>
        </w:tc>
        <w:tc>
          <w:tcPr>
            <w:tcW w:w="849" w:type="dxa"/>
            <w:tcBorders>
              <w:bottom w:val="single" w:sz="4" w:space="0" w:color="000000"/>
            </w:tcBorders>
          </w:tcPr>
          <w:p>
            <w:pPr>
              <w:pStyle w:val="Normal"/>
              <w:jc w:val="center"/>
              <w:rPr>
                <w:sz w:val="18"/>
              </w:rPr>
            </w:pPr>
            <w:r>
              <w:rPr>
                <w:sz w:val="18"/>
              </w:rPr>
              <w:t>300</w:t>
            </w:r>
          </w:p>
        </w:tc>
        <w:tc>
          <w:tcPr>
            <w:tcW w:w="708" w:type="dxa"/>
            <w:tcBorders>
              <w:bottom w:val="single" w:sz="4" w:space="0" w:color="000000"/>
            </w:tcBorders>
          </w:tcPr>
          <w:p>
            <w:pPr>
              <w:pStyle w:val="Normal"/>
              <w:jc w:val="center"/>
              <w:rPr>
                <w:sz w:val="18"/>
              </w:rPr>
            </w:pPr>
            <w:r>
              <w:rPr>
                <w:sz w:val="18"/>
              </w:rPr>
              <w:t>11</w:t>
            </w:r>
          </w:p>
        </w:tc>
        <w:tc>
          <w:tcPr>
            <w:tcW w:w="850" w:type="dxa"/>
            <w:tcBorders>
              <w:bottom w:val="single" w:sz="4" w:space="0" w:color="000000"/>
            </w:tcBorders>
          </w:tcPr>
          <w:p>
            <w:pPr>
              <w:pStyle w:val="Normal"/>
              <w:jc w:val="center"/>
              <w:rPr>
                <w:sz w:val="18"/>
              </w:rPr>
            </w:pPr>
            <w:r>
              <w:rPr>
                <w:sz w:val="18"/>
              </w:rPr>
              <w:t>3 300</w:t>
            </w:r>
          </w:p>
        </w:tc>
        <w:tc>
          <w:tcPr>
            <w:tcW w:w="1135" w:type="dxa"/>
            <w:tcBorders>
              <w:bottom w:val="single" w:sz="4" w:space="0" w:color="000000"/>
            </w:tcBorders>
          </w:tcPr>
          <w:p>
            <w:pPr>
              <w:pStyle w:val="Normal"/>
              <w:jc w:val="center"/>
              <w:rPr>
                <w:sz w:val="18"/>
              </w:rPr>
            </w:pPr>
            <w:r>
              <w:rPr>
                <w:sz w:val="18"/>
              </w:rPr>
              <w:t>7 590 000</w:t>
            </w:r>
          </w:p>
        </w:tc>
        <w:tc>
          <w:tcPr>
            <w:tcW w:w="2693" w:type="dxa"/>
            <w:tcBorders>
              <w:bottom w:val="single" w:sz="4" w:space="0" w:color="000000"/>
            </w:tcBorders>
          </w:tcPr>
          <w:p>
            <w:pPr>
              <w:pStyle w:val="Normal"/>
              <w:jc w:val="center"/>
              <w:rPr>
                <w:sz w:val="18"/>
              </w:rPr>
            </w:pPr>
            <w:r>
              <w:rPr>
                <w:sz w:val="18"/>
              </w:rPr>
              <w:t>участок порошковой металлургии о/к А-ПП 7-19</w:t>
            </w:r>
          </w:p>
        </w:tc>
        <w:tc>
          <w:tcPr>
            <w:tcW w:w="1277" w:type="dxa"/>
            <w:tcBorders>
              <w:bottom w:val="single" w:sz="4" w:space="0" w:color="000000"/>
            </w:tcBorders>
          </w:tcPr>
          <w:p>
            <w:pPr>
              <w:pStyle w:val="Normal"/>
              <w:jc w:val="center"/>
              <w:rPr>
                <w:sz w:val="18"/>
              </w:rPr>
            </w:pPr>
            <w:r>
              <w:rPr>
                <w:sz w:val="18"/>
              </w:rPr>
              <w:t>96х24х13</w:t>
            </w:r>
          </w:p>
        </w:tc>
        <w:tc>
          <w:tcPr>
            <w:tcW w:w="1134" w:type="dxa"/>
            <w:tcBorders>
              <w:bottom w:val="single" w:sz="4" w:space="0" w:color="000000"/>
            </w:tcBorders>
          </w:tcPr>
          <w:p>
            <w:pPr>
              <w:pStyle w:val="Normal"/>
              <w:jc w:val="center"/>
              <w:rPr>
                <w:sz w:val="18"/>
              </w:rPr>
            </w:pPr>
            <w:r>
              <w:rPr>
                <w:sz w:val="18"/>
              </w:rPr>
              <w:t>10,5</w:t>
            </w:r>
          </w:p>
        </w:tc>
        <w:tc>
          <w:tcPr>
            <w:tcW w:w="1276" w:type="dxa"/>
            <w:tcBorders>
              <w:bottom w:val="single" w:sz="4" w:space="0" w:color="000000"/>
            </w:tcBorders>
          </w:tcPr>
          <w:p>
            <w:pPr>
              <w:pStyle w:val="Normal"/>
              <w:jc w:val="center"/>
              <w:rPr>
                <w:sz w:val="18"/>
              </w:rPr>
            </w:pPr>
            <w:r>
              <w:rPr>
                <w:sz w:val="18"/>
              </w:rPr>
              <w:t xml:space="preserve">до +40 °С </w:t>
            </w:r>
          </w:p>
        </w:tc>
        <w:tc>
          <w:tcPr>
            <w:tcW w:w="3513" w:type="dxa"/>
            <w:tcBorders>
              <w:bottom w:val="single" w:sz="4" w:space="0" w:color="000000"/>
            </w:tcBorders>
          </w:tcPr>
          <w:p>
            <w:pPr>
              <w:pStyle w:val="Normal"/>
              <w:jc w:val="center"/>
              <w:rPr>
                <w:sz w:val="18"/>
              </w:rPr>
            </w:pPr>
            <w:r>
              <w:rPr>
                <w:sz w:val="18"/>
              </w:rPr>
              <w:t>кран-балка</w:t>
            </w:r>
          </w:p>
        </w:tc>
      </w:tr>
      <w:tr>
        <w:trPr>
          <w:trHeight w:val="498" w:hRule="atLeast"/>
        </w:trPr>
        <w:tc>
          <w:tcPr>
            <w:tcW w:w="773" w:type="dxa"/>
            <w:tcBorders>
              <w:bottom w:val="single" w:sz="4" w:space="0" w:color="000000"/>
            </w:tcBorders>
          </w:tcPr>
          <w:p>
            <w:pPr>
              <w:pStyle w:val="Normal"/>
              <w:jc w:val="center"/>
              <w:rPr>
                <w:sz w:val="18"/>
              </w:rPr>
            </w:pPr>
            <w:r>
              <w:rPr>
                <w:sz w:val="18"/>
              </w:rPr>
              <w:t>ДРЛ-1000</w:t>
            </w:r>
          </w:p>
        </w:tc>
        <w:tc>
          <w:tcPr>
            <w:tcW w:w="1063" w:type="dxa"/>
            <w:tcBorders>
              <w:bottom w:val="single" w:sz="4" w:space="0" w:color="000000"/>
            </w:tcBorders>
          </w:tcPr>
          <w:p>
            <w:pPr>
              <w:pStyle w:val="Normal"/>
              <w:jc w:val="center"/>
              <w:rPr>
                <w:sz w:val="18"/>
              </w:rPr>
            </w:pPr>
            <w:r>
              <w:rPr>
                <w:sz w:val="18"/>
              </w:rPr>
              <w:t>НСП 1000</w:t>
            </w:r>
          </w:p>
        </w:tc>
        <w:tc>
          <w:tcPr>
            <w:tcW w:w="711" w:type="dxa"/>
            <w:tcBorders>
              <w:bottom w:val="single" w:sz="4" w:space="0" w:color="000000"/>
            </w:tcBorders>
          </w:tcPr>
          <w:p>
            <w:pPr>
              <w:pStyle w:val="Normal"/>
              <w:jc w:val="center"/>
              <w:rPr>
                <w:sz w:val="18"/>
              </w:rPr>
            </w:pPr>
            <w:r>
              <w:rPr>
                <w:sz w:val="18"/>
              </w:rPr>
              <w:t>2 300</w:t>
            </w:r>
          </w:p>
        </w:tc>
        <w:tc>
          <w:tcPr>
            <w:tcW w:w="849" w:type="dxa"/>
            <w:tcBorders>
              <w:bottom w:val="single" w:sz="4" w:space="0" w:color="000000"/>
            </w:tcBorders>
          </w:tcPr>
          <w:p>
            <w:pPr>
              <w:pStyle w:val="Normal"/>
              <w:jc w:val="center"/>
              <w:rPr>
                <w:sz w:val="18"/>
              </w:rPr>
            </w:pPr>
            <w:r>
              <w:rPr>
                <w:sz w:val="18"/>
              </w:rPr>
              <w:t>1 000</w:t>
            </w:r>
          </w:p>
        </w:tc>
        <w:tc>
          <w:tcPr>
            <w:tcW w:w="708" w:type="dxa"/>
            <w:tcBorders>
              <w:bottom w:val="single" w:sz="4" w:space="0" w:color="000000"/>
            </w:tcBorders>
          </w:tcPr>
          <w:p>
            <w:pPr>
              <w:pStyle w:val="Normal"/>
              <w:jc w:val="center"/>
              <w:rPr>
                <w:sz w:val="18"/>
              </w:rPr>
            </w:pPr>
            <w:r>
              <w:rPr>
                <w:sz w:val="18"/>
              </w:rPr>
              <w:t>18</w:t>
            </w:r>
          </w:p>
        </w:tc>
        <w:tc>
          <w:tcPr>
            <w:tcW w:w="850" w:type="dxa"/>
            <w:tcBorders>
              <w:bottom w:val="single" w:sz="4" w:space="0" w:color="000000"/>
            </w:tcBorders>
          </w:tcPr>
          <w:p>
            <w:pPr>
              <w:pStyle w:val="Normal"/>
              <w:jc w:val="center"/>
              <w:rPr>
                <w:sz w:val="18"/>
              </w:rPr>
            </w:pPr>
            <w:r>
              <w:rPr>
                <w:sz w:val="18"/>
              </w:rPr>
              <w:t>18 000</w:t>
            </w:r>
          </w:p>
        </w:tc>
        <w:tc>
          <w:tcPr>
            <w:tcW w:w="1135" w:type="dxa"/>
            <w:tcBorders>
              <w:bottom w:val="single" w:sz="4" w:space="0" w:color="000000"/>
            </w:tcBorders>
          </w:tcPr>
          <w:p>
            <w:pPr>
              <w:pStyle w:val="Normal"/>
              <w:jc w:val="center"/>
              <w:rPr>
                <w:sz w:val="18"/>
              </w:rPr>
            </w:pPr>
            <w:r>
              <w:rPr>
                <w:sz w:val="18"/>
              </w:rPr>
              <w:t>41 400 000</w:t>
            </w:r>
          </w:p>
        </w:tc>
        <w:tc>
          <w:tcPr>
            <w:tcW w:w="2693" w:type="dxa"/>
            <w:tcBorders>
              <w:bottom w:val="single" w:sz="4" w:space="0" w:color="000000"/>
            </w:tcBorders>
          </w:tcPr>
          <w:p>
            <w:pPr>
              <w:pStyle w:val="Normal"/>
              <w:jc w:val="center"/>
              <w:rPr>
                <w:sz w:val="18"/>
              </w:rPr>
            </w:pPr>
            <w:r>
              <w:rPr>
                <w:sz w:val="18"/>
              </w:rPr>
              <w:t>участок порошковой металлургии о/к А-ПП 7-19</w:t>
            </w:r>
          </w:p>
        </w:tc>
        <w:tc>
          <w:tcPr>
            <w:tcW w:w="1277" w:type="dxa"/>
            <w:tcBorders>
              <w:bottom w:val="single" w:sz="4" w:space="0" w:color="000000"/>
            </w:tcBorders>
          </w:tcPr>
          <w:p>
            <w:pPr>
              <w:pStyle w:val="Normal"/>
              <w:jc w:val="center"/>
              <w:rPr>
                <w:sz w:val="18"/>
              </w:rPr>
            </w:pPr>
            <w:r>
              <w:rPr>
                <w:sz w:val="18"/>
              </w:rPr>
              <w:t>96х24х13</w:t>
            </w:r>
          </w:p>
        </w:tc>
        <w:tc>
          <w:tcPr>
            <w:tcW w:w="1134" w:type="dxa"/>
            <w:tcBorders>
              <w:bottom w:val="single" w:sz="4" w:space="0" w:color="000000"/>
            </w:tcBorders>
          </w:tcPr>
          <w:p>
            <w:pPr>
              <w:pStyle w:val="Normal"/>
              <w:jc w:val="center"/>
              <w:rPr>
                <w:sz w:val="18"/>
              </w:rPr>
            </w:pPr>
            <w:r>
              <w:rPr>
                <w:sz w:val="18"/>
              </w:rPr>
              <w:t>10,5</w:t>
            </w:r>
          </w:p>
        </w:tc>
        <w:tc>
          <w:tcPr>
            <w:tcW w:w="1276" w:type="dxa"/>
            <w:tcBorders>
              <w:bottom w:val="single" w:sz="4" w:space="0" w:color="000000"/>
            </w:tcBorders>
          </w:tcPr>
          <w:p>
            <w:pPr>
              <w:pStyle w:val="Normal"/>
              <w:jc w:val="center"/>
              <w:rPr>
                <w:sz w:val="18"/>
              </w:rPr>
            </w:pPr>
            <w:r>
              <w:rPr>
                <w:sz w:val="18"/>
              </w:rPr>
              <w:t xml:space="preserve">до +40 °С </w:t>
            </w:r>
          </w:p>
        </w:tc>
        <w:tc>
          <w:tcPr>
            <w:tcW w:w="3513" w:type="dxa"/>
            <w:tcBorders>
              <w:bottom w:val="single" w:sz="4" w:space="0" w:color="000000"/>
            </w:tcBorders>
          </w:tcPr>
          <w:p>
            <w:pPr>
              <w:pStyle w:val="Normal"/>
              <w:jc w:val="center"/>
              <w:rPr>
                <w:sz w:val="18"/>
              </w:rPr>
            </w:pPr>
            <w:r>
              <w:rPr>
                <w:sz w:val="18"/>
              </w:rPr>
              <w:t>кран-балка</w:t>
            </w:r>
          </w:p>
        </w:tc>
      </w:tr>
      <w:tr>
        <w:trPr>
          <w:trHeight w:val="498" w:hRule="atLeast"/>
        </w:trPr>
        <w:tc>
          <w:tcPr>
            <w:tcW w:w="773" w:type="dxa"/>
            <w:tcBorders>
              <w:bottom w:val="single" w:sz="4" w:space="0" w:color="000000"/>
            </w:tcBorders>
          </w:tcPr>
          <w:p>
            <w:pPr>
              <w:pStyle w:val="Normal"/>
              <w:jc w:val="center"/>
              <w:rPr>
                <w:sz w:val="18"/>
              </w:rPr>
            </w:pPr>
            <w:r>
              <w:rPr>
                <w:sz w:val="18"/>
              </w:rPr>
              <w:t>ДРЛ-400</w:t>
            </w:r>
          </w:p>
        </w:tc>
        <w:tc>
          <w:tcPr>
            <w:tcW w:w="1063" w:type="dxa"/>
            <w:tcBorders>
              <w:bottom w:val="single" w:sz="4" w:space="0" w:color="000000"/>
            </w:tcBorders>
          </w:tcPr>
          <w:p>
            <w:pPr>
              <w:pStyle w:val="Normal"/>
              <w:jc w:val="center"/>
              <w:rPr>
                <w:sz w:val="18"/>
              </w:rPr>
            </w:pPr>
            <w:r>
              <w:rPr>
                <w:sz w:val="18"/>
              </w:rPr>
              <w:t>РКУ 400</w:t>
            </w:r>
          </w:p>
        </w:tc>
        <w:tc>
          <w:tcPr>
            <w:tcW w:w="711" w:type="dxa"/>
            <w:tcBorders>
              <w:bottom w:val="single" w:sz="4" w:space="0" w:color="000000"/>
            </w:tcBorders>
          </w:tcPr>
          <w:p>
            <w:pPr>
              <w:pStyle w:val="Normal"/>
              <w:jc w:val="center"/>
              <w:rPr>
                <w:sz w:val="18"/>
              </w:rPr>
            </w:pPr>
            <w:r>
              <w:rPr>
                <w:sz w:val="18"/>
              </w:rPr>
              <w:t>3800</w:t>
            </w:r>
          </w:p>
        </w:tc>
        <w:tc>
          <w:tcPr>
            <w:tcW w:w="849" w:type="dxa"/>
            <w:tcBorders>
              <w:bottom w:val="single" w:sz="4" w:space="0" w:color="000000"/>
            </w:tcBorders>
          </w:tcPr>
          <w:p>
            <w:pPr>
              <w:pStyle w:val="Normal"/>
              <w:jc w:val="center"/>
              <w:rPr>
                <w:sz w:val="18"/>
              </w:rPr>
            </w:pPr>
            <w:r>
              <w:rPr>
                <w:sz w:val="18"/>
              </w:rPr>
              <w:t>400</w:t>
            </w:r>
          </w:p>
        </w:tc>
        <w:tc>
          <w:tcPr>
            <w:tcW w:w="708" w:type="dxa"/>
            <w:tcBorders>
              <w:bottom w:val="single" w:sz="4" w:space="0" w:color="000000"/>
            </w:tcBorders>
          </w:tcPr>
          <w:p>
            <w:pPr>
              <w:pStyle w:val="Normal"/>
              <w:jc w:val="center"/>
              <w:rPr>
                <w:sz w:val="18"/>
              </w:rPr>
            </w:pPr>
            <w:r>
              <w:rPr>
                <w:sz w:val="18"/>
              </w:rPr>
              <w:t>19</w:t>
            </w:r>
          </w:p>
        </w:tc>
        <w:tc>
          <w:tcPr>
            <w:tcW w:w="850" w:type="dxa"/>
            <w:tcBorders>
              <w:bottom w:val="single" w:sz="4" w:space="0" w:color="000000"/>
            </w:tcBorders>
          </w:tcPr>
          <w:p>
            <w:pPr>
              <w:pStyle w:val="Normal"/>
              <w:jc w:val="center"/>
              <w:rPr>
                <w:sz w:val="18"/>
              </w:rPr>
            </w:pPr>
            <w:r>
              <w:rPr>
                <w:sz w:val="18"/>
              </w:rPr>
              <w:t>7 600</w:t>
            </w:r>
          </w:p>
          <w:p>
            <w:pPr>
              <w:pStyle w:val="Normal"/>
              <w:jc w:val="center"/>
              <w:rPr>
                <w:sz w:val="18"/>
              </w:rPr>
            </w:pPr>
            <w:r>
              <w:rPr>
                <w:sz w:val="18"/>
              </w:rPr>
            </w:r>
          </w:p>
        </w:tc>
        <w:tc>
          <w:tcPr>
            <w:tcW w:w="1135" w:type="dxa"/>
            <w:tcBorders>
              <w:bottom w:val="single" w:sz="4" w:space="0" w:color="000000"/>
            </w:tcBorders>
          </w:tcPr>
          <w:p>
            <w:pPr>
              <w:pStyle w:val="Normal"/>
              <w:jc w:val="center"/>
              <w:rPr>
                <w:sz w:val="18"/>
              </w:rPr>
            </w:pPr>
            <w:r>
              <w:rPr>
                <w:sz w:val="18"/>
              </w:rPr>
              <w:t>28 880 000</w:t>
            </w:r>
          </w:p>
          <w:p>
            <w:pPr>
              <w:pStyle w:val="Normal"/>
              <w:jc w:val="center"/>
              <w:rPr>
                <w:sz w:val="18"/>
              </w:rPr>
            </w:pPr>
            <w:r>
              <w:rPr>
                <w:sz w:val="18"/>
              </w:rPr>
            </w:r>
          </w:p>
        </w:tc>
        <w:tc>
          <w:tcPr>
            <w:tcW w:w="2693" w:type="dxa"/>
            <w:tcBorders>
              <w:bottom w:val="single" w:sz="4" w:space="0" w:color="000000"/>
            </w:tcBorders>
          </w:tcPr>
          <w:p>
            <w:pPr>
              <w:pStyle w:val="Normal"/>
              <w:jc w:val="center"/>
              <w:rPr>
                <w:sz w:val="18"/>
              </w:rPr>
            </w:pPr>
            <w:r>
              <w:rPr>
                <w:sz w:val="18"/>
              </w:rPr>
              <w:t>улица, наружное освещение периметра производственного корпуса №4</w:t>
            </w:r>
          </w:p>
        </w:tc>
        <w:tc>
          <w:tcPr>
            <w:tcW w:w="1277" w:type="dxa"/>
            <w:tcBorders>
              <w:bottom w:val="single" w:sz="4" w:space="0" w:color="000000"/>
            </w:tcBorders>
          </w:tcPr>
          <w:p>
            <w:pPr>
              <w:pStyle w:val="Normal"/>
              <w:jc w:val="center"/>
              <w:rPr>
                <w:sz w:val="18"/>
              </w:rPr>
            </w:pPr>
            <w:r>
              <w:rPr>
                <w:sz w:val="18"/>
              </w:rPr>
              <w:t>212х162х17</w:t>
            </w:r>
          </w:p>
          <w:p>
            <w:pPr>
              <w:pStyle w:val="Normal"/>
              <w:jc w:val="center"/>
              <w:rPr>
                <w:sz w:val="18"/>
              </w:rPr>
            </w:pPr>
            <w:r>
              <w:rPr>
                <w:sz w:val="18"/>
              </w:rPr>
            </w:r>
          </w:p>
        </w:tc>
        <w:tc>
          <w:tcPr>
            <w:tcW w:w="1134" w:type="dxa"/>
            <w:tcBorders>
              <w:bottom w:val="single" w:sz="4" w:space="0" w:color="000000"/>
            </w:tcBorders>
          </w:tcPr>
          <w:p>
            <w:pPr>
              <w:pStyle w:val="Normal"/>
              <w:jc w:val="center"/>
              <w:rPr>
                <w:sz w:val="18"/>
              </w:rPr>
            </w:pPr>
            <w:r>
              <w:rPr>
                <w:sz w:val="18"/>
              </w:rPr>
              <w:t>10-13</w:t>
            </w:r>
          </w:p>
          <w:p>
            <w:pPr>
              <w:pStyle w:val="Normal"/>
              <w:jc w:val="center"/>
              <w:rPr>
                <w:sz w:val="18"/>
              </w:rPr>
            </w:pPr>
            <w:r>
              <w:rPr>
                <w:sz w:val="18"/>
              </w:rPr>
            </w:r>
          </w:p>
        </w:tc>
        <w:tc>
          <w:tcPr>
            <w:tcW w:w="1276" w:type="dxa"/>
            <w:tcBorders>
              <w:bottom w:val="single" w:sz="4" w:space="0" w:color="000000"/>
            </w:tcBorders>
          </w:tcPr>
          <w:p>
            <w:pPr>
              <w:pStyle w:val="Normal"/>
              <w:jc w:val="center"/>
              <w:rPr>
                <w:sz w:val="18"/>
              </w:rPr>
            </w:pPr>
            <w:r>
              <w:rPr>
                <w:sz w:val="18"/>
              </w:rPr>
              <w:t xml:space="preserve">до +40 °С </w:t>
            </w:r>
          </w:p>
          <w:p>
            <w:pPr>
              <w:pStyle w:val="Normal"/>
              <w:jc w:val="center"/>
              <w:rPr>
                <w:sz w:val="18"/>
              </w:rPr>
            </w:pPr>
            <w:r>
              <w:rPr>
                <w:sz w:val="18"/>
              </w:rPr>
            </w:r>
          </w:p>
        </w:tc>
        <w:tc>
          <w:tcPr>
            <w:tcW w:w="3513" w:type="dxa"/>
            <w:tcBorders>
              <w:bottom w:val="single" w:sz="4" w:space="0" w:color="000000"/>
            </w:tcBorders>
          </w:tcPr>
          <w:p>
            <w:pPr>
              <w:pStyle w:val="Normal"/>
              <w:jc w:val="center"/>
              <w:rPr>
                <w:sz w:val="18"/>
              </w:rPr>
            </w:pPr>
            <w:r>
              <w:rPr>
                <w:sz w:val="18"/>
              </w:rPr>
              <w:t>автовышка</w:t>
            </w:r>
          </w:p>
          <w:p>
            <w:pPr>
              <w:pStyle w:val="Normal"/>
              <w:jc w:val="center"/>
              <w:rPr>
                <w:sz w:val="18"/>
              </w:rPr>
            </w:pPr>
            <w:r>
              <w:rPr>
                <w:sz w:val="18"/>
              </w:rPr>
            </w:r>
          </w:p>
        </w:tc>
      </w:tr>
      <w:tr>
        <w:trPr>
          <w:trHeight w:val="498" w:hRule="atLeast"/>
        </w:trPr>
        <w:tc>
          <w:tcPr>
            <w:tcW w:w="773" w:type="dxa"/>
            <w:tcBorders>
              <w:bottom w:val="single" w:sz="4" w:space="0" w:color="000000"/>
            </w:tcBorders>
          </w:tcPr>
          <w:p>
            <w:pPr>
              <w:pStyle w:val="Normal"/>
              <w:jc w:val="center"/>
              <w:rPr>
                <w:sz w:val="18"/>
              </w:rPr>
            </w:pPr>
            <w:r>
              <w:rPr>
                <w:sz w:val="18"/>
              </w:rPr>
              <w:t>LED</w:t>
            </w:r>
          </w:p>
          <w:p>
            <w:pPr>
              <w:pStyle w:val="Normal"/>
              <w:jc w:val="center"/>
              <w:rPr>
                <w:sz w:val="18"/>
              </w:rPr>
            </w:pPr>
            <w:r>
              <w:rPr>
                <w:sz w:val="18"/>
              </w:rPr>
              <w:t>160</w:t>
            </w:r>
          </w:p>
        </w:tc>
        <w:tc>
          <w:tcPr>
            <w:tcW w:w="1063" w:type="dxa"/>
            <w:tcBorders>
              <w:bottom w:val="single" w:sz="4" w:space="0" w:color="000000"/>
            </w:tcBorders>
          </w:tcPr>
          <w:p>
            <w:pPr>
              <w:pStyle w:val="Normal"/>
              <w:jc w:val="center"/>
              <w:rPr>
                <w:sz w:val="18"/>
              </w:rPr>
            </w:pPr>
            <w:r>
              <w:rPr>
                <w:sz w:val="18"/>
              </w:rPr>
              <w:t>ДКУ-160</w:t>
            </w:r>
          </w:p>
        </w:tc>
        <w:tc>
          <w:tcPr>
            <w:tcW w:w="711" w:type="dxa"/>
            <w:tcBorders>
              <w:bottom w:val="single" w:sz="4" w:space="0" w:color="000000"/>
            </w:tcBorders>
          </w:tcPr>
          <w:p>
            <w:pPr>
              <w:pStyle w:val="Normal"/>
              <w:rPr>
                <w:sz w:val="18"/>
              </w:rPr>
            </w:pPr>
            <w:r>
              <w:rPr>
                <w:sz w:val="18"/>
              </w:rPr>
              <w:t>3800</w:t>
            </w:r>
          </w:p>
        </w:tc>
        <w:tc>
          <w:tcPr>
            <w:tcW w:w="849" w:type="dxa"/>
            <w:tcBorders>
              <w:bottom w:val="single" w:sz="4" w:space="0" w:color="000000"/>
            </w:tcBorders>
          </w:tcPr>
          <w:p>
            <w:pPr>
              <w:pStyle w:val="Normal"/>
              <w:jc w:val="center"/>
              <w:rPr>
                <w:sz w:val="18"/>
              </w:rPr>
            </w:pPr>
            <w:r>
              <w:rPr>
                <w:sz w:val="18"/>
              </w:rPr>
              <w:t>160</w:t>
            </w:r>
          </w:p>
        </w:tc>
        <w:tc>
          <w:tcPr>
            <w:tcW w:w="708" w:type="dxa"/>
            <w:tcBorders>
              <w:bottom w:val="single" w:sz="4" w:space="0" w:color="000000"/>
            </w:tcBorders>
          </w:tcPr>
          <w:p>
            <w:pPr>
              <w:pStyle w:val="Normal"/>
              <w:jc w:val="center"/>
              <w:rPr>
                <w:sz w:val="18"/>
              </w:rPr>
            </w:pPr>
            <w:r>
              <w:rPr>
                <w:sz w:val="18"/>
              </w:rPr>
              <w:t>14</w:t>
            </w:r>
          </w:p>
        </w:tc>
        <w:tc>
          <w:tcPr>
            <w:tcW w:w="850" w:type="dxa"/>
            <w:tcBorders>
              <w:bottom w:val="single" w:sz="4" w:space="0" w:color="000000"/>
            </w:tcBorders>
          </w:tcPr>
          <w:p>
            <w:pPr>
              <w:pStyle w:val="Normal"/>
              <w:jc w:val="center"/>
              <w:rPr>
                <w:sz w:val="18"/>
              </w:rPr>
            </w:pPr>
            <w:r>
              <w:rPr>
                <w:sz w:val="18"/>
              </w:rPr>
              <w:t>2 240</w:t>
            </w:r>
          </w:p>
          <w:p>
            <w:pPr>
              <w:pStyle w:val="Normal"/>
              <w:jc w:val="center"/>
              <w:rPr>
                <w:sz w:val="18"/>
              </w:rPr>
            </w:pPr>
            <w:r>
              <w:rPr>
                <w:sz w:val="18"/>
              </w:rPr>
            </w:r>
          </w:p>
        </w:tc>
        <w:tc>
          <w:tcPr>
            <w:tcW w:w="1135" w:type="dxa"/>
            <w:tcBorders>
              <w:bottom w:val="single" w:sz="4" w:space="0" w:color="000000"/>
            </w:tcBorders>
          </w:tcPr>
          <w:p>
            <w:pPr>
              <w:pStyle w:val="Normal"/>
              <w:jc w:val="center"/>
              <w:rPr>
                <w:sz w:val="18"/>
              </w:rPr>
            </w:pPr>
            <w:r>
              <w:rPr>
                <w:sz w:val="18"/>
              </w:rPr>
              <w:t>8 512 000</w:t>
            </w:r>
          </w:p>
          <w:p>
            <w:pPr>
              <w:pStyle w:val="Normal"/>
              <w:jc w:val="center"/>
              <w:rPr>
                <w:sz w:val="18"/>
              </w:rPr>
            </w:pPr>
            <w:r>
              <w:rPr>
                <w:sz w:val="18"/>
              </w:rPr>
            </w:r>
          </w:p>
        </w:tc>
        <w:tc>
          <w:tcPr>
            <w:tcW w:w="2693" w:type="dxa"/>
            <w:tcBorders>
              <w:bottom w:val="single" w:sz="4" w:space="0" w:color="000000"/>
            </w:tcBorders>
          </w:tcPr>
          <w:p>
            <w:pPr>
              <w:pStyle w:val="Normal"/>
              <w:jc w:val="center"/>
              <w:rPr>
                <w:sz w:val="18"/>
              </w:rPr>
            </w:pPr>
            <w:r>
              <w:rPr>
                <w:sz w:val="18"/>
              </w:rPr>
              <w:t>улица, наружное освещение периметра производственного корпуса №4</w:t>
            </w:r>
          </w:p>
        </w:tc>
        <w:tc>
          <w:tcPr>
            <w:tcW w:w="1277" w:type="dxa"/>
            <w:tcBorders>
              <w:bottom w:val="single" w:sz="4" w:space="0" w:color="000000"/>
            </w:tcBorders>
          </w:tcPr>
          <w:p>
            <w:pPr>
              <w:pStyle w:val="Normal"/>
              <w:jc w:val="center"/>
              <w:rPr>
                <w:sz w:val="18"/>
              </w:rPr>
            </w:pPr>
            <w:r>
              <w:rPr>
                <w:sz w:val="18"/>
              </w:rPr>
              <w:t>212х162х17</w:t>
            </w:r>
          </w:p>
        </w:tc>
        <w:tc>
          <w:tcPr>
            <w:tcW w:w="1134" w:type="dxa"/>
            <w:tcBorders>
              <w:bottom w:val="single" w:sz="4" w:space="0" w:color="000000"/>
            </w:tcBorders>
          </w:tcPr>
          <w:p>
            <w:pPr>
              <w:pStyle w:val="Normal"/>
              <w:jc w:val="center"/>
              <w:rPr>
                <w:sz w:val="18"/>
              </w:rPr>
            </w:pPr>
            <w:r>
              <w:rPr>
                <w:sz w:val="18"/>
              </w:rPr>
              <w:t>10-13</w:t>
            </w:r>
          </w:p>
        </w:tc>
        <w:tc>
          <w:tcPr>
            <w:tcW w:w="1276" w:type="dxa"/>
            <w:tcBorders>
              <w:bottom w:val="single" w:sz="4" w:space="0" w:color="000000"/>
            </w:tcBorders>
          </w:tcPr>
          <w:p>
            <w:pPr>
              <w:pStyle w:val="Normal"/>
              <w:jc w:val="center"/>
              <w:rPr>
                <w:sz w:val="18"/>
              </w:rPr>
            </w:pPr>
            <w:r>
              <w:rPr>
                <w:sz w:val="18"/>
              </w:rPr>
              <w:t xml:space="preserve">до +40 °С </w:t>
            </w:r>
          </w:p>
        </w:tc>
        <w:tc>
          <w:tcPr>
            <w:tcW w:w="3513" w:type="dxa"/>
            <w:tcBorders>
              <w:bottom w:val="single" w:sz="4" w:space="0" w:color="000000"/>
            </w:tcBorders>
          </w:tcPr>
          <w:p>
            <w:pPr>
              <w:pStyle w:val="Normal"/>
              <w:jc w:val="center"/>
              <w:rPr>
                <w:sz w:val="18"/>
              </w:rPr>
            </w:pPr>
            <w:r>
              <w:rPr>
                <w:sz w:val="18"/>
              </w:rPr>
              <w:t>автовышка</w:t>
            </w:r>
          </w:p>
        </w:tc>
      </w:tr>
    </w:tbl>
    <w:p>
      <w:pPr>
        <w:pStyle w:val="Normal"/>
        <w:spacing w:lineRule="auto" w:line="216"/>
        <w:jc w:val="center"/>
        <w:rPr>
          <w:sz w:val="22"/>
        </w:rPr>
      </w:pPr>
      <w:r>
        <w:rPr>
          <w:sz w:val="22"/>
        </w:rPr>
      </w:r>
    </w:p>
    <w:sectPr>
      <w:headerReference w:type="even" r:id="rId5"/>
      <w:headerReference w:type="default" r:id="rId6"/>
      <w:headerReference w:type="first" r:id="rId7"/>
      <w:footerReference w:type="even" r:id="rId8"/>
      <w:footerReference w:type="default" r:id="rId9"/>
      <w:footerReference w:type="first" r:id="rId10"/>
      <w:type w:val="nextPage"/>
      <w:pgSz w:orient="landscape" w:w="16838" w:h="11906"/>
      <w:pgMar w:left="323" w:right="153" w:gutter="0" w:header="142" w:top="199" w:footer="142" w:bottom="199"/>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imes New Roman">
    <w:charset w:val="01" w:characterSet="utf-8"/>
    <w:family w:val="roman"/>
    <w:pitch w:val="variable"/>
  </w:font>
  <w:font w:name="Cambria">
    <w:charset w:val="01" w:characterSet="utf-8"/>
    <w:family w:val="roman"/>
    <w:pitch w:val="variable"/>
  </w:font>
  <w:font w:name="XO Thames">
    <w:charset w:val="01" w:characterSet="utf-8"/>
    <w:family w:val="roman"/>
    <w:pitch w:val="variable"/>
  </w:font>
  <w:font w:name="Arial">
    <w:charset w:val="01" w:characterSet="utf-8"/>
    <w:family w:val="swiss"/>
    <w:pitch w:val="variable"/>
  </w:font>
  <w:font w:name="Courier New">
    <w:charset w:val="01" w:characterSet="utf-8"/>
    <w:family w:val="roman"/>
    <w:pitch w:val="variable"/>
  </w:font>
  <w:font w:name="Liberation Sans">
    <w:altName w:val="Arial"/>
    <w:charset w:val="01" w:characterSet="utf-8"/>
    <w:family w:val="swiss"/>
    <w:pitch w:val="variable"/>
  </w:font>
  <w:font w:name="Tahoma">
    <w:charset w:val="01" w:characterSet="utf-8"/>
    <w:family w:val="swiss"/>
    <w:pitch w:val="variable"/>
  </w:font>
  <w:font w:name="Book Antiqua">
    <w:charset w:val="01" w:characterSet="utf-8"/>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6</w:t>
    </w:r>
    <w:r>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6</w:t>
    </w:r>
    <w:r>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5</w:t>
    </w:r>
    <w:r>
      <w:rPr/>
      <w:fldChar w:fldCharType="end"/>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5</w:t>
    </w:r>
    <w:r>
      <w:rPr/>
      <w:fldChar w:fldCharType="end"/>
    </w:r>
  </w:p>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start"/>
      <w:pPr>
        <w:tabs>
          <w:tab w:val="num" w:pos="624"/>
        </w:tabs>
        <w:ind w:start="0" w:hanging="624"/>
      </w:pPr>
      <w:rPr>
        <w:b w:val="false"/>
        <w:i w:val="false"/>
        <w:sz w:val="20"/>
      </w:rPr>
    </w:lvl>
    <w:lvl w:ilvl="1">
      <w:start w:val="1"/>
      <w:numFmt w:val="lowerLetter"/>
      <w:lvlText w:val="(%2)"/>
      <w:lvlJc w:val="start"/>
      <w:pPr>
        <w:tabs>
          <w:tab w:val="num" w:pos="1417"/>
        </w:tabs>
        <w:ind w:start="0" w:hanging="793"/>
      </w:pPr>
      <w:rPr>
        <w:b w:val="false"/>
        <w:i w:val="false"/>
        <w:sz w:val="20"/>
      </w:rPr>
    </w:lvl>
    <w:lvl w:ilvl="2">
      <w:start w:val="1"/>
      <w:numFmt w:val="lowerLetter"/>
      <w:lvlText w:val="(%3)"/>
      <w:lvlJc w:val="start"/>
      <w:pPr>
        <w:tabs>
          <w:tab w:val="num" w:pos="1928"/>
        </w:tabs>
        <w:ind w:start="0" w:hanging="511"/>
      </w:pPr>
      <w:rPr>
        <w:b w:val="false"/>
        <w:i w:val="false"/>
        <w:sz w:val="20"/>
      </w:rPr>
    </w:lvl>
    <w:lvl w:ilvl="3">
      <w:start w:val="1"/>
      <w:numFmt w:val="decimal"/>
      <w:suff w:val="nothing"/>
      <w:lvlText w:val=""/>
      <w:lvlJc w:val="start"/>
      <w:pPr>
        <w:tabs>
          <w:tab w:val="num" w:pos="0"/>
        </w:tabs>
        <w:ind w:start="0" w:hanging="0"/>
      </w:pPr>
      <w:rPr/>
    </w:lvl>
    <w:lvl w:ilvl="4">
      <w:start w:val="1"/>
      <w:numFmt w:val="decimal"/>
      <w:suff w:val="nothing"/>
      <w:lvlText w:val=""/>
      <w:lvlJc w:val="start"/>
      <w:pPr>
        <w:tabs>
          <w:tab w:val="num" w:pos="0"/>
        </w:tabs>
        <w:ind w:start="0" w:hanging="0"/>
      </w:pPr>
      <w:rPr/>
    </w:lvl>
    <w:lvl w:ilvl="5">
      <w:start w:val="1"/>
      <w:numFmt w:val="decimal"/>
      <w:suff w:val="nothing"/>
      <w:lvlText w:val=""/>
      <w:lvlJc w:val="start"/>
      <w:pPr>
        <w:tabs>
          <w:tab w:val="num" w:pos="0"/>
        </w:tabs>
        <w:ind w:start="0" w:hanging="0"/>
      </w:pPr>
      <w:rPr/>
    </w:lvl>
    <w:lvl w:ilvl="6">
      <w:start w:val="1"/>
      <w:numFmt w:val="decimal"/>
      <w:suff w:val="nothing"/>
      <w:lvlText w:val=""/>
      <w:lvlJc w:val="start"/>
      <w:pPr>
        <w:tabs>
          <w:tab w:val="num" w:pos="0"/>
        </w:tabs>
        <w:ind w:start="0" w:hanging="0"/>
      </w:pPr>
      <w:rPr/>
    </w:lvl>
    <w:lvl w:ilvl="7">
      <w:start w:val="1"/>
      <w:numFmt w:val="decimal"/>
      <w:suff w:val="nothing"/>
      <w:lvlText w:val=""/>
      <w:lvlJc w:val="start"/>
      <w:pPr>
        <w:tabs>
          <w:tab w:val="num" w:pos="0"/>
        </w:tabs>
        <w:ind w:start="0" w:hanging="0"/>
      </w:pPr>
      <w:rPr/>
    </w:lvl>
    <w:lvl w:ilvl="8">
      <w:start w:val="1"/>
      <w:numFmt w:val="decimal"/>
      <w:suff w:val="nothing"/>
      <w:lvlText w:val=""/>
      <w:lvlJc w:val="start"/>
      <w:pPr>
        <w:tabs>
          <w:tab w:val="num" w:pos="0"/>
        </w:tabs>
        <w:ind w:start="0" w:hanging="0"/>
      </w:pPr>
      <w:rPr/>
    </w:lvl>
  </w:abstractNum>
  <w:abstractNum w:abstractNumId="2">
    <w:lvl w:ilvl="0">
      <w:start w:val="2"/>
      <w:numFmt w:val="decimal"/>
      <w:lvlText w:val="%1"/>
      <w:lvlJc w:val="start"/>
      <w:pPr>
        <w:tabs>
          <w:tab w:val="num" w:pos="0"/>
        </w:tabs>
        <w:ind w:start="0" w:hanging="600"/>
      </w:pPr>
      <w:rPr/>
    </w:lvl>
    <w:lvl w:ilvl="1">
      <w:start w:val="2"/>
      <w:numFmt w:val="decimal"/>
      <w:lvlText w:val="%1.%2"/>
      <w:lvlJc w:val="start"/>
      <w:pPr>
        <w:tabs>
          <w:tab w:val="num" w:pos="0"/>
        </w:tabs>
        <w:ind w:start="0" w:hanging="600"/>
      </w:pPr>
      <w:rPr/>
    </w:lvl>
    <w:lvl w:ilvl="2">
      <w:start w:val="1"/>
      <w:numFmt w:val="decimal"/>
      <w:lvlText w:val="%1.%2.%3"/>
      <w:lvlJc w:val="start"/>
      <w:pPr>
        <w:tabs>
          <w:tab w:val="num" w:pos="0"/>
        </w:tabs>
        <w:ind w:start="0" w:hanging="720"/>
      </w:pPr>
      <w:rPr/>
    </w:lvl>
    <w:lvl w:ilvl="3">
      <w:start w:val="1"/>
      <w:numFmt w:val="decimal"/>
      <w:lvlText w:val="%1.%2.%3.%4"/>
      <w:lvlJc w:val="start"/>
      <w:pPr>
        <w:tabs>
          <w:tab w:val="num" w:pos="0"/>
        </w:tabs>
        <w:ind w:start="0" w:hanging="1080"/>
      </w:pPr>
      <w:rPr/>
    </w:lvl>
    <w:lvl w:ilvl="4">
      <w:start w:val="1"/>
      <w:numFmt w:val="decimal"/>
      <w:lvlText w:val="%1.%2.%3.%4.%5"/>
      <w:lvlJc w:val="start"/>
      <w:pPr>
        <w:tabs>
          <w:tab w:val="num" w:pos="0"/>
        </w:tabs>
        <w:ind w:start="0" w:hanging="1080"/>
      </w:pPr>
      <w:rPr/>
    </w:lvl>
    <w:lvl w:ilvl="5">
      <w:start w:val="1"/>
      <w:numFmt w:val="decimal"/>
      <w:lvlText w:val="%1.%2.%3.%4.%5.%6"/>
      <w:lvlJc w:val="start"/>
      <w:pPr>
        <w:tabs>
          <w:tab w:val="num" w:pos="0"/>
        </w:tabs>
        <w:ind w:start="0" w:hanging="1440"/>
      </w:pPr>
      <w:rPr/>
    </w:lvl>
    <w:lvl w:ilvl="6">
      <w:start w:val="1"/>
      <w:numFmt w:val="decimal"/>
      <w:lvlText w:val="%1.%2.%3.%4.%5.%6.%7"/>
      <w:lvlJc w:val="start"/>
      <w:pPr>
        <w:tabs>
          <w:tab w:val="num" w:pos="0"/>
        </w:tabs>
        <w:ind w:start="0" w:hanging="1440"/>
      </w:pPr>
      <w:rPr/>
    </w:lvl>
    <w:lvl w:ilvl="7">
      <w:start w:val="1"/>
      <w:numFmt w:val="decimal"/>
      <w:lvlText w:val="%1.%2.%3.%4.%5.%6.%7.%8"/>
      <w:lvlJc w:val="start"/>
      <w:pPr>
        <w:tabs>
          <w:tab w:val="num" w:pos="0"/>
        </w:tabs>
        <w:ind w:start="0" w:hanging="1800"/>
      </w:pPr>
      <w:rPr/>
    </w:lvl>
    <w:lvl w:ilvl="8">
      <w:start w:val="1"/>
      <w:numFmt w:val="decimal"/>
      <w:lvlText w:val="%1.%2.%3.%4.%5.%6.%7.%8.%9"/>
      <w:lvlJc w:val="start"/>
      <w:pPr>
        <w:tabs>
          <w:tab w:val="num" w:pos="0"/>
        </w:tabs>
        <w:ind w:start="0" w:hanging="2160"/>
      </w:pPr>
      <w:rPr/>
    </w:lvl>
  </w:abstractNum>
  <w:abstractNum w:abstractNumId="3">
    <w:lvl w:ilvl="0">
      <w:start w:val="1"/>
      <w:numFmt w:val="bullet"/>
      <w:lvlText w:val=""/>
      <w:lvlJc w:val="start"/>
      <w:pPr>
        <w:tabs>
          <w:tab w:val="num" w:pos="0"/>
        </w:tabs>
        <w:ind w:start="0" w:hanging="360"/>
      </w:pPr>
      <w:rPr>
        <w:rFonts w:ascii="Symbol" w:hAnsi="Symbol" w:cs="Symbol" w:hint="default"/>
      </w:rPr>
    </w:lvl>
    <w:lvl w:ilvl="1">
      <w:start w:val="1"/>
      <w:numFmt w:val="bullet"/>
      <w:lvlText w:val="o"/>
      <w:lvlJc w:val="start"/>
      <w:pPr>
        <w:tabs>
          <w:tab w:val="num" w:pos="0"/>
        </w:tabs>
        <w:ind w:start="0" w:hanging="360"/>
      </w:pPr>
      <w:rPr>
        <w:rFonts w:ascii="Courier New" w:hAnsi="Courier New" w:cs="Courier New" w:hint="default"/>
      </w:rPr>
    </w:lvl>
    <w:lvl w:ilvl="2">
      <w:start w:val="1"/>
      <w:numFmt w:val="bullet"/>
      <w:lvlText w:val=""/>
      <w:lvlJc w:val="start"/>
      <w:pPr>
        <w:tabs>
          <w:tab w:val="num" w:pos="0"/>
        </w:tabs>
        <w:ind w:start="0" w:hanging="360"/>
      </w:pPr>
      <w:rPr>
        <w:rFonts w:ascii="Wingdings" w:hAnsi="Wingdings" w:cs="Wingdings" w:hint="default"/>
      </w:rPr>
    </w:lvl>
    <w:lvl w:ilvl="3">
      <w:start w:val="1"/>
      <w:numFmt w:val="bullet"/>
      <w:lvlText w:val=""/>
      <w:lvlJc w:val="start"/>
      <w:pPr>
        <w:tabs>
          <w:tab w:val="num" w:pos="0"/>
        </w:tabs>
        <w:ind w:start="0" w:hanging="360"/>
      </w:pPr>
      <w:rPr>
        <w:rFonts w:ascii="Symbol" w:hAnsi="Symbol" w:cs="Symbol" w:hint="default"/>
      </w:rPr>
    </w:lvl>
    <w:lvl w:ilvl="4">
      <w:start w:val="1"/>
      <w:numFmt w:val="bullet"/>
      <w:lvlText w:val="o"/>
      <w:lvlJc w:val="start"/>
      <w:pPr>
        <w:tabs>
          <w:tab w:val="num" w:pos="0"/>
        </w:tabs>
        <w:ind w:start="0" w:hanging="360"/>
      </w:pPr>
      <w:rPr>
        <w:rFonts w:ascii="Courier New" w:hAnsi="Courier New" w:cs="Courier New" w:hint="default"/>
      </w:rPr>
    </w:lvl>
    <w:lvl w:ilvl="5">
      <w:start w:val="1"/>
      <w:numFmt w:val="bullet"/>
      <w:lvlText w:val=""/>
      <w:lvlJc w:val="start"/>
      <w:pPr>
        <w:tabs>
          <w:tab w:val="num" w:pos="0"/>
        </w:tabs>
        <w:ind w:start="0" w:hanging="360"/>
      </w:pPr>
      <w:rPr>
        <w:rFonts w:ascii="Wingdings" w:hAnsi="Wingdings" w:cs="Wingdings" w:hint="default"/>
      </w:rPr>
    </w:lvl>
    <w:lvl w:ilvl="6">
      <w:start w:val="1"/>
      <w:numFmt w:val="bullet"/>
      <w:lvlText w:val=""/>
      <w:lvlJc w:val="start"/>
      <w:pPr>
        <w:tabs>
          <w:tab w:val="num" w:pos="0"/>
        </w:tabs>
        <w:ind w:start="0" w:hanging="360"/>
      </w:pPr>
      <w:rPr>
        <w:rFonts w:ascii="Symbol" w:hAnsi="Symbol" w:cs="Symbol" w:hint="default"/>
      </w:rPr>
    </w:lvl>
    <w:lvl w:ilvl="7">
      <w:start w:val="1"/>
      <w:numFmt w:val="bullet"/>
      <w:lvlText w:val="o"/>
      <w:lvlJc w:val="start"/>
      <w:pPr>
        <w:tabs>
          <w:tab w:val="num" w:pos="0"/>
        </w:tabs>
        <w:ind w:start="0" w:hanging="360"/>
      </w:pPr>
      <w:rPr>
        <w:rFonts w:ascii="Courier New" w:hAnsi="Courier New" w:cs="Courier New" w:hint="default"/>
      </w:rPr>
    </w:lvl>
    <w:lvl w:ilvl="8">
      <w:start w:val="1"/>
      <w:numFmt w:val="bullet"/>
      <w:lvlText w:val=""/>
      <w:lvlJc w:val="start"/>
      <w:pPr>
        <w:tabs>
          <w:tab w:val="num" w:pos="0"/>
        </w:tabs>
        <w:ind w:start="0" w:hanging="360"/>
      </w:pPr>
      <w:rPr>
        <w:rFonts w:ascii="Wingdings" w:hAnsi="Wingdings" w:cs="Wingdings" w:hint="default"/>
      </w:rPr>
    </w:lvl>
  </w:abstractNum>
  <w:abstractNum w:abstractNumId="4">
    <w:lvl w:ilvl="0">
      <w:start w:val="1"/>
      <w:numFmt w:val="decimal"/>
      <w:lvlText w:val="%1)"/>
      <w:lvlJc w:val="start"/>
      <w:pPr>
        <w:tabs>
          <w:tab w:val="num" w:pos="0"/>
        </w:tabs>
        <w:ind w:start="0" w:hanging="360"/>
      </w:pPr>
      <w:rPr/>
    </w:lvl>
    <w:lvl w:ilvl="1">
      <w:start w:val="1"/>
      <w:numFmt w:val="lowerLetter"/>
      <w:lvlText w:val="%2."/>
      <w:lvlJc w:val="start"/>
      <w:pPr>
        <w:tabs>
          <w:tab w:val="num" w:pos="0"/>
        </w:tabs>
        <w:ind w:start="0" w:hanging="360"/>
      </w:pPr>
      <w:rPr/>
    </w:lvl>
    <w:lvl w:ilvl="2">
      <w:start w:val="1"/>
      <w:numFmt w:val="lowerRoman"/>
      <w:lvlText w:val="%3."/>
      <w:lvlJc w:val="end"/>
      <w:pPr>
        <w:tabs>
          <w:tab w:val="num" w:pos="0"/>
        </w:tabs>
        <w:ind w:start="0" w:hanging="180"/>
      </w:pPr>
      <w:rPr/>
    </w:lvl>
    <w:lvl w:ilvl="3">
      <w:start w:val="1"/>
      <w:numFmt w:val="decimal"/>
      <w:lvlText w:val="%4."/>
      <w:lvlJc w:val="start"/>
      <w:pPr>
        <w:tabs>
          <w:tab w:val="num" w:pos="0"/>
        </w:tabs>
        <w:ind w:start="0" w:hanging="360"/>
      </w:pPr>
      <w:rPr/>
    </w:lvl>
    <w:lvl w:ilvl="4">
      <w:start w:val="1"/>
      <w:numFmt w:val="lowerLetter"/>
      <w:lvlText w:val="%5."/>
      <w:lvlJc w:val="start"/>
      <w:pPr>
        <w:tabs>
          <w:tab w:val="num" w:pos="0"/>
        </w:tabs>
        <w:ind w:start="0" w:hanging="360"/>
      </w:pPr>
      <w:rPr/>
    </w:lvl>
    <w:lvl w:ilvl="5">
      <w:start w:val="1"/>
      <w:numFmt w:val="lowerRoman"/>
      <w:lvlText w:val="%6."/>
      <w:lvlJc w:val="end"/>
      <w:pPr>
        <w:tabs>
          <w:tab w:val="num" w:pos="0"/>
        </w:tabs>
        <w:ind w:start="0" w:hanging="180"/>
      </w:pPr>
      <w:rPr/>
    </w:lvl>
    <w:lvl w:ilvl="6">
      <w:start w:val="1"/>
      <w:numFmt w:val="decimal"/>
      <w:lvlText w:val="%7."/>
      <w:lvlJc w:val="start"/>
      <w:pPr>
        <w:tabs>
          <w:tab w:val="num" w:pos="0"/>
        </w:tabs>
        <w:ind w:start="0" w:hanging="360"/>
      </w:pPr>
      <w:rPr/>
    </w:lvl>
    <w:lvl w:ilvl="7">
      <w:start w:val="1"/>
      <w:numFmt w:val="lowerLetter"/>
      <w:lvlText w:val="%8."/>
      <w:lvlJc w:val="start"/>
      <w:pPr>
        <w:tabs>
          <w:tab w:val="num" w:pos="0"/>
        </w:tabs>
        <w:ind w:start="0" w:hanging="360"/>
      </w:pPr>
      <w:rPr/>
    </w:lvl>
    <w:lvl w:ilvl="8">
      <w:start w:val="1"/>
      <w:numFmt w:val="lowerRoman"/>
      <w:lvlText w:val="%9."/>
      <w:lvlJc w:val="end"/>
      <w:pPr>
        <w:tabs>
          <w:tab w:val="num" w:pos="0"/>
        </w:tabs>
        <w:ind w:start="0" w:hanging="180"/>
      </w:pPr>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1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ahoma" w:cs="Noto Sans" w:asciiTheme="minorHAnsi" w:hAnsiTheme="minorHAnsi"/>
        <w:color w:val="000000"/>
        <w:sz w:val="22"/>
        <w:lang w:val="ru-RU"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Times New Roman" w:hAnsi="Times New Roman" w:eastAsia="Tahoma" w:cs="Noto Sans"/>
      <w:color w:val="000000"/>
      <w:kern w:val="0"/>
      <w:sz w:val="24"/>
      <w:szCs w:val="20"/>
      <w:lang w:val="ru-RU" w:eastAsia="zh-CN" w:bidi="hi-IN"/>
    </w:rPr>
  </w:style>
  <w:style w:type="paragraph" w:styleId="Heading1">
    <w:name w:val="heading 1"/>
    <w:basedOn w:val="Normal"/>
    <w:next w:val="Normal"/>
    <w:uiPriority w:val="9"/>
    <w:qFormat/>
    <w:pPr>
      <w:spacing w:before="108" w:after="108"/>
      <w:jc w:val="center"/>
      <w:outlineLvl w:val="0"/>
    </w:pPr>
    <w:rPr>
      <w:rFonts w:ascii="Cambria" w:hAnsi="Cambria"/>
      <w:b/>
      <w:sz w:val="32"/>
    </w:rPr>
  </w:style>
  <w:style w:type="paragraph" w:styleId="Heading2">
    <w:name w:val="heading 2"/>
    <w:basedOn w:val="Normal"/>
    <w:next w:val="Normal"/>
    <w:uiPriority w:val="9"/>
    <w:qFormat/>
    <w:pPr>
      <w:keepNext w:val="true"/>
      <w:spacing w:before="240" w:after="60"/>
      <w:outlineLvl w:val="1"/>
    </w:pPr>
    <w:rPr>
      <w:rFonts w:ascii="Cambria" w:hAnsi="Cambria"/>
      <w:b/>
      <w:i/>
      <w:sz w:val="28"/>
    </w:rPr>
  </w:style>
  <w:style w:type="paragraph" w:styleId="Heading3">
    <w:name w:val="heading 3"/>
    <w:basedOn w:val="Normal"/>
    <w:next w:val="Normal"/>
    <w:uiPriority w:val="9"/>
    <w:qFormat/>
    <w:pPr>
      <w:keepNext w:val="true"/>
      <w:spacing w:before="240" w:after="60"/>
      <w:outlineLvl w:val="2"/>
    </w:pPr>
    <w:rPr>
      <w:rFonts w:ascii="Cambria" w:hAnsi="Cambria"/>
      <w:b/>
      <w:sz w:val="26"/>
    </w:rPr>
  </w:style>
  <w:style w:type="paragraph" w:styleId="Heading4">
    <w:name w:val="heading 4"/>
    <w:next w:val="Normal"/>
    <w:uiPriority w:val="9"/>
    <w:qFormat/>
    <w:pPr>
      <w:widowControl/>
      <w:suppressAutoHyphens w:val="true"/>
      <w:bidi w:val="0"/>
      <w:spacing w:before="120" w:after="120"/>
      <w:jc w:val="both"/>
      <w:outlineLvl w:val="3"/>
    </w:pPr>
    <w:rPr>
      <w:rFonts w:ascii="XO Thames" w:hAnsi="XO Thames" w:eastAsia="Tahoma" w:cs="Noto Sans"/>
      <w:b/>
      <w:color w:val="000000"/>
      <w:kern w:val="0"/>
      <w:sz w:val="24"/>
      <w:szCs w:val="20"/>
      <w:lang w:val="ru-RU" w:eastAsia="zh-CN" w:bidi="hi-IN"/>
    </w:rPr>
  </w:style>
  <w:style w:type="paragraph" w:styleId="Heading5">
    <w:name w:val="heading 5"/>
    <w:next w:val="Normal"/>
    <w:uiPriority w:val="9"/>
    <w:qFormat/>
    <w:pPr>
      <w:widowControl/>
      <w:suppressAutoHyphens w:val="true"/>
      <w:bidi w:val="0"/>
      <w:spacing w:before="120" w:after="120"/>
      <w:jc w:val="both"/>
      <w:outlineLvl w:val="4"/>
    </w:pPr>
    <w:rPr>
      <w:rFonts w:ascii="XO Thames" w:hAnsi="XO Thames" w:eastAsia="Tahoma" w:cs="Noto Sans"/>
      <w:b/>
      <w:color w:val="000000"/>
      <w:kern w:val="0"/>
      <w:sz w:val="22"/>
      <w:szCs w:val="20"/>
      <w:lang w:val="ru-RU" w:eastAsia="zh-CN" w:bidi="hi-IN"/>
    </w:rPr>
  </w:style>
  <w:style w:type="paragraph" w:styleId="Heading6">
    <w:name w:val="heading 6"/>
    <w:basedOn w:val="Normal"/>
    <w:next w:val="Normal"/>
    <w:uiPriority w:val="9"/>
    <w:qFormat/>
    <w:pPr>
      <w:spacing w:before="240" w:after="60"/>
      <w:outlineLvl w:val="5"/>
    </w:pPr>
    <w:rPr>
      <w:rFonts w:ascii="Calibri" w:hAnsi="Calibri"/>
      <w:b/>
      <w:sz w:val="20"/>
    </w:rPr>
  </w:style>
  <w:style w:type="paragraph" w:styleId="Heading7">
    <w:name w:val="heading 7"/>
    <w:basedOn w:val="Normal"/>
    <w:next w:val="Normal"/>
    <w:uiPriority w:val="9"/>
    <w:qFormat/>
    <w:pPr>
      <w:spacing w:before="240" w:after="60"/>
      <w:outlineLvl w:val="6"/>
    </w:pPr>
    <w:rPr>
      <w:rFonts w:ascii="Calibri" w:hAnsi="Calibri"/>
    </w:rPr>
  </w:style>
  <w:style w:type="character" w:styleId="DefaultParagraphFont" w:default="1">
    <w:name w:val="Default Paragraph Font"/>
    <w:uiPriority w:val="1"/>
    <w:semiHidden/>
    <w:unhideWhenUsed/>
    <w:qFormat/>
    <w:rPr/>
  </w:style>
  <w:style w:type="character" w:styleId="western" w:customStyle="1">
    <w:name w:val="western"/>
    <w:link w:val="western1"/>
    <w:qFormat/>
    <w:rPr>
      <w:rFonts w:ascii="Arial" w:hAnsi="Arial"/>
    </w:rPr>
  </w:style>
  <w:style w:type="character" w:styleId="user" w:customStyle="1">
    <w:name w:val="Символ сноски (user)"/>
    <w:qFormat/>
    <w:rPr>
      <w:vertAlign w:val="superscript"/>
    </w:rPr>
  </w:style>
  <w:style w:type="character" w:styleId="Contents2" w:customStyle="1">
    <w:name w:val="Contents 2"/>
    <w:qFormat/>
    <w:rPr>
      <w:rFonts w:ascii="XO Thames" w:hAnsi="XO Thames"/>
      <w:sz w:val="28"/>
    </w:rPr>
  </w:style>
  <w:style w:type="character" w:styleId="Style7" w:customStyle="1">
    <w:name w:val="Подзаголовок Знак"/>
    <w:basedOn w:val="DefaultParagraphFont"/>
    <w:link w:val="24"/>
    <w:qFormat/>
    <w:rPr>
      <w:rFonts w:ascii="Cambria" w:hAnsi="Cambria" w:asciiTheme="majorHAnsi" w:hAnsiTheme="majorHAnsi"/>
      <w:i/>
      <w:color w:themeColor="accent1" w:val="4F81BD"/>
      <w:spacing w:val="15"/>
      <w:sz w:val="24"/>
    </w:rPr>
  </w:style>
  <w:style w:type="character" w:styleId="Contents4" w:customStyle="1">
    <w:name w:val="Contents 4"/>
    <w:qFormat/>
    <w:rPr>
      <w:rFonts w:ascii="XO Thames" w:hAnsi="XO Thames"/>
      <w:sz w:val="28"/>
    </w:rPr>
  </w:style>
  <w:style w:type="character" w:styleId="FollowedHyperlink">
    <w:name w:val="FollowedHyperlink"/>
    <w:basedOn w:val="DefaultParagraphFont"/>
    <w:rPr>
      <w:color w:themeColor="followedHyperlink" w:val="800080"/>
      <w:u w:val="single"/>
    </w:rPr>
  </w:style>
  <w:style w:type="character" w:styleId="Heading71" w:customStyle="1">
    <w:name w:val="Heading 71"/>
    <w:qFormat/>
    <w:rPr>
      <w:rFonts w:ascii="Calibri" w:hAnsi="Calibri"/>
    </w:rPr>
  </w:style>
  <w:style w:type="character" w:styleId="Style8" w:customStyle="1">
    <w:name w:val="Таблицы (моноширинный)"/>
    <w:link w:val="114"/>
    <w:qFormat/>
    <w:rPr>
      <w:rFonts w:ascii="Courier New" w:hAnsi="Courier New"/>
    </w:rPr>
  </w:style>
  <w:style w:type="character" w:styleId="1" w:customStyle="1">
    <w:name w:val="Подзаголовок Знак1"/>
    <w:link w:val="115"/>
    <w:qFormat/>
    <w:rPr>
      <w:rFonts w:ascii="Times New Roman" w:hAnsi="Times New Roman"/>
      <w:b/>
      <w:sz w:val="28"/>
    </w:rPr>
  </w:style>
  <w:style w:type="character" w:styleId="Style9" w:customStyle="1">
    <w:name w:val="Верхний колонтитул Знак"/>
    <w:basedOn w:val="DefaultParagraphFont"/>
    <w:link w:val="116"/>
    <w:qFormat/>
    <w:rPr>
      <w:rFonts w:ascii="Times New Roman" w:hAnsi="Times New Roman"/>
      <w:sz w:val="24"/>
    </w:rPr>
  </w:style>
  <w:style w:type="character" w:styleId="Contents6" w:customStyle="1">
    <w:name w:val="Contents 6"/>
    <w:qFormat/>
    <w:rPr>
      <w:rFonts w:ascii="XO Thames" w:hAnsi="XO Thames"/>
      <w:sz w:val="28"/>
    </w:rPr>
  </w:style>
  <w:style w:type="character" w:styleId="Contents7" w:customStyle="1">
    <w:name w:val="Contents 7"/>
    <w:qFormat/>
    <w:rPr>
      <w:rFonts w:ascii="XO Thames" w:hAnsi="XO Thames"/>
      <w:sz w:val="28"/>
    </w:rPr>
  </w:style>
  <w:style w:type="character" w:styleId="Style10" w:customStyle="1">
    <w:name w:val="Текст примечания Знак"/>
    <w:basedOn w:val="DefaultParagraphFont"/>
    <w:link w:val="117"/>
    <w:qFormat/>
    <w:rPr>
      <w:rFonts w:ascii="Times New Roman" w:hAnsi="Times New Roman"/>
      <w:sz w:val="20"/>
    </w:rPr>
  </w:style>
  <w:style w:type="character" w:styleId="1CharChar3" w:customStyle="1">
    <w:name w:val="Знак Знак1 Char Char3"/>
    <w:link w:val="1CharChar31"/>
    <w:qFormat/>
    <w:rPr>
      <w:sz w:val="21"/>
    </w:rPr>
  </w:style>
  <w:style w:type="character" w:styleId="3" w:customStyle="1">
    <w:name w:val="Обычный3"/>
    <w:link w:val="313"/>
    <w:qFormat/>
    <w:rPr>
      <w:rFonts w:ascii="Times New Roman" w:hAnsi="Times New Roman"/>
      <w:color w:val="000000"/>
      <w:sz w:val="22"/>
    </w:rPr>
  </w:style>
  <w:style w:type="character" w:styleId="11" w:customStyle="1">
    <w:name w:val="Заголовок 1 Знак"/>
    <w:basedOn w:val="DefaultParagraphFont"/>
    <w:link w:val="118"/>
    <w:qFormat/>
    <w:rPr>
      <w:rFonts w:ascii="Cambria" w:hAnsi="Cambria"/>
      <w:b/>
      <w:sz w:val="32"/>
    </w:rPr>
  </w:style>
  <w:style w:type="character" w:styleId="Footer1" w:customStyle="1">
    <w:name w:val="Footer1"/>
    <w:qFormat/>
    <w:rPr/>
  </w:style>
  <w:style w:type="character" w:styleId="1CharChar4" w:customStyle="1">
    <w:name w:val="Знак Знак1 Char Char4"/>
    <w:link w:val="1CharChar41"/>
    <w:qFormat/>
    <w:rPr>
      <w:sz w:val="21"/>
    </w:rPr>
  </w:style>
  <w:style w:type="character" w:styleId="12" w:customStyle="1">
    <w:name w:val="Заголовок1"/>
    <w:link w:val="11111111111111"/>
    <w:qFormat/>
    <w:rPr>
      <w:rFonts w:ascii="Liberation Sans" w:hAnsi="Liberation Sans"/>
      <w:sz w:val="28"/>
    </w:rPr>
  </w:style>
  <w:style w:type="character" w:styleId="Endnote" w:customStyle="1">
    <w:name w:val="Endnote"/>
    <w:link w:val="Endnote1"/>
    <w:qFormat/>
    <w:rPr>
      <w:sz w:val="20"/>
    </w:rPr>
  </w:style>
  <w:style w:type="character" w:styleId="Heading31" w:customStyle="1">
    <w:name w:val="Heading 31"/>
    <w:qFormat/>
    <w:rPr>
      <w:rFonts w:ascii="Cambria" w:hAnsi="Cambria"/>
      <w:b/>
      <w:sz w:val="26"/>
    </w:rPr>
  </w:style>
  <w:style w:type="character" w:styleId="13" w:customStyle="1">
    <w:name w:val="Рецензия1"/>
    <w:link w:val="Revision1"/>
    <w:qFormat/>
    <w:rPr>
      <w:rFonts w:ascii="Calibri" w:hAnsi="Calibri" w:asciiTheme="minorHAnsi" w:hAnsiTheme="minorHAnsi"/>
      <w:color w:val="000000"/>
      <w:sz w:val="22"/>
    </w:rPr>
  </w:style>
  <w:style w:type="character" w:styleId="Style11" w:customStyle="1">
    <w:name w:val="Символ концевой сноски"/>
    <w:link w:val="124"/>
    <w:qFormat/>
    <w:rPr>
      <w:vertAlign w:val="superscript"/>
    </w:rPr>
  </w:style>
  <w:style w:type="character" w:styleId="user1" w:customStyle="1">
    <w:name w:val="Символ концевой сноски (user)"/>
    <w:qFormat/>
    <w:rPr>
      <w:vertAlign w:val="superscript"/>
    </w:rPr>
  </w:style>
  <w:style w:type="character" w:styleId="EndnoteReference">
    <w:name w:val="endnote reference"/>
    <w:rPr>
      <w:vertAlign w:val="superscript"/>
    </w:rPr>
  </w:style>
  <w:style w:type="character" w:styleId="31" w:customStyle="1">
    <w:name w:val="Заголовок 3 Знак"/>
    <w:basedOn w:val="DefaultParagraphFont"/>
    <w:link w:val="314"/>
    <w:qFormat/>
    <w:rPr>
      <w:rFonts w:ascii="Cambria" w:hAnsi="Cambria"/>
      <w:b/>
      <w:sz w:val="26"/>
    </w:rPr>
  </w:style>
  <w:style w:type="character" w:styleId="Style12" w:customStyle="1">
    <w:name w:val="Колонтитул (правый)"/>
    <w:basedOn w:val="Style17"/>
    <w:link w:val="120"/>
    <w:qFormat/>
    <w:rPr>
      <w:rFonts w:ascii="Arial" w:hAnsi="Arial"/>
      <w:sz w:val="16"/>
    </w:rPr>
  </w:style>
  <w:style w:type="character" w:styleId="21" w:customStyle="1">
    <w:name w:val="Основной текст с отступом 21"/>
    <w:link w:val="BodyTextIndent21"/>
    <w:qFormat/>
    <w:rPr/>
  </w:style>
  <w:style w:type="character" w:styleId="IndexHeading1" w:customStyle="1">
    <w:name w:val="Index Heading1"/>
    <w:qFormat/>
    <w:rPr/>
  </w:style>
  <w:style w:type="character" w:styleId="CommentReference">
    <w:name w:val="annotation reference"/>
    <w:link w:val="annotationreference1"/>
    <w:qFormat/>
    <w:rPr>
      <w:sz w:val="16"/>
    </w:rPr>
  </w:style>
  <w:style w:type="character" w:styleId="Style13" w:customStyle="1">
    <w:name w:val="Символ сноски"/>
    <w:link w:val="113"/>
    <w:qFormat/>
    <w:rPr>
      <w:vertAlign w:val="superscript"/>
    </w:rPr>
  </w:style>
  <w:style w:type="character" w:styleId="ListAlpha1" w:customStyle="1">
    <w:name w:val="List Alpha 1"/>
    <w:link w:val="ListAlpha11"/>
    <w:qFormat/>
    <w:rPr>
      <w:sz w:val="22"/>
    </w:rPr>
  </w:style>
  <w:style w:type="character" w:styleId="7" w:customStyle="1">
    <w:name w:val="Заголовок 7 Знак"/>
    <w:basedOn w:val="DefaultParagraphFont"/>
    <w:link w:val="711"/>
    <w:qFormat/>
    <w:rPr>
      <w:rFonts w:ascii="Calibri" w:hAnsi="Calibri"/>
      <w:sz w:val="24"/>
    </w:rPr>
  </w:style>
  <w:style w:type="character" w:styleId="2" w:customStyle="1">
    <w:name w:val="Обычный2"/>
    <w:link w:val="212"/>
    <w:qFormat/>
    <w:rPr>
      <w:rFonts w:ascii="Times New Roman" w:hAnsi="Times New Roman"/>
      <w:color w:val="000000"/>
      <w:sz w:val="22"/>
    </w:rPr>
  </w:style>
  <w:style w:type="character" w:styleId="211" w:customStyle="1">
    <w:name w:val="Основной текст 21"/>
    <w:link w:val="BodyText21"/>
    <w:qFormat/>
    <w:rPr/>
  </w:style>
  <w:style w:type="character" w:styleId="FootnoteReference">
    <w:name w:val="footnote reference"/>
    <w:rPr>
      <w:vertAlign w:val="superscript"/>
    </w:rPr>
  </w:style>
  <w:style w:type="character" w:styleId="311" w:customStyle="1">
    <w:name w:val="Основной текст с отступом 31"/>
    <w:link w:val="BodyTextIndent31"/>
    <w:qFormat/>
    <w:rPr>
      <w:sz w:val="16"/>
    </w:rPr>
  </w:style>
  <w:style w:type="character" w:styleId="Style14" w:customStyle="1">
    <w:name w:val="Пункт договора"/>
    <w:basedOn w:val="Style22"/>
    <w:link w:val="122"/>
    <w:qFormat/>
    <w:rPr>
      <w:rFonts w:ascii="Times New Roman" w:hAnsi="Times New Roman"/>
      <w:b w:val="false"/>
      <w:sz w:val="26"/>
    </w:rPr>
  </w:style>
  <w:style w:type="character" w:styleId="1CharChar1" w:customStyle="1">
    <w:name w:val="Знак Знак1 Char Char1"/>
    <w:link w:val="1CharChar11"/>
    <w:qFormat/>
    <w:rPr>
      <w:sz w:val="21"/>
    </w:rPr>
  </w:style>
  <w:style w:type="character" w:styleId="1CharChar2" w:customStyle="1">
    <w:name w:val="Знак Знак1 Char Char2"/>
    <w:link w:val="1CharChar21"/>
    <w:qFormat/>
    <w:rPr>
      <w:sz w:val="21"/>
    </w:rPr>
  </w:style>
  <w:style w:type="character" w:styleId="PageNumber">
    <w:name w:val="page number"/>
    <w:rPr/>
  </w:style>
  <w:style w:type="character" w:styleId="List1" w:customStyle="1">
    <w:name w:val="List1"/>
    <w:basedOn w:val="Textbody"/>
    <w:qFormat/>
    <w:rPr/>
  </w:style>
  <w:style w:type="character" w:styleId="Style15" w:customStyle="1">
    <w:name w:val="Подпункт договора"/>
    <w:basedOn w:val="Style14"/>
    <w:link w:val="123"/>
    <w:qFormat/>
    <w:rPr>
      <w:rFonts w:ascii="Times New Roman" w:hAnsi="Times New Roman"/>
      <w:b w:val="false"/>
      <w:sz w:val="26"/>
    </w:rPr>
  </w:style>
  <w:style w:type="character" w:styleId="Style16" w:customStyle="1">
    <w:name w:val="Колонтитулы"/>
    <w:link w:val="119"/>
    <w:qFormat/>
    <w:rPr/>
  </w:style>
  <w:style w:type="character" w:styleId="Contents3" w:customStyle="1">
    <w:name w:val="Contents 3"/>
    <w:qFormat/>
    <w:rPr>
      <w:rFonts w:ascii="XO Thames" w:hAnsi="XO Thames"/>
      <w:sz w:val="28"/>
    </w:rPr>
  </w:style>
  <w:style w:type="character" w:styleId="Textbody" w:customStyle="1">
    <w:name w:val="Text body"/>
    <w:qFormat/>
    <w:rPr/>
  </w:style>
  <w:style w:type="character" w:styleId="Style17" w:customStyle="1">
    <w:name w:val="Текст (прав. подпись)"/>
    <w:link w:val="125"/>
    <w:qFormat/>
    <w:rPr>
      <w:rFonts w:ascii="Arial" w:hAnsi="Arial"/>
    </w:rPr>
  </w:style>
  <w:style w:type="character" w:styleId="Style18" w:customStyle="1">
    <w:name w:val="Стиль"/>
    <w:link w:val="126"/>
    <w:qFormat/>
    <w:rPr>
      <w:sz w:val="20"/>
    </w:rPr>
  </w:style>
  <w:style w:type="character" w:styleId="1CharChar6" w:customStyle="1">
    <w:name w:val="Знак Знак1 Char Char6"/>
    <w:link w:val="1CharChar61"/>
    <w:qFormat/>
    <w:rPr>
      <w:sz w:val="21"/>
    </w:rPr>
  </w:style>
  <w:style w:type="character" w:styleId="14" w:customStyle="1">
    <w:name w:val="Текст выноски1"/>
    <w:link w:val="BalloonText1"/>
    <w:qFormat/>
    <w:rPr>
      <w:rFonts w:ascii="Tahoma" w:hAnsi="Tahoma"/>
      <w:sz w:val="16"/>
    </w:rPr>
  </w:style>
  <w:style w:type="character" w:styleId="Heading51" w:customStyle="1">
    <w:name w:val="Heading 51"/>
    <w:qFormat/>
    <w:rPr>
      <w:rFonts w:ascii="XO Thames" w:hAnsi="XO Thames"/>
      <w:b/>
      <w:sz w:val="22"/>
    </w:rPr>
  </w:style>
  <w:style w:type="character" w:styleId="Style19" w:customStyle="1">
    <w:name w:val="пп"/>
    <w:basedOn w:val="Style25"/>
    <w:link w:val="127"/>
    <w:qFormat/>
    <w:rPr>
      <w:rFonts w:ascii="Times New Roman" w:hAnsi="Times New Roman"/>
      <w:b w:val="false"/>
      <w:sz w:val="26"/>
    </w:rPr>
  </w:style>
  <w:style w:type="character" w:styleId="Marginalia" w:customStyle="1">
    <w:name w:val="Marginalia"/>
    <w:qFormat/>
    <w:rPr>
      <w:sz w:val="20"/>
    </w:rPr>
  </w:style>
  <w:style w:type="character" w:styleId="Style20" w:customStyle="1">
    <w:name w:val="Основной текст Знак"/>
    <w:basedOn w:val="DefaultParagraphFont"/>
    <w:link w:val="128"/>
    <w:qFormat/>
    <w:rPr>
      <w:rFonts w:ascii="Times New Roman" w:hAnsi="Times New Roman"/>
      <w:sz w:val="24"/>
    </w:rPr>
  </w:style>
  <w:style w:type="character" w:styleId="-11" w:customStyle="1">
    <w:name w:val="Цветной список - Акцент 11"/>
    <w:link w:val="-111"/>
    <w:qFormat/>
    <w:rPr/>
  </w:style>
  <w:style w:type="character" w:styleId="15" w:customStyle="1">
    <w:name w:val="Обычный (Интернет)1"/>
    <w:link w:val="NormalWeb1"/>
    <w:qFormat/>
    <w:rPr/>
  </w:style>
  <w:style w:type="character" w:styleId="Heading11" w:customStyle="1">
    <w:name w:val="Heading 11"/>
    <w:qFormat/>
    <w:rPr>
      <w:rFonts w:ascii="Cambria" w:hAnsi="Cambria"/>
      <w:b/>
      <w:sz w:val="32"/>
    </w:rPr>
  </w:style>
  <w:style w:type="character" w:styleId="Caption1" w:customStyle="1">
    <w:name w:val="Caption1"/>
    <w:qFormat/>
    <w:rPr>
      <w:i/>
    </w:rPr>
  </w:style>
  <w:style w:type="character" w:styleId="22" w:customStyle="1">
    <w:name w:val="Заголовок 2 Знак"/>
    <w:basedOn w:val="DefaultParagraphFont"/>
    <w:link w:val="213"/>
    <w:qFormat/>
    <w:rPr>
      <w:rFonts w:ascii="Cambria" w:hAnsi="Cambria"/>
      <w:b/>
      <w:i/>
      <w:sz w:val="28"/>
    </w:rPr>
  </w:style>
  <w:style w:type="character" w:styleId="16" w:customStyle="1">
    <w:name w:val="Указатель1"/>
    <w:link w:val="11111111111112"/>
    <w:qFormat/>
    <w:rPr/>
  </w:style>
  <w:style w:type="character" w:styleId="Header1" w:customStyle="1">
    <w:name w:val="Header1"/>
    <w:qFormat/>
    <w:rPr/>
  </w:style>
  <w:style w:type="character" w:styleId="Hyperlink">
    <w:name w:val="Hyperlink"/>
    <w:rPr>
      <w:color w:val="0000FF"/>
      <w:u w:val="single"/>
    </w:rPr>
  </w:style>
  <w:style w:type="character" w:styleId="Footnote" w:customStyle="1">
    <w:name w:val="Footnote"/>
    <w:link w:val="Footnote1"/>
    <w:qFormat/>
    <w:rPr>
      <w:sz w:val="20"/>
    </w:rPr>
  </w:style>
  <w:style w:type="character" w:styleId="17" w:customStyle="1">
    <w:name w:val="Абзац списка1"/>
    <w:link w:val="ListParagraph1"/>
    <w:qFormat/>
    <w:rPr/>
  </w:style>
  <w:style w:type="character" w:styleId="Contents1" w:customStyle="1">
    <w:name w:val="Contents 1"/>
    <w:qFormat/>
    <w:rPr>
      <w:rFonts w:ascii="XO Thames" w:hAnsi="XO Thames"/>
      <w:b/>
      <w:sz w:val="28"/>
    </w:rPr>
  </w:style>
  <w:style w:type="character" w:styleId="HeaderandFooter" w:customStyle="1">
    <w:name w:val="Header and Footer"/>
    <w:qFormat/>
    <w:rPr>
      <w:rFonts w:ascii="XO Thames" w:hAnsi="XO Thames"/>
      <w:sz w:val="28"/>
    </w:rPr>
  </w:style>
  <w:style w:type="character" w:styleId="Iauiue" w:customStyle="1">
    <w:name w:val="Iau?iue"/>
    <w:link w:val="Iauiue1"/>
    <w:qFormat/>
    <w:rPr>
      <w:rFonts w:ascii="Times New Roman" w:hAnsi="Times New Roman"/>
      <w:color w:val="000000"/>
      <w:sz w:val="20"/>
    </w:rPr>
  </w:style>
  <w:style w:type="character" w:styleId="18" w:customStyle="1">
    <w:name w:val="Тема примечания1"/>
    <w:basedOn w:val="Marginalia"/>
    <w:link w:val="annotationsubject1"/>
    <w:qFormat/>
    <w:rPr>
      <w:b/>
      <w:sz w:val="20"/>
    </w:rPr>
  </w:style>
  <w:style w:type="character" w:styleId="Style21" w:customStyle="1">
    <w:name w:val="Основной текст с отступом Знак"/>
    <w:basedOn w:val="DefaultParagraphFont"/>
    <w:link w:val="129"/>
    <w:qFormat/>
    <w:rPr>
      <w:rFonts w:ascii="Times New Roman" w:hAnsi="Times New Roman"/>
      <w:sz w:val="24"/>
    </w:rPr>
  </w:style>
  <w:style w:type="character" w:styleId="Contents9" w:customStyle="1">
    <w:name w:val="Contents 9"/>
    <w:qFormat/>
    <w:rPr>
      <w:rFonts w:ascii="XO Thames" w:hAnsi="XO Thames"/>
      <w:sz w:val="28"/>
    </w:rPr>
  </w:style>
  <w:style w:type="character" w:styleId="1CharChar" w:customStyle="1">
    <w:name w:val="Знак Знак1 Char Char"/>
    <w:link w:val="1CharChar8"/>
    <w:qFormat/>
    <w:rPr>
      <w:sz w:val="21"/>
    </w:rPr>
  </w:style>
  <w:style w:type="character" w:styleId="CCLegal1" w:customStyle="1">
    <w:name w:val="CC Legal 1"/>
    <w:link w:val="CCLegal11"/>
    <w:qFormat/>
    <w:rPr>
      <w:rFonts w:ascii="Book Antiqua" w:hAnsi="Book Antiqua"/>
      <w:sz w:val="22"/>
    </w:rPr>
  </w:style>
  <w:style w:type="character" w:styleId="Style22" w:customStyle="1">
    <w:name w:val="Раздел договора"/>
    <w:basedOn w:val="19"/>
    <w:link w:val="130"/>
    <w:qFormat/>
    <w:rPr>
      <w:rFonts w:ascii="Times New Roman" w:hAnsi="Times New Roman"/>
      <w:b/>
      <w:sz w:val="26"/>
    </w:rPr>
  </w:style>
  <w:style w:type="character" w:styleId="Style23" w:customStyle="1">
    <w:name w:val="Заголовок Знак"/>
    <w:basedOn w:val="DefaultParagraphFont"/>
    <w:link w:val="132"/>
    <w:qFormat/>
    <w:rPr>
      <w:rFonts w:ascii="Times New Roman" w:hAnsi="Times New Roman"/>
      <w:b/>
      <w:caps/>
      <w:sz w:val="20"/>
    </w:rPr>
  </w:style>
  <w:style w:type="character" w:styleId="Style24" w:customStyle="1">
    <w:name w:val="Гипертекстовая ссылка"/>
    <w:link w:val="133"/>
    <w:qFormat/>
    <w:rPr>
      <w:b/>
      <w:color w:val="008000"/>
    </w:rPr>
  </w:style>
  <w:style w:type="character" w:styleId="Contents8" w:customStyle="1">
    <w:name w:val="Contents 8"/>
    <w:qFormat/>
    <w:rPr>
      <w:rFonts w:ascii="XO Thames" w:hAnsi="XO Thames"/>
      <w:sz w:val="28"/>
    </w:rPr>
  </w:style>
  <w:style w:type="character" w:styleId="1CharChar5" w:customStyle="1">
    <w:name w:val="Знак Знак1 Char Char5"/>
    <w:link w:val="1CharChar51"/>
    <w:qFormat/>
    <w:rPr>
      <w:sz w:val="21"/>
    </w:rPr>
  </w:style>
  <w:style w:type="character" w:styleId="23" w:customStyle="1">
    <w:name w:val="Подпункт договора 2"/>
    <w:basedOn w:val="Style15"/>
    <w:link w:val="214"/>
    <w:qFormat/>
    <w:rPr>
      <w:rFonts w:ascii="Times New Roman" w:hAnsi="Times New Roman"/>
      <w:b w:val="false"/>
      <w:sz w:val="26"/>
    </w:rPr>
  </w:style>
  <w:style w:type="character" w:styleId="312" w:customStyle="1">
    <w:name w:val="Основной текст 31"/>
    <w:link w:val="BodyText31"/>
    <w:qFormat/>
    <w:rPr>
      <w:sz w:val="28"/>
    </w:rPr>
  </w:style>
  <w:style w:type="character" w:styleId="Style25" w:customStyle="1">
    <w:name w:val="п"/>
    <w:basedOn w:val="Style29"/>
    <w:link w:val="134"/>
    <w:qFormat/>
    <w:rPr>
      <w:rFonts w:ascii="Times New Roman" w:hAnsi="Times New Roman"/>
      <w:b w:val="false"/>
      <w:sz w:val="26"/>
    </w:rPr>
  </w:style>
  <w:style w:type="character" w:styleId="Style26" w:customStyle="1">
    <w:name w:val="Текст сноски Знак"/>
    <w:basedOn w:val="DefaultParagraphFont"/>
    <w:link w:val="135"/>
    <w:qFormat/>
    <w:rPr>
      <w:rFonts w:ascii="Times New Roman" w:hAnsi="Times New Roman"/>
      <w:sz w:val="20"/>
    </w:rPr>
  </w:style>
  <w:style w:type="character" w:styleId="19" w:customStyle="1">
    <w:name w:val="Текст1"/>
    <w:link w:val="PlainText1"/>
    <w:qFormat/>
    <w:rPr>
      <w:rFonts w:ascii="Courier New" w:hAnsi="Courier New"/>
      <w:sz w:val="20"/>
    </w:rPr>
  </w:style>
  <w:style w:type="character" w:styleId="Style27" w:customStyle="1">
    <w:name w:val="Цветовое выделение"/>
    <w:link w:val="136"/>
    <w:qFormat/>
    <w:rPr>
      <w:b/>
      <w:color w:val="000080"/>
    </w:rPr>
  </w:style>
  <w:style w:type="character" w:styleId="Contents5" w:customStyle="1">
    <w:name w:val="Contents 5"/>
    <w:qFormat/>
    <w:rPr>
      <w:rFonts w:ascii="XO Thames" w:hAnsi="XO Thames"/>
      <w:sz w:val="28"/>
    </w:rPr>
  </w:style>
  <w:style w:type="character" w:styleId="Style28" w:customStyle="1">
    <w:name w:val="Нижний колонтитул Знак"/>
    <w:basedOn w:val="DefaultParagraphFont"/>
    <w:link w:val="137"/>
    <w:qFormat/>
    <w:rPr>
      <w:rFonts w:ascii="Times New Roman" w:hAnsi="Times New Roman"/>
      <w:sz w:val="24"/>
    </w:rPr>
  </w:style>
  <w:style w:type="character" w:styleId="6" w:customStyle="1">
    <w:name w:val="Заголовок 6 Знак"/>
    <w:basedOn w:val="DefaultParagraphFont"/>
    <w:link w:val="611"/>
    <w:qFormat/>
    <w:rPr>
      <w:rFonts w:ascii="Calibri" w:hAnsi="Calibri"/>
      <w:b/>
      <w:sz w:val="20"/>
    </w:rPr>
  </w:style>
  <w:style w:type="character" w:styleId="1CharChar7" w:customStyle="1">
    <w:name w:val="Знак Знак1 Char Char7"/>
    <w:link w:val="1CharChar71"/>
    <w:qFormat/>
    <w:rPr>
      <w:sz w:val="21"/>
    </w:rPr>
  </w:style>
  <w:style w:type="character" w:styleId="Style29" w:customStyle="1">
    <w:name w:val="р"/>
    <w:link w:val="138"/>
    <w:qFormat/>
    <w:rPr>
      <w:rFonts w:ascii="Times New Roman" w:hAnsi="Times New Roman"/>
      <w:b/>
      <w:sz w:val="26"/>
    </w:rPr>
  </w:style>
  <w:style w:type="character" w:styleId="Subtitle1" w:customStyle="1">
    <w:name w:val="Subtitle1"/>
    <w:qFormat/>
    <w:rPr>
      <w:b/>
      <w:sz w:val="28"/>
    </w:rPr>
  </w:style>
  <w:style w:type="character" w:styleId="Title1" w:customStyle="1">
    <w:name w:val="Title1"/>
    <w:qFormat/>
    <w:rPr>
      <w:b/>
      <w:caps/>
      <w:sz w:val="20"/>
    </w:rPr>
  </w:style>
  <w:style w:type="character" w:styleId="110" w:customStyle="1">
    <w:name w:val="Обычный1"/>
    <w:link w:val="1113"/>
    <w:qFormat/>
    <w:rPr>
      <w:rFonts w:ascii="Times New Roman" w:hAnsi="Times New Roman"/>
      <w:color w:val="000000"/>
      <w:sz w:val="20"/>
    </w:rPr>
  </w:style>
  <w:style w:type="character" w:styleId="Heading41" w:customStyle="1">
    <w:name w:val="Heading 41"/>
    <w:qFormat/>
    <w:rPr>
      <w:rFonts w:ascii="XO Thames" w:hAnsi="XO Thames"/>
      <w:b/>
      <w:sz w:val="24"/>
    </w:rPr>
  </w:style>
  <w:style w:type="character" w:styleId="Style30" w:customStyle="1">
    <w:name w:val="Текст концевой сноски Знак"/>
    <w:basedOn w:val="DefaultParagraphFont"/>
    <w:link w:val="139"/>
    <w:qFormat/>
    <w:rPr>
      <w:rFonts w:ascii="Times New Roman" w:hAnsi="Times New Roman"/>
      <w:sz w:val="20"/>
    </w:rPr>
  </w:style>
  <w:style w:type="character" w:styleId="Heading21" w:customStyle="1">
    <w:name w:val="Heading 21"/>
    <w:qFormat/>
    <w:rPr>
      <w:rFonts w:ascii="Cambria" w:hAnsi="Cambria"/>
      <w:b/>
      <w:i/>
      <w:sz w:val="28"/>
    </w:rPr>
  </w:style>
  <w:style w:type="character" w:styleId="Heading61" w:customStyle="1">
    <w:name w:val="Heading 61"/>
    <w:qFormat/>
    <w:rPr>
      <w:rFonts w:ascii="Calibri" w:hAnsi="Calibri"/>
      <w:b/>
      <w:sz w:val="20"/>
    </w:rPr>
  </w:style>
  <w:style w:type="character" w:styleId="Textbodyindent" w:customStyle="1">
    <w:name w:val="Text body indent"/>
    <w:qFormat/>
    <w:rPr/>
  </w:style>
  <w:style w:type="character" w:styleId="fontstyle01" w:customStyle="1">
    <w:name w:val="fontstyle01"/>
    <w:basedOn w:val="DefaultParagraphFont"/>
    <w:qFormat/>
    <w:rPr>
      <w:rFonts w:ascii="Calibri" w:hAnsi="Calibri" w:cs="Calibri"/>
      <w:b w:val="false"/>
      <w:bCs w:val="false"/>
      <w:i w:val="false"/>
      <w:iCs w:val="false"/>
      <w:color w:val="000000"/>
      <w:sz w:val="18"/>
      <w:szCs w:val="18"/>
    </w:rPr>
  </w:style>
  <w:style w:type="paragraph" w:styleId="Style31">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pPr>
      <w:jc w:val="both"/>
    </w:pPr>
    <w:rPr/>
  </w:style>
  <w:style w:type="paragraph" w:styleId="List">
    <w:name w:val="List"/>
    <w:basedOn w:val="BodyText"/>
    <w:pPr/>
    <w:rPr/>
  </w:style>
  <w:style w:type="paragraph" w:styleId="Caption">
    <w:name w:val="caption"/>
    <w:basedOn w:val="Normal"/>
    <w:qFormat/>
    <w:pPr>
      <w:spacing w:before="120" w:after="120"/>
    </w:pPr>
    <w:rPr>
      <w:i/>
    </w:rPr>
  </w:style>
  <w:style w:type="paragraph" w:styleId="Style32">
    <w:name w:val="Указатель"/>
    <w:basedOn w:val="Normal"/>
    <w:qFormat/>
    <w:pPr>
      <w:suppressLineNumbers/>
    </w:pPr>
    <w:rPr>
      <w:rFonts w:cs="Noto Sans"/>
    </w:rPr>
  </w:style>
  <w:style w:type="paragraph" w:styleId="user2">
    <w:name w:val="Заголовок (user)"/>
    <w:basedOn w:val="Normal"/>
    <w:next w:val="BodyText"/>
    <w:qFormat/>
    <w:pPr>
      <w:keepNext w:val="true"/>
      <w:spacing w:before="240" w:after="120"/>
    </w:pPr>
    <w:rPr>
      <w:rFonts w:ascii="Liberation Sans" w:hAnsi="Liberation Sans" w:eastAsia="Tahoma" w:cs="Noto Sans"/>
      <w:sz w:val="28"/>
      <w:szCs w:val="28"/>
    </w:rPr>
  </w:style>
  <w:style w:type="paragraph" w:styleId="user3">
    <w:name w:val="Указатель (user)"/>
    <w:basedOn w:val="Normal"/>
    <w:qFormat/>
    <w:pPr>
      <w:suppressLineNumbers/>
    </w:pPr>
    <w:rPr>
      <w:rFonts w:cs="Noto Sans"/>
    </w:rPr>
  </w:style>
  <w:style w:type="paragraph" w:styleId="111" w:customStyle="1">
    <w:name w:val="Заголовок11"/>
    <w:basedOn w:val="Normal"/>
    <w:next w:val="BodyText"/>
    <w:qFormat/>
    <w:pPr>
      <w:keepNext w:val="true"/>
      <w:spacing w:before="240" w:after="120"/>
    </w:pPr>
    <w:rPr>
      <w:rFonts w:ascii="Liberation Sans" w:hAnsi="Liberation Sans"/>
      <w:sz w:val="28"/>
      <w:szCs w:val="28"/>
    </w:rPr>
  </w:style>
  <w:style w:type="paragraph" w:styleId="112" w:customStyle="1">
    <w:name w:val="Указатель11"/>
    <w:basedOn w:val="Normal"/>
    <w:qFormat/>
    <w:pPr>
      <w:suppressLineNumbers/>
    </w:pPr>
    <w:rPr/>
  </w:style>
  <w:style w:type="paragraph" w:styleId="1111" w:customStyle="1">
    <w:name w:val="Заголовок111"/>
    <w:basedOn w:val="Normal"/>
    <w:next w:val="BodyText"/>
    <w:qFormat/>
    <w:pPr>
      <w:keepNext w:val="true"/>
      <w:spacing w:before="240" w:after="120"/>
    </w:pPr>
    <w:rPr>
      <w:rFonts w:ascii="Liberation Sans" w:hAnsi="Liberation Sans"/>
      <w:sz w:val="28"/>
      <w:szCs w:val="28"/>
    </w:rPr>
  </w:style>
  <w:style w:type="paragraph" w:styleId="1112" w:customStyle="1">
    <w:name w:val="Указатель111"/>
    <w:basedOn w:val="Normal"/>
    <w:qFormat/>
    <w:pPr>
      <w:suppressLineNumbers/>
    </w:pPr>
    <w:rPr/>
  </w:style>
  <w:style w:type="paragraph" w:styleId="11111" w:customStyle="1">
    <w:name w:val="Заголовок1111"/>
    <w:basedOn w:val="Normal"/>
    <w:next w:val="BodyText"/>
    <w:qFormat/>
    <w:pPr>
      <w:keepNext w:val="true"/>
      <w:spacing w:before="240" w:after="120"/>
    </w:pPr>
    <w:rPr>
      <w:rFonts w:ascii="Liberation Sans" w:hAnsi="Liberation Sans"/>
      <w:sz w:val="28"/>
      <w:szCs w:val="28"/>
    </w:rPr>
  </w:style>
  <w:style w:type="paragraph" w:styleId="11112" w:customStyle="1">
    <w:name w:val="Указатель1111"/>
    <w:basedOn w:val="Normal"/>
    <w:qFormat/>
    <w:pPr>
      <w:suppressLineNumbers/>
    </w:pPr>
    <w:rPr/>
  </w:style>
  <w:style w:type="paragraph" w:styleId="111111" w:customStyle="1">
    <w:name w:val="Заголовок11111"/>
    <w:basedOn w:val="Normal"/>
    <w:next w:val="BodyText"/>
    <w:qFormat/>
    <w:pPr>
      <w:keepNext w:val="true"/>
      <w:spacing w:before="240" w:after="120"/>
    </w:pPr>
    <w:rPr>
      <w:rFonts w:ascii="Liberation Sans" w:hAnsi="Liberation Sans"/>
      <w:sz w:val="28"/>
      <w:szCs w:val="28"/>
    </w:rPr>
  </w:style>
  <w:style w:type="paragraph" w:styleId="111112" w:customStyle="1">
    <w:name w:val="Указатель11111"/>
    <w:basedOn w:val="Normal"/>
    <w:qFormat/>
    <w:pPr>
      <w:suppressLineNumbers/>
    </w:pPr>
    <w:rPr/>
  </w:style>
  <w:style w:type="paragraph" w:styleId="1111111" w:customStyle="1">
    <w:name w:val="Заголовок111111"/>
    <w:basedOn w:val="Normal"/>
    <w:next w:val="BodyText"/>
    <w:qFormat/>
    <w:pPr>
      <w:keepNext w:val="true"/>
      <w:spacing w:before="240" w:after="120"/>
    </w:pPr>
    <w:rPr>
      <w:rFonts w:ascii="Liberation Sans" w:hAnsi="Liberation Sans"/>
      <w:sz w:val="28"/>
      <w:szCs w:val="28"/>
    </w:rPr>
  </w:style>
  <w:style w:type="paragraph" w:styleId="1111112" w:customStyle="1">
    <w:name w:val="Указатель111111"/>
    <w:basedOn w:val="Normal"/>
    <w:qFormat/>
    <w:pPr>
      <w:suppressLineNumbers/>
    </w:pPr>
    <w:rPr/>
  </w:style>
  <w:style w:type="paragraph" w:styleId="11111111" w:customStyle="1">
    <w:name w:val="Заголовок1111111"/>
    <w:basedOn w:val="Normal"/>
    <w:next w:val="BodyText"/>
    <w:qFormat/>
    <w:pPr>
      <w:keepNext w:val="true"/>
      <w:spacing w:before="240" w:after="120"/>
    </w:pPr>
    <w:rPr>
      <w:rFonts w:ascii="Liberation Sans" w:hAnsi="Liberation Sans"/>
      <w:sz w:val="28"/>
      <w:szCs w:val="28"/>
    </w:rPr>
  </w:style>
  <w:style w:type="paragraph" w:styleId="11111112" w:customStyle="1">
    <w:name w:val="Указатель1111111"/>
    <w:basedOn w:val="Normal"/>
    <w:qFormat/>
    <w:pPr>
      <w:suppressLineNumbers/>
    </w:pPr>
    <w:rPr/>
  </w:style>
  <w:style w:type="paragraph" w:styleId="111111111" w:customStyle="1">
    <w:name w:val="Заголовок11111111"/>
    <w:basedOn w:val="Normal"/>
    <w:next w:val="BodyText"/>
    <w:qFormat/>
    <w:pPr>
      <w:keepNext w:val="true"/>
      <w:spacing w:before="240" w:after="120"/>
    </w:pPr>
    <w:rPr>
      <w:rFonts w:ascii="Liberation Sans" w:hAnsi="Liberation Sans"/>
      <w:sz w:val="28"/>
      <w:szCs w:val="28"/>
    </w:rPr>
  </w:style>
  <w:style w:type="paragraph" w:styleId="111111112" w:customStyle="1">
    <w:name w:val="Указатель11111111"/>
    <w:basedOn w:val="Normal"/>
    <w:qFormat/>
    <w:pPr>
      <w:suppressLineNumbers/>
    </w:pPr>
    <w:rPr/>
  </w:style>
  <w:style w:type="paragraph" w:styleId="1111111111" w:customStyle="1">
    <w:name w:val="Заголовок111111111"/>
    <w:basedOn w:val="Normal"/>
    <w:next w:val="BodyText"/>
    <w:qFormat/>
    <w:pPr>
      <w:keepNext w:val="true"/>
      <w:spacing w:before="240" w:after="120"/>
    </w:pPr>
    <w:rPr>
      <w:rFonts w:ascii="Liberation Sans" w:hAnsi="Liberation Sans"/>
      <w:sz w:val="28"/>
      <w:szCs w:val="28"/>
    </w:rPr>
  </w:style>
  <w:style w:type="paragraph" w:styleId="1111111112" w:customStyle="1">
    <w:name w:val="Указатель111111111"/>
    <w:basedOn w:val="Normal"/>
    <w:qFormat/>
    <w:pPr>
      <w:suppressLineNumbers/>
    </w:pPr>
    <w:rPr/>
  </w:style>
  <w:style w:type="paragraph" w:styleId="11111111111" w:customStyle="1">
    <w:name w:val="Заголовок1111111111"/>
    <w:basedOn w:val="Normal"/>
    <w:next w:val="BodyText"/>
    <w:qFormat/>
    <w:pPr>
      <w:keepNext w:val="true"/>
      <w:spacing w:before="240" w:after="120"/>
    </w:pPr>
    <w:rPr>
      <w:rFonts w:ascii="Liberation Sans" w:hAnsi="Liberation Sans"/>
      <w:sz w:val="28"/>
      <w:szCs w:val="28"/>
    </w:rPr>
  </w:style>
  <w:style w:type="paragraph" w:styleId="11111111112" w:customStyle="1">
    <w:name w:val="Указатель1111111111"/>
    <w:basedOn w:val="Normal"/>
    <w:qFormat/>
    <w:pPr>
      <w:suppressLineNumbers/>
    </w:pPr>
    <w:rPr/>
  </w:style>
  <w:style w:type="paragraph" w:styleId="111111111111" w:customStyle="1">
    <w:name w:val="Заголовок11111111111"/>
    <w:basedOn w:val="Normal"/>
    <w:next w:val="BodyText"/>
    <w:qFormat/>
    <w:pPr>
      <w:keepNext w:val="true"/>
      <w:spacing w:before="240" w:after="120"/>
    </w:pPr>
    <w:rPr>
      <w:rFonts w:ascii="Liberation Sans" w:hAnsi="Liberation Sans"/>
      <w:sz w:val="28"/>
      <w:szCs w:val="28"/>
    </w:rPr>
  </w:style>
  <w:style w:type="paragraph" w:styleId="111111111112" w:customStyle="1">
    <w:name w:val="Указатель11111111111"/>
    <w:basedOn w:val="Normal"/>
    <w:qFormat/>
    <w:pPr>
      <w:suppressLineNumbers/>
    </w:pPr>
    <w:rPr/>
  </w:style>
  <w:style w:type="paragraph" w:styleId="1111111111111" w:customStyle="1">
    <w:name w:val="Заголовок111111111111"/>
    <w:basedOn w:val="Normal"/>
    <w:next w:val="BodyText"/>
    <w:qFormat/>
    <w:pPr>
      <w:keepNext w:val="true"/>
      <w:spacing w:before="240" w:after="120"/>
    </w:pPr>
    <w:rPr>
      <w:rFonts w:ascii="Liberation Sans" w:hAnsi="Liberation Sans"/>
      <w:sz w:val="28"/>
    </w:rPr>
  </w:style>
  <w:style w:type="paragraph" w:styleId="1111111111112" w:customStyle="1">
    <w:name w:val="Указатель111111111111"/>
    <w:basedOn w:val="Normal"/>
    <w:qFormat/>
    <w:pPr/>
    <w:rPr/>
  </w:style>
  <w:style w:type="paragraph" w:styleId="11111111111111" w:customStyle="1">
    <w:name w:val="Заголовок1111111111111"/>
    <w:basedOn w:val="Normal"/>
    <w:next w:val="BodyText"/>
    <w:link w:val="12"/>
    <w:qFormat/>
    <w:pPr>
      <w:keepNext w:val="true"/>
      <w:spacing w:before="240" w:after="120"/>
    </w:pPr>
    <w:rPr>
      <w:rFonts w:ascii="Liberation Sans" w:hAnsi="Liberation Sans"/>
      <w:sz w:val="28"/>
    </w:rPr>
  </w:style>
  <w:style w:type="paragraph" w:styleId="11111111111112" w:customStyle="1">
    <w:name w:val="Указатель1111111111111"/>
    <w:basedOn w:val="Normal"/>
    <w:link w:val="16"/>
    <w:qFormat/>
    <w:pPr/>
    <w:rPr/>
  </w:style>
  <w:style w:type="paragraph" w:styleId="western1" w:customStyle="1">
    <w:name w:val="western1"/>
    <w:basedOn w:val="Normal"/>
    <w:link w:val="western"/>
    <w:qFormat/>
    <w:pPr>
      <w:spacing w:before="280" w:after="280"/>
      <w:jc w:val="both"/>
    </w:pPr>
    <w:rPr>
      <w:rFonts w:ascii="Arial" w:hAnsi="Arial"/>
    </w:rPr>
  </w:style>
  <w:style w:type="paragraph" w:styleId="113" w:customStyle="1">
    <w:name w:val="Символ сноски1"/>
    <w:link w:val="Style13"/>
    <w:qFormat/>
    <w:pPr>
      <w:widowControl/>
      <w:suppressAutoHyphens w:val="true"/>
      <w:bidi w:val="0"/>
      <w:spacing w:before="0" w:after="0"/>
      <w:jc w:val="start"/>
    </w:pPr>
    <w:rPr>
      <w:rFonts w:ascii="Calibri" w:hAnsi="Calibri" w:eastAsia="Tahoma" w:cs="Noto Sans" w:asciiTheme="minorHAnsi" w:hAnsiTheme="minorHAnsi"/>
      <w:color w:val="000000"/>
      <w:kern w:val="0"/>
      <w:sz w:val="22"/>
      <w:szCs w:val="20"/>
      <w:vertAlign w:val="superscript"/>
      <w:lang w:val="ru-RU" w:eastAsia="zh-CN" w:bidi="hi-IN"/>
    </w:rPr>
  </w:style>
  <w:style w:type="paragraph" w:styleId="TOC2">
    <w:name w:val="toc 2"/>
    <w:next w:val="Normal"/>
    <w:uiPriority w:val="39"/>
    <w:pPr>
      <w:widowControl/>
      <w:suppressAutoHyphens w:val="true"/>
      <w:bidi w:val="0"/>
      <w:spacing w:before="0" w:after="0"/>
      <w:ind w:start="200"/>
      <w:jc w:val="start"/>
    </w:pPr>
    <w:rPr>
      <w:rFonts w:ascii="XO Thames" w:hAnsi="XO Thames" w:eastAsia="Tahoma" w:cs="Noto Sans"/>
      <w:color w:val="000000"/>
      <w:kern w:val="0"/>
      <w:sz w:val="28"/>
      <w:szCs w:val="20"/>
      <w:lang w:val="ru-RU" w:eastAsia="zh-CN" w:bidi="hi-IN"/>
    </w:rPr>
  </w:style>
  <w:style w:type="paragraph" w:styleId="24" w:customStyle="1">
    <w:name w:val="Подзаголовок Знак2"/>
    <w:basedOn w:val="DefaultParagraphFont1"/>
    <w:link w:val="Style7"/>
    <w:qFormat/>
    <w:pPr/>
    <w:rPr>
      <w:rFonts w:ascii="Cambria" w:hAnsi="Cambria" w:asciiTheme="majorHAnsi" w:hAnsiTheme="majorHAnsi"/>
      <w:i/>
      <w:color w:themeColor="accent1" w:val="4F81BD"/>
      <w:spacing w:val="15"/>
      <w:sz w:val="24"/>
    </w:rPr>
  </w:style>
  <w:style w:type="paragraph" w:styleId="TOC4">
    <w:name w:val="toc 4"/>
    <w:next w:val="Normal"/>
    <w:uiPriority w:val="39"/>
    <w:pPr>
      <w:widowControl/>
      <w:suppressAutoHyphens w:val="true"/>
      <w:bidi w:val="0"/>
      <w:spacing w:before="0" w:after="0"/>
      <w:ind w:start="600"/>
      <w:jc w:val="start"/>
    </w:pPr>
    <w:rPr>
      <w:rFonts w:ascii="XO Thames" w:hAnsi="XO Thames" w:eastAsia="Tahoma" w:cs="Noto Sans"/>
      <w:color w:val="000000"/>
      <w:kern w:val="0"/>
      <w:sz w:val="28"/>
      <w:szCs w:val="20"/>
      <w:lang w:val="ru-RU" w:eastAsia="zh-CN" w:bidi="hi-IN"/>
    </w:rPr>
  </w:style>
  <w:style w:type="paragraph" w:styleId="VisitedInternetLink" w:customStyle="1">
    <w:name w:val="Visited Internet Link"/>
    <w:basedOn w:val="DefaultParagraphFont1"/>
    <w:qFormat/>
    <w:pPr/>
    <w:rPr>
      <w:color w:themeColor="followedHyperlink" w:val="800080"/>
      <w:u w:val="single"/>
    </w:rPr>
  </w:style>
  <w:style w:type="paragraph" w:styleId="114" w:customStyle="1">
    <w:name w:val="Таблицы (моноширинный)1"/>
    <w:basedOn w:val="Normal"/>
    <w:next w:val="Normal"/>
    <w:link w:val="Style8"/>
    <w:qFormat/>
    <w:pPr>
      <w:jc w:val="both"/>
    </w:pPr>
    <w:rPr>
      <w:rFonts w:ascii="Courier New" w:hAnsi="Courier New"/>
    </w:rPr>
  </w:style>
  <w:style w:type="paragraph" w:styleId="115" w:customStyle="1">
    <w:name w:val="Подзаголовок Знак11"/>
    <w:link w:val="1"/>
    <w:qFormat/>
    <w:pPr>
      <w:widowControl/>
      <w:suppressAutoHyphens w:val="true"/>
      <w:bidi w:val="0"/>
      <w:spacing w:before="0" w:after="0"/>
      <w:jc w:val="start"/>
    </w:pPr>
    <w:rPr>
      <w:rFonts w:ascii="Times New Roman" w:hAnsi="Times New Roman" w:eastAsia="Tahoma" w:cs="Noto Sans"/>
      <w:b/>
      <w:color w:val="000000"/>
      <w:kern w:val="0"/>
      <w:sz w:val="28"/>
      <w:szCs w:val="20"/>
      <w:lang w:val="ru-RU" w:eastAsia="zh-CN" w:bidi="hi-IN"/>
    </w:rPr>
  </w:style>
  <w:style w:type="paragraph" w:styleId="116" w:customStyle="1">
    <w:name w:val="Верхний колонтитул Знак1"/>
    <w:basedOn w:val="DefaultParagraphFont1"/>
    <w:link w:val="Style9"/>
    <w:qFormat/>
    <w:pPr/>
    <w:rPr>
      <w:rFonts w:ascii="Times New Roman" w:hAnsi="Times New Roman"/>
      <w:sz w:val="24"/>
    </w:rPr>
  </w:style>
  <w:style w:type="paragraph" w:styleId="TOC6">
    <w:name w:val="toc 6"/>
    <w:next w:val="Normal"/>
    <w:uiPriority w:val="39"/>
    <w:pPr>
      <w:widowControl/>
      <w:suppressAutoHyphens w:val="true"/>
      <w:bidi w:val="0"/>
      <w:spacing w:before="0" w:after="0"/>
      <w:ind w:start="1000"/>
      <w:jc w:val="start"/>
    </w:pPr>
    <w:rPr>
      <w:rFonts w:ascii="XO Thames" w:hAnsi="XO Thames" w:eastAsia="Tahoma" w:cs="Noto Sans"/>
      <w:color w:val="000000"/>
      <w:kern w:val="0"/>
      <w:sz w:val="28"/>
      <w:szCs w:val="20"/>
      <w:lang w:val="ru-RU" w:eastAsia="zh-CN" w:bidi="hi-IN"/>
    </w:rPr>
  </w:style>
  <w:style w:type="paragraph" w:styleId="TOC7">
    <w:name w:val="toc 7"/>
    <w:next w:val="Normal"/>
    <w:uiPriority w:val="39"/>
    <w:pPr>
      <w:widowControl/>
      <w:suppressAutoHyphens w:val="true"/>
      <w:bidi w:val="0"/>
      <w:spacing w:before="0" w:after="0"/>
      <w:ind w:start="1200"/>
      <w:jc w:val="start"/>
    </w:pPr>
    <w:rPr>
      <w:rFonts w:ascii="XO Thames" w:hAnsi="XO Thames" w:eastAsia="Tahoma" w:cs="Noto Sans"/>
      <w:color w:val="000000"/>
      <w:kern w:val="0"/>
      <w:sz w:val="28"/>
      <w:szCs w:val="20"/>
      <w:lang w:val="ru-RU" w:eastAsia="zh-CN" w:bidi="hi-IN"/>
    </w:rPr>
  </w:style>
  <w:style w:type="paragraph" w:styleId="117" w:customStyle="1">
    <w:name w:val="Текст примечания Знак1"/>
    <w:basedOn w:val="DefaultParagraphFont1"/>
    <w:link w:val="Style10"/>
    <w:qFormat/>
    <w:pPr/>
    <w:rPr>
      <w:rFonts w:ascii="Times New Roman" w:hAnsi="Times New Roman"/>
      <w:sz w:val="20"/>
    </w:rPr>
  </w:style>
  <w:style w:type="paragraph" w:styleId="1CharChar31" w:customStyle="1">
    <w:name w:val="Знак Знак1 Char Char31"/>
    <w:basedOn w:val="Normal"/>
    <w:link w:val="1CharChar3"/>
    <w:qFormat/>
    <w:pPr>
      <w:widowControl w:val="false"/>
      <w:jc w:val="both"/>
    </w:pPr>
    <w:rPr>
      <w:sz w:val="21"/>
    </w:rPr>
  </w:style>
  <w:style w:type="paragraph" w:styleId="313" w:customStyle="1">
    <w:name w:val="Обычный31"/>
    <w:link w:val="3"/>
    <w:qFormat/>
    <w:pPr>
      <w:widowControl w:val="false"/>
      <w:suppressAutoHyphens w:val="true"/>
      <w:bidi w:val="0"/>
      <w:spacing w:lineRule="auto" w:line="300" w:before="240" w:after="0"/>
      <w:jc w:val="start"/>
    </w:pPr>
    <w:rPr>
      <w:rFonts w:ascii="Times New Roman" w:hAnsi="Times New Roman" w:eastAsia="Tahoma" w:cs="Noto Sans"/>
      <w:color w:val="000000"/>
      <w:kern w:val="0"/>
      <w:sz w:val="22"/>
      <w:szCs w:val="20"/>
      <w:lang w:val="ru-RU" w:eastAsia="zh-CN" w:bidi="hi-IN"/>
    </w:rPr>
  </w:style>
  <w:style w:type="paragraph" w:styleId="118" w:customStyle="1">
    <w:name w:val="Заголовок 1 Знак1"/>
    <w:basedOn w:val="DefaultParagraphFont1"/>
    <w:link w:val="11"/>
    <w:qFormat/>
    <w:pPr/>
    <w:rPr>
      <w:rFonts w:ascii="Cambria" w:hAnsi="Cambria"/>
      <w:b/>
      <w:sz w:val="32"/>
    </w:rPr>
  </w:style>
  <w:style w:type="paragraph" w:styleId="119" w:customStyle="1">
    <w:name w:val="Колонтитулы1"/>
    <w:qFormat/>
    <w:pPr>
      <w:widowControl/>
      <w:suppressAutoHyphens w:val="true"/>
      <w:bidi w:val="0"/>
      <w:spacing w:before="0" w:after="0"/>
      <w:jc w:val="both"/>
    </w:pPr>
    <w:rPr>
      <w:rFonts w:ascii="XO Thames" w:hAnsi="XO Thames" w:eastAsia="Tahoma" w:cs="Noto Sans"/>
      <w:color w:val="000000"/>
      <w:kern w:val="0"/>
      <w:sz w:val="28"/>
      <w:szCs w:val="20"/>
      <w:lang w:val="ru-RU" w:eastAsia="zh-CN" w:bidi="hi-IN"/>
    </w:rPr>
  </w:style>
  <w:style w:type="paragraph" w:styleId="25" w:customStyle="1">
    <w:name w:val="Колонтитулы2"/>
    <w:basedOn w:val="Normal"/>
    <w:qFormat/>
    <w:pPr/>
    <w:rPr/>
  </w:style>
  <w:style w:type="paragraph" w:styleId="32" w:customStyle="1">
    <w:name w:val="Колонтитулы3"/>
    <w:basedOn w:val="Normal"/>
    <w:qFormat/>
    <w:pPr/>
    <w:rPr/>
  </w:style>
  <w:style w:type="paragraph" w:styleId="4" w:customStyle="1">
    <w:name w:val="Колонтитулы4"/>
    <w:basedOn w:val="Normal"/>
    <w:qFormat/>
    <w:pPr/>
    <w:rPr/>
  </w:style>
  <w:style w:type="paragraph" w:styleId="5" w:customStyle="1">
    <w:name w:val="Колонтитулы5"/>
    <w:basedOn w:val="Normal"/>
    <w:qFormat/>
    <w:pPr/>
    <w:rPr/>
  </w:style>
  <w:style w:type="paragraph" w:styleId="61" w:customStyle="1">
    <w:name w:val="Колонтитулы6"/>
    <w:basedOn w:val="Normal"/>
    <w:qFormat/>
    <w:pPr/>
    <w:rPr/>
  </w:style>
  <w:style w:type="paragraph" w:styleId="71" w:customStyle="1">
    <w:name w:val="Колонтитулы7"/>
    <w:basedOn w:val="Normal"/>
    <w:qFormat/>
    <w:pPr/>
    <w:rPr/>
  </w:style>
  <w:style w:type="paragraph" w:styleId="8" w:customStyle="1">
    <w:name w:val="Колонтитулы8"/>
    <w:basedOn w:val="Normal"/>
    <w:qFormat/>
    <w:pPr/>
    <w:rPr/>
  </w:style>
  <w:style w:type="paragraph" w:styleId="9" w:customStyle="1">
    <w:name w:val="Колонтитулы9"/>
    <w:basedOn w:val="Normal"/>
    <w:qFormat/>
    <w:pPr/>
    <w:rPr/>
  </w:style>
  <w:style w:type="paragraph" w:styleId="10" w:customStyle="1">
    <w:name w:val="Колонтитулы10"/>
    <w:basedOn w:val="Normal"/>
    <w:qFormat/>
    <w:pPr/>
    <w:rPr/>
  </w:style>
  <w:style w:type="paragraph" w:styleId="1110" w:customStyle="1">
    <w:name w:val="Колонтитулы11"/>
    <w:basedOn w:val="Normal"/>
    <w:qFormat/>
    <w:pPr/>
    <w:rPr/>
  </w:style>
  <w:style w:type="paragraph" w:styleId="121" w:customStyle="1">
    <w:name w:val="Колонтитулы12"/>
    <w:basedOn w:val="Normal"/>
    <w:qFormat/>
    <w:pPr/>
    <w:rPr/>
  </w:style>
  <w:style w:type="paragraph" w:styleId="131">
    <w:name w:val="Колонтитулы13"/>
    <w:basedOn w:val="Normal"/>
    <w:qFormat/>
    <w:pPr/>
    <w:rPr/>
  </w:style>
  <w:style w:type="paragraph" w:styleId="141">
    <w:name w:val="Колонтитулы14"/>
    <w:basedOn w:val="Normal"/>
    <w:qFormat/>
    <w:pPr/>
    <w:rPr/>
  </w:style>
  <w:style w:type="paragraph" w:styleId="151">
    <w:name w:val="Колонтитулы15"/>
    <w:basedOn w:val="Normal"/>
    <w:qFormat/>
    <w:pPr/>
    <w:rPr/>
  </w:style>
  <w:style w:type="paragraph" w:styleId="Footer">
    <w:name w:val="footer"/>
    <w:basedOn w:val="Normal"/>
    <w:pPr>
      <w:tabs>
        <w:tab w:val="clear" w:pos="708"/>
        <w:tab w:val="center" w:pos="4677" w:leader="none"/>
        <w:tab w:val="right" w:pos="9355" w:leader="none"/>
      </w:tabs>
    </w:pPr>
    <w:rPr/>
  </w:style>
  <w:style w:type="paragraph" w:styleId="1CharChar41" w:customStyle="1">
    <w:name w:val="Знак Знак1 Char Char41"/>
    <w:basedOn w:val="Normal"/>
    <w:link w:val="1CharChar4"/>
    <w:qFormat/>
    <w:pPr>
      <w:widowControl w:val="false"/>
      <w:jc w:val="both"/>
    </w:pPr>
    <w:rPr>
      <w:sz w:val="21"/>
    </w:rPr>
  </w:style>
  <w:style w:type="paragraph" w:styleId="Endnote1" w:customStyle="1">
    <w:name w:val="Endnote1"/>
    <w:basedOn w:val="Normal"/>
    <w:link w:val="Endnote"/>
    <w:qFormat/>
    <w:pPr/>
    <w:rPr>
      <w:sz w:val="20"/>
    </w:rPr>
  </w:style>
  <w:style w:type="paragraph" w:styleId="Revision1" w:customStyle="1">
    <w:name w:val="Revision1"/>
    <w:link w:val="13"/>
    <w:qFormat/>
    <w:pPr>
      <w:widowControl/>
      <w:suppressAutoHyphens w:val="true"/>
      <w:bidi w:val="0"/>
      <w:spacing w:before="0" w:after="0"/>
      <w:jc w:val="start"/>
    </w:pPr>
    <w:rPr>
      <w:rFonts w:ascii="Calibri" w:hAnsi="Calibri" w:eastAsia="Tahoma" w:cs="Noto Sans" w:asciiTheme="minorHAnsi" w:hAnsiTheme="minorHAnsi"/>
      <w:color w:val="000000"/>
      <w:kern w:val="0"/>
      <w:sz w:val="22"/>
      <w:szCs w:val="20"/>
      <w:lang w:val="ru-RU" w:eastAsia="zh-CN" w:bidi="hi-IN"/>
    </w:rPr>
  </w:style>
  <w:style w:type="paragraph" w:styleId="EndnoteSymbol" w:customStyle="1">
    <w:name w:val="Endnote Symbol"/>
    <w:qFormat/>
    <w:pPr>
      <w:widowControl/>
      <w:suppressAutoHyphens w:val="true"/>
      <w:bidi w:val="0"/>
      <w:spacing w:before="0" w:after="0"/>
      <w:jc w:val="start"/>
    </w:pPr>
    <w:rPr>
      <w:rFonts w:ascii="Calibri" w:hAnsi="Calibri" w:eastAsia="Tahoma" w:cs="Noto Sans" w:asciiTheme="minorHAnsi" w:hAnsiTheme="minorHAnsi"/>
      <w:color w:val="000000"/>
      <w:kern w:val="0"/>
      <w:sz w:val="22"/>
      <w:szCs w:val="20"/>
      <w:vertAlign w:val="superscript"/>
      <w:lang w:val="ru-RU" w:eastAsia="zh-CN" w:bidi="hi-IN"/>
    </w:rPr>
  </w:style>
  <w:style w:type="paragraph" w:styleId="314" w:customStyle="1">
    <w:name w:val="Заголовок 3 Знак1"/>
    <w:basedOn w:val="DefaultParagraphFont1"/>
    <w:link w:val="31"/>
    <w:qFormat/>
    <w:pPr/>
    <w:rPr>
      <w:rFonts w:ascii="Cambria" w:hAnsi="Cambria"/>
      <w:b/>
      <w:sz w:val="26"/>
    </w:rPr>
  </w:style>
  <w:style w:type="paragraph" w:styleId="120" w:customStyle="1">
    <w:name w:val="Колонтитул (правый)1"/>
    <w:basedOn w:val="125"/>
    <w:next w:val="Normal"/>
    <w:link w:val="Style12"/>
    <w:qFormat/>
    <w:pPr>
      <w:jc w:val="both"/>
    </w:pPr>
    <w:rPr>
      <w:sz w:val="16"/>
    </w:rPr>
  </w:style>
  <w:style w:type="paragraph" w:styleId="BodyTextIndent21" w:customStyle="1">
    <w:name w:val="Body Text Indent 21"/>
    <w:basedOn w:val="Normal"/>
    <w:link w:val="21"/>
    <w:qFormat/>
    <w:pPr>
      <w:ind w:firstLine="851"/>
      <w:jc w:val="both"/>
    </w:pPr>
    <w:rPr/>
  </w:style>
  <w:style w:type="paragraph" w:styleId="IndexHeading">
    <w:name w:val="index heading"/>
    <w:basedOn w:val="Normal"/>
    <w:pPr/>
    <w:rPr/>
  </w:style>
  <w:style w:type="paragraph" w:styleId="annotationreference1" w:customStyle="1">
    <w:name w:val="annotation reference1"/>
    <w:link w:val="CommentReference"/>
    <w:qFormat/>
    <w:pPr>
      <w:widowControl/>
      <w:suppressAutoHyphens w:val="true"/>
      <w:bidi w:val="0"/>
      <w:spacing w:before="0" w:after="0"/>
      <w:jc w:val="start"/>
    </w:pPr>
    <w:rPr>
      <w:rFonts w:ascii="Calibri" w:hAnsi="Calibri" w:eastAsia="Tahoma" w:cs="Noto Sans" w:asciiTheme="minorHAnsi" w:hAnsiTheme="minorHAnsi"/>
      <w:color w:val="000000"/>
      <w:kern w:val="0"/>
      <w:sz w:val="16"/>
      <w:szCs w:val="20"/>
      <w:lang w:val="ru-RU" w:eastAsia="zh-CN" w:bidi="hi-IN"/>
    </w:rPr>
  </w:style>
  <w:style w:type="paragraph" w:styleId="ListAlpha11" w:customStyle="1">
    <w:name w:val="List Alpha 11"/>
    <w:basedOn w:val="Normal"/>
    <w:next w:val="BodyText"/>
    <w:link w:val="ListAlpha1"/>
    <w:qFormat/>
    <w:pPr>
      <w:numPr>
        <w:ilvl w:val="2"/>
        <w:numId w:val="1"/>
      </w:numPr>
      <w:tabs>
        <w:tab w:val="clear" w:pos="708"/>
        <w:tab w:val="left" w:pos="22" w:leader="none"/>
      </w:tabs>
      <w:spacing w:lineRule="auto" w:line="288" w:before="0" w:after="200"/>
      <w:jc w:val="both"/>
    </w:pPr>
    <w:rPr>
      <w:sz w:val="22"/>
    </w:rPr>
  </w:style>
  <w:style w:type="paragraph" w:styleId="711" w:customStyle="1">
    <w:name w:val="Заголовок 7 Знак1"/>
    <w:basedOn w:val="DefaultParagraphFont1"/>
    <w:link w:val="7"/>
    <w:qFormat/>
    <w:pPr/>
    <w:rPr>
      <w:rFonts w:ascii="Calibri" w:hAnsi="Calibri"/>
      <w:sz w:val="24"/>
    </w:rPr>
  </w:style>
  <w:style w:type="paragraph" w:styleId="212" w:customStyle="1">
    <w:name w:val="Обычный21"/>
    <w:link w:val="2"/>
    <w:qFormat/>
    <w:pPr>
      <w:widowControl w:val="false"/>
      <w:suppressAutoHyphens w:val="true"/>
      <w:bidi w:val="0"/>
      <w:spacing w:lineRule="auto" w:line="300" w:before="240" w:after="0"/>
      <w:jc w:val="start"/>
    </w:pPr>
    <w:rPr>
      <w:rFonts w:ascii="Times New Roman" w:hAnsi="Times New Roman" w:eastAsia="Tahoma" w:cs="Noto Sans"/>
      <w:color w:val="000000"/>
      <w:kern w:val="0"/>
      <w:sz w:val="22"/>
      <w:szCs w:val="20"/>
      <w:lang w:val="ru-RU" w:eastAsia="zh-CN" w:bidi="hi-IN"/>
    </w:rPr>
  </w:style>
  <w:style w:type="paragraph" w:styleId="BodyText21" w:customStyle="1">
    <w:name w:val="Body Text 21"/>
    <w:basedOn w:val="Normal"/>
    <w:link w:val="211"/>
    <w:qFormat/>
    <w:pPr>
      <w:ind w:firstLine="720"/>
      <w:jc w:val="both"/>
    </w:pPr>
    <w:rPr/>
  </w:style>
  <w:style w:type="paragraph" w:styleId="FootnoteSymbol" w:customStyle="1">
    <w:name w:val="Footnote Symbol"/>
    <w:qFormat/>
    <w:pPr>
      <w:widowControl/>
      <w:suppressAutoHyphens w:val="true"/>
      <w:bidi w:val="0"/>
      <w:spacing w:before="0" w:after="0"/>
      <w:jc w:val="start"/>
    </w:pPr>
    <w:rPr>
      <w:rFonts w:ascii="Calibri" w:hAnsi="Calibri" w:eastAsia="Tahoma" w:cs="Noto Sans" w:asciiTheme="minorHAnsi" w:hAnsiTheme="minorHAnsi"/>
      <w:color w:val="000000"/>
      <w:kern w:val="0"/>
      <w:sz w:val="22"/>
      <w:szCs w:val="20"/>
      <w:vertAlign w:val="superscript"/>
      <w:lang w:val="ru-RU" w:eastAsia="zh-CN" w:bidi="hi-IN"/>
    </w:rPr>
  </w:style>
  <w:style w:type="paragraph" w:styleId="BodyTextIndent31" w:customStyle="1">
    <w:name w:val="Body Text Indent 31"/>
    <w:basedOn w:val="Normal"/>
    <w:link w:val="311"/>
    <w:qFormat/>
    <w:pPr>
      <w:ind w:firstLine="567"/>
      <w:jc w:val="both"/>
    </w:pPr>
    <w:rPr>
      <w:sz w:val="16"/>
    </w:rPr>
  </w:style>
  <w:style w:type="paragraph" w:styleId="122" w:customStyle="1">
    <w:name w:val="Пункт договора1"/>
    <w:basedOn w:val="130"/>
    <w:link w:val="Style14"/>
    <w:qFormat/>
    <w:pPr>
      <w:jc w:val="both"/>
    </w:pPr>
    <w:rPr>
      <w:b w:val="false"/>
    </w:rPr>
  </w:style>
  <w:style w:type="paragraph" w:styleId="1CharChar11" w:customStyle="1">
    <w:name w:val="Знак Знак1 Char Char11"/>
    <w:basedOn w:val="Normal"/>
    <w:link w:val="1CharChar1"/>
    <w:qFormat/>
    <w:pPr>
      <w:widowControl w:val="false"/>
      <w:jc w:val="both"/>
    </w:pPr>
    <w:rPr>
      <w:sz w:val="21"/>
    </w:rPr>
  </w:style>
  <w:style w:type="paragraph" w:styleId="1CharChar21" w:customStyle="1">
    <w:name w:val="Знак Знак1 Char Char21"/>
    <w:basedOn w:val="Normal"/>
    <w:link w:val="1CharChar2"/>
    <w:qFormat/>
    <w:pPr>
      <w:widowControl w:val="false"/>
      <w:jc w:val="both"/>
    </w:pPr>
    <w:rPr>
      <w:sz w:val="21"/>
    </w:rPr>
  </w:style>
  <w:style w:type="paragraph" w:styleId="PageNumber1" w:customStyle="1">
    <w:name w:val="Page Number1"/>
    <w:qFormat/>
    <w:pPr>
      <w:widowControl/>
      <w:suppressAutoHyphens w:val="true"/>
      <w:bidi w:val="0"/>
      <w:spacing w:before="0" w:after="0"/>
      <w:jc w:val="start"/>
    </w:pPr>
    <w:rPr>
      <w:rFonts w:ascii="Calibri" w:hAnsi="Calibri" w:eastAsia="Tahoma" w:cs="Noto Sans" w:asciiTheme="minorHAnsi" w:hAnsiTheme="minorHAnsi"/>
      <w:color w:val="000000"/>
      <w:kern w:val="0"/>
      <w:sz w:val="22"/>
      <w:szCs w:val="20"/>
      <w:lang w:val="ru-RU" w:eastAsia="zh-CN" w:bidi="hi-IN"/>
    </w:rPr>
  </w:style>
  <w:style w:type="paragraph" w:styleId="123" w:customStyle="1">
    <w:name w:val="Подпункт договора1"/>
    <w:basedOn w:val="122"/>
    <w:link w:val="Style15"/>
    <w:qFormat/>
    <w:pPr/>
    <w:rPr/>
  </w:style>
  <w:style w:type="paragraph" w:styleId="124" w:customStyle="1">
    <w:name w:val="Символ концевой сноски1"/>
    <w:link w:val="Style11"/>
    <w:qFormat/>
    <w:pPr>
      <w:widowControl/>
      <w:suppressAutoHyphens w:val="true"/>
      <w:bidi w:val="0"/>
      <w:spacing w:before="0" w:after="0"/>
      <w:jc w:val="start"/>
    </w:pPr>
    <w:rPr>
      <w:rFonts w:ascii="Calibri" w:hAnsi="Calibri" w:eastAsia="Tahoma" w:cs="Noto Sans" w:asciiTheme="minorHAnsi" w:hAnsiTheme="minorHAnsi"/>
      <w:color w:val="000000"/>
      <w:kern w:val="0"/>
      <w:sz w:val="22"/>
      <w:szCs w:val="20"/>
      <w:vertAlign w:val="superscript"/>
      <w:lang w:val="ru-RU" w:eastAsia="zh-CN" w:bidi="hi-IN"/>
    </w:rPr>
  </w:style>
  <w:style w:type="paragraph" w:styleId="TOC3">
    <w:name w:val="toc 3"/>
    <w:next w:val="Normal"/>
    <w:uiPriority w:val="39"/>
    <w:pPr>
      <w:widowControl/>
      <w:suppressAutoHyphens w:val="true"/>
      <w:bidi w:val="0"/>
      <w:spacing w:before="0" w:after="0"/>
      <w:ind w:start="400"/>
      <w:jc w:val="start"/>
    </w:pPr>
    <w:rPr>
      <w:rFonts w:ascii="XO Thames" w:hAnsi="XO Thames" w:eastAsia="Tahoma" w:cs="Noto Sans"/>
      <w:color w:val="000000"/>
      <w:kern w:val="0"/>
      <w:sz w:val="28"/>
      <w:szCs w:val="20"/>
      <w:lang w:val="ru-RU" w:eastAsia="zh-CN" w:bidi="hi-IN"/>
    </w:rPr>
  </w:style>
  <w:style w:type="paragraph" w:styleId="125" w:customStyle="1">
    <w:name w:val="Текст (прав. подпись)1"/>
    <w:basedOn w:val="Normal"/>
    <w:next w:val="Normal"/>
    <w:link w:val="Style17"/>
    <w:qFormat/>
    <w:pPr/>
    <w:rPr>
      <w:rFonts w:ascii="Arial" w:hAnsi="Arial"/>
    </w:rPr>
  </w:style>
  <w:style w:type="paragraph" w:styleId="126" w:customStyle="1">
    <w:name w:val="Стиль1"/>
    <w:basedOn w:val="Normal"/>
    <w:link w:val="Style18"/>
    <w:qFormat/>
    <w:pPr>
      <w:widowControl w:val="false"/>
      <w:spacing w:lineRule="exact" w:line="240" w:before="0" w:after="160"/>
    </w:pPr>
    <w:rPr>
      <w:sz w:val="20"/>
    </w:rPr>
  </w:style>
  <w:style w:type="paragraph" w:styleId="1CharChar61" w:customStyle="1">
    <w:name w:val="Знак Знак1 Char Char61"/>
    <w:basedOn w:val="Normal"/>
    <w:link w:val="1CharChar6"/>
    <w:qFormat/>
    <w:pPr>
      <w:widowControl w:val="false"/>
      <w:jc w:val="both"/>
    </w:pPr>
    <w:rPr>
      <w:sz w:val="21"/>
    </w:rPr>
  </w:style>
  <w:style w:type="paragraph" w:styleId="BalloonText1" w:customStyle="1">
    <w:name w:val="Balloon Text1"/>
    <w:basedOn w:val="Normal"/>
    <w:link w:val="14"/>
    <w:qFormat/>
    <w:pPr/>
    <w:rPr>
      <w:rFonts w:ascii="Tahoma" w:hAnsi="Tahoma"/>
      <w:sz w:val="16"/>
    </w:rPr>
  </w:style>
  <w:style w:type="paragraph" w:styleId="127" w:customStyle="1">
    <w:name w:val="пп1"/>
    <w:basedOn w:val="134"/>
    <w:link w:val="Style19"/>
    <w:qFormat/>
    <w:pPr/>
    <w:rPr/>
  </w:style>
  <w:style w:type="paragraph" w:styleId="CommentText">
    <w:name w:val="annotation text"/>
    <w:basedOn w:val="Normal"/>
    <w:pPr/>
    <w:rPr>
      <w:sz w:val="20"/>
    </w:rPr>
  </w:style>
  <w:style w:type="paragraph" w:styleId="128" w:customStyle="1">
    <w:name w:val="Основной текст Знак1"/>
    <w:basedOn w:val="DefaultParagraphFont1"/>
    <w:link w:val="Style20"/>
    <w:qFormat/>
    <w:pPr/>
    <w:rPr>
      <w:rFonts w:ascii="Times New Roman" w:hAnsi="Times New Roman"/>
      <w:sz w:val="24"/>
    </w:rPr>
  </w:style>
  <w:style w:type="paragraph" w:styleId="-111" w:customStyle="1">
    <w:name w:val="Цветной список - Акцент 111"/>
    <w:basedOn w:val="Normal"/>
    <w:link w:val="-11"/>
    <w:qFormat/>
    <w:pPr>
      <w:spacing w:before="0" w:after="0"/>
      <w:contextualSpacing/>
    </w:pPr>
    <w:rPr/>
  </w:style>
  <w:style w:type="paragraph" w:styleId="NormalWeb1" w:customStyle="1">
    <w:name w:val="Normal (Web)1"/>
    <w:basedOn w:val="Normal"/>
    <w:link w:val="15"/>
    <w:qFormat/>
    <w:pPr>
      <w:spacing w:beforeAutospacing="1" w:afterAutospacing="1"/>
    </w:pPr>
    <w:rPr/>
  </w:style>
  <w:style w:type="paragraph" w:styleId="213" w:customStyle="1">
    <w:name w:val="Заголовок 2 Знак1"/>
    <w:basedOn w:val="DefaultParagraphFont1"/>
    <w:link w:val="22"/>
    <w:qFormat/>
    <w:pPr/>
    <w:rPr>
      <w:rFonts w:ascii="Cambria" w:hAnsi="Cambria"/>
      <w:b/>
      <w:i/>
      <w:sz w:val="28"/>
    </w:rPr>
  </w:style>
  <w:style w:type="paragraph" w:styleId="Header">
    <w:name w:val="header"/>
    <w:basedOn w:val="Normal"/>
    <w:pPr>
      <w:tabs>
        <w:tab w:val="clear" w:pos="708"/>
        <w:tab w:val="center" w:pos="4677" w:leader="none"/>
        <w:tab w:val="right" w:pos="9355" w:leader="none"/>
      </w:tabs>
    </w:pPr>
    <w:rPr/>
  </w:style>
  <w:style w:type="paragraph" w:styleId="Internetlink" w:customStyle="1">
    <w:name w:val="Internet link"/>
    <w:qFormat/>
    <w:pPr>
      <w:widowControl/>
      <w:suppressAutoHyphens w:val="true"/>
      <w:bidi w:val="0"/>
      <w:spacing w:before="0" w:after="0"/>
      <w:jc w:val="start"/>
    </w:pPr>
    <w:rPr>
      <w:rFonts w:ascii="Calibri" w:hAnsi="Calibri" w:eastAsia="Tahoma" w:cs="Noto Sans"/>
      <w:color w:val="0000FF"/>
      <w:kern w:val="0"/>
      <w:sz w:val="22"/>
      <w:szCs w:val="20"/>
      <w:u w:val="single"/>
      <w:lang w:val="ru-RU" w:eastAsia="zh-CN" w:bidi="hi-IN"/>
    </w:rPr>
  </w:style>
  <w:style w:type="paragraph" w:styleId="Footnote1" w:customStyle="1">
    <w:name w:val="Footnote1"/>
    <w:basedOn w:val="Normal"/>
    <w:link w:val="Footnote"/>
    <w:qFormat/>
    <w:pPr/>
    <w:rPr>
      <w:sz w:val="20"/>
    </w:rPr>
  </w:style>
  <w:style w:type="paragraph" w:styleId="ListParagraph1" w:customStyle="1">
    <w:name w:val="List Paragraph1"/>
    <w:basedOn w:val="Normal"/>
    <w:link w:val="17"/>
    <w:qFormat/>
    <w:pPr>
      <w:spacing w:before="0" w:after="0"/>
      <w:contextualSpacing/>
    </w:pPr>
    <w:rPr/>
  </w:style>
  <w:style w:type="paragraph" w:styleId="TOC1">
    <w:name w:val="toc 1"/>
    <w:next w:val="Normal"/>
    <w:uiPriority w:val="39"/>
    <w:pPr>
      <w:widowControl/>
      <w:suppressAutoHyphens w:val="true"/>
      <w:bidi w:val="0"/>
      <w:spacing w:before="0" w:after="0"/>
      <w:jc w:val="start"/>
    </w:pPr>
    <w:rPr>
      <w:rFonts w:ascii="XO Thames" w:hAnsi="XO Thames" w:eastAsia="Tahoma" w:cs="Noto Sans"/>
      <w:b/>
      <w:color w:val="000000"/>
      <w:kern w:val="0"/>
      <w:sz w:val="28"/>
      <w:szCs w:val="20"/>
      <w:lang w:val="ru-RU" w:eastAsia="zh-CN" w:bidi="hi-IN"/>
    </w:rPr>
  </w:style>
  <w:style w:type="paragraph" w:styleId="Iauiue1" w:customStyle="1">
    <w:name w:val="Iau?iue1"/>
    <w:link w:val="Iauiue"/>
    <w:qFormat/>
    <w:pPr>
      <w:widowControl/>
      <w:suppressAutoHyphens w:val="true"/>
      <w:bidi w:val="0"/>
      <w:spacing w:before="0" w:after="0"/>
      <w:jc w:val="start"/>
    </w:pPr>
    <w:rPr>
      <w:rFonts w:ascii="Times New Roman" w:hAnsi="Times New Roman" w:eastAsia="Tahoma" w:cs="Noto Sans"/>
      <w:color w:val="000000"/>
      <w:kern w:val="0"/>
      <w:sz w:val="20"/>
      <w:szCs w:val="20"/>
      <w:lang w:val="ru-RU" w:eastAsia="zh-CN" w:bidi="hi-IN"/>
    </w:rPr>
  </w:style>
  <w:style w:type="paragraph" w:styleId="annotationsubject1" w:customStyle="1">
    <w:name w:val="annotation subject1"/>
    <w:basedOn w:val="CommentText"/>
    <w:next w:val="CommentText"/>
    <w:link w:val="18"/>
    <w:qFormat/>
    <w:pPr/>
    <w:rPr>
      <w:b/>
    </w:rPr>
  </w:style>
  <w:style w:type="paragraph" w:styleId="129" w:customStyle="1">
    <w:name w:val="Основной текст с отступом Знак1"/>
    <w:basedOn w:val="DefaultParagraphFont1"/>
    <w:link w:val="Style21"/>
    <w:qFormat/>
    <w:pPr/>
    <w:rPr>
      <w:rFonts w:ascii="Times New Roman" w:hAnsi="Times New Roman"/>
      <w:sz w:val="24"/>
    </w:rPr>
  </w:style>
  <w:style w:type="paragraph" w:styleId="TOC9">
    <w:name w:val="toc 9"/>
    <w:next w:val="Normal"/>
    <w:uiPriority w:val="39"/>
    <w:pPr>
      <w:widowControl/>
      <w:suppressAutoHyphens w:val="true"/>
      <w:bidi w:val="0"/>
      <w:spacing w:before="0" w:after="0"/>
      <w:ind w:start="1600"/>
      <w:jc w:val="start"/>
    </w:pPr>
    <w:rPr>
      <w:rFonts w:ascii="XO Thames" w:hAnsi="XO Thames" w:eastAsia="Tahoma" w:cs="Noto Sans"/>
      <w:color w:val="000000"/>
      <w:kern w:val="0"/>
      <w:sz w:val="28"/>
      <w:szCs w:val="20"/>
      <w:lang w:val="ru-RU" w:eastAsia="zh-CN" w:bidi="hi-IN"/>
    </w:rPr>
  </w:style>
  <w:style w:type="paragraph" w:styleId="1CharChar8" w:customStyle="1">
    <w:name w:val="Знак Знак1 Char Char8"/>
    <w:basedOn w:val="Normal"/>
    <w:link w:val="1CharChar"/>
    <w:qFormat/>
    <w:pPr>
      <w:widowControl w:val="false"/>
      <w:jc w:val="both"/>
    </w:pPr>
    <w:rPr>
      <w:sz w:val="21"/>
    </w:rPr>
  </w:style>
  <w:style w:type="paragraph" w:styleId="DefaultParagraphFont1" w:customStyle="1">
    <w:name w:val="Default Paragraph Font1"/>
    <w:qFormat/>
    <w:pPr>
      <w:widowControl/>
      <w:suppressAutoHyphens w:val="true"/>
      <w:bidi w:val="0"/>
      <w:spacing w:before="0" w:after="0"/>
      <w:jc w:val="start"/>
    </w:pPr>
    <w:rPr>
      <w:rFonts w:ascii="Calibri" w:hAnsi="Calibri" w:eastAsia="Tahoma" w:cs="Noto Sans" w:asciiTheme="minorHAnsi" w:hAnsiTheme="minorHAnsi"/>
      <w:color w:val="000000"/>
      <w:kern w:val="0"/>
      <w:sz w:val="22"/>
      <w:szCs w:val="20"/>
      <w:lang w:val="ru-RU" w:eastAsia="zh-CN" w:bidi="hi-IN"/>
    </w:rPr>
  </w:style>
  <w:style w:type="paragraph" w:styleId="CCLegal11" w:customStyle="1">
    <w:name w:val="CC Legal 11"/>
    <w:basedOn w:val="Normal"/>
    <w:link w:val="CCLegal1"/>
    <w:qFormat/>
    <w:pPr/>
    <w:rPr>
      <w:rFonts w:ascii="Book Antiqua" w:hAnsi="Book Antiqua"/>
      <w:sz w:val="22"/>
    </w:rPr>
  </w:style>
  <w:style w:type="paragraph" w:styleId="130" w:customStyle="1">
    <w:name w:val="Раздел договора1"/>
    <w:basedOn w:val="PlainText1"/>
    <w:link w:val="Style22"/>
    <w:qFormat/>
    <w:pPr>
      <w:tabs>
        <w:tab w:val="clear" w:pos="708"/>
        <w:tab w:val="left" w:pos="0" w:leader="none"/>
      </w:tabs>
      <w:jc w:val="center"/>
    </w:pPr>
    <w:rPr>
      <w:rFonts w:ascii="Times New Roman" w:hAnsi="Times New Roman"/>
      <w:b/>
      <w:sz w:val="26"/>
    </w:rPr>
  </w:style>
  <w:style w:type="paragraph" w:styleId="132" w:customStyle="1">
    <w:name w:val="Заголовок Знак1"/>
    <w:basedOn w:val="DefaultParagraphFont1"/>
    <w:link w:val="Style23"/>
    <w:qFormat/>
    <w:pPr/>
    <w:rPr>
      <w:rFonts w:ascii="Times New Roman" w:hAnsi="Times New Roman"/>
      <w:b/>
      <w:caps/>
      <w:sz w:val="20"/>
    </w:rPr>
  </w:style>
  <w:style w:type="paragraph" w:styleId="133" w:customStyle="1">
    <w:name w:val="Гипертекстовая ссылка1"/>
    <w:link w:val="Style24"/>
    <w:qFormat/>
    <w:pPr>
      <w:widowControl/>
      <w:suppressAutoHyphens w:val="true"/>
      <w:bidi w:val="0"/>
      <w:spacing w:before="0" w:after="0"/>
      <w:jc w:val="start"/>
    </w:pPr>
    <w:rPr>
      <w:rFonts w:ascii="Calibri" w:hAnsi="Calibri" w:eastAsia="Tahoma" w:cs="Noto Sans"/>
      <w:b/>
      <w:color w:val="008000"/>
      <w:kern w:val="0"/>
      <w:sz w:val="22"/>
      <w:szCs w:val="20"/>
      <w:lang w:val="ru-RU" w:eastAsia="zh-CN" w:bidi="hi-IN"/>
    </w:rPr>
  </w:style>
  <w:style w:type="paragraph" w:styleId="TOC8">
    <w:name w:val="toc 8"/>
    <w:next w:val="Normal"/>
    <w:uiPriority w:val="39"/>
    <w:pPr>
      <w:widowControl/>
      <w:suppressAutoHyphens w:val="true"/>
      <w:bidi w:val="0"/>
      <w:spacing w:before="0" w:after="0"/>
      <w:ind w:start="1400"/>
      <w:jc w:val="start"/>
    </w:pPr>
    <w:rPr>
      <w:rFonts w:ascii="XO Thames" w:hAnsi="XO Thames" w:eastAsia="Tahoma" w:cs="Noto Sans"/>
      <w:color w:val="000000"/>
      <w:kern w:val="0"/>
      <w:sz w:val="28"/>
      <w:szCs w:val="20"/>
      <w:lang w:val="ru-RU" w:eastAsia="zh-CN" w:bidi="hi-IN"/>
    </w:rPr>
  </w:style>
  <w:style w:type="paragraph" w:styleId="1CharChar51" w:customStyle="1">
    <w:name w:val="Знак Знак1 Char Char51"/>
    <w:basedOn w:val="Normal"/>
    <w:link w:val="1CharChar5"/>
    <w:qFormat/>
    <w:pPr>
      <w:widowControl w:val="false"/>
      <w:jc w:val="both"/>
    </w:pPr>
    <w:rPr>
      <w:sz w:val="21"/>
    </w:rPr>
  </w:style>
  <w:style w:type="paragraph" w:styleId="214" w:customStyle="1">
    <w:name w:val="Подпункт договора 21"/>
    <w:basedOn w:val="123"/>
    <w:link w:val="23"/>
    <w:qFormat/>
    <w:pPr>
      <w:widowControl w:val="false"/>
      <w:tabs>
        <w:tab w:val="clear" w:pos="0"/>
      </w:tabs>
      <w:ind w:hanging="360"/>
    </w:pPr>
    <w:rPr/>
  </w:style>
  <w:style w:type="paragraph" w:styleId="BodyText31" w:customStyle="1">
    <w:name w:val="Body Text 31"/>
    <w:basedOn w:val="Normal"/>
    <w:link w:val="312"/>
    <w:qFormat/>
    <w:pPr>
      <w:jc w:val="center"/>
    </w:pPr>
    <w:rPr>
      <w:sz w:val="28"/>
    </w:rPr>
  </w:style>
  <w:style w:type="paragraph" w:styleId="134" w:customStyle="1">
    <w:name w:val="п1"/>
    <w:basedOn w:val="138"/>
    <w:link w:val="Style25"/>
    <w:qFormat/>
    <w:pPr>
      <w:jc w:val="both"/>
    </w:pPr>
    <w:rPr>
      <w:b w:val="false"/>
    </w:rPr>
  </w:style>
  <w:style w:type="paragraph" w:styleId="135" w:customStyle="1">
    <w:name w:val="Текст сноски Знак1"/>
    <w:basedOn w:val="DefaultParagraphFont1"/>
    <w:link w:val="Style26"/>
    <w:qFormat/>
    <w:pPr/>
    <w:rPr>
      <w:rFonts w:ascii="Times New Roman" w:hAnsi="Times New Roman"/>
      <w:sz w:val="20"/>
    </w:rPr>
  </w:style>
  <w:style w:type="paragraph" w:styleId="PlainText1" w:customStyle="1">
    <w:name w:val="Plain Text1"/>
    <w:basedOn w:val="Normal"/>
    <w:link w:val="19"/>
    <w:qFormat/>
    <w:pPr/>
    <w:rPr>
      <w:rFonts w:ascii="Courier New" w:hAnsi="Courier New"/>
      <w:sz w:val="20"/>
    </w:rPr>
  </w:style>
  <w:style w:type="paragraph" w:styleId="136" w:customStyle="1">
    <w:name w:val="Цветовое выделение1"/>
    <w:link w:val="Style27"/>
    <w:qFormat/>
    <w:pPr>
      <w:widowControl/>
      <w:suppressAutoHyphens w:val="true"/>
      <w:bidi w:val="0"/>
      <w:spacing w:before="0" w:after="0"/>
      <w:jc w:val="start"/>
    </w:pPr>
    <w:rPr>
      <w:rFonts w:ascii="Calibri" w:hAnsi="Calibri" w:eastAsia="Tahoma" w:cs="Noto Sans"/>
      <w:b/>
      <w:color w:val="000080"/>
      <w:kern w:val="0"/>
      <w:sz w:val="22"/>
      <w:szCs w:val="20"/>
      <w:lang w:val="ru-RU" w:eastAsia="zh-CN" w:bidi="hi-IN"/>
    </w:rPr>
  </w:style>
  <w:style w:type="paragraph" w:styleId="TOC5">
    <w:name w:val="toc 5"/>
    <w:next w:val="Normal"/>
    <w:uiPriority w:val="39"/>
    <w:pPr>
      <w:widowControl/>
      <w:suppressAutoHyphens w:val="true"/>
      <w:bidi w:val="0"/>
      <w:spacing w:before="0" w:after="0"/>
      <w:ind w:start="800"/>
      <w:jc w:val="start"/>
    </w:pPr>
    <w:rPr>
      <w:rFonts w:ascii="XO Thames" w:hAnsi="XO Thames" w:eastAsia="Tahoma" w:cs="Noto Sans"/>
      <w:color w:val="000000"/>
      <w:kern w:val="0"/>
      <w:sz w:val="28"/>
      <w:szCs w:val="20"/>
      <w:lang w:val="ru-RU" w:eastAsia="zh-CN" w:bidi="hi-IN"/>
    </w:rPr>
  </w:style>
  <w:style w:type="paragraph" w:styleId="137" w:customStyle="1">
    <w:name w:val="Нижний колонтитул Знак1"/>
    <w:basedOn w:val="DefaultParagraphFont1"/>
    <w:link w:val="Style28"/>
    <w:qFormat/>
    <w:pPr/>
    <w:rPr>
      <w:rFonts w:ascii="Times New Roman" w:hAnsi="Times New Roman"/>
      <w:sz w:val="24"/>
    </w:rPr>
  </w:style>
  <w:style w:type="paragraph" w:styleId="611" w:customStyle="1">
    <w:name w:val="Заголовок 6 Знак1"/>
    <w:basedOn w:val="DefaultParagraphFont1"/>
    <w:link w:val="6"/>
    <w:qFormat/>
    <w:pPr/>
    <w:rPr>
      <w:rFonts w:ascii="Calibri" w:hAnsi="Calibri"/>
      <w:b/>
      <w:sz w:val="20"/>
    </w:rPr>
  </w:style>
  <w:style w:type="paragraph" w:styleId="1CharChar71" w:customStyle="1">
    <w:name w:val="Знак Знак1 Char Char71"/>
    <w:basedOn w:val="Normal"/>
    <w:link w:val="1CharChar7"/>
    <w:qFormat/>
    <w:pPr>
      <w:widowControl w:val="false"/>
      <w:jc w:val="both"/>
    </w:pPr>
    <w:rPr>
      <w:sz w:val="21"/>
    </w:rPr>
  </w:style>
  <w:style w:type="paragraph" w:styleId="138" w:customStyle="1">
    <w:name w:val="р1"/>
    <w:basedOn w:val="Normal"/>
    <w:link w:val="Style29"/>
    <w:qFormat/>
    <w:pPr>
      <w:tabs>
        <w:tab w:val="clear" w:pos="708"/>
        <w:tab w:val="left" w:pos="0" w:leader="none"/>
      </w:tabs>
      <w:spacing w:lineRule="auto" w:line="276" w:before="0" w:after="200"/>
      <w:jc w:val="center"/>
    </w:pPr>
    <w:rPr>
      <w:b/>
      <w:sz w:val="26"/>
    </w:rPr>
  </w:style>
  <w:style w:type="paragraph" w:styleId="Subtitle">
    <w:name w:val="Subtitle"/>
    <w:basedOn w:val="Normal"/>
    <w:uiPriority w:val="11"/>
    <w:qFormat/>
    <w:pPr>
      <w:jc w:val="center"/>
    </w:pPr>
    <w:rPr>
      <w:b/>
      <w:sz w:val="28"/>
    </w:rPr>
  </w:style>
  <w:style w:type="paragraph" w:styleId="Title">
    <w:name w:val="Title"/>
    <w:basedOn w:val="Normal"/>
    <w:next w:val="BodyText"/>
    <w:uiPriority w:val="10"/>
    <w:qFormat/>
    <w:pPr>
      <w:jc w:val="center"/>
    </w:pPr>
    <w:rPr>
      <w:b/>
      <w:caps/>
      <w:sz w:val="20"/>
    </w:rPr>
  </w:style>
  <w:style w:type="paragraph" w:styleId="1113" w:customStyle="1">
    <w:name w:val="Обычный11"/>
    <w:link w:val="110"/>
    <w:qFormat/>
    <w:pPr>
      <w:widowControl/>
      <w:suppressAutoHyphens w:val="true"/>
      <w:bidi w:val="0"/>
      <w:spacing w:before="0" w:after="0"/>
      <w:jc w:val="start"/>
    </w:pPr>
    <w:rPr>
      <w:rFonts w:ascii="Times New Roman" w:hAnsi="Times New Roman" w:eastAsia="Tahoma" w:cs="Noto Sans"/>
      <w:color w:val="000000"/>
      <w:kern w:val="0"/>
      <w:sz w:val="20"/>
      <w:szCs w:val="20"/>
      <w:lang w:val="ru-RU" w:eastAsia="zh-CN" w:bidi="hi-IN"/>
    </w:rPr>
  </w:style>
  <w:style w:type="paragraph" w:styleId="139" w:customStyle="1">
    <w:name w:val="Текст концевой сноски Знак1"/>
    <w:basedOn w:val="DefaultParagraphFont1"/>
    <w:link w:val="Style30"/>
    <w:qFormat/>
    <w:pPr/>
    <w:rPr>
      <w:rFonts w:ascii="Times New Roman" w:hAnsi="Times New Roman"/>
      <w:sz w:val="20"/>
    </w:rPr>
  </w:style>
  <w:style w:type="paragraph" w:styleId="BodyTextIndent">
    <w:name w:val="Body Text Indent"/>
    <w:basedOn w:val="Normal"/>
    <w:pPr>
      <w:spacing w:before="0" w:after="120"/>
    </w:pPr>
    <w:rPr/>
  </w:style>
  <w:style w:type="paragraph" w:styleId="FootnoteText">
    <w:name w:val="footnote text"/>
    <w:basedOn w:val="Normal"/>
    <w:pPr/>
    <w:rPr/>
  </w:style>
  <w:style w:type="paragraph" w:styleId="ListParagraph2" w:customStyle="1">
    <w:name w:val="List Paragraph2"/>
    <w:basedOn w:val="Normal"/>
    <w:qFormat/>
    <w:pPr>
      <w:spacing w:before="0" w:after="0"/>
      <w:ind w:start="720"/>
      <w:contextualSpacing/>
    </w:pPr>
    <w:rPr>
      <w:rFonts w:eastAsia="Times New Roman" w:cs="Times New Roman"/>
      <w:szCs w:val="24"/>
      <w:lang w:eastAsia="ru-RU"/>
    </w:rPr>
  </w:style>
  <w:style w:type="paragraph" w:styleId="ConsDTNormal111" w:customStyle="1">
    <w:name w:val="ConsDTNormal111"/>
    <w:qFormat/>
    <w:pPr>
      <w:widowControl/>
      <w:suppressAutoHyphens w:val="true"/>
      <w:bidi w:val="0"/>
      <w:spacing w:before="0" w:after="0"/>
      <w:jc w:val="both"/>
    </w:pPr>
    <w:rPr>
      <w:rFonts w:ascii="Times New Roman" w:hAnsi="Times New Roman" w:eastAsia="Tahoma" w:cs="Noto Sans"/>
      <w:color w:val="000000"/>
      <w:kern w:val="0"/>
      <w:sz w:val="24"/>
      <w:szCs w:val="20"/>
      <w:lang w:val="ru-RU" w:eastAsia="zh-CN" w:bidi="hi-IN"/>
    </w:rPr>
  </w:style>
  <w:style w:type="numbering" w:styleId="Style33"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1ff5">
    <w:name w:val="Сетка таблицы1"/>
    <w:basedOn w:val="a1"/>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0" w:type="dxa"/>
        <w:right w:w="0" w:type="dxa"/>
      </w:tblCellMar>
    </w:tblPr>
  </w:style>
  <w:style w:type="table" w:styleId="affc">
    <w:name w:val="Table Grid"/>
    <w:basedOn w:val="a1"/>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l="0" t="0" r="0" b="0"/>
        </a:gradFill>
        <a:gradFill>
          <a:gsLst>
            <a:gs pos="0">
              <a:schemeClr val="phClr">
                <a:tint val="8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145</TotalTime>
  <Application>LibreOffice/25.8.7.3$Linux_X86_64 LibreOffice_project/30742500f2d3eb4366ac312fa33d3dcabdb3eba5</Application>
  <AppVersion>15.0000</AppVersion>
  <DocSecurity>4</DocSecurity>
  <Pages>6</Pages>
  <Words>1678</Words>
  <Characters>11520</Characters>
  <CharactersWithSpaces>12933</CharactersWithSpaces>
  <Paragraphs>282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2026-10-02T10:26:00Z</dcterms:created>
  <dc:creator>Lenovo</dc:creator>
  <dc:description/>
  <dc:language>ru-RU</dc:language>
  <cp:lastModifiedBy/>
  <dcterms:modified xsi:type="dcterms:W3CDTF">2026-10-07T16:20:19Z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