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widowControl w:val="false"/>
        <w:tabs>
          <w:tab w:val="clear" w:pos="708"/>
          <w:tab w:val="left" w:pos="567" w:leader="none"/>
        </w:tabs>
        <w:spacing w:lineRule="auto" w:line="240" w:before="0" w:after="0"/>
        <w:ind w:start="0"/>
        <w:contextualSpacing/>
        <w:jc w:val="end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ТЕХНИЧЕСКОЕ ЗАДАНИЕ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0" w:name="bookmark0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на оказание услуг по обследованию технического состояния м</w:t>
      </w:r>
      <w:bookmarkEnd w:id="0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 xml:space="preserve">ногоквартирных домов, расположенных на территории </w:t>
      </w:r>
      <w:bookmarkStart w:id="1" w:name="_Hlk171588108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Смоленской области</w:t>
      </w:r>
      <w:bookmarkEnd w:id="1"/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2" w:name="bookmark1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Цель и задачи услуг.</w:t>
      </w:r>
      <w:bookmarkEnd w:id="2"/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Оказание услуг по обследованию технического состояния многоквартирных домов, расположенных на территории Смоленской области.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Главными задачами обследования технического состояния многоквартирных домов являются оценка технического состояния и физического износа многоквартирных домов в целом, их строительных конструкций и систем инженерно-технического обеспечения, выявление дефектов и повреждений, определение выводов о необходимости или отсутствии необходимости проведения капитального ремонта общего имущества в многоквартирных домах, подготовка рекомендаций по устранению дефектов и повреждений, а также 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>с целью автоматизации процессов учета и ведения сведений о техническом состоянии многоквартирных домов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формирование электронного банка данных технического состояния многоквартирных домов, содержащего информацию о результатах обследования многоквартирных домов.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>При выполнении услуг по обследованию технического состояния многоквартирных домов необходимо соблюдать требования СП 547.1325800.2025 «Здания жилые многоквартирные. Правила установления необходимости проведения капитального ремонта», иных государственных стандартов, ведомственных нормативов, строительных норм и правил, других нормативных документов в области строительства, капитального ремонта и технического обследования зданий. Перечень государственных стандартов, строительных норм и правил, других нормативных документов, используемых в настоящем техническом задании, не является закрытым.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>Если в ходе исполнения договора действующий государственный стандарт, свод правил или другой нормативный документ: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- заменены (изменены), то применяется новая редакция;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- отменен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ы без замены, то условия договора и приложения к нему </w:t>
      </w:r>
      <w:r>
        <w:rPr>
          <w:rFonts w:cs="Times New Roman" w:ascii="Times New Roman" w:hAnsi="Times New Roman"/>
          <w:sz w:val="26"/>
          <w:szCs w:val="26"/>
        </w:rPr>
        <w:t>применяются в части, не затрагивающей эту ссылку.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3" w:name="bookmark2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Объекты обследования технического состояния многоквартирных домов, их технические характеристики.</w:t>
      </w:r>
      <w:bookmarkEnd w:id="3"/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Объектами обследования являются многоквартирные дома, расположенные на территории Смоленской области, указанные в перечне многоквартирных домов для проведения обследования (Приложение 1 к настоящему техническому заданию).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6"/>
          <w:szCs w:val="26"/>
        </w:rPr>
        <w:t>Данные, содержащиеся в перечне многоквартирных домов для проведения обследования, могут быть скорректированы Заказчиком в ходе исполнения договора.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случаях, предусмотренных подпунктом 10.4 пункта 10 настоящего технического задания, многоквартирные дома подлежат исключению из перечня многоквартирных домов для проведения обследования.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Организация, порядок и срок выполнения услуг по обследованию технического состояния многоквартирных домов, расположенных на территории Смоленской области.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Услуги оказываются Исполнителем на основании Договора, приложений к Договору, и программы оказания Услуг, разработанной Заказчиком. 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Срок предоставления Заказчиком Исполнителю Программы – не позднее 2 (двух) рабочих дней с даты заключения Договора.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Программа должна содержать: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общие сведения о Заказчике, Исполнителе, наименовании и адресах объектов,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цели и задачи оказания услуг, общем составе услуг,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состав и график оказания услуг по обследованию,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описание порядка использования СПО при выполнении технического обследования с применением такого СПО, включая сбор, обработку и хранение результатов обследования, автоматизированный расчёт физического износа и формирование технического заключения,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детальное описание процессов сбора, обработки и хранения результатов обследования, механизмов расчёта физического износа и формирование технического заключения (в случае выполнения технического обследования без использования СПО),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методику оказания услуг,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перечень оборудования и инструментов,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процесс организации оказания услуг и взаимодействия с Заказчиком,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пример заключения с оформленной графической частью,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методику (алгоритмы) определения физического износа конструктивных элементов и инженерных систем.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детализированный календарный план, который должен быть составлен с учетом поэтапного оказания услуг (подготовительный, полевой, камеральный), с указанием сроков, ответственных исполнителей и последовательности действий, обеспечивающих достоверность результатов обследования.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Стороны признают, что направленная Заказчиком Программа становится обязательной для Исполнения. 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Срок оказания услуг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>с даты заключения договора</w:t>
      </w:r>
      <w:r>
        <w:rPr>
          <w:rFonts w:cs="Times New Roman" w:ascii="Times New Roman" w:hAnsi="Times New Roman"/>
          <w:sz w:val="26"/>
          <w:szCs w:val="26"/>
          <w:shd w:fill="auto" w:val="clear"/>
          <w:lang w:bidi="ru-RU"/>
        </w:rPr>
        <w:t xml:space="preserve"> 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 xml:space="preserve">по 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>0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>9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>.02.2027г.</w:t>
      </w:r>
      <w:r>
        <w:rPr>
          <w:rFonts w:cs="Times New Roman" w:ascii="Times New Roman" w:hAnsi="Times New Roman"/>
          <w:sz w:val="26"/>
          <w:szCs w:val="26"/>
          <w:shd w:fill="auto" w:val="clear"/>
          <w:lang w:bidi="ru-RU"/>
        </w:rPr>
        <w:t>:</w:t>
      </w:r>
    </w:p>
    <w:p>
      <w:pPr>
        <w:pStyle w:val="Normal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6"/>
          <w:szCs w:val="26"/>
          <w:shd w:fill="auto" w:val="clear"/>
          <w:lang w:bidi="ru-RU"/>
        </w:rPr>
        <w:t xml:space="preserve">Проведение обследования технического состояния многоквартирных домов и передача Заказчику результатов в соответствии с техническим заданием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shd w:fill="auto" w:val="clear"/>
          <w:lang w:eastAsia="ru-RU"/>
        </w:rPr>
        <w:t>с даты заключения договора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 xml:space="preserve"> по 28.12.2026г.</w:t>
      </w:r>
      <w:r>
        <w:rPr>
          <w:rFonts w:cs="Times New Roman" w:ascii="Times New Roman" w:hAnsi="Times New Roman"/>
          <w:sz w:val="26"/>
          <w:szCs w:val="26"/>
          <w:shd w:fill="auto" w:val="clear"/>
          <w:lang w:bidi="ru-RU"/>
        </w:rPr>
        <w:t>;</w:t>
      </w:r>
    </w:p>
    <w:p>
      <w:pPr>
        <w:pStyle w:val="Normal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6"/>
          <w:szCs w:val="26"/>
          <w:shd w:fill="auto" w:val="clear"/>
          <w:lang w:bidi="ru-RU"/>
        </w:rPr>
        <w:t xml:space="preserve">Проверка результатов и приемка оказанных услуг 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>с 11.01.2027г. по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 xml:space="preserve"> 0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>9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>.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  <w:lang w:bidi="ru-RU"/>
        </w:rPr>
        <w:t>02.2027г.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4" w:name="bookmark3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Виды услуг, выполняемые при проведении обследования технического состояния многоквартирных домов:</w:t>
      </w:r>
      <w:bookmarkEnd w:id="4"/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ознакомление с объектами обследования, их техническими характеристиками, материалами, предоставленными Заказчиком, материалами предыдущих обследований (при наличии), сбор и анализ необходимой документации;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выезд на многоквартирные дома, обследование их строительных конструкций и систем инженерно-технического обеспечения,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 за исключением внутридомовых инженерных систем газоснабжения и лифтов, обследование которых осуществляется специализированными организациями в соответствии с требованиями действующего законодательства Российской Федерации</w:t>
      </w:r>
      <w:r>
        <w:rPr>
          <w:rFonts w:cs="Times New Roman" w:ascii="Times New Roman" w:hAnsi="Times New Roman"/>
          <w:sz w:val="26"/>
          <w:szCs w:val="26"/>
          <w:lang w:bidi="ru-RU"/>
        </w:rPr>
        <w:t>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актуализация сведений по обследуемым многоквартирным домам, предусмотренных в электронных паспортах многоквартирных домов, форма которых утверждена Приказом </w:t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Министерства строительства и жилищно-коммунального хозяйства Российской Федерации от 20.11.2025 № 726/пр «Об утверждении форм электронных паспортов многоквартирного дома и жилого дома, порядка их формирования и состава включаемой в них информации»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выявление дефектов и повреждений по внешним признакам строительных конструкций и систем инженерно-технического обеспечения многоквартирных домов;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фотофиксация и описание выявленных дефектов и повреждений с определением вероятных причин их появления, видов работ по их устранению в объеме сплошного визуального обследования;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установление аварийных участков;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определение основных физических объемов строительных конструкций, многоквартирных домов и их элементов;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определение объема повреждения строительных конструкций многоквартирных домов;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составление сводной ведомости результатов обследования строительных конструкций и систем инженерно-технического обеспечения;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составление схем расположения дефектов (графическая часть);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оценка физического износа строительных конструкций и систем инженерно-технического обеспечения в соответствии с 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>СП 547.1325800.2025 «Здания жилые многоквартирные. Правила установления необходимости проведения капитального ремонта»</w:t>
      </w:r>
      <w:r>
        <w:rPr>
          <w:rFonts w:cs="Times New Roman" w:ascii="Times New Roman" w:hAnsi="Times New Roman"/>
          <w:sz w:val="26"/>
          <w:szCs w:val="26"/>
          <w:lang w:bidi="ru-RU"/>
        </w:rPr>
        <w:t>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определение необходимости проведения капитального ремонта общего имущества в многоквартирных домах (строительных конструкций и систем инженерно-технического обеспечения) и рекомендованного срока его проведения в соответствии с СП 547.1325800.2025 «Здания жилые многоквартирные. Правила установления необходимости проведения капитального ремонта»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- </w:t>
      </w:r>
      <w:r>
        <w:rPr>
          <w:rFonts w:cs="Times New Roman" w:ascii="Times New Roman" w:hAnsi="Times New Roman"/>
          <w:sz w:val="26"/>
          <w:szCs w:val="26"/>
        </w:rPr>
        <w:t xml:space="preserve">определение рекомендуемых работ по капитальному ремонту конструктивных элементов и внутридомовых инженерных систем многоквартирных домов, расположенных на территории Смоленской области, и предельной стоимости указанных работ в соответствии с нормативными правовыми актами Смоленской области: </w:t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Постановление Правительства Смоленской области от 05.08.2024 № 600</w:t>
      </w:r>
      <w:r>
        <w:rPr>
          <w:rFonts w:cs="Times New Roman" w:ascii="Times New Roman" w:hAnsi="Times New Roman"/>
          <w:color w:val="333333"/>
          <w:sz w:val="26"/>
          <w:szCs w:val="26"/>
        </w:rPr>
        <w:br/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«Об утверждении перечня услуг и (или) работ, входящих в число услуг и (или) работ по капитальному ремонту общего имущества в многоквартирном доме, оказание и (или) выполнение которых финансируется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в части 1 статьи 166 Жилищного кодекса Российской Федерации» и Постановление Администрации Смоленской области от 12.03.2020 № 113 «Об установлении размера предельной стоимости услуг и (или) работ по капитальному ремонту общего имущества в многоквартирном доме на территории Смоленской области, которая может оплачиваться специализированной некоммерческой организацией, которая осуществляет деятельность, направленную на обеспечение проведения капитального ремонта общего имущества в многоквартирных домах на территории Смоленской области, за счет средств фонда капитального ремонта общего имущества в многоквартирном доме, сформированного исходя из минимального размера взноса на капитальный ремонт общего имущества в многоквартирном доме»</w:t>
      </w:r>
      <w:r>
        <w:rPr>
          <w:rFonts w:cs="Times New Roman" w:ascii="Times New Roman" w:hAnsi="Times New Roman"/>
          <w:sz w:val="26"/>
          <w:szCs w:val="26"/>
          <w:lang w:bidi="ru-RU"/>
        </w:rPr>
        <w:t>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определение перечня строительных конструкций многоквартирных домов, требующих проведения противоаварийных мероприятий (при обнаружении);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оформление заключений или актов о результатах обследования технического состояния многоквартирных домов, справок;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незамедлительное информирование, в том числе в письменном виде, Заказчика об обнаружении во время оказания услуг повреждений конструкций, которые могут привести к резкому снижению их несущей способности, обрушению отдельных конструкций или серьезному нарушению нормальной работы систем инженерно-технического обеспечения, иного оборудования, кренам, способным привести к потере устойчивости многоквартирного дома;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формирование сводных таблиц по обследованию технического состояния многоквартирных домов.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5" w:name="bookmark4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Особые условия.</w:t>
      </w:r>
      <w:bookmarkEnd w:id="5"/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Для определения физических объемов строительных конструкций многоквартирных домов и их элементов помимо данных, полученных в ходе обследования, необходимо использовать данные, содержащиеся в технических паспортах многоквартирных домов, типовых проектах многоквартирных домов и прочей технической документации по многоквартирным домам.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Описание дефектов и повреждений, выявленных при обследовании технического состояния многоквартирных домов, должно производиться в формулировках признаков износа, приведенных в соответствующих таблицах Приложения А к СП </w:t>
      </w:r>
      <w:r>
        <w:rPr>
          <w:rFonts w:cs="Times New Roman" w:ascii="Times New Roman" w:hAnsi="Times New Roman"/>
          <w:sz w:val="26"/>
          <w:szCs w:val="26"/>
        </w:rPr>
        <w:t>547.1325800.2025 «Здания жилые многоквартирные. Правила установления необходимости проведения капитального ремонта»</w:t>
      </w:r>
      <w:r>
        <w:rPr>
          <w:rFonts w:cs="Times New Roman" w:ascii="Times New Roman" w:hAnsi="Times New Roman"/>
          <w:sz w:val="26"/>
          <w:szCs w:val="26"/>
          <w:lang w:bidi="ru-RU"/>
        </w:rPr>
        <w:t>. В случае отсутствия в указанных нормах и правилах выявленных дефектов и повреждений, и, соответственно, состава работ по устранению данных дефектов и повреждений Исполнитель определяет состав работ самостоятельно.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Необходимость проведения капитального ремонта конструктивных элементов и внутридомовых инженерных систем многоквартирного дома должна быть определена в зависимости от результатов оценки физического износа. В зависимости от установленного значения физического износа конструктивного элемента или внутридомовой инженерной системы должна быть присвоена одна из следующих категорий необходимости проведения капитального ремонта: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- 1-я категория – физический износ конструктивного элемента/внутридомовой инженерной системы: 0 %–30 %, капитальный ремонт не требуется;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- 2-я категория – физический износ конструктивного элемента/внутридомовой инженерной системы: 31 %–50 %, капитальный ремонт требуется;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- 3-я категория – физический износ конструктивного элемента/внутридомовой инженерной системы: 51 %–65 %, капитальный ремонт требуется в приоритетном порядке; 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</w:rPr>
        <w:t>4-я категория – физический износ конструктивного элемента/внутридомовой инженерной системы: более 65 %, требуется проведение инструментального обследования по ГОСТ 31937.</w:t>
      </w:r>
    </w:p>
    <w:p>
      <w:pPr>
        <w:pStyle w:val="ListParagraph"/>
        <w:numPr>
          <w:ilvl w:val="1"/>
          <w:numId w:val="1"/>
        </w:numPr>
        <w:spacing w:lineRule="auto" w:line="276"/>
        <w:ind w:start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Сроки проведения капитального ремонта в зависимости от категории необходимости проведения капитального ремонта должны быть установлены следующие: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hanging="0" w:start="0"/>
        <w:jc w:val="both"/>
        <w:textAlignment w:val="baseline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1-я категория - капитальный ремонт не требуется. Срок проведения капитального ремонта может быть установлен по результатам оценки необходимости проведения капитального ремонта, которую проводят не ранее чем через пять лет с момента утверждения заключения о необходимости проведения капитального ремонта.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hanging="0" w:start="0"/>
        <w:jc w:val="both"/>
        <w:textAlignment w:val="baseline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2-я категория - срок проведения капитального ремонта в течение пяти лет с момента утверждения заключения о необходимости проведения капитального ремонта.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hanging="0" w:start="0"/>
        <w:jc w:val="both"/>
        <w:textAlignment w:val="baseline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3-я категория - срок капитального ремонта в течение трех лет с момента утверждения заключения о необходимости проведения капитального ремонта.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160"/>
        <w:ind w:hanging="0" w:start="0"/>
        <w:jc w:val="both"/>
        <w:textAlignment w:val="baseline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4-я категория - необходимо проведение обследования технического состояния для определения возможности дальнейшей безаварийной эксплуатации по</w:t>
      </w:r>
      <w:r>
        <w:rPr>
          <w:sz w:val="26"/>
          <w:szCs w:val="26"/>
        </w:rPr>
        <w:t> </w:t>
      </w:r>
      <w:r>
        <w:rPr>
          <w:sz w:val="26"/>
          <w:szCs w:val="26"/>
          <w:lang w:val="ru-RU"/>
        </w:rPr>
        <w:t>ГОСТ 31937, сроки проведения капитального ремонта допускается определять по итогам такого обследования.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случае отсутствия чердачного помещения в многоквартирном доме для определения технического состояния перекрытия над последним этажом многоквартирного дома Исполнителю необходимо произвести его обследование в объеме не менее 10 процентов от всех жилых и нежилых помещений, расположенных на последнем этаже многоквартирного дома.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случае отсутствия подвального помещения в многоквартирном доме для определения технического состояния перекрытия пола первого этажа многоквартирного дома Исполнителю необходимо произвести его обследование в объеме не менее 10 процентов от всех жилых и нежилых помещений, расположенных на первом этаже многоквартирного дома.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случае отсутствия доступа в жилые и нежилые помещения в целях проведения обследования технического состояния перекрытий пола первого этажа, а также перекрытий над последним этажом многоквартирного дома, данный факт отражается в заключении или акте о результатах обследования технического состояния многоквартирного дома.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6" w:name="bookmark5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Перечень строительных конструкций и систем инженерно-технического обеспечения многоквартирных домов, подлежащих обследованию.</w:t>
      </w:r>
      <w:bookmarkEnd w:id="6"/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Перечень строительных конструкций и систем инженерно-технического обеспечения многоквартирных домов, подлежащих обследованию: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фундамент;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фасад;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подвальное помещение;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крыша;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внутренние стены, колонны, стойки, столбы в местах общего пользования;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перекрытия в местах общего пользования;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внутридомовые инженерные системы горячего и холодного водоснабжения;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внутридомовая инженерная система водоотведения;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внутридомовая инженерная система теплоснабжения;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внутридомовая инженерная система электроснабжения;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Перечень мероприятий, осуществляемых при обследовании технического состояния строительных конструкций и систем инженерно-технического обеспечения многоквартирных домов.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фундамента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конструктивных элементов фундамента (в зависимости от типа);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мест пересечения (вводов) инженерных коммуникаций с фундаментом здания;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фасада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наружных стен, в том числе архитектурных элементов фасада, деформационных швов и межпанельных стыков;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входных групп (входных дверей, козырьков (навесов), лестниц;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ограждающих и несущих конструкций балконов, лоджий, козырьков;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окон и дверей в местах общего пользования (в составе общего имущества);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цоколя.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отмостки.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подвального помещения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конструктивных элементов подвала;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подвальных окон, продухов, приямков, входов в подвал;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бетонных дорожек в подвальном помещении;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балок и перекрытий пола первого этажа.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крыши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конструкций крыши в зависимости от вида (крыши со стропильной системой, железобетонные сборные (чердачные) крыши, совмещенные крыши из сборных железобетонных слоистых панелей);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покрытия крыши и ее элементов (снегозадержателей, ограждений кровли, устройств для молниезащиты и заземления и пр.);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чердачного помещения: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слуховых окон, продухов, лестниц к слуховым окнам, выходов на чердак и кровлю, ходовых мостиков, утеплителей, поддонов- испарителей;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чердачного перекрытия;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наружных и внутренних систем водоотведения крыши;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иных элементов крыши: парапетных, карнизных плит, воздуховодов, вертикальной части вентиляционных шахт систем вентиляции, деревянных конструкций крыши, поддонов вытяжных коньковых коробов.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горячего водоснабжения в местах общего пользования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уточняется система: централизованная, от газовых и электрических водонагревателей; материал трубопроводов: полимеры, оцинкованная или черная сталь; отмечается наличие либо отсутствие общедомового прибора учета (ОДПУ);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подземных помещениях обследуются магистральные, питающие трубопроводы, запорно-регулировочная арматура, отмечается наличие транзитных питающих трубопроводов;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чердаке обследуются разводящие трубопроводы, питающие трубопроводы, запорно-регулировочная арматура;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этажах обследуются подающие и циркуляционные стояки, подводки, полотенцесушители, указывается скрытая (в стенах) или открытая прокладка к санитарно-техническим приборам;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обследуется запорная арматура, в том числе на ответвлениях от стояков в жилое и нежилое помещение;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указывается наличие регулятор параметров горячей воды, теплообменников, бойлеров, насосных установок и другого оборудования (при наличии).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обследуется состояние теплоизоляции трубопроводов.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холодного водоснабжения в местах общего пользования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уточняется материал трубопроводов: полимеры, оцинкованная или черная сталь; отмечается наличие либо отсутствие общедомового прибора учета (ОДПУ);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подземных помещениях обследуются магистральные и питающие сети, запорно-регулировочная арматура, состояние водомерного узла, транзитных питающих трубопроводов;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этажах отмечается скрытая или открытая прокладка и обследуются стояки и подводки к санитарно-техническим приборам;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обследуется запорная арматура, в том числе на ответвлениях от стояков в жилое и нежилое помещение;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указывается наличие регулятор параметров холодной воды, теплообменников, бойлеров, насосных установок и другого оборудования.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обследуется состояние теплоизоляции трубопроводов.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водоотведения в местах общего пользования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отмечается материал: чугун, ПВХ; открытая или скрытая прокладка стояков, горизонтальных участков в подвале, под полом первого этажа, либо в подполье;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в подземных помещениях обследуется: техническое состояние сетей, наличие прочисток;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этажах отмечается открытая или скрытая прокладка стояков, обследуются стояки и горизонтальные подводки к санитарно-техническим приборам, места присоединения;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теплоснабжения в местах общего пользования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уточняется вид отопления: централизованное (от тепловых сетей систем теплоснабжения населенного пункта), автономное (от автономного источника тепла, в том числе крышной котельной), индивидуальное (от индивидуальных теплогенераторов систем поквартирного теплоснабжения) или печное. При печном отоплении указывается отсутствие приборов отопления;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отмечается: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тип приборов - чугунные радиаторы, конвекторы, панели, калориферы, биметаллические радиаторы;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материал трубопроводов;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наличие либо отсутствие автоматизированных узлов управления (АУУ);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наличие либо отсутствие общедомового прибора учета (ОДПУ);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наличие либо отсутствие элеваторных узлов;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наличие либо отсутствие тепловых пунктов;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сетей в подземных помещениях осматриваются: трубопроводы, узлы управления, измерительные приборы; при наличии индивидуального теплового пункта или центрального теплового пункта - оборудование, запорно-регулировочная арматура. Отмечается наличие транзитных питающих трубопроводов;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чердачных сетей осматриваются: трубопроводы, расширительный бак, воздухосборники, запорно-регулировочная арматура;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на этажах обследуются стояки, подводки к отопительным приборам с запорно-регулировочной арматурой на лестничных клетках, отопительные приборы, уточняется расположение стояков и подводок (открытое или закрытое).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обследовании внутридомовой инженерной системы электроснабжения проводятся следующие мероприятия: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главных и вводно-распределительных щитов (ТРИ У, ВРУ), распределительных и групповых щитов (этажных);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кабельных линий питания квартир (при размещении индивидуальных приборов учета электроэнергии в квартире) (при визуальной возможности);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кабельных линий, выключателей, рубильников, штепселей, патронов, розеток и т.п. в местах общего пользования;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определение наличия контура заземления;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осветительных приборов в местах общего пользования;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обследование разводящих магистралей и вертикальных частей (стояков) питающих линий;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Техническое состояние внутридомовой инженерной системы электроснабжения определяется, в том числе, на основании документов, содержащих выводы о состоянии внутридомовой инженерной системы электроснабжения, предоставленных Исполнителю лицом, осуществляющим управление многоквартирным домом, либо органом местного самоуправления (при наличии).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Копии предоставленных документов должны быть приобщены к техническому отчету.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7" w:name="bookmark6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Форма и порядок оформления результатов оказания услуг, требования к оформлению отчетной документации.</w:t>
      </w:r>
      <w:bookmarkEnd w:id="7"/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Результатами обследования технического состояния многоквартирных домов являются технические отчеты, сводные таблицы, электронный банк данных, обеспечивающий систематизированное хранение и наглядное отображение результатов обследований, расчётов, технических заключений, фото- и графических материалов, а также иных сведений, полученных в ходе оказания услуг оформленные в соответствии с требованиями настоящего технического задания.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Результатами обследования технического состояния многоквартирного дома являются: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10.2.1. </w:t>
      </w:r>
      <w:r>
        <w:rPr>
          <w:rFonts w:ascii="Times New Roman" w:hAnsi="Times New Roman"/>
          <w:sz w:val="26"/>
          <w:szCs w:val="26"/>
        </w:rPr>
        <w:t>заключение о необходимости проведения капитального ремонта общего имущества многоквартирного дома, содержащее, в том числе, выводы о соответствии или несоответствии конструктивных элементов и инженерных систем многоквартирного дома установленным требованиям</w:t>
      </w:r>
      <w:r>
        <w:rPr>
          <w:rFonts w:cs="Times New Roman" w:ascii="Times New Roman" w:hAnsi="Times New Roman"/>
          <w:sz w:val="26"/>
          <w:szCs w:val="26"/>
          <w:lang w:bidi="ru-RU"/>
        </w:rPr>
        <w:t>, включающий в себя: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 xml:space="preserve">заключение </w:t>
      </w:r>
      <w:bookmarkStart w:id="8" w:name="_Hlk207125279"/>
      <w:r>
        <w:rPr>
          <w:rFonts w:ascii="Times New Roman" w:hAnsi="Times New Roman"/>
          <w:sz w:val="26"/>
          <w:szCs w:val="26"/>
        </w:rPr>
        <w:t>о необходимости проведения капитального ремонта общего имущества многоквартирного дома</w:t>
      </w:r>
      <w:bookmarkEnd w:id="8"/>
      <w:r>
        <w:rPr>
          <w:rFonts w:ascii="Times New Roman" w:hAnsi="Times New Roman"/>
          <w:sz w:val="26"/>
          <w:szCs w:val="26"/>
        </w:rPr>
        <w:t xml:space="preserve"> (оформляется в соответствии с Приложением № 2 к Техническому заданию), содержащее достаточные данные для принятия обоснованного решения о необходимости/отсутствии необходимости проведения капитального ремонта конструктивных элементов и инженерных систем многоквартирного дома и сроках такого ремонта, включая: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заключение о необходимости проведения капитального ремонта общего имущества многоквартирного дома (оформляется в соответствии с Приложением № 2 к Техническому заданию), содержащее достаточные данные для принятия обоснованного решения о необходимости/отсутствии необходимости проведения капитального ремонта конструктивных элементов и инженерных систем многоквартирного дома и сроках такого ремонта, включая: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оценку технического состояния строительных конструкций и систем инженерно-технического обеспечения многоквартирного дома;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оценку технического состояния многоквартирного дома в целом;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проценты физического износа строительных конструкций и систем инженерно-технического обеспечения многоквартирного дома;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проценты физического износа многоквартирного дома в целом;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выводы о необходимости или отсутствии необходимости проведения капитального ремонта общего имущества в многоквартирном доме (при наличии выводов о необходимости проведения капитального ремонта Исполнитель определяет перечень работ по капитальному ремонту </w:t>
      </w:r>
      <w:r>
        <w:rPr>
          <w:rFonts w:cs="Times New Roman" w:ascii="Times New Roman" w:hAnsi="Times New Roman"/>
          <w:sz w:val="26"/>
          <w:szCs w:val="26"/>
        </w:rPr>
        <w:t xml:space="preserve">с учетом требований </w:t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Постановления Правительства Смоленской области от 05.08.2024 № 600 «Об утверждении перечня услуг и (или) работ, входящих в число услуг и (или) работ по капитальному ремонту общего имущества в многоквартирном доме, оказание и (или) выполнение которых финансируется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в части 1 статьи 166 Жилищного кодекса Российской Федерации»)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выводы о рекомендованном типе ремонта для каждой строительной конструкции и системы инженерно-технического обеспечения многоквартирного дома;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рекомендации по срокам проведения текущего и капитального ремонта общего имущества в многоквартирном доме;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 строительных конструкций многоквартирного дома, требующих детального (инструментального) обследования;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360" w:start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перечень строительных конструкций, требующих проведения противоаварийных мероприятий; </w:t>
      </w:r>
    </w:p>
    <w:p>
      <w:pPr>
        <w:pStyle w:val="ListParagraph"/>
        <w:numPr>
          <w:ilvl w:val="0"/>
          <w:numId w:val="6"/>
        </w:numPr>
        <w:spacing w:lineRule="auto" w:line="276"/>
        <w:ind w:hanging="360" w:start="851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перечень строительных конструкций многоквартирного дома, требующих организации постоянного мониторинга.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ведомость дефектов с указанием обнаруженных дефектов и повреждений, их объемов, фотофиксацией, категорией опасности,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предполагаемых причин возникновения дефектов и повреждений, рекомендаций по их устранению, рекомендаций по видам работ в соответствии с </w:t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Постановлением Правительства Смоленской области от 05.08.2024 № 600 «Об утверждении перечня услуг и (или) работ, входящих в число услуг и (или) работ по капитальному ремонту общего имущества в многоквартирном доме, оказание и (или) выполнение которых финансируется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в части 1 статьи 166 Жилищного кодекса Российской Федерации»)</w:t>
      </w:r>
      <w:r>
        <w:rPr>
          <w:rFonts w:ascii="Times New Roman" w:hAnsi="Times New Roman"/>
          <w:sz w:val="26"/>
          <w:szCs w:val="26"/>
        </w:rPr>
        <w:t xml:space="preserve"> (Приложение № 4 к Техническому заданию)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сводную ведомость дефектов и повреждений по строительным конструкциям и системам инженерно-технического обеспечения с определением их количества и объема (Приложение № 5 к Техническому заданию)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сводную ведомость работ по устранению выявленных дефектов и повреждений (Приложение № 6 к Техническому заданию)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карты расположения дефектов и повреждений по результатам визуального обследования с указанием номеров дефектов в составе графической части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расчет физического износа строительных конструкций и систем инженерно-технического обеспечения, а также многоквартирного дома в целом (Приложение № 7 к Техническому заданию)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аналитические данные по строительным конструкциям и системам инженерно-технического обеспечения многоквартирного дома (Приложение № 8 к Техническому заданию)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 xml:space="preserve">10.2.2. Электронные паспорта обследованных многоквартирных домов, выполненные по форме, утвержденной 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Приказом </w:t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Министерства строительства и жилищно-коммунального хозяйства Российской Федерации от 20.11.2025 № 726/пр «Об утверждении форм электронных паспортов многоквартирного дома и жилого дома, порядка их формирования и состава включаемой в них информации».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</w:rPr>
        <w:t>В случае воспрепятствования в доступе для проведения обследования строительных конструкций и систем инженерно-технического обеспечения, входящих в состав общего имущества в многоквартирном доме, расположенных в жилых и нежилых помещениях многоквартирного дома, данный факт незамедлительно доводится до Заказчика, и, в случае необеспечения доступа, отражается в акте об отсутствии результатов обследования технического состояния многоквартирного дома (по форме приложения № 3 к ТЗ)</w:t>
      </w:r>
      <w:r>
        <w:rPr>
          <w:rFonts w:cs="Times New Roman" w:ascii="Times New Roman" w:hAnsi="Times New Roman"/>
          <w:sz w:val="26"/>
          <w:szCs w:val="26"/>
          <w:lang w:bidi="ru-RU"/>
        </w:rPr>
        <w:t>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Подготовка актов о результатах обследования технического состояния многоквартирных домов допускается в случаях:</w:t>
      </w:r>
    </w:p>
    <w:p>
      <w:pPr>
        <w:pStyle w:val="ListParagraph"/>
        <w:spacing w:lineRule="auto" w:line="276"/>
        <w:ind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многоквартирный дом полностью отселен и отсутствуют распорядительные документы органов местного самоуправления о дальнейшем использовании многоквартирных домов (реконструкция, снос и пр.);</w:t>
      </w:r>
    </w:p>
    <w:p>
      <w:pPr>
        <w:pStyle w:val="ListParagraph"/>
        <w:spacing w:lineRule="auto" w:line="276"/>
        <w:ind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имеется заключение межведомственной комиссии о признании многоквартирного дома аварийным и подлежащим сносу или реконструкции; </w:t>
      </w:r>
    </w:p>
    <w:p>
      <w:pPr>
        <w:pStyle w:val="ListParagraph"/>
        <w:spacing w:lineRule="auto" w:line="276"/>
        <w:ind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здание не является многоквартирным домом;</w:t>
      </w:r>
    </w:p>
    <w:p>
      <w:pPr>
        <w:pStyle w:val="ListParagraph"/>
        <w:spacing w:lineRule="auto" w:line="276"/>
        <w:ind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многоквартирный дом фактически используется под нежилые цели;</w:t>
      </w:r>
    </w:p>
    <w:p>
      <w:pPr>
        <w:pStyle w:val="ListParagraph"/>
        <w:spacing w:lineRule="auto" w:line="276"/>
        <w:ind w:start="0"/>
        <w:jc w:val="both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>многоквартирный дом имеет менее 5 квартир или является дом блокированной застройки.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Заключение, акт о результатах обследования технического состояния многоквартирного дома, сводные таблицы по обследованию технического состояния многоквартирных домов подписываются электронной подписью, либо собственноручно следующими лицами (далее - уполномоченные лица):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руководителем (законным представителем) организации - исполнителя;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исполнителем работ, назначенным приказом руководителя (законного представителя) организации - исполнителя.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Технический отчет утверждается руководителем (законным представителем) организации - исполнителя.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После подписания и утверждения результатов обследования технического состояния многоквартирных домов уполномоченными лицами, Исполнитель в течении 2 (двух) рабочих дней передает Заказчику результаты обследования технического состояния в виде электронного банка данных, содержащего информацию, поименованную в п.11.8. настоящего Технического задания.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 xml:space="preserve">Так же Исполнитель направляет Заказчику отчетную документацию на каждый многоквартирный дом в 1 (одном) экземпляре в формате </w:t>
      </w:r>
      <w:r>
        <w:rPr>
          <w:rFonts w:cs="Times New Roman" w:ascii="Times New Roman" w:hAnsi="Times New Roman"/>
          <w:sz w:val="26"/>
          <w:szCs w:val="26"/>
          <w:lang w:val="en-US" w:bidi="ru-RU"/>
        </w:rPr>
        <w:t>PDF</w:t>
      </w:r>
      <w:r>
        <w:rPr>
          <w:rFonts w:cs="Times New Roman" w:ascii="Times New Roman" w:hAnsi="Times New Roman"/>
          <w:sz w:val="26"/>
          <w:szCs w:val="26"/>
          <w:lang w:bidi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 электронном носителе (</w:t>
      </w:r>
      <w:r>
        <w:rPr>
          <w:rFonts w:cs="Times New Roman" w:ascii="Times New Roman" w:hAnsi="Times New Roman"/>
          <w:sz w:val="26"/>
          <w:szCs w:val="26"/>
          <w:lang w:val="en-US"/>
        </w:rPr>
        <w:t>usb</w:t>
      </w:r>
      <w:r>
        <w:rPr>
          <w:rFonts w:cs="Times New Roman" w:ascii="Times New Roman" w:hAnsi="Times New Roman"/>
          <w:sz w:val="26"/>
          <w:szCs w:val="26"/>
        </w:rPr>
        <w:t xml:space="preserve"> - флеш накопитель), подписанную усиленной электронной подписью с визуализацией усиленной электронной подписи, содержащей информацию о том, что документ подписан электронной подписью, а также о номере, владельце и периоде действия квалифицированного сертификата ключа проверки электронной подписи.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Качество фотоматериалов, содержащихся в отчетной документации, должно отвечать следующим требованиям: все фотоматериалы должны быть качественными, цветными. Фотофиксация должна проводиться в светлое время суток. Освещенность темных помещений (подвальные помещения и пр.) должна обеспечивать возможность четкой и однозначной идентификации дефекта или повреждения. Предоставление размытых и нечетких фотографий не допускается.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Отчетная документация представляется по факту оказания услуг по обследованию технического состояния многоквартирных домов по акту-приемки передачи.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Требования к электронному банку и обработке данных, полученных в ходе обследования технического состояния многоквартирных домов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11.1. Персонализированный Доступ к электронному банку данных предоставляется представителям Заказчика/Государственного заказчика в течение 3 (трех) рабочих дней с даты заключения Договора. Количество личных кабинетов не ограничено, создаются по запросу Заказчика.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11.2. Формирование электронного банка данных, визуализацию данных и сохранность всей информации, полученной в процессе и по результатам оказанных Услуг Исполнитель обеспечивает на своих мощностях с предоставлением доступа Заказчику/Государственному Заказчику через личный кабинет на срок не менее двух лет с даты подписания Сторонами акта оказанных Услуг по Договору. 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>Электронный банк данных должен обеспечивать систематизированное хранение и наглядное отображение результатов обследований, расчётов, технических заключений, фото- и графических материалов, электронных паспортов, а также иных сведений, полученных в ходе оказания услуг.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Стоимость размещения сформированного электронного банка данных технического состояния с предоставлением Заказчику доступа к нему на указанный срок включена в стоимость услуг по обследованию технического состояния многоквартирных домов.</w:t>
      </w:r>
    </w:p>
    <w:p>
      <w:pPr>
        <w:pStyle w:val="Normal"/>
        <w:tabs>
          <w:tab w:val="clear" w:pos="708"/>
          <w:tab w:val="left" w:pos="567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11.3. Личный кабинет должен предоставлять функции поиска, фильтрации, сортировки и уведомлений о смене статуса обследования объектов, доступа к материалам в отношении технического обследования в режиме реального времени.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11.4. Результаты обследования технического состояния многоквартирных домов должны быть переданы Заказчику в виде электронного банка данных, содержащего информацию, поименованную в п.11.8. настоящего Технического задания.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11.5. Выгрузка заключения о техническом состоянии многоквартирного дома, содержащего информацию о результатах обследований многоквартирных домов, должна осуществляться из электронного банка данных технического состояния многоквартирных домов в форматах PDF, DOCX, XLSX, XML, графической части в формате DWG и PDF.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trike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11.6. Фото- и видеоматериалы должны автоматически снабжаться GPS-координатами, с возможностью проверки привязки к адресу Заказчиком.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11.7. </w:t>
      </w:r>
      <w:r>
        <w:rPr>
          <w:rFonts w:cs="Times New Roman" w:ascii="Times New Roman" w:hAnsi="Times New Roman"/>
          <w:sz w:val="26"/>
          <w:szCs w:val="26"/>
        </w:rPr>
        <w:t xml:space="preserve">Электронный банк данных должен в полном объеме обеспечивать визуализацию данных, полученных в ходе обследования технического состояния МКД.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11.8. Электронный банк данных должен обеспечивать в том числе, но не ограничиваясь, отображение: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общих данных по многоквартирным домам;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описания конструктивных решений;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технических характеристик МКД;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заключения о результатах обследования технического состояния МКД;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расчет физического износа;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результаты обследования технического состояния строительных конструкций и систем инженерно-технического обеспечения МКД;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выводы по результатам обследования технического состояния строительных конструкций и систем инженерно-технического обеспечения МКД;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выводы по результатам обследования технического состояния МКД в целом;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сводные ведомости дефектов и повреждений;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сводные ведомости работ по устранению выявленных дефектов и повреждений;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интерактивные схемы расположения дефектов (на схематичном изображении);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сводные таблицы по обследованию технического состояния МКД.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11.9. В целях автоматизации процессов 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учета и ведения сведений о техническом состоянии многоквартирных домов </w:t>
      </w:r>
      <w:r>
        <w:rPr>
          <w:rFonts w:cs="Times New Roman" w:ascii="Times New Roman" w:hAnsi="Times New Roman"/>
          <w:sz w:val="26"/>
          <w:szCs w:val="26"/>
        </w:rPr>
        <w:t xml:space="preserve">электронный банк данных технического состояния многоквартирных домов, должен представлять собой интерактивную информационную модель, в которой реализованы следующие функциональные возможности: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обработку данных, полученных при выполнении технического обследования конструктивных элементов и инженерных систем;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расчёт показателей физического износа в соответствии с применяемыми методиками;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подготовку и оформление технического заключения по результатам технического обследования;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систематизированное хранение и наглядное отображение результатов обследований, расчётов, технических заключений, фото- и графических материалов, а также иных сведений, полученных в ходе оказания услуг;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хранение информации, полученной по результатам технического обследования состояния многоквартирных домов, в хранилище файлов с доступом из интерактивной информационной модели;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отображение результатов обследования технического состояния по отдельным МКД в виде интерактивной информационной модели, с сохранением структуры отчета, интерактивными вкладками, дефектными ведомостями и графической частью; 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реализацию переходов между всеми блоками информации, полученной в ходе обследования технического состояния многоквартирных домов, в том числе сводной ведомостью дефектов и повреждений, сводной ведомостью работ по устранению выявленных дефектов и повреждений, отчетами по техническому состоянию строительных конструкций и систем инженерно-технического обеспечения МКД с одной стороны и схемой расположения дефектов и повреждений;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поиск и фильтрацию данных, полученных в результате обследования технического состояния многоквартирных домов, по выбранным критериям;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использование форматов PDF, DOCX, XLSX, XML, для графической части – DWG;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возможность обработки и внедрения информации, полученной от иных исполнителей работ по оценке технического состояния МКД;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представление информации о выявленных дефектах в виде интерактивных информационных панелей.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11.10. В целях унификации Заказчиком процессов 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учета и реализации единообразного подхода к ведению сведений о техническом состоянии многоквартирных домов Исполнитель в сроки и на условиях Договора обеспечивает загрузку в формируемый </w:t>
      </w:r>
      <w:r>
        <w:rPr>
          <w:rFonts w:cs="Times New Roman" w:ascii="Times New Roman" w:hAnsi="Times New Roman"/>
          <w:sz w:val="26"/>
          <w:szCs w:val="26"/>
        </w:rPr>
        <w:t>электронный банк данных технического состояния многоквартирных домов данных, содержащихся в имеющихся у Заказчика заключениях о техническом состоянии многоквартирных домов, полученных в ходе обследования технического состояния многоквартирных домов по ранее исполненным договорам на выполнение работ по обследованию технического состояния многоквартирных домов. Количество имеющихся у Заказчика заключений в формате PDF о техническом состоянии многоквартирных домов – 1197шт. Указанные заключения предоставляются Исполнителю после заключения Договора в течение 3 (трех) рабочих дней с даты заключения Договора. Результат загрузки данных в формируемый электронный банк данных технического состояния многоквартирных домов должен удовлетворять требованиям пп. 11.7 – 11.9 настоящего Технического задания при наличии указанных данных в имеющихся у Заказчика заключениях о техническом состоянии многоквартирных домов.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</w:rPr>
        <w:t xml:space="preserve">11.11. С целью реализации мероприятий, предусмотренных 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 xml:space="preserve">Федеральным законом от 24.06.2025 № 180-ФЗ «О внесении изменений в Жилищный кодекс Российской Федерации и статьи 6 и 7 Федерального закона «О государственной информационной системе жилищно-коммунального хозяйства», Исполнитель в сроки и на условиях Договора обеспечивает передачу сведений о техническом состоянии обследованных многоквартирных домов в государственную информационную систему жилищно-коммунального хозяйства (ГИС ЖКХ), в том числе сведений о </w:t>
      </w:r>
      <w:r>
        <w:rPr>
          <w:rFonts w:cs="Times New Roman" w:ascii="Times New Roman" w:hAnsi="Times New Roman"/>
          <w:sz w:val="26"/>
          <w:szCs w:val="26"/>
        </w:rPr>
        <w:t>техническом состоянии многоквартирных домов, содержащихся в имеющихся у Заказчика заключениях о техническом состоянии многоквартирных домов, полученных в ходе обследования технического состояния многоквартирных домов по ранее исполненным договорам на выполнение работ по обследованию технического состояния многоквартирных домов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 xml:space="preserve">. </w:t>
      </w:r>
      <w:r>
        <w:rPr>
          <w:rFonts w:cs="Times New Roman" w:ascii="Times New Roman" w:hAnsi="Times New Roman"/>
          <w:sz w:val="26"/>
          <w:szCs w:val="26"/>
        </w:rPr>
        <w:t>Количество имеющихся у Заказчика заключений приведено в п.11.10 настоящего Технического задания.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Информация о техническом состояния конструктивных элементов многоквартирного дома, оборудования и системах инженерно-технического обеспечения, подлежащая передаче в ГИС ЖКХ:</w:t>
      </w:r>
    </w:p>
    <w:p>
      <w:pPr>
        <w:pStyle w:val="ListParagraph"/>
        <w:numPr>
          <w:ilvl w:val="0"/>
          <w:numId w:val="5"/>
        </w:numPr>
        <w:spacing w:lineRule="auto" w:line="276"/>
        <w:ind w:firstLine="709" w:start="0"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наименование конструктивного элемента;</w:t>
      </w:r>
    </w:p>
    <w:p>
      <w:pPr>
        <w:pStyle w:val="ListParagraph"/>
        <w:numPr>
          <w:ilvl w:val="0"/>
          <w:numId w:val="5"/>
        </w:numPr>
        <w:spacing w:lineRule="auto" w:line="276"/>
        <w:ind w:firstLine="709" w:start="0"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физический износ, установленный по результатам обследования;</w:t>
      </w:r>
    </w:p>
    <w:p>
      <w:pPr>
        <w:pStyle w:val="ListParagraph"/>
        <w:numPr>
          <w:ilvl w:val="0"/>
          <w:numId w:val="5"/>
        </w:numPr>
        <w:spacing w:lineRule="auto" w:line="276"/>
        <w:ind w:firstLine="709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результат проведенного обследования в машиночитаемом формате.</w:t>
      </w:r>
    </w:p>
    <w:p>
      <w:pPr>
        <w:pStyle w:val="ListParagraph"/>
        <w:spacing w:lineRule="auto" w:line="276"/>
        <w:ind w:firstLine="709" w:start="0"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Доступ к личному кабинету ГИС ЖКХ Заказчик предоставляет Исполнителю после заключения Договора в течение 3 (трех) рабочих дней с даты заключения Договора.</w:t>
      </w:r>
    </w:p>
    <w:p>
      <w:pPr>
        <w:pStyle w:val="ListParagraph"/>
        <w:spacing w:lineRule="auto" w:line="276"/>
        <w:ind w:firstLine="709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9" w:name="bookmark7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Нормативные требования к оказанию услуг по обследованию технического состояния многоквартирных домов.</w:t>
      </w:r>
      <w:bookmarkEnd w:id="9"/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Услуги по обследованию технического состояния многоквартирных домов, расположенных на территории Смоленской области, выполняются с учетом требований, следующих нормативных правовых актов: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Жилищный кодекс Российской Федерации;</w:t>
      </w:r>
    </w:p>
    <w:p>
      <w:pPr>
        <w:pStyle w:val="ListParagraph"/>
        <w:numPr>
          <w:ilvl w:val="1"/>
          <w:numId w:val="2"/>
        </w:numPr>
        <w:spacing w:lineRule="auto" w:line="276"/>
        <w:ind w:hanging="426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СП 547.1325800.2025 «Здания жилые многоквартирные. Правила установления необходимости проведения капитального ремонта»;</w:t>
      </w:r>
    </w:p>
    <w:p>
      <w:pPr>
        <w:pStyle w:val="ListParagraph"/>
        <w:numPr>
          <w:ilvl w:val="1"/>
          <w:numId w:val="2"/>
        </w:numPr>
        <w:spacing w:lineRule="auto" w:line="276"/>
        <w:ind w:hanging="426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СП 368.1325800.2017 «Здания жилые. Правила проектирования капитального ремонта»;</w:t>
      </w:r>
    </w:p>
    <w:p>
      <w:pPr>
        <w:pStyle w:val="ListParagraph"/>
        <w:numPr>
          <w:ilvl w:val="1"/>
          <w:numId w:val="2"/>
        </w:numPr>
        <w:spacing w:lineRule="auto" w:line="276"/>
        <w:ind w:hanging="426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СП 454.1325800.2019 «Свод правил. Здания жилые многоквартирные. Правила оценки аварийного и ограниченно-работоспособного технического состояния»;</w:t>
      </w:r>
    </w:p>
    <w:p>
      <w:pPr>
        <w:pStyle w:val="ListParagraph"/>
        <w:numPr>
          <w:ilvl w:val="1"/>
          <w:numId w:val="2"/>
        </w:numPr>
        <w:spacing w:lineRule="auto" w:line="276"/>
        <w:ind w:hanging="426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СП 54.13330.2022 «Свод правил. Здания жилые многоквартирные. СНИП 31-01-2003»; </w:t>
      </w:r>
    </w:p>
    <w:p>
      <w:pPr>
        <w:pStyle w:val="ListParagraph"/>
        <w:numPr>
          <w:ilvl w:val="1"/>
          <w:numId w:val="2"/>
        </w:numPr>
        <w:spacing w:lineRule="auto" w:line="276"/>
        <w:ind w:hanging="426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ВСН 48-86(р). Правила безопасности при проведении обследований жилых зданий для проектирования капитального ремонта;</w:t>
      </w:r>
    </w:p>
    <w:p>
      <w:pPr>
        <w:pStyle w:val="ListParagraph"/>
        <w:numPr>
          <w:ilvl w:val="1"/>
          <w:numId w:val="2"/>
        </w:numPr>
        <w:spacing w:lineRule="auto" w:line="276"/>
        <w:ind w:hanging="426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Федеральный закон от 24.06.2025 № 180-ФЗ «О внесении изменений в Жилищный кодекс Российской Федерации и статьи 6 и 7 Федерального закона «О государственной информационной системе жилищно-коммунального хозяйства»</w:t>
      </w:r>
    </w:p>
    <w:p>
      <w:pPr>
        <w:pStyle w:val="ListParagraph"/>
        <w:numPr>
          <w:ilvl w:val="1"/>
          <w:numId w:val="2"/>
        </w:numPr>
        <w:spacing w:lineRule="auto" w:line="276"/>
        <w:ind w:hanging="426" w:star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 xml:space="preserve">- </w:t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Приказ Министерства строительства и жилищно-коммунального хозяйства Российской Федерации от 20.11.2025 № 726/пр «Об утверждении форм электронных паспортов многоквартирного дома и жилого дома, порядка их формирования и состава включаемой в них информации»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- Постановление Правительства Смоленской области №910 от 27.11. 2024 «Об утверждении Положения о порядке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домах, расположенных на территории Смоленской области, а также порядке учета результатов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домах, расположенных на территории Смоленской области, при подготовке и утверждении такой программы или внесении в нее изменений»;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color w:val="333333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- Постановление Правительства Смоленской области от 05.08.2024 № 600</w:t>
      </w:r>
      <w:r>
        <w:rPr>
          <w:rFonts w:cs="Times New Roman" w:ascii="Times New Roman" w:hAnsi="Times New Roman"/>
          <w:color w:val="333333"/>
          <w:sz w:val="26"/>
          <w:szCs w:val="26"/>
        </w:rPr>
        <w:br/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«Об утверждении перечня услуг и (или) работ, входящих в число услуг и (или) работ по капитальному ремонту общего имущества в многоквартирном доме, оказание и (или) выполнение которых финансируется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в части 1 статьи 166 Жилищного кодекса Российской Федерации»;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- Постановление Администрации Смоленской области от 12.03.2020 № 113</w:t>
      </w:r>
      <w:r>
        <w:rPr>
          <w:rFonts w:cs="Times New Roman" w:ascii="Times New Roman" w:hAnsi="Times New Roman"/>
          <w:color w:val="333333"/>
          <w:sz w:val="26"/>
          <w:szCs w:val="26"/>
        </w:rPr>
        <w:br/>
      </w:r>
      <w:r>
        <w:rPr>
          <w:rFonts w:cs="Times New Roman" w:ascii="Times New Roman" w:hAnsi="Times New Roman"/>
          <w:color w:val="333333"/>
          <w:sz w:val="26"/>
          <w:szCs w:val="26"/>
          <w:shd w:fill="FFFFFF" w:val="clear"/>
        </w:rPr>
        <w:t>«Об установлении размера предельной стоимости услуг и (или) работ по капитальному ремонту общего имущества в многоквартирном доме на территории Смоленской области, которая может оплачиваться специализированной некоммерческой организацией, которая осуществляет деятельность, направленную на обеспечение проведения капитального ремонта общего имущества в многоквартирных домах на территории Смоленской области, за счет средств фонда капитального ремонта общего имущества в многоквартирном доме, сформированного исходя из минимального размера взноса на капитальный ремонт общего имущества в многоквартирном доме»;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иные нормативные правовые акты Российской Федерации и Смоленской области, правила и нормы (СНиП, ГОСТ, ВСН и пр.).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10" w:name="bookmark8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Требования к безопасности оказания услуг, требования к квалификации работников Исполнителя.</w:t>
      </w:r>
      <w:bookmarkEnd w:id="10"/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Безопасность производства работ должна обеспечиваться в соответствии со ВСН 48-86(р) «Правила безопасности при проведении обследований жилых зданий для проектирования капитального ремонта».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Исполнитель обязан обеспечить: выдачу работникам необходимой спецодежды, обуви; выполнение мероприятий по защите работающих (установка ограждений, дополнительного освещения, защитных и предохранительных устройств) в соответствии с действующими нормативами.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 выявлении в ходе обследования аварийного состояния несущих строительных конструкций, ненесущих строительных конструкций и систем инженерно-технического обеспечения многоквартирных домов Исполнитель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письменно информирует Заказчика о необходимости принятия мер по устранению аварийного состояния элементов многоквартирного дома или по прекращению эксплуатации многоквартирного дома.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Исполнитель обязан обеспечить неразглашение третьим лицам информации, полученной в ходе исполнения Договора без согласования с Заказчиком (Федеральный закон от 29 июля 2004 г. № 98-ФЗ «О коммерческой тайне»).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11" w:name="bookmark9"/>
      <w:r>
        <w:rPr>
          <w:rFonts w:cs="Times New Roman" w:ascii="Times New Roman" w:hAnsi="Times New Roman"/>
          <w:b/>
          <w:bCs/>
          <w:sz w:val="26"/>
          <w:szCs w:val="26"/>
          <w:lang w:bidi="ru-RU"/>
        </w:rPr>
        <w:t>Дополнительные условия.</w:t>
      </w:r>
      <w:bookmarkEnd w:id="11"/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Срок гарантий качества оказанных услуг по обследованию технического состояния многоквартирных домов - 60 месяцев с даты приемки оказанных услуг.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cs="Times New Roman" w:ascii="Times New Roman" w:hAnsi="Times New Roman"/>
          <w:sz w:val="26"/>
          <w:szCs w:val="26"/>
          <w:lang w:bidi="ru-RU"/>
        </w:rPr>
        <w:t>Приложения:</w:t>
      </w:r>
    </w:p>
    <w:p>
      <w:pPr>
        <w:pStyle w:val="Normal"/>
        <w:numPr>
          <w:ilvl w:val="0"/>
          <w:numId w:val="3"/>
        </w:numPr>
        <w:spacing w:lineRule="auto" w:line="276" w:before="0" w:after="160"/>
        <w:jc w:val="both"/>
        <w:rPr>
          <w:rFonts w:ascii="Times New Roman" w:hAnsi="Times New Roman" w:cs="Times New Roman"/>
          <w:sz w:val="26"/>
          <w:szCs w:val="26"/>
          <w:lang w:bidi="ru-RU"/>
        </w:r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567" w:gutter="0" w:header="709" w:top="993" w:footer="709" w:bottom="766"/>
          <w:pgNumType w:fmt="decimal"/>
          <w:formProt w:val="false"/>
          <w:titlePg/>
          <w:textDirection w:val="lrTb"/>
          <w:docGrid w:type="default" w:linePitch="100" w:charSpace="0"/>
        </w:sectPr>
      </w:pPr>
      <w:r>
        <w:rPr>
          <w:rFonts w:cs="Times New Roman" w:ascii="Times New Roman" w:hAnsi="Times New Roman"/>
          <w:sz w:val="26"/>
          <w:szCs w:val="26"/>
          <w:lang w:bidi="ru-RU"/>
        </w:rPr>
        <w:t>Перечень многоквартирных домов для проведения обследования.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№1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Перечень многоквартирных домов для проведения обследования в 2027 году</w:t>
      </w:r>
    </w:p>
    <w:tbl>
      <w:tblPr>
        <w:tblStyle w:val="af"/>
        <w:tblW w:w="101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75"/>
        <w:gridCol w:w="5830"/>
        <w:gridCol w:w="3735"/>
      </w:tblGrid>
      <w:tr>
        <w:trPr>
          <w:trHeight w:val="705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Адрес многоквартирного дома (Объект/Объекты)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Виды работ к обследованию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Велиж, пер. Красноармейский,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Велиж, ул. Еременко, д. 25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Велиж, ул. Еременко, д. 29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Демидов, ул. Мареевская,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Демидов, ул. Мареевская,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Демидов, ул. Мареевская,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Демидов, ул. Просвещения,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просп. Химиков,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просп. Химиков,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просп. Химиков,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просп. Химиков, д. 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просп. Химиков, д. 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просп. Химиков, д. 14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ул. Комсомольская, д. 15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ул. Ленина, д. 22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ул. Молодежная, д. 14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ул. Молодежная, д. 24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Верхнеднепровский, ул. Молодежная, д. 26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Краснинский р-н, дер. Гусино, ул. П/Я,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Краснинский р-н, дер. Павлово, ул. Механизаторов,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Красный, ул. Советская, д. 34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Монастырщинский р-н, дер. Соболево, д. 28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Монастырщинский р-н, дер. Татарск, д. 112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Пгт Монастырщина, </w:t>
              <w:br/>
              <w:t>ул. 1-я Северная, д. 1а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Монастырщина, ул. 25 Cентября,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Монастырщина, ул. 25 Cентября,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Монастырщина, ул. 25 Cентября,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Монастырщина, ул. 25 Cентября, д. 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Монастырщина, ул. Мира,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Рудня, ул. Мелиораторов, д. 29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Рудня, ул. Смоленская, д. 2а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дер. Стаи, ул. Первомайская, д. 18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Железнодорожная,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Железнодорожная,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Железнодорожная, д. 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Коммунистическая,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Коммунистическая, д. 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Коммунистическая,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Коммунистическая, д. 14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Комсомольская,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Ленина,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Ленина,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Ленина, д. 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Руднянский р-н, пгт Голынки, ул. Ленина,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бульвар Гагарина,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бульвар Гагарина,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бульвар Гагарина,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бульвар Гагарина,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49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городок Коминтерна,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мкрн. Южный, д. 39а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пер. 2-й Краснофлотский, д. 34а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пер. 2-й Краснофлотский, д. 34б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пер. 2-й Краснофлотский, д. 34в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пер. 4-й Слобода-Садки, д. 35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пер. Запольный,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Г. Смоленск, </w:t>
              <w:br/>
              <w:t>пер. Ново-Чернушенский,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пер. Станционный,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пер. Хлебозаводской, д. 18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59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пос. Анастасино, д. 36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пос. Вязовенька,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пос. Красный Бор, в/ч 83283,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пос. Серебрянка, д. 68а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пос. Серебрянка, д. 68б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пос. Тихвинка, д. 24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просп. Гагарина, д. 17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просп. Гагарина, д. 19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4-я Загорная, д. 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Автозаводская, д. 30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Академика Петрова,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Багратиона,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Багратиона, д. 12/13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Багратиона, д. 14/12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Багратиона, д. 22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Белинского,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Белинского,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Брестская,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Гастелло, д. 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Гастелло, д. 20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79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Герцена, д. 13а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Госпитальная, д. 31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Губенко,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Губенко, д. 14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Холм-Жирковский, ул. Ленина,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Холм-Жирковский, ул. Октябрьская, д. 31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Холм-Жирковский, ул. Октябрьская, д. 33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Молодежная,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Молодежная,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Молодежная,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89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Молодежная,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Молодежная,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Молодежная, д. 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Молодежная,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Молодежная,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Ельня, ул. Пролетарская, д. 76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С. Ершичи, ул. Молодежная,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Починок, ул. Полевая,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Починок, ул. Терешковой,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Починковский р-н, дер. Климщина, д. 89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99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Починковский р-н, дер. Климщина, д. 93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Починковский р-н, дер. Мачулы, д. 95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Починковский р-н, дер. Мачулы, д. 98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Починковский р-н, дер. Пересна, д. 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Починковский р-н, пос. Шаталово-1, д. 390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Починковский р-н, пос. Шаталово-1, д. 391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пер. 4-й Смоленский, д. 49, корпус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пер. 4-й Смоленский, д. 49, корпус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Красноармейская, д. 1а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Красноармейская, д. 1б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109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Красноармейская, д. 49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Октябрьская, д. 29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Пригородная, д. 13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Пригородная, д. 15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Пригородная, д. 17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Пушкина, д. 64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Республиканская, д. 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Товарная,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Рославль, ул. Урицкого, д. 11б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Рославльский р-н, дер. Льнозавода, ул. Заводская,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119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Рославльский р-н, дер. Перенка, д. 17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Рославльский р-н, с. Богданово, ул. Западная,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Рославльский р-н, с. Богданово, ул. Имени Колхоза </w:t>
              <w:br/>
              <w:t>Быстрые волны,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Докучаева,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Докучаева,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Исаковского, д. 26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Кирова, д. 2а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Кирова, д. 2/57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Кирова, д. 22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Кирова, д. 29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129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Кирова, д. 34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Кирова, д. 55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Ключевая, д. 6б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Козлова,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Кооперативная, д. 31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Котовского, д. 1а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Котовского,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Крупской, д. 43/2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Кутузова,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Лавочкина, д. 42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139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Лавочкина, д. 43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Лавочкина, д. 44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Ленина, д. 30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Ленина, д. 34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Ленина, д. 38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Ломоносова, д. 1/74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Ломоносова,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Ломоносова, д. 6б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Ломоносова, д. 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Ломоносова, д. 15а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Ломоносова, д. 16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Мало-Краснофлотская, д. 31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Мало-Краснофлотская, д. 31а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Мало-Краснофлотская, д. 33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Мало-Краснофлотская, д. 35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р-н, дер. Бобыри, ул. Центральная,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р-н, дер. Бобыри, ул. Центральная,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р-н, дер. Вязгино, ул. Дорожная,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р-н, дер. Вязгино, ул. Дорожная,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р-н, дер. Вязгино, ул. Дорожная,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159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р-н, дер. Вязгино, ул. Дорожная, д. 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Хиславичи, пер. Кооперативный,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Хиславичи, ул. Гагарина,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Шумячи, ул. Высокая, д. 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Шумячи, ул. Садовая, д. 20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Шумячи, ул. Санаторная школа,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Шумячи, ул. Санаторная школа,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Пгт Шумячи, ул. Санаторная школа,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Ярцево, ул. Ленинская,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Ярцево, ул. Советская,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169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Ярцево, ул. Строителей,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Ярцевский район, дер. Капыревщина, ул. Магистральная, д. 21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25 Октября,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25 Октября,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25 Октября,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25 Октября, д. 24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25 Октября, д. 25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25 Октября, д. 26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Бауманская,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Красноармейское шоссе, д. 13а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179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Красноармейское шоссе, д. 15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Кронштадтская,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Ленина, д. 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Ленина, д. 29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Ленина, д. 44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Ленина, д. 46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Ленина, д. 67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Ленина, д. 69б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Ленина, д. 69в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Машинистов,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189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Машинистов,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Машинистов, д. 13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Московская, д. 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Московская, д. 14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Парижской Коммуны,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Путевая,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Репина, д. 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Репина, д. 11а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Строителей,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Юбилейная,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199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Вязьма, ул. Юбилейная,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дер. Октябрьский, ул. Железнодорожная,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дер. Относово, ул. Школьная,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дер. Тюхменево, ул. Карьероуправления,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дер. Тюхменево, ул. Карьероуправления, д. 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дер. Тюхменево, ул. Карьероуправления, д. 15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Андрейково, ул. Ленина,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Андрейково, ул. Ленина,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Андрейково, ул. Ленина,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Андрейково, ул. Ленина,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Бывалицы, ул. Мелиоративная,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Бывалицы, ул. Мелиоративная, д. 13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Вязьма-Брянская, ул. Авиационная,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Новый, ул. Садовая,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Семлево, ул. Советская,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Шуйское, ул. Новоселов,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Вяземский район, с. Шуйское, ул. Новоселов,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Маршала Жукова, д. 13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крыша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Московский Большак, д. 47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Нахимова, д. 1а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219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Нахимова,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Нахимова, д. 3а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Нахимова,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Нахимова, д. 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Нахимова,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Нахимова,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34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34а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38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40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229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42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44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51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61/38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Николаева, д. 69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Новая Слобода-Садки, д. 6а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Ново-Киевская,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Ново-Краснофлотская,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Ново-Краснофлотская, д. 13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Ново-Рославльская,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239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Нормандия Неман, д. 16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Октябрьской революции,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Октябрьской революции, д. 3а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Октябрьской революции, д. 18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Октябрьской революции, д. 20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Октябрьской революции, д. 22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Октябрьской революции, д. 24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Папанина, д. 12а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Магалинщина, ул. Садовая,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Магалинщина, ул. Садовая,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249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Русилово, ул. Центральная,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Санаторий Борок,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Сметанино, ул. Озерная,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Сметанино, ул. Озерная,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Гагарин, ул. Гагарина, д. 31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Гагарин, ул. Ленина, д. 16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Гагарин, ул. Петра Алексеева,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Гагарин, ул. Юных космонавтов,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Гагаринский район, дер. Мамоново, ул. Центральная,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Гагаринский район, дер. Родоманово, ул. Мира,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259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Гагаринский район, дер. Юрино, ул. Центральная, д. 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крыша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Гагаринский район, дер. Юрино, ул. Центральная, д. 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Гагаринский район, с. Карманово, ул. Советская, д. 46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Гагаринский район, с. Новодугино, пл. Базарная,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Сафоново, микрорайон-2, д. 14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Сафоново, микрорайон-2, д. 16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Сафоново, микрорайон-2, д. 19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Сафоново, микрорайон-2, д. 27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Сафоново, ул. Гастелло, д. 15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Сафоново, ул. Кирпичный городок,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подвал,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269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Сафоново, ул. Коммунальная,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Сафоново, ул. Строителей, д. 26а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Сафоновский район, дер. Вышегор, ул. Мира,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подвал,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Сафоновский район, пос. Вадино, ул. Мелиораторов,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Сафоновский район, пос. Вадино, ул. Мелиораторов,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Сафоновский район, пос. Вадино, ул. Мелиораторов,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Сафоновский район, с. Издешково, ул. 2-я Ленинская,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Сафоновский район, с. Издешково, ул. 2-я Ленинская, д. 7а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Сафоновский район, с. Издешково, ул. 2-я Ленинская, д. 7в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Сафоновский район, с. Издешково, ул. 2-я Ленинская, д. 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279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Попова,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Попова, д. 4а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Попова, д. 14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Попова, д. 14а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Радищева, д. 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Радищева, д. 10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Радищева, д. 15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Радищева, д. 19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Раевского,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Раевского,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289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Реввоенсовета, д. 20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Румянцева,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Румянцева, д. 17а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Седова, д. 31а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Седова, д. 46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Седова, д. 56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Седова, д. 56а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Соболева, д. 82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Соболева, д. 84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Соболева, д. 109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299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 xml:space="preserve">Г. Смоленск, </w:t>
              <w:br/>
              <w:t>ул. Средне-Лермонтовская, д. 20/4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Твардовского, д. 2б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Тухачевского,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Чернышевского,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Чернышевского, д. 4а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Чернышевского, д. 10а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Чернышевского, д. 16а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Шевченко, д. 58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Шевченко, д. 60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Смоленск, ул. Шевченко, д. 67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309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Тепличный комбинат № 1,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Тепличный комбинат № 1,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дер. Тепличный комбинат № 1,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пос. Автозаправочной станции,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пос. Гедеоновка, д. 12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пос. Гедеоновка, д. 13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пос. Гедеоновка, д. 14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с. Ольша, ул. Заозерная,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с. Ольша, ул. Заозерная,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с. Печерск, ул. Автодорожная,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319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с. Печерск, ул. Минская, д. 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с. Пригорское, ул. Октябрьская,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с. Пригорское, ул. Октябрьская,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с. Пригорское, ул. Октябрьская,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Смоленский район, с. Пригорское, ул. Октябрьская, д. 11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ст. Сычевка, д. 16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Большая Советская, д. 22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Винокурова, д. 6а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Винокурова, д. 8а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Гоголя, д. 39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329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Карла Маркса,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Карла Маркса, д. 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Красноармейская, д. 80а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332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Крыленко, д. 20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333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Г. Сычевка, ул. Луначарского, д. 6а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334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Сычевский район, дер. Вараксино, ул. Набережная, д. 3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335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Сычевский район, дер. Ладыгино, ул. Луговая,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336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Сычевский район, дер. Мальцево, ул. Труда,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337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Сычевский район, дер. Юшино, ул. Центральная, д. 25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фасад, фундамент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338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Угранский район, дер. Вешки, ул. Елочки, д. 21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339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Угранский район, дер. Вешки, ул. Южная, д. 4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340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Угранский район, дер. Михали, ул. Центральная, д. 1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  <w:tr>
        <w:trPr>
          <w:trHeight w:val="252" w:hRule="atLeast"/>
        </w:trPr>
        <w:tc>
          <w:tcPr>
            <w:tcW w:w="5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341</w:t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Угранский район, с. Угра, ул. Десантная, д. 9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инж. сети, крыша, фасад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2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Техническое заключение о необходимости проведения капитального ремонта общего имущества многоквартирного дома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0462" w:type="dxa"/>
        <w:jc w:val="start"/>
        <w:tblInd w:w="-289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val="0000" w:noHBand="0" w:noVBand="0" w:firstColumn="0" w:lastRow="0" w:lastColumn="0" w:firstRow="0"/>
      </w:tblPr>
      <w:tblGrid>
        <w:gridCol w:w="568"/>
        <w:gridCol w:w="8335"/>
        <w:gridCol w:w="1559"/>
      </w:tblGrid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N п/п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I. Общие сведения о многоквартирном доме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Адрес многоквартирного дома (населенный пункт, улица, номер дома, корпус)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Этажность (максимальная)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ввода в эксплуатацию (в случае ввода в эксплуатацию по частям год ввода указывается через запятую)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Общая площадь многоквартирного дома, кв.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Площадь жилых помещений, кв.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Площадь нежилых помещений, не относящихся к общему имуществу (при наличии), кв.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жилых помещений, шт.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нежилых помещений, шт.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подъездов, шт.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лифтов, ед.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06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Статус объекта (памятник архитектуры, исторический памятник и т.д.)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65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Нормативный (оценочный) срок службы исходя из срока экономической жизни многоквартирного дома, лет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56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Остаточный срок службы многоквартирного дома, лет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7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выполнения последнего капитального ремонта (с указанием конструктивного элемента/инженерной системы)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II. Объемно-планировочные показатели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Строительный объем здания, м3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Площадь застройки, м2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Длина здания,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Ширина здания,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Высота здания, м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 стен,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фасада,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крыши,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19.1.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технического этажа/технического помещения/чердачного помещения,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highlight w:val="cyan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фундамента,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подвала,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III. Внутридомовые инженерные системы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электроснабжения,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теплоснабжения,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холодного водоснабжения,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горячего водоснабжения,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водоотведения,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газоснабжения, код &lt;*&gt;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IV. Обследование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Исполнитель обследования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(наименование организации, ИНН, ФИО лица, проводившего обследование)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Заказчик (наименование, ИНН)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44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Дата проведения обследования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55" w:hRule="atLeast"/>
        </w:trPr>
        <w:tc>
          <w:tcPr>
            <w:tcW w:w="5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8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Лицо, осуществляющее управление МКД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1046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bookmarkStart w:id="12" w:name="P189"/>
            <w:bookmarkEnd w:id="12"/>
            <w:r>
              <w:rPr>
                <w:rFonts w:cs="Times New Roman" w:ascii="Times New Roman" w:hAnsi="Times New Roman"/>
              </w:rPr>
              <w:t>&lt;*&gt; В пункте 17 таблицы 1 "Материал стен" отражается материал стен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"дерево";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"железобетонная панель";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"ж/б 3-слойная панель с утеплителем";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"керамзитобетон (блоки)";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"кирпич";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6 - "монолит";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7 - "шлакобетон (блоки)";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8 - "иное".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18 таблицы 1 "Тип фасада" отражается тип фасада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"комбинированный";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"соответствует материалу стен";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"оштукатуренный";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"окрашенный";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"облицованный плиткой";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6 - "облицованный камнем";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7 - "сайдинг";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8 - "иной".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19 таблицы 1 "Тип крыши" отражается тип конструкций крыши и кровли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"плоская, комбинированная";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"плоская, безрулонная железобетонная";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"плоская, из волнистых и полуволнистых асбестоцементных листов (шиферная)";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"плоская, из иного материала";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"плоская, из металлочерепицы";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6 - "плоская, из оцинкованной стали";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7 - "плоская, из профилированного настила";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8 - "плоская, из рулонных материалов"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9 - "плоская, мягкая (наплавляемая) крыша";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10 - "плоская, иная";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11 - "скатная, комбинированная";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12 - "скатная, безрулонная железобетонная";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13 - "скатная, из волнистых и полуволнистых листов (шиферная)";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14 - "скатная, асбестоцементных из иного материала";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15 - "скатная, из металлочерепицы";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16 - "скатная, из оцинкованной стали";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17 - "скатная, из профилированного настила";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18 - "скатная, из рулонных материалов";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19 - "скатная, мягкая (наплавляемая) крыша";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20 - "скатная, иная"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19.1 таблицы 1 «Наличие технического этажа/чердачного помещения» заполняется наличие технического этажа или чердачного помещения при плоском типе крыши.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– «отсутствует»;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– «наличие технического этажа»;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– «наличие технического помещения»;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– «наличие чердачного помещения».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20 таблицы 1 "Тип фундамента" отражается тип фундамента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"сборный";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"сплошной";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"столбчатый";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"ленточный";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"бетонные столбы";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6 - "свайный";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7 - "иной".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21 таблицы 1 "Тип подвала" отражается тип подвала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"обычный";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"убежище (защитное сооружение)";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"технический";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"подземный паркинг";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5 - "подполье".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22 таблицы 1 "Тип электроснабжения" отражается тип внутридомовой инженерной системы электроснабжения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23 таблицы 1 "Тип отопления" отражается тип внутридомовой инженерной системы теплоснабжения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4 - "печная".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24 таблицы 1 "Тип холодного водоснабжения" отражается тип внутридомовой инженерной системы холодного водоснабжения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25 таблицы 1 "Тип горячего водоснабжения" отражается тип внутридомовой инженерной системы горячего водоснабжения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26 таблицы 1 "Тип водоотведения" отражается тип внутридомовой инженерной системы водоотведения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3 - "комбинированная".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пункте 27 таблицы 1 "Тип газоснабжения" отражается тип внутридомовой инженерной системы газоснабжения многоквартирного дома.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Возможные значения: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1 - "центральная";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2 - "автономная";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</w:rPr>
              <w:t>код 3 - "комбинированная"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Форма </w:t>
      </w:r>
    </w:p>
    <w:tbl>
      <w:tblPr>
        <w:tblW w:w="11046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61"/>
        <w:gridCol w:w="2175"/>
        <w:gridCol w:w="2280"/>
        <w:gridCol w:w="1263"/>
        <w:gridCol w:w="155"/>
        <w:gridCol w:w="1263"/>
        <w:gridCol w:w="991"/>
        <w:gridCol w:w="1988"/>
        <w:gridCol w:w="270"/>
      </w:tblGrid>
      <w:tr>
        <w:trPr>
          <w:trHeight w:val="700" w:hRule="atLeast"/>
        </w:trPr>
        <w:tc>
          <w:tcPr>
            <w:tcW w:w="11046" w:type="dxa"/>
            <w:gridSpan w:val="9"/>
            <w:tcBorders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Результаты обследования</w:t>
            </w:r>
          </w:p>
        </w:tc>
      </w:tr>
      <w:tr>
        <w:trPr>
          <w:trHeight w:val="1265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Конструктивный элемент / инженерная система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&lt;*&gt;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участка, %</w:t>
            </w:r>
          </w:p>
        </w:tc>
        <w:tc>
          <w:tcPr>
            <w:tcW w:w="225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конструктивного элемента / инженерной системы, %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Оценка технического состояния</w:t>
            </w:r>
          </w:p>
        </w:tc>
        <w:tc>
          <w:tcPr>
            <w:tcW w:w="270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51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0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33" w:hRule="atLeast"/>
        </w:trPr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4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Фасадные стены: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стен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 отделки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 отмостки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4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Балконы, шт.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Особенности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Лоджии, шт.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Особенности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Козырьки, шт.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покрытия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Особенности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Окна МОП, шт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Двери МОП, шт.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Входные группы, шт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Особенности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Межпанельные швы, тип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</w:t>
            </w:r>
          </w:p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стропильной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системы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Кровля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покрытия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Чердачное помещение: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Технический этаж: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Водосточная система: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26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 в местах общего пользования: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Колонны, стойки, столбы в местах общего пользования: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Полы в местах общего пользования: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61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61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прокладки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61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821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транзитного трубопровода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821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транзитного трубопровода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5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транзитного трубопровода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821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теплоснабжения: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Материал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транзитного трубопровода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Наличие котельной/ИТП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ОДПУ, шт.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Модель: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95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Серийный номер: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9" w:hRule="atLeast"/>
        </w:trPr>
        <w:tc>
          <w:tcPr>
            <w:tcW w:w="66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5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Выявленные неисправности:</w:t>
            </w:r>
          </w:p>
        </w:tc>
        <w:tc>
          <w:tcPr>
            <w:tcW w:w="593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ab/>
      </w:r>
      <w:r>
        <w:rPr>
          <w:rFonts w:cs="Times New Roman" w:ascii="Times New Roman" w:hAnsi="Times New Roman"/>
        </w:rPr>
        <w:t>&lt;*&gt; В случае если элемент отсутствует, в графе «Категория необходимости проведения капитального ремонта» приводится отметка «Отсутствует»; в случае если элемент не обследовался – отметка «Обследование не проводилось» с указанием причин отсутствия доступа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Форма </w:t>
      </w:r>
    </w:p>
    <w:tbl>
      <w:tblPr>
        <w:tblW w:w="10268" w:type="dxa"/>
        <w:jc w:val="start"/>
        <w:tblInd w:w="-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7"/>
        <w:gridCol w:w="573"/>
        <w:gridCol w:w="2064"/>
        <w:gridCol w:w="1051"/>
        <w:gridCol w:w="1702"/>
        <w:gridCol w:w="1276"/>
        <w:gridCol w:w="1561"/>
        <w:gridCol w:w="1984"/>
      </w:tblGrid>
      <w:tr>
        <w:trPr>
          <w:trHeight w:val="700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211" w:type="dxa"/>
            <w:gridSpan w:val="7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Выводы и рекомендации по результатам ВИЗУАЛЬНОГО обследования технического состояния многоквартирного дома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146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Конструктивный элемент / инженерная система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&lt;*&gt;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участка, %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конструктивного элемента / инженерной системы, % &lt;**&gt;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Оценка технического состояния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&lt;***&gt;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Необходимость/отсутствие необходимости капитального ремонта, рекомендуемый срок проведения капитального ремонта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&lt;****&gt;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Категория необходимости проведения капитального ремонта конструктивного элемента/инженерной системы*</w:t>
            </w:r>
          </w:p>
        </w:tc>
      </w:tr>
      <w:tr>
        <w:trPr>
          <w:trHeight w:val="351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</w:tr>
      <w:tr>
        <w:trPr>
          <w:trHeight w:val="539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 (в т.ч. отмостка)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43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 (в т.ч. цоколь)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82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 (в т.ч. перекрытие над полом)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43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1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 в местах общего пользования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1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Колонны, стойки, столбы в местах общего пользования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Полы в местах общего пользования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609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Многоквартирный дом в целом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97" w:hRule="atLeast"/>
        </w:trPr>
        <w:tc>
          <w:tcPr>
            <w:tcW w:w="57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211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*Определяется в отношении видов работ, указанных в ст. 166 ЖК РФ</w:t>
            </w:r>
          </w:p>
        </w:tc>
      </w:tr>
      <w:tr>
        <w:trPr/>
        <w:tc>
          <w:tcPr>
            <w:tcW w:w="10268" w:type="dxa"/>
            <w:gridSpan w:val="8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cMar>
              <w:top w:w="102" w:type="dxa"/>
              <w:start w:w="62" w:type="dxa"/>
              <w:bottom w:w="102" w:type="dxa"/>
              <w:end w:w="62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&lt;*&gt; В случае если элемент отсутствует, в графе "Необходимость/отсутствие необходимости проведения капитального ремонта, рекомендуемый срок проведения капитального ремонта" рекомендуется вносить отметку "Элемент отсутствует".</w:t>
            </w:r>
          </w:p>
        </w:tc>
      </w:tr>
      <w:tr>
        <w:trPr/>
        <w:tc>
          <w:tcPr>
            <w:tcW w:w="10268" w:type="dxa"/>
            <w:gridSpan w:val="8"/>
            <w:tcBorders>
              <w:start w:val="single" w:sz="4" w:space="0" w:color="000000"/>
              <w:end w:val="single" w:sz="4" w:space="0" w:color="000000"/>
            </w:tcBorders>
            <w:tcMar>
              <w:top w:w="102" w:type="dxa"/>
              <w:start w:w="62" w:type="dxa"/>
              <w:bottom w:w="102" w:type="dxa"/>
              <w:end w:w="62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&lt;**&gt; Оценку физического износа конструктивных элементов, внутридомовых инженерных систем и многоквартирного дома в целом рекомендуется выполнить в том числе в соответствии с </w:t>
            </w:r>
            <w:r>
              <w:rPr>
                <w:rFonts w:ascii="Times New Roman" w:hAnsi="Times New Roman"/>
              </w:rPr>
              <w:t>СП 547.1325800.2025 «Здания жилые многоквартирные. Правила установления необходимости проведения капитального ремонта»</w:t>
            </w:r>
            <w:r>
              <w:rPr>
                <w:rFonts w:cs="Times New Roman" w:ascii="Times New Roman" w:hAnsi="Times New Roman"/>
              </w:rPr>
              <w:t xml:space="preserve">. В целях всестороннего и объективного рассмотрения (ознакомления) с результатами обследования технического состояния многоквартирного дома рекомендуется выполнить фотофиксацию/видеофиксацию, подтверждающую полученную информацию. Фотофиксацию (видеофиксацию) рекомендуется представлять в электронном виде с отражением (фиксацией) технического состояния конструктивных элементов, внутридомовых инженерных систем и здания в целом, технического состояния выявленных дефектов и повреждений конструктивных элементов и внутридомовых инженерных систем. Описательную часть результатов обследования с выводами о необходимости/отсутствии необходимости проведения работ по капитальному ремонту многоквартирного дома, в том числе с указанием категории технического состояния конструктивного элемента и инженерной системы многоквартирного дома рекомендуется оформлять в соответствии с </w:t>
            </w:r>
            <w:hyperlink r:id="rId8" w:tooltip="&quot;ГОСТ 31937-2024. Межгосударственный стандарт. Здания и сооружения. Правила обследования и мониторинга технического состояния&quot; (введен в действие Приказом Росстандарта от 10.04.2024 N 433-ст) {КонсультантПлюс}">
              <w:r>
                <w:rPr>
                  <w:rStyle w:val="Style9"/>
                  <w:rFonts w:cs="Times New Roman" w:ascii="Times New Roman" w:hAnsi="Times New Roman"/>
                </w:rPr>
                <w:t>ГОСТ 31937-2024</w:t>
              </w:r>
            </w:hyperlink>
            <w:r>
              <w:rPr>
                <w:rFonts w:cs="Times New Roman" w:ascii="Times New Roman" w:hAnsi="Times New Roman"/>
              </w:rPr>
              <w:t xml:space="preserve">. Межгосударственный стандарт. Здания и сооружения. Правила обследования и мониторинга технического состояния", </w:t>
            </w:r>
            <w:hyperlink r:id="rId9" w:tooltip="&quot;СП 13-102-2003. Правила обследования несущих строительных конструкций зданий и сооружений&quot; (принят Постановлением Госстроя РФ от 21.08.2003 N 153) {КонсультантПлюс}">
              <w:r>
                <w:rPr>
                  <w:rStyle w:val="Style9"/>
                  <w:rFonts w:cs="Times New Roman" w:ascii="Times New Roman" w:hAnsi="Times New Roman"/>
                </w:rPr>
                <w:t>СП 13-102-2013</w:t>
              </w:r>
            </w:hyperlink>
            <w:r>
              <w:rPr>
                <w:rFonts w:cs="Times New Roman" w:ascii="Times New Roman" w:hAnsi="Times New Roman"/>
              </w:rPr>
              <w:t xml:space="preserve"> "Правила обследования несущих конструкций зданий и сооружений.</w:t>
            </w:r>
          </w:p>
        </w:tc>
      </w:tr>
      <w:tr>
        <w:trPr/>
        <w:tc>
          <w:tcPr>
            <w:tcW w:w="10268" w:type="dxa"/>
            <w:gridSpan w:val="8"/>
            <w:tcBorders>
              <w:start w:val="single" w:sz="4" w:space="0" w:color="000000"/>
              <w:end w:val="single" w:sz="4" w:space="0" w:color="000000"/>
            </w:tcBorders>
            <w:tcMar>
              <w:top w:w="102" w:type="dxa"/>
              <w:start w:w="62" w:type="dxa"/>
              <w:bottom w:w="102" w:type="dxa"/>
              <w:end w:w="62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&lt;***&gt; В случае если капитальный ремонт общего имущества в многоквартирном доме был выполнен в рамках реализации Региональной </w:t>
            </w:r>
            <w:hyperlink r:id="rId10" w:tooltip="Постановление Правительства УР от 19.05.2014 N 186 (ред. от 29.12.2025) &quot;Об утверждении Региональной программы капитального ремонта общего имущества в многоквартирных домах в Удмуртской Республике&quot; (Зарегистрировано в Управлении Минюста России по УР 29.05.2014">
              <w:r>
                <w:rPr>
                  <w:rStyle w:val="Style9"/>
                  <w:rFonts w:cs="Times New Roman" w:ascii="Times New Roman" w:hAnsi="Times New Roman"/>
                </w:rPr>
                <w:t>программы</w:t>
              </w:r>
            </w:hyperlink>
            <w:r>
              <w:rPr>
                <w:rFonts w:cs="Times New Roman" w:ascii="Times New Roman" w:hAnsi="Times New Roman"/>
              </w:rPr>
              <w:t xml:space="preserve"> капитального ремонта общего имущества в многоквартирных домах в Смоленской области, в графе "Необходимость/отсутствие необходимости проведения капитального ремонта, рекомендуемый срок проведения капитального ремонта" рекомендуется вносить отметку "обследование не проводилось".</w:t>
            </w:r>
          </w:p>
        </w:tc>
      </w:tr>
      <w:tr>
        <w:trPr/>
        <w:tc>
          <w:tcPr>
            <w:tcW w:w="10268" w:type="dxa"/>
            <w:gridSpan w:val="8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02" w:type="dxa"/>
              <w:start w:w="62" w:type="dxa"/>
              <w:bottom w:w="102" w:type="dxa"/>
              <w:end w:w="62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&lt;****&gt; Рекомендуется указывать результаты обследования технического состояния (например, исправный, имеющий основания для проведения капитального ремонта в будущем периоде (с указанием трехлетнего планового периода), имеющий основания для проведения капитального ремонта в текущем периоде, имеющий основания для признания дома аварийным и др.)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3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Акт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 отсутствии результатов обследования технического состояния многоквартирного дома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8902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01"/>
        <w:gridCol w:w="6258"/>
        <w:gridCol w:w="1843"/>
      </w:tblGrid>
      <w:tr>
        <w:trPr>
          <w:trHeight w:val="430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№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Общие данные по МКД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</w:t>
            </w:r>
          </w:p>
        </w:tc>
      </w:tr>
      <w:tr>
        <w:trPr>
          <w:trHeight w:val="430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Адрес многоквартирного дома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30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Лицо, осуществляющее управление МКД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9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Этажность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59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подъездов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жилых помещений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 нежилых помещений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Общая площадь многоквартирного дома, м2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ввода в эксплуатацию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выполнения последнего капитального ремонта (с указанием конструктивного элемента/инженерной системы)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63" w:hRule="atLeast"/>
        </w:trPr>
        <w:tc>
          <w:tcPr>
            <w:tcW w:w="8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625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организации, проводившей обследование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Результаты обследования:</w:t>
      </w:r>
    </w:p>
    <w:tbl>
      <w:tblPr>
        <w:tblW w:w="9014" w:type="dxa"/>
        <w:jc w:val="start"/>
        <w:tblInd w:w="15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7368"/>
        <w:gridCol w:w="1646"/>
      </w:tblGrid>
      <w:tr>
        <w:trPr>
          <w:trHeight w:val="675" w:hRule="atLeast"/>
        </w:trPr>
        <w:tc>
          <w:tcPr>
            <w:tcW w:w="901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Причина, в связи с которой обследование технического состояния многоквартирного дома не выполнено (отметить "V")</w:t>
            </w:r>
          </w:p>
        </w:tc>
      </w:tr>
      <w:tr>
        <w:trPr>
          <w:trHeight w:val="905" w:hRule="atLeast"/>
        </w:trPr>
        <w:tc>
          <w:tcPr>
            <w:tcW w:w="73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Полное отселение многоквартирного дома, распорядительные документы органов местного самоуправления о дальнейшем использовании многоквартирного дома (реконструкция, снос и пр.) отсутствуют</w:t>
            </w:r>
          </w:p>
        </w:tc>
        <w:tc>
          <w:tcPr>
            <w:tcW w:w="16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05" w:hRule="atLeast"/>
        </w:trPr>
        <w:tc>
          <w:tcPr>
            <w:tcW w:w="73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Многоквартирный дом, количество квартир в котором менее 5, или дом блокированной застройки</w:t>
            </w:r>
          </w:p>
        </w:tc>
        <w:tc>
          <w:tcPr>
            <w:tcW w:w="16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73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Иные, согласованные с Заказчиком (конкретизировать)</w:t>
            </w:r>
          </w:p>
        </w:tc>
        <w:tc>
          <w:tcPr>
            <w:tcW w:w="16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Сведения о ранее проведенных обследованиях (при наличии): 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4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Ведомость дефектов и повреждений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921" w:type="dxa"/>
        <w:jc w:val="start"/>
        <w:tblInd w:w="-84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22"/>
        <w:gridCol w:w="1129"/>
        <w:gridCol w:w="1698"/>
        <w:gridCol w:w="912"/>
        <w:gridCol w:w="1308"/>
        <w:gridCol w:w="1040"/>
        <w:gridCol w:w="1042"/>
        <w:gridCol w:w="1308"/>
        <w:gridCol w:w="1162"/>
      </w:tblGrid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 участка</w:t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конструктивного элемента/инженерной системы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Объем дефектов</w:t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Дефекты и вероятные причины возникновения</w:t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Фотофиксация</w:t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Категория опасности дефекта</w:t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Рекомендации по устранению дефектов</w:t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Рекомендуемые виды работ</w:t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 в местах общего пользования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Колонны, стойки, столбы в местах общего пользования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Полы в местах общего пользования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32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  <w:tc>
          <w:tcPr>
            <w:tcW w:w="9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6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5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Сводная ведомость дефектов и повреждений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 адрес МКД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344" w:type="dxa"/>
        <w:jc w:val="start"/>
        <w:tblInd w:w="15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52"/>
        <w:gridCol w:w="1279"/>
        <w:gridCol w:w="2124"/>
        <w:gridCol w:w="1275"/>
        <w:gridCol w:w="1269"/>
        <w:gridCol w:w="2545"/>
      </w:tblGrid>
      <w:tr>
        <w:trPr>
          <w:trHeight w:val="113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дефекта (поврежде ния)</w:t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 дефекта (повреждения)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Единицы измерения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Рекомендуемые мероприятия по устранению дефектов (повреждений)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стены, колонны, стойки, столбы, полы в местах общего пользования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70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849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</w:tr>
      <w:tr>
        <w:trPr>
          <w:trHeight w:val="445" w:hRule="atLeast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12.1.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6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Сводная ведомость работ по устранению выявленных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дефектов и повреждений</w:t>
      </w:r>
    </w:p>
    <w:tbl>
      <w:tblPr>
        <w:tblpPr w:vertAnchor="text" w:horzAnchor="margin" w:tblpXSpec="center" w:leftFromText="180" w:rightFromText="180" w:tblpY="183"/>
        <w:tblW w:w="1029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55"/>
        <w:gridCol w:w="4947"/>
        <w:gridCol w:w="1273"/>
        <w:gridCol w:w="68"/>
        <w:gridCol w:w="1633"/>
        <w:gridCol w:w="1519"/>
      </w:tblGrid>
      <w:tr>
        <w:trPr>
          <w:trHeight w:val="674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работ</w:t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Единицы измерения</w:t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Примечания</w:t>
            </w:r>
          </w:p>
        </w:tc>
      </w:tr>
      <w:tr>
        <w:trPr>
          <w:trHeight w:val="351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</w:t>
            </w:r>
          </w:p>
        </w:tc>
      </w:tr>
      <w:tr>
        <w:trPr>
          <w:trHeight w:val="10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</w:t>
            </w:r>
          </w:p>
        </w:tc>
      </w:tr>
      <w:tr>
        <w:trPr>
          <w:trHeight w:val="10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стены, колонны, стойки, столбы, полы в местах общего пользования</w:t>
            </w:r>
          </w:p>
        </w:tc>
        <w:tc>
          <w:tcPr>
            <w:tcW w:w="4493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</w:tr>
      <w:tr>
        <w:trPr>
          <w:trHeight w:val="90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36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</w:tr>
      <w:tr>
        <w:trPr>
          <w:trHeight w:val="82" w:hRule="atLeast"/>
        </w:trPr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13" w:name="_Приложение_Г._Результаты"/>
      <w:bookmarkStart w:id="14" w:name="_Приложение_Г._Результаты"/>
      <w:bookmarkEnd w:id="14"/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№7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Расчет физического износа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211" w:type="dxa"/>
        <w:jc w:val="start"/>
        <w:tblInd w:w="15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77"/>
        <w:gridCol w:w="2209"/>
        <w:gridCol w:w="1248"/>
        <w:gridCol w:w="850"/>
        <w:gridCol w:w="853"/>
        <w:gridCol w:w="1075"/>
        <w:gridCol w:w="1191"/>
        <w:gridCol w:w="1108"/>
      </w:tblGrid>
      <w:tr>
        <w:trPr>
          <w:trHeight w:val="1377" w:hRule="atLeast"/>
        </w:trPr>
        <w:tc>
          <w:tcPr>
            <w:tcW w:w="67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№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строительных конструкций и их элементов, систем инженерно-технического обеспечения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Удельные веса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Расче тный удель ный вес элеме нта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Физический износ строительных конструкций и их элементов, систем инженерно-техниче ского обеспечения (%)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Оценка техниче ского состоя ния</w:t>
            </w:r>
          </w:p>
        </w:tc>
      </w:tr>
      <w:tr>
        <w:trPr>
          <w:trHeight w:val="1613" w:hRule="atLeast"/>
        </w:trPr>
        <w:tc>
          <w:tcPr>
            <w:tcW w:w="677" w:type="dxa"/>
            <w:vMerge w:val="continue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209" w:type="dxa"/>
            <w:vMerge w:val="continue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Укрупненых конструкти вных элементов (%)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 ждого элеме нта (%)</w:t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 результа там оценки</w:t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Средне взвешен ное значение физиче ского износа</w:t>
            </w:r>
          </w:p>
        </w:tc>
        <w:tc>
          <w:tcPr>
            <w:tcW w:w="1108" w:type="dxa"/>
            <w:vMerge w:val="continue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Фундамент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Фасад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Отделочное покрытие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2.3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Балконы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2.4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Лоджии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2.5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Козырьки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2.6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Межпанельные стыки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2.7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Окна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2.8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Двери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739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Подвальное помещение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Крыша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Стропильная система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Кровля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4.3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Чердачное помещение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4.4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Технический этаж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4.5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Водосточная система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Перекрытия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44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Лестницы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98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Внутренние стены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Колонны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Стойки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Столбы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7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Полы в местах общего пользования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31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горячего водоснабжения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19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холодного водоснабжения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0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водоотведения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0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электроснабжения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905" w:hRule="atLeast"/>
        </w:trPr>
        <w:tc>
          <w:tcPr>
            <w:tcW w:w="6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22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Внутридомовая инженерная система теплоснабжения</w:t>
            </w:r>
          </w:p>
        </w:tc>
        <w:tc>
          <w:tcPr>
            <w:tcW w:w="12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Физический износ многоквартирного дома: ________%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Оценка технического состояния многоквартирного дома: __________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  <w:sectPr>
          <w:headerReference w:type="even" r:id="rId11"/>
          <w:headerReference w:type="default" r:id="rId12"/>
          <w:headerReference w:type="first" r:id="rId13"/>
          <w:footerReference w:type="even" r:id="rId14"/>
          <w:footerReference w:type="default" r:id="rId15"/>
          <w:footerReference w:type="first" r:id="rId16"/>
          <w:type w:val="nextPage"/>
          <w:pgSz w:w="11906" w:h="16838"/>
          <w:pgMar w:left="1418" w:right="567" w:gutter="0" w:header="709" w:top="993" w:footer="709" w:bottom="766"/>
          <w:pgNumType w:fmt="decimal"/>
          <w:formProt w:val="false"/>
          <w:titlePg/>
          <w:textDirection w:val="lrTb"/>
          <w:docGrid w:type="default" w:linePitch="100" w:charSpace="0"/>
        </w:sect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 № 8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Техническому заданию</w:t>
      </w:r>
    </w:p>
    <w:p>
      <w:pPr>
        <w:pStyle w:val="Normal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Аналитические данные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результатов обследования технического состояния многоквартирных домов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(строительных конструкций/систем инженерно-технического обеспечения)</w:t>
      </w:r>
    </w:p>
    <w:p>
      <w:pPr>
        <w:pStyle w:val="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 выводами о необходимости или отсутствии необходимости проведения капитального ремонта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56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51"/>
        <w:gridCol w:w="1148"/>
        <w:gridCol w:w="790"/>
        <w:gridCol w:w="1667"/>
        <w:gridCol w:w="1667"/>
        <w:gridCol w:w="771"/>
        <w:gridCol w:w="1667"/>
        <w:gridCol w:w="1665"/>
        <w:gridCol w:w="1306"/>
        <w:gridCol w:w="1192"/>
        <w:gridCol w:w="1154"/>
        <w:gridCol w:w="1506"/>
        <w:gridCol w:w="236"/>
      </w:tblGrid>
      <w:tr>
        <w:trPr>
          <w:trHeight w:val="580" w:hRule="atLeast"/>
        </w:trPr>
        <w:tc>
          <w:tcPr>
            <w:tcW w:w="85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Адрес МКД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ввода МКД в эксплуатацию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Общая площадь МКД, кв.м.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конструктивного элемента/инженерной системы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Год последнего проведенного капитального ремонта конструктивного элемента/инженерной системы</w:t>
            </w:r>
          </w:p>
        </w:tc>
        <w:tc>
          <w:tcPr>
            <w:tcW w:w="410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Результаты обследования</w:t>
            </w:r>
          </w:p>
        </w:tc>
        <w:tc>
          <w:tcPr>
            <w:tcW w:w="515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Выводы о необходимости проведения капитального ремонта</w:t>
            </w:r>
          </w:p>
        </w:tc>
        <w:tc>
          <w:tcPr>
            <w:tcW w:w="236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13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Дата</w:t>
            </w:r>
          </w:p>
        </w:tc>
        <w:tc>
          <w:tcPr>
            <w:tcW w:w="1667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Тип конструктивного элемента/инженерной системы</w:t>
            </w:r>
          </w:p>
        </w:tc>
        <w:tc>
          <w:tcPr>
            <w:tcW w:w="1665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Остаточный срок службы конструктивного элемента/инженерной системы</w:t>
            </w:r>
          </w:p>
        </w:tc>
        <w:tc>
          <w:tcPr>
            <w:tcW w:w="1306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Капитальный ремонт не требуется</w:t>
            </w:r>
          </w:p>
        </w:tc>
        <w:tc>
          <w:tcPr>
            <w:tcW w:w="1192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Капитальный ремонт требуется (рекомендуемый срок проведения капитального ремонта)</w:t>
            </w:r>
          </w:p>
        </w:tc>
        <w:tc>
          <w:tcPr>
            <w:tcW w:w="1154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Капитальный ремонт требуется в приоритетном порядке</w:t>
            </w:r>
          </w:p>
        </w:tc>
        <w:tc>
          <w:tcPr>
            <w:tcW w:w="1506" w:type="dxa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Требуется проведение инструментального обследования по ГОСТ 31937</w:t>
            </w:r>
          </w:p>
        </w:tc>
        <w:tc>
          <w:tcPr>
            <w:tcW w:w="236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00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02" w:hRule="atLeast"/>
        </w:trPr>
        <w:tc>
          <w:tcPr>
            <w:tcW w:w="85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9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7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66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30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5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36" w:type="dxa"/>
            <w:tcBorders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0" w:hRule="atLeast"/>
        </w:trPr>
        <w:tc>
          <w:tcPr>
            <w:tcW w:w="85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9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7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66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5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36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cs="Times New Roman" w:ascii="Times New Roman" w:hAnsi="Times New Roman"/>
          <w:sz w:val="28"/>
          <w:szCs w:val="28"/>
          <w:lang w:bidi="ru-RU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17"/>
      <w:headerReference w:type="default" r:id="rId18"/>
      <w:headerReference w:type="first" r:id="rId19"/>
      <w:footerReference w:type="even" r:id="rId20"/>
      <w:footerReference w:type="default" r:id="rId21"/>
      <w:footerReference w:type="first" r:id="rId22"/>
      <w:type w:val="nextPage"/>
      <w:pgSz w:orient="landscape" w:w="16838" w:h="11906"/>
      <w:pgMar w:left="1134" w:right="1134" w:gutter="0" w:header="708" w:top="1701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36" behindDoc="1" locked="0" layoutInCell="0" allowOverlap="1" wp14:anchorId="200F57F1">
              <wp:simplePos x="0" y="0"/>
              <wp:positionH relativeFrom="page">
                <wp:posOffset>706755</wp:posOffset>
              </wp:positionH>
              <wp:positionV relativeFrom="page">
                <wp:posOffset>10138410</wp:posOffset>
              </wp:positionV>
              <wp:extent cx="885190" cy="111125"/>
              <wp:effectExtent l="0" t="0" r="0" b="0"/>
              <wp:wrapNone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2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98.3pt;width:69.65pt;height:8.7pt;mso-wrap-style:none;v-text-anchor:middle;mso-position-horizontal-relative:page;mso-position-vertical-relative:page" wp14:anchorId="200F57F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102" behindDoc="1" locked="0" layoutInCell="0" allowOverlap="1" wp14:anchorId="200F57F1">
              <wp:simplePos x="0" y="0"/>
              <wp:positionH relativeFrom="page">
                <wp:posOffset>706755</wp:posOffset>
              </wp:positionH>
              <wp:positionV relativeFrom="page">
                <wp:posOffset>10138410</wp:posOffset>
              </wp:positionV>
              <wp:extent cx="885190" cy="111125"/>
              <wp:effectExtent l="0" t="0" r="0" b="0"/>
              <wp:wrapNone/>
              <wp:docPr id="2" name="Pictur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2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98.3pt;width:69.65pt;height:8.7pt;mso-wrap-style:none;v-text-anchor:middle;mso-position-horizontal-relative:page;mso-position-vertical-relative:page" wp14:anchorId="200F57F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106" behindDoc="1" locked="0" layoutInCell="0" allowOverlap="1" wp14:anchorId="200F57F1">
              <wp:simplePos x="0" y="0"/>
              <wp:positionH relativeFrom="page">
                <wp:posOffset>706755</wp:posOffset>
              </wp:positionH>
              <wp:positionV relativeFrom="page">
                <wp:posOffset>10138410</wp:posOffset>
              </wp:positionV>
              <wp:extent cx="885190" cy="111125"/>
              <wp:effectExtent l="0" t="0" r="0" b="0"/>
              <wp:wrapNone/>
              <wp:docPr id="3" name="Pictur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2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98.3pt;width:69.65pt;height:8.7pt;mso-wrap-style:none;v-text-anchor:middle;mso-position-horizontal-relative:page;mso-position-vertical-relative:page" wp14:anchorId="200F57F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106" behindDoc="1" locked="0" layoutInCell="0" allowOverlap="1" wp14:anchorId="200F57F1">
              <wp:simplePos x="0" y="0"/>
              <wp:positionH relativeFrom="page">
                <wp:posOffset>706755</wp:posOffset>
              </wp:positionH>
              <wp:positionV relativeFrom="page">
                <wp:posOffset>10138410</wp:posOffset>
              </wp:positionV>
              <wp:extent cx="885190" cy="111125"/>
              <wp:effectExtent l="0" t="0" r="0" b="0"/>
              <wp:wrapNone/>
              <wp:docPr id="4" name="Pictur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2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98.3pt;width:69.65pt;height:8.7pt;mso-wrap-style:none;v-text-anchor:middle;mso-position-horizontal-relative:page;mso-position-vertical-relative:page" wp14:anchorId="200F57F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Абзац списка Знак"/>
    <w:link w:val="ListParagraph"/>
    <w:uiPriority w:val="34"/>
    <w:qFormat/>
    <w:locked/>
    <w:rsid w:val="00f46b53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457d1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457d18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457d18"/>
    <w:rPr>
      <w:b/>
      <w:bCs/>
      <w:sz w:val="20"/>
      <w:szCs w:val="20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457d1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56e0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66ac"/>
    <w:rPr>
      <w:color w:val="954F72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link w:val="Style14"/>
    <w:uiPriority w:val="34"/>
    <w:qFormat/>
    <w:rsid w:val="00ef53e1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f46b53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  <w14:ligatures w14:val="none"/>
    </w:rPr>
  </w:style>
  <w:style w:type="paragraph" w:styleId="CommentText">
    <w:name w:val="annotation text"/>
    <w:basedOn w:val="Normal"/>
    <w:link w:val="Style15"/>
    <w:uiPriority w:val="99"/>
    <w:semiHidden/>
    <w:unhideWhenUsed/>
    <w:rsid w:val="00457d1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457d18"/>
    <w:pPr/>
    <w:rPr>
      <w:b/>
      <w:bCs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457d1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rmattext" w:customStyle="1">
    <w:name w:val="formattext"/>
    <w:basedOn w:val="Normal"/>
    <w:qFormat/>
    <w:rsid w:val="00f56e06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  <w:style w:type="paragraph" w:styleId="msonormal" w:customStyle="1">
    <w:name w:val="msonormal"/>
    <w:basedOn w:val="Normal"/>
    <w:qFormat/>
    <w:rsid w:val="00e666ac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xl72" w:customStyle="1">
    <w:name w:val="xl72"/>
    <w:basedOn w:val="Normal"/>
    <w:qFormat/>
    <w:rsid w:val="00e666ac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xl73" w:customStyle="1">
    <w:name w:val="xl73"/>
    <w:basedOn w:val="Normal"/>
    <w:qFormat/>
    <w:rsid w:val="00e666ac"/>
    <w:pP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xl74" w:customStyle="1">
    <w:name w:val="xl74"/>
    <w:basedOn w:val="Normal"/>
    <w:qFormat/>
    <w:rsid w:val="00e666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xl75" w:customStyle="1">
    <w:name w:val="xl75"/>
    <w:basedOn w:val="Normal"/>
    <w:qFormat/>
    <w:rsid w:val="00e666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xl76" w:customStyle="1">
    <w:name w:val="xl76"/>
    <w:basedOn w:val="Normal"/>
    <w:qFormat/>
    <w:rsid w:val="00e666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xl77" w:customStyle="1">
    <w:name w:val="xl77"/>
    <w:basedOn w:val="Normal"/>
    <w:qFormat/>
    <w:rsid w:val="00e666ac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xl78" w:customStyle="1">
    <w:name w:val="xl78"/>
    <w:basedOn w:val="Normal"/>
    <w:qFormat/>
    <w:rsid w:val="00e666ac"/>
    <w:pPr>
      <w:pBdr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xl79" w:customStyle="1">
    <w:name w:val="xl79"/>
    <w:basedOn w:val="Normal"/>
    <w:qFormat/>
    <w:rsid w:val="00e666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paragraph" w:styleId="xl80" w:customStyle="1">
    <w:name w:val="xl80"/>
    <w:basedOn w:val="Normal"/>
    <w:qFormat/>
    <w:rsid w:val="00e666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paragraph" w:styleId="user2">
    <w:name w:val="Колонтитулы (user)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user2"/>
    <w:pPr/>
    <w:rPr/>
  </w:style>
  <w:style w:type="paragraph" w:styleId="Footer">
    <w:name w:val="footer"/>
    <w:basedOn w:val="user2"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Верхний колонтитул слева (user)"/>
    <w:basedOn w:val="Header"/>
    <w:qFormat/>
    <w:pPr/>
    <w:rPr/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Style21">
    <w:name w:val="Содержимое врезки"/>
    <w:basedOn w:val="Normal"/>
    <w:qFormat/>
    <w:pPr/>
    <w:rPr/>
  </w:style>
  <w:style w:type="numbering" w:styleId="user7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39"/>
    <w:rsid w:val="00e666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login.consultant.ru/link/?req=doc&amp;base=STR&amp;n=33285" TargetMode="External"/><Relationship Id="rId9" Type="http://schemas.openxmlformats.org/officeDocument/2006/relationships/hyperlink" Target="https://login.consultant.ru/link/?req=doc&amp;base=STR&amp;n=4821" TargetMode="External"/><Relationship Id="rId10" Type="http://schemas.openxmlformats.org/officeDocument/2006/relationships/hyperlink" Target="https://login.consultant.ru/link/?req=doc&amp;base=RLAW053&amp;n=173787&amp;dst=503364" TargetMode="External"/><Relationship Id="rId11" Type="http://schemas.openxmlformats.org/officeDocument/2006/relationships/header" Target="header4.xml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header" Target="header9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LibreOffice/25.8.7.3$Linux_X86_64 LibreOffice_project/30742500f2d3eb4366ac312fa33d3dcabdb3eba5</Application>
  <AppVersion>15.0000</AppVersion>
  <Pages>55</Pages>
  <Words>10941</Words>
  <Characters>70829</Characters>
  <CharactersWithSpaces>79770</CharactersWithSpaces>
  <Paragraphs>1909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2026-08-28T12:17:00Z</dcterms:created>
  <dc:creator>Иванова Татьяна Александровна</dc:creator>
  <dc:description/>
  <dc:language>ru-RU</dc:language>
  <cp:lastModifiedBy/>
  <dcterms:modified xsi:type="dcterms:W3CDTF">2026-10-07T12:01:20Z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