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85" w:before="76" w:after="0"/>
        <w:ind w:right="516"/>
        <w:jc w:val="right"/>
        <w:rPr>
          <w:spacing w:val="-2"/>
          <w:sz w:val="25"/>
        </w:rPr>
      </w:pPr>
      <w:r>
        <w:rPr>
          <w:spacing w:val="-2"/>
          <w:sz w:val="25"/>
        </w:rPr>
      </w:r>
    </w:p>
    <w:p>
      <w:pPr>
        <w:pStyle w:val="Normal"/>
        <w:spacing w:lineRule="exact" w:line="285" w:before="76" w:after="0"/>
        <w:ind w:right="516"/>
        <w:jc w:val="right"/>
        <w:rPr>
          <w:spacing w:val="-2"/>
          <w:sz w:val="25"/>
        </w:rPr>
      </w:pPr>
      <w:r>
        <w:rPr>
          <w:spacing w:val="-2"/>
          <w:sz w:val="25"/>
        </w:rPr>
      </w:r>
    </w:p>
    <w:p>
      <w:pPr>
        <w:pStyle w:val="Normal"/>
        <w:spacing w:lineRule="exact" w:line="285" w:before="76" w:after="0"/>
        <w:ind w:right="516"/>
        <w:jc w:val="right"/>
        <w:rPr>
          <w:spacing w:val="-2"/>
          <w:sz w:val="25"/>
        </w:rPr>
      </w:pPr>
      <w:r>
        <w:rPr>
          <w:spacing w:val="-2"/>
          <w:sz w:val="25"/>
        </w:rPr>
      </w:r>
    </w:p>
    <w:p>
      <w:pPr>
        <w:pStyle w:val="Normal"/>
        <w:spacing w:lineRule="exact" w:line="285" w:before="76" w:after="0"/>
        <w:ind w:right="516"/>
        <w:jc w:val="right"/>
        <w:rPr>
          <w:spacing w:val="-2"/>
          <w:sz w:val="25"/>
        </w:rPr>
      </w:pPr>
      <w:r>
        <w:rPr>
          <w:spacing w:val="-2"/>
          <w:sz w:val="25"/>
        </w:rPr>
      </w:r>
    </w:p>
    <w:p>
      <w:pPr>
        <w:pStyle w:val="Normal"/>
        <w:spacing w:lineRule="exact" w:line="285" w:before="76" w:after="0"/>
        <w:ind w:right="516"/>
        <w:jc w:val="right"/>
        <w:rPr>
          <w:spacing w:val="-2"/>
          <w:sz w:val="25"/>
        </w:rPr>
      </w:pPr>
      <w:r>
        <w:rPr>
          <w:spacing w:val="-2"/>
          <w:sz w:val="25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spacing w:before="66" w:after="0"/>
        <w:rPr>
          <w:sz w:val="25"/>
          <w:highlight w:val="none"/>
          <w:shd w:fill="auto" w:val="clear"/>
        </w:rPr>
      </w:pPr>
      <w:r>
        <w:rPr>
          <w:sz w:val="25"/>
          <w:shd w:fill="auto" w:val="clear"/>
        </w:rPr>
      </w:r>
    </w:p>
    <w:p>
      <w:pPr>
        <w:pStyle w:val="BodyText"/>
        <w:spacing w:before="1" w:after="0"/>
        <w:ind w:left="218" w:right="484"/>
        <w:jc w:val="center"/>
        <w:rPr>
          <w:highlight w:val="none"/>
          <w:shd w:fill="auto" w:val="clear"/>
        </w:rPr>
      </w:pPr>
      <w:r>
        <w:rPr>
          <w:b/>
          <w:color w:val="151515"/>
          <w:w w:val="105"/>
          <w:shd w:fill="auto" w:val="clear"/>
        </w:rPr>
        <w:t>ТЕХНИЧЕСКИЕ</w:t>
      </w:r>
      <w:r>
        <w:rPr>
          <w:b/>
          <w:color w:val="151515"/>
          <w:spacing w:val="16"/>
          <w:w w:val="105"/>
          <w:shd w:fill="auto" w:val="clear"/>
        </w:rPr>
        <w:t xml:space="preserve"> </w:t>
      </w:r>
      <w:r>
        <w:rPr>
          <w:b/>
          <w:spacing w:val="-2"/>
          <w:w w:val="105"/>
          <w:shd w:fill="auto" w:val="clear"/>
        </w:rPr>
        <w:t>ТРЕБОВАНИЯ</w:t>
      </w:r>
    </w:p>
    <w:p>
      <w:pPr>
        <w:pStyle w:val="BodyText"/>
        <w:spacing w:before="204" w:after="0"/>
        <w:ind w:left="241" w:right="484"/>
        <w:jc w:val="center"/>
        <w:rPr>
          <w:sz w:val="28"/>
          <w:szCs w:val="28"/>
          <w:highlight w:val="none"/>
          <w:shd w:fill="auto" w:val="clear"/>
        </w:rPr>
      </w:pPr>
      <w:r>
        <w:rPr>
          <w:w w:val="105"/>
          <w:sz w:val="28"/>
          <w:szCs w:val="28"/>
          <w:shd w:fill="auto" w:val="clear"/>
        </w:rPr>
        <w:t xml:space="preserve">«ОКПД 2: 84.22.12. </w:t>
      </w:r>
      <w:r>
        <w:rPr>
          <w:color w:val="000000"/>
          <w:spacing w:val="-4"/>
          <w:w w:val="105"/>
          <w:sz w:val="28"/>
          <w:szCs w:val="28"/>
          <w:shd w:fill="auto" w:val="clear"/>
        </w:rPr>
        <w:t>Проверка приборов и средств защиты ГО и ЧС</w:t>
      </w:r>
      <w:r>
        <w:rPr>
          <w:spacing w:val="-4"/>
          <w:w w:val="105"/>
          <w:sz w:val="28"/>
          <w:szCs w:val="28"/>
          <w:shd w:fill="auto" w:val="clear"/>
        </w:rPr>
        <w:t>»</w:t>
      </w:r>
    </w:p>
    <w:p>
      <w:pPr>
        <w:pStyle w:val="BodyText"/>
        <w:spacing w:before="204" w:after="0"/>
        <w:ind w:left="241" w:right="484"/>
        <w:jc w:val="center"/>
        <w:rPr>
          <w:spacing w:val="-4"/>
          <w:w w:val="105"/>
          <w:highlight w:val="none"/>
          <w:shd w:fill="auto" w:val="clear"/>
        </w:rPr>
      </w:pPr>
      <w:r>
        <w:rPr>
          <w:spacing w:val="-4"/>
          <w:w w:val="105"/>
          <w:shd w:fill="auto" w:val="clear"/>
        </w:rPr>
      </w:r>
    </w:p>
    <w:p>
      <w:pPr>
        <w:pStyle w:val="BodyText"/>
        <w:spacing w:before="204" w:after="0"/>
        <w:ind w:left="241" w:right="484"/>
        <w:jc w:val="center"/>
        <w:rPr>
          <w:spacing w:val="-4"/>
          <w:w w:val="105"/>
          <w:highlight w:val="none"/>
          <w:shd w:fill="auto" w:val="clear"/>
        </w:rPr>
      </w:pPr>
      <w:r>
        <w:rPr>
          <w:spacing w:val="-4"/>
          <w:w w:val="105"/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spacing w:before="110" w:after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sectPr>
          <w:type w:val="nextPage"/>
          <w:pgSz w:w="11906" w:h="16838"/>
          <w:pgMar w:left="850" w:right="425" w:gutter="0" w:header="0" w:top="560" w:footer="0" w:bottom="280"/>
          <w:pgNumType w:fmt="decimal"/>
          <w:formProt w:val="false"/>
          <w:textDirection w:val="lrTb"/>
          <w:docGrid w:type="default" w:linePitch="299" w:charSpace="8192"/>
        </w:sectPr>
        <w:pStyle w:val="BodyText"/>
        <w:spacing w:before="1" w:after="0"/>
        <w:ind w:left="254" w:right="484"/>
        <w:jc w:val="center"/>
        <w:rPr>
          <w:highlight w:val="none"/>
          <w:shd w:fill="auto" w:val="clear"/>
        </w:rPr>
      </w:pPr>
      <w:r>
        <w:rPr>
          <w:w w:val="105"/>
          <w:shd w:fill="auto" w:val="clear"/>
        </w:rPr>
        <w:t>пгт.</w:t>
      </w:r>
      <w:r>
        <w:rPr>
          <w:spacing w:val="3"/>
          <w:w w:val="105"/>
          <w:shd w:fill="auto" w:val="clear"/>
        </w:rPr>
        <w:t xml:space="preserve"> </w:t>
      </w:r>
      <w:r>
        <w:rPr>
          <w:spacing w:val="-2"/>
          <w:w w:val="105"/>
          <w:shd w:fill="auto" w:val="clear"/>
        </w:rPr>
        <w:t>Талакан</w:t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0" w:left="938"/>
        <w:jc w:val="center"/>
        <w:rPr>
          <w:highlight w:val="none"/>
          <w:shd w:fill="auto" w:val="clear"/>
        </w:rPr>
      </w:pPr>
      <w:r>
        <w:rPr>
          <w:spacing w:val="-2"/>
          <w:sz w:val="28"/>
          <w:szCs w:val="28"/>
          <w:shd w:fill="auto" w:val="clear"/>
        </w:rPr>
        <w:t>СОДЕРЖАНИЕ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9527"/>
        <w:gridCol w:w="1102"/>
      </w:tblGrid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b/>
                <w:sz w:val="28"/>
                <w:szCs w:val="28"/>
                <w:shd w:fill="auto" w:val="clear"/>
              </w:rPr>
              <w:t>1. Общие сведения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3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1.1 Обозначения и сокращения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3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 xml:space="preserve">1.2. </w:t>
            </w:r>
            <w:r>
              <w:rPr>
                <w:sz w:val="28"/>
                <w:szCs w:val="28"/>
                <w:shd w:fill="auto" w:val="clear"/>
                <w:lang w:val="en-US"/>
              </w:rPr>
              <w:t>Наименование закупаемой продукции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4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 xml:space="preserve">1.3. </w:t>
            </w:r>
            <w:r>
              <w:rPr>
                <w:sz w:val="28"/>
                <w:szCs w:val="28"/>
                <w:shd w:fill="auto" w:val="clear"/>
                <w:lang w:val="en-US"/>
              </w:rPr>
              <w:t>Цель выполнения работ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4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 xml:space="preserve">1.4. </w:t>
            </w:r>
            <w:r>
              <w:rPr>
                <w:sz w:val="28"/>
                <w:szCs w:val="28"/>
                <w:shd w:fill="auto" w:val="clear"/>
                <w:lang w:val="en-US"/>
              </w:rPr>
              <w:t>Существующее положение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4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b/>
                <w:sz w:val="28"/>
                <w:szCs w:val="28"/>
                <w:shd w:fill="auto" w:val="clear"/>
              </w:rPr>
              <w:t xml:space="preserve">2. </w:t>
            </w:r>
            <w:r>
              <w:rPr>
                <w:b/>
                <w:sz w:val="28"/>
                <w:szCs w:val="28"/>
                <w:shd w:fill="auto" w:val="clear"/>
                <w:lang w:val="en-US"/>
              </w:rPr>
              <w:t>Требования к продукции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5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2.1. Требования к объёмам и срокам выполнения работ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5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2.1.1. Требования к видам и объёмам работ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5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2.1.2. Требования к срокам выполнения работ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5</w:t>
            </w:r>
          </w:p>
        </w:tc>
      </w:tr>
      <w:tr>
        <w:trPr/>
        <w:tc>
          <w:tcPr>
            <w:tcW w:w="9527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 xml:space="preserve">2.2. </w:t>
            </w:r>
            <w:r>
              <w:rPr>
                <w:sz w:val="28"/>
                <w:szCs w:val="28"/>
                <w:shd w:fill="auto" w:val="clear"/>
                <w:lang w:val="en-US"/>
              </w:rPr>
              <w:t>Требования к качеству работ</w:t>
            </w:r>
          </w:p>
        </w:tc>
        <w:tc>
          <w:tcPr>
            <w:tcW w:w="1102" w:type="dxa"/>
            <w:tcBorders/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  <w:lang w:val="en-US"/>
              </w:rPr>
              <w:t>7</w:t>
            </w:r>
          </w:p>
        </w:tc>
      </w:tr>
    </w:tbl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0" w:left="938"/>
        <w:jc w:val="center"/>
        <w:rPr>
          <w:highlight w:val="none"/>
          <w:shd w:fill="auto" w:val="clear"/>
        </w:rPr>
      </w:pPr>
      <w:r>
        <w:rPr>
          <w:spacing w:val="-2"/>
          <w:shd w:fill="auto" w:val="clear"/>
        </w:rPr>
        <w:t>1. Общие сведения</w:t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0" w:left="938"/>
        <w:rPr>
          <w:highlight w:val="none"/>
          <w:shd w:fill="auto" w:val="clear"/>
        </w:rPr>
      </w:pPr>
      <w:r>
        <w:rPr>
          <w:spacing w:val="-2"/>
          <w:shd w:fill="auto" w:val="clear"/>
        </w:rPr>
        <w:t>1.1. Обозначения и сокращения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1073"/>
        <w:gridCol w:w="9556"/>
      </w:tblGrid>
      <w:tr>
        <w:trPr/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НТД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Нормативно-техническая </w:t>
            </w:r>
            <w:r>
              <w:rPr>
                <w:shd w:fill="auto" w:val="clear"/>
                <w:lang w:val="en-US"/>
              </w:rPr>
              <w:t>документация</w:t>
            </w:r>
          </w:p>
        </w:tc>
      </w:tr>
      <w:tr>
        <w:trPr/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ТТ</w:t>
            </w:r>
          </w:p>
        </w:tc>
        <w:tc>
          <w:tcPr>
            <w:tcW w:w="9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Технические требования</w:t>
            </w:r>
          </w:p>
        </w:tc>
      </w:tr>
      <w:tr>
        <w:trPr/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  <w:lang w:val="en-US"/>
              </w:rPr>
            </w:pPr>
            <w:r>
              <w:rPr>
                <w:shd w:fill="auto" w:val="clear"/>
                <w:lang w:val="en-US"/>
              </w:rPr>
              <w:t>ФЗ</w:t>
            </w:r>
          </w:p>
        </w:tc>
        <w:tc>
          <w:tcPr>
            <w:tcW w:w="9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rPr>
                <w:highlight w:val="none"/>
                <w:shd w:fill="auto" w:val="clear"/>
                <w:lang w:val="en-US"/>
              </w:rPr>
            </w:pPr>
            <w:r>
              <w:rPr>
                <w:shd w:fill="auto" w:val="clear"/>
                <w:lang w:val="en-US"/>
              </w:rPr>
              <w:t>Федеральный закон</w:t>
            </w:r>
          </w:p>
        </w:tc>
      </w:tr>
    </w:tbl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721" w:left="938"/>
        <w:rPr>
          <w:color w:val="313131"/>
          <w:highlight w:val="none"/>
          <w:shd w:fill="auto" w:val="clear"/>
        </w:rPr>
      </w:pPr>
      <w:r>
        <w:rPr>
          <w:color w:val="313131"/>
          <w:shd w:fill="auto" w:val="clear"/>
        </w:rPr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0" w:left="938"/>
        <w:rPr>
          <w:highlight w:val="none"/>
          <w:shd w:fill="auto" w:val="clear"/>
        </w:rPr>
      </w:pPr>
      <w:r>
        <w:rPr>
          <w:spacing w:val="-2"/>
          <w:shd w:fill="auto" w:val="clear"/>
        </w:rPr>
        <w:t>1.2. Наименование</w:t>
      </w:r>
      <w:r>
        <w:rPr>
          <w:spacing w:val="3"/>
          <w:shd w:fill="auto" w:val="clear"/>
        </w:rPr>
        <w:t xml:space="preserve"> </w:t>
      </w:r>
      <w:r>
        <w:rPr>
          <w:spacing w:val="-2"/>
          <w:shd w:fill="auto" w:val="clear"/>
        </w:rPr>
        <w:t>закупаемой продукции</w:t>
      </w:r>
      <w:r>
        <w:rPr>
          <w:b w:val="false"/>
          <w:spacing w:val="-2"/>
          <w:shd w:fill="auto" w:val="clear"/>
        </w:rPr>
        <w:t>.</w:t>
      </w:r>
    </w:p>
    <w:p>
      <w:pPr>
        <w:pStyle w:val="Heading1"/>
        <w:tabs>
          <w:tab w:val="clear" w:pos="720"/>
          <w:tab w:val="left" w:pos="938" w:leader="none"/>
        </w:tabs>
        <w:spacing w:lineRule="exact" w:line="275" w:before="246" w:after="0"/>
        <w:ind w:hanging="0" w:left="938"/>
        <w:rPr>
          <w:b w:val="false"/>
          <w:spacing w:val="-2"/>
        </w:rPr>
      </w:pPr>
      <w:r>
        <w:rPr>
          <w:b w:val="false"/>
          <w:spacing w:val="-2"/>
        </w:rPr>
      </w:r>
    </w:p>
    <w:p>
      <w:pPr>
        <w:pStyle w:val="BodyText"/>
        <w:spacing w:lineRule="exact" w:line="275"/>
        <w:jc w:val="both"/>
        <w:rPr>
          <w:highlight w:val="none"/>
          <w:shd w:fill="auto" w:val="clear"/>
        </w:rPr>
      </w:pPr>
      <w:r>
        <w:rPr>
          <w:spacing w:val="-2"/>
          <w:shd w:fill="auto" w:val="clear"/>
        </w:rPr>
        <w:tab/>
      </w:r>
      <w:r>
        <w:rPr>
          <w:spacing w:val="-2"/>
          <w:w w:val="105"/>
          <w:sz w:val="24"/>
          <w:szCs w:val="24"/>
          <w:shd w:fill="auto" w:val="clear"/>
        </w:rPr>
        <w:t xml:space="preserve">«ОКПД 2: 84.22.12. </w:t>
      </w:r>
      <w:r>
        <w:rPr>
          <w:color w:val="000000"/>
          <w:spacing w:val="-4"/>
          <w:w w:val="105"/>
          <w:sz w:val="24"/>
          <w:szCs w:val="24"/>
          <w:shd w:fill="auto" w:val="clear"/>
        </w:rPr>
        <w:t>Проверка приборов и средств защиты ГО и ЧС</w:t>
      </w:r>
      <w:r>
        <w:rPr>
          <w:spacing w:val="-4"/>
          <w:w w:val="105"/>
          <w:sz w:val="24"/>
          <w:szCs w:val="24"/>
          <w:shd w:fill="auto" w:val="clear"/>
        </w:rPr>
        <w:t>»</w:t>
      </w:r>
      <w:r>
        <w:rPr>
          <w:spacing w:val="-2"/>
          <w:shd w:fill="auto" w:val="clear"/>
        </w:rPr>
        <w:t>.</w:t>
      </w:r>
    </w:p>
    <w:p>
      <w:pPr>
        <w:pStyle w:val="BodyTex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964"/>
        <w:rPr>
          <w:highlight w:val="none"/>
          <w:shd w:fill="auto" w:val="clear"/>
        </w:rPr>
      </w:pPr>
      <w:r>
        <w:rPr>
          <w:b/>
          <w:bCs/>
          <w:spacing w:val="-2"/>
          <w:sz w:val="24"/>
          <w:szCs w:val="24"/>
          <w:shd w:fill="auto" w:val="clear"/>
        </w:rPr>
        <w:t>1.3.   Цель выполнения работ</w:t>
      </w:r>
    </w:p>
    <w:p>
      <w:pPr>
        <w:pStyle w:val="ListParagraph"/>
        <w:tabs>
          <w:tab w:val="clear" w:pos="720"/>
          <w:tab w:val="left" w:pos="588" w:leader="none"/>
        </w:tabs>
        <w:ind w:left="964"/>
        <w:jc w:val="both"/>
        <w:rPr>
          <w:spacing w:val="-2"/>
          <w:sz w:val="24"/>
          <w:szCs w:val="24"/>
          <w:highlight w:val="none"/>
          <w:shd w:fill="auto" w:val="clear"/>
        </w:rPr>
      </w:pPr>
      <w:r>
        <w:rPr>
          <w:spacing w:val="-2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227"/>
        <w:jc w:val="both"/>
        <w:rPr>
          <w:highlight w:val="none"/>
          <w:shd w:fill="auto" w:val="clear"/>
        </w:rPr>
      </w:pPr>
      <w:r>
        <w:rPr>
          <w:spacing w:val="-2"/>
          <w:sz w:val="24"/>
          <w:szCs w:val="24"/>
          <w:shd w:fill="auto" w:val="clear"/>
        </w:rPr>
        <w:t xml:space="preserve"> </w:t>
      </w:r>
      <w:r>
        <w:rPr>
          <w:spacing w:val="-2"/>
          <w:sz w:val="24"/>
          <w:szCs w:val="24"/>
          <w:shd w:fill="auto" w:val="clear"/>
        </w:rPr>
        <w:tab/>
        <w:t>Целью выполнения работ является п</w:t>
      </w:r>
      <w:r>
        <w:rPr>
          <w:rFonts w:eastAsia="Calibri"/>
          <w:color w:val="000000"/>
          <w:spacing w:val="2"/>
          <w:sz w:val="24"/>
          <w:szCs w:val="24"/>
          <w:shd w:fill="auto" w:val="clear"/>
        </w:rPr>
        <w:t>роведение проверки работоспособности электрокомпрессора СКАВ 20/30 с заменой комплектующих изделий (комплекты предохранительных клапанов и манометров, прошедших испытания, с предоставлением комплекта эксплуатационной документации на них)</w:t>
      </w:r>
      <w:r>
        <w:rPr>
          <w:rFonts w:eastAsia="Calibri"/>
          <w:color w:val="000000"/>
          <w:spacing w:val="-4"/>
          <w:sz w:val="24"/>
          <w:szCs w:val="24"/>
          <w:shd w:fill="auto" w:val="clear"/>
        </w:rPr>
        <w:t>.</w:t>
      </w:r>
    </w:p>
    <w:p>
      <w:pPr>
        <w:pStyle w:val="ListParagraph"/>
        <w:tabs>
          <w:tab w:val="clear" w:pos="720"/>
          <w:tab w:val="left" w:pos="588" w:leader="none"/>
        </w:tabs>
        <w:ind w:left="964"/>
        <w:jc w:val="both"/>
        <w:rPr>
          <w:rFonts w:eastAsia="Calibri"/>
          <w:color w:val="000000"/>
          <w:spacing w:val="-4"/>
          <w:sz w:val="24"/>
          <w:szCs w:val="24"/>
          <w:highlight w:val="none"/>
          <w:shd w:fill="auto" w:val="clear"/>
        </w:rPr>
      </w:pPr>
      <w:r>
        <w:rPr>
          <w:rFonts w:eastAsia="Calibri"/>
          <w:color w:val="000000"/>
          <w:spacing w:val="-4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964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  <w:t>1.4. Существующее положение</w:t>
      </w:r>
    </w:p>
    <w:p>
      <w:pPr>
        <w:pStyle w:val="ListParagraph"/>
        <w:tabs>
          <w:tab w:val="clear" w:pos="720"/>
          <w:tab w:val="left" w:pos="588" w:leader="none"/>
        </w:tabs>
        <w:ind w:hanging="737" w:left="964"/>
        <w:jc w:val="both"/>
        <w:rPr>
          <w:rFonts w:eastAsia="Calibri"/>
          <w:b/>
          <w:bCs/>
          <w:color w:val="000000"/>
          <w:spacing w:val="-4"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hanging="737" w:left="283"/>
        <w:jc w:val="both"/>
        <w:rPr>
          <w:highlight w:val="none"/>
          <w:shd w:fill="auto" w:val="clear"/>
        </w:rPr>
      </w:pPr>
      <w:r>
        <w:rPr>
          <w:rFonts w:eastAsia="Calibri"/>
          <w:color w:val="000000"/>
          <w:spacing w:val="-4"/>
          <w:sz w:val="24"/>
          <w:szCs w:val="24"/>
          <w:shd w:fill="auto" w:val="clear"/>
        </w:rPr>
        <w:tab/>
        <w:tab/>
      </w:r>
      <w:r>
        <w:rPr>
          <w:rFonts w:eastAsia="Calibri"/>
          <w:color w:val="000000"/>
          <w:spacing w:val="-4"/>
          <w:sz w:val="24"/>
          <w:szCs w:val="24"/>
          <w:shd w:fill="auto" w:val="clear"/>
          <w:lang w:eastAsia="en-US"/>
        </w:rPr>
        <w:t>Компрессор СКАВ 20/30 смонтирован 2005 году на Бурейской ГЭС для обеспечения подпора воздуха в инженерном сооружении.   Компрессор длительное время был выведен из работы и не эксплуатировался.</w:t>
      </w:r>
    </w:p>
    <w:p>
      <w:pPr>
        <w:pStyle w:val="ListParagraph"/>
        <w:tabs>
          <w:tab w:val="clear" w:pos="720"/>
          <w:tab w:val="left" w:pos="588" w:leader="none"/>
        </w:tabs>
        <w:ind w:hanging="737" w:left="964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  <w:lang w:eastAsia="en-US"/>
        </w:rPr>
        <w:tab/>
        <w:t>Таблица 1. Технические сведения</w:t>
      </w:r>
    </w:p>
    <w:tbl>
      <w:tblPr>
        <w:tblW w:w="9898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76"/>
        <w:gridCol w:w="1110"/>
        <w:gridCol w:w="1103"/>
        <w:gridCol w:w="1103"/>
        <w:gridCol w:w="1094"/>
        <w:gridCol w:w="1108"/>
        <w:gridCol w:w="1098"/>
        <w:gridCol w:w="1109"/>
        <w:gridCol w:w="1"/>
        <w:gridCol w:w="1095"/>
      </w:tblGrid>
      <w:tr>
        <w:trPr/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Производительность, м3/час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Конечное давление, кг/см2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Потреб. Мощность, кВт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Размеры,мм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Масса,кг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Зав. №</w:t>
            </w:r>
          </w:p>
        </w:tc>
      </w:tr>
      <w:tr>
        <w:trPr/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</w:t>
            </w:r>
          </w:p>
        </w:tc>
        <w:tc>
          <w:tcPr>
            <w:tcW w:w="11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10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СКАВ 20/30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200, 300</w:t>
            </w: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12,8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1245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698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1091</w:t>
            </w:r>
          </w:p>
        </w:tc>
        <w:tc>
          <w:tcPr>
            <w:tcW w:w="111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516</w:t>
            </w:r>
          </w:p>
        </w:tc>
        <w:tc>
          <w:tcPr>
            <w:tcW w:w="10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</w:t>
            </w:r>
          </w:p>
        </w:tc>
      </w:tr>
      <w:tr>
        <w:trPr/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Блок осушки отдельно стоящий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200, 300</w:t>
            </w: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458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190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1442</w:t>
            </w:r>
          </w:p>
        </w:tc>
        <w:tc>
          <w:tcPr>
            <w:tcW w:w="111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120</w:t>
            </w:r>
          </w:p>
        </w:tc>
        <w:tc>
          <w:tcPr>
            <w:tcW w:w="10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"/>
        <w:widowControl w:val="false"/>
        <w:ind w:firstLine="709"/>
        <w:jc w:val="both"/>
        <w:rPr>
          <w:rFonts w:eastAsia="Calibri"/>
          <w:sz w:val="24"/>
          <w:szCs w:val="24"/>
          <w:highlight w:val="none"/>
          <w:shd w:fill="auto" w:val="clear"/>
          <w:lang w:eastAsia="en-US"/>
        </w:rPr>
      </w:pPr>
      <w:r>
        <w:rPr>
          <w:rFonts w:eastAsia="Calibri"/>
          <w:sz w:val="24"/>
          <w:szCs w:val="24"/>
          <w:shd w:fill="auto" w:val="clear"/>
          <w:lang w:eastAsia="en-US"/>
        </w:rPr>
      </w:r>
    </w:p>
    <w:p>
      <w:pPr>
        <w:pStyle w:val="Normal"/>
        <w:widowControl w:val="false"/>
        <w:ind w:hanging="0"/>
        <w:jc w:val="both"/>
        <w:rPr>
          <w:highlight w:val="none"/>
          <w:shd w:fill="auto" w:val="clear"/>
        </w:rPr>
      </w:pP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en-US"/>
        </w:rPr>
        <w:t>Сжимаемый газ: Воздух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Исполнение: Общепромышленное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Охлаждение: Воздушное 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Автоматизация: Автоматическое и ручное управление  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Питающие напряжение: Переменное: 380В 50Гц  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Назначение: Обеспечение очищенным сжатым воздухом, пригодным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для дыхания при водолазных и аварийно-спасательных работах,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дыхательных аппаратов пожарных частей и МЧС.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Станция включает в себя: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компрессор поршневой, 4-х ступенчатый;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электродвигатель;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приборы системы автоматического управления;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контрольно-измерительные приборы;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систему загрузки и продувки;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предохранительные устройства;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блок осушки и очистки ( устанавливается отдельно, габариты 458х190х1442);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- переходники и шланги высокого давления для присоединения баллонов.</w:t>
      </w:r>
    </w:p>
    <w:p>
      <w:pPr>
        <w:pStyle w:val="Normal"/>
        <w:widowControl/>
        <w:spacing w:before="0" w:after="0"/>
        <w:ind w:hanging="0" w:left="0" w:right="0"/>
        <w:jc w:val="left"/>
        <w:rPr>
          <w:rFonts w:ascii="Times New Roman" w:hAnsi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Способ очистки воздуха - адсорбционный.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Количество масла заливаемого в компрессор - 2,1 литра.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Расход масла не более 60 г в час.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Полный ресурс - 4000 часов.</w:t>
      </w:r>
    </w:p>
    <w:p>
      <w:pPr>
        <w:pStyle w:val="Normal"/>
        <w:widowControl/>
        <w:spacing w:before="0" w:after="0"/>
        <w:ind w:hanging="0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Периодичность замены сорбента и фильтрующих патронов - 50 часов.</w:t>
      </w:r>
    </w:p>
    <w:p>
      <w:pPr>
        <w:pStyle w:val="Normal"/>
        <w:widowControl/>
        <w:spacing w:before="0" w:after="0"/>
        <w:ind w:hanging="0" w:left="0" w:right="0"/>
        <w:jc w:val="left"/>
        <w:rPr>
          <w:rFonts w:eastAsia="Calibri"/>
          <w:b/>
          <w:bCs/>
          <w:color w:val="000000"/>
          <w:spacing w:val="-4"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hanging="737" w:left="964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  <w:t>Таблица 2. Перечень объектов Заказчика</w:t>
      </w:r>
    </w:p>
    <w:p>
      <w:pPr>
        <w:pStyle w:val="ListParagraph"/>
        <w:tabs>
          <w:tab w:val="clear" w:pos="720"/>
          <w:tab w:val="left" w:pos="588" w:leader="none"/>
        </w:tabs>
        <w:ind w:hanging="737" w:left="964"/>
        <w:jc w:val="both"/>
        <w:rPr>
          <w:rFonts w:eastAsia="Calibri"/>
          <w:b/>
          <w:bCs/>
          <w:color w:val="000000"/>
          <w:spacing w:val="-4"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</w:r>
    </w:p>
    <w:tbl>
      <w:tblPr>
        <w:tblW w:w="106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0"/>
        <w:gridCol w:w="2353"/>
        <w:gridCol w:w="7737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объекта</w:t>
            </w: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Расположение объекта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57" w:right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1.</w:t>
            </w:r>
          </w:p>
        </w:tc>
        <w:tc>
          <w:tcPr>
            <w:tcW w:w="2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Электрокомпрессор СКАВ 20/30</w:t>
            </w:r>
          </w:p>
        </w:tc>
        <w:tc>
          <w:tcPr>
            <w:tcW w:w="7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Филиал ПАО «РусГидро» - «Бурейская ГЭС»,</w:t>
            </w:r>
          </w:p>
          <w:p>
            <w:pPr>
              <w:pStyle w:val="Normal"/>
              <w:widowControl w:val="false"/>
              <w:ind w:hanging="0" w:left="17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РФ, 676730, Амурская область, г. Талакан, Бурейская ГЭС</w:t>
            </w:r>
          </w:p>
        </w:tc>
      </w:tr>
    </w:tbl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jc w:val="center"/>
        <w:rPr>
          <w:highlight w:val="none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>2. Требования</w:t>
      </w:r>
      <w:r>
        <w:rPr>
          <w:b/>
          <w:color w:val="000000"/>
          <w:spacing w:val="3"/>
          <w:sz w:val="24"/>
          <w:szCs w:val="24"/>
          <w:shd w:fill="auto" w:val="clear"/>
        </w:rPr>
        <w:t xml:space="preserve"> </w:t>
      </w:r>
      <w:r>
        <w:rPr>
          <w:b/>
          <w:color w:val="000000"/>
          <w:sz w:val="24"/>
          <w:szCs w:val="24"/>
          <w:shd w:fill="auto" w:val="clear"/>
        </w:rPr>
        <w:t>к</w:t>
      </w:r>
      <w:r>
        <w:rPr>
          <w:b/>
          <w:color w:val="000000"/>
          <w:spacing w:val="-3"/>
          <w:sz w:val="24"/>
          <w:szCs w:val="24"/>
          <w:shd w:fill="auto" w:val="clear"/>
        </w:rPr>
        <w:t xml:space="preserve"> продукции</w:t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jc w:val="center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b/>
          <w:color w:val="000000"/>
          <w:spacing w:val="-2"/>
          <w:sz w:val="24"/>
          <w:szCs w:val="24"/>
          <w:shd w:fill="auto" w:val="clear"/>
        </w:rPr>
        <w:t>2.1. Требования к объёмам и срокам выполнения работ</w:t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b/>
          <w:color w:val="000000"/>
          <w:spacing w:val="-2"/>
          <w:sz w:val="24"/>
          <w:szCs w:val="24"/>
          <w:shd w:fill="auto" w:val="clear"/>
        </w:rPr>
        <w:t xml:space="preserve"> </w:t>
      </w:r>
      <w:r>
        <w:rPr>
          <w:b/>
          <w:color w:val="000000"/>
          <w:spacing w:val="-2"/>
          <w:sz w:val="24"/>
          <w:szCs w:val="24"/>
          <w:shd w:fill="auto" w:val="clear"/>
        </w:rPr>
        <w:tab/>
        <w:tab/>
        <w:t>2.1.1. Требования к видам и объёмам работ</w:t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227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  <w:t>Таблица 3.  Перечень и объём выполняемых работ</w:t>
      </w:r>
    </w:p>
    <w:tbl>
      <w:tblPr>
        <w:tblW w:w="1066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1076"/>
        <w:gridCol w:w="5328"/>
        <w:gridCol w:w="2670"/>
        <w:gridCol w:w="1585"/>
      </w:tblGrid>
      <w:tr>
        <w:trPr/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№ </w:t>
            </w: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работ / этапа работ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Единица измерения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Количество</w:t>
            </w:r>
          </w:p>
        </w:tc>
      </w:tr>
      <w:tr>
        <w:trPr/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5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1.</w:t>
            </w:r>
          </w:p>
        </w:tc>
        <w:tc>
          <w:tcPr>
            <w:tcW w:w="5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588" w:leader="none"/>
              </w:tabs>
              <w:ind w:left="227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pacing w:val="2"/>
                <w:sz w:val="24"/>
                <w:szCs w:val="24"/>
                <w:shd w:fill="auto" w:val="clear"/>
              </w:rPr>
              <w:t>Проверка работоспособности электрокомпрессора СКАВ 20/30 с заменой комплектующих изделий (комплекты предохранительных клапанов и манометров, прошедших испытания, с предоставлением комплекта эксплуатационной документации на них)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усл.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</w:tr>
      <w:tr>
        <w:trPr/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36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2.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588" w:leader="none"/>
              </w:tabs>
              <w:suppressAutoHyphens w:val="true"/>
              <w:bidi w:val="0"/>
              <w:spacing w:before="0" w:after="0"/>
              <w:ind w:hanging="0" w:left="227" w:right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pacing w:val="2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pacing w:val="2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Сдача в эксплуатацию отремонтированного оборудования.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усл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36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3.</w:t>
            </w:r>
          </w:p>
        </w:tc>
        <w:tc>
          <w:tcPr>
            <w:tcW w:w="5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588" w:leader="none"/>
              </w:tabs>
              <w:suppressAutoHyphens w:val="true"/>
              <w:bidi w:val="0"/>
              <w:spacing w:before="0" w:after="0"/>
              <w:ind w:hanging="0" w:left="227" w:right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pacing w:val="2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pacing w:val="2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Предъявление Объекта ремонта комиссии Заказчика, оформление отчетной и исполнительной документации.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усл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</w:t>
            </w:r>
          </w:p>
        </w:tc>
      </w:tr>
    </w:tbl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2"/>
          <w:sz w:val="24"/>
          <w:szCs w:val="24"/>
          <w:shd w:fill="auto" w:val="clear"/>
        </w:rPr>
        <w:t xml:space="preserve"> </w:t>
      </w:r>
      <w:r>
        <w:rPr>
          <w:rFonts w:eastAsia="Calibri"/>
          <w:b/>
          <w:bCs/>
          <w:color w:val="000000"/>
          <w:spacing w:val="-2"/>
          <w:sz w:val="24"/>
          <w:szCs w:val="24"/>
          <w:shd w:fill="auto" w:val="clear"/>
        </w:rPr>
        <w:tab/>
        <w:tab/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2"/>
          <w:sz w:val="24"/>
          <w:szCs w:val="24"/>
          <w:shd w:fill="auto" w:val="clear"/>
        </w:rPr>
        <w:t>2.1.2. Требования к срокам выполнения работ</w:t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227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  <w:t>Таблица 4.  Требования по срокам выполнения работ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1075"/>
        <w:gridCol w:w="5044"/>
        <w:gridCol w:w="2499"/>
        <w:gridCol w:w="2011"/>
      </w:tblGrid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№ </w:t>
            </w: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работ / этапа работ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Требования к началу срока выполнения работ/ этапа работ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Требования к окончанию срока выполнения работ/ этапа работ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5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keepNext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keepNext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1.</w:t>
            </w:r>
          </w:p>
        </w:tc>
        <w:tc>
          <w:tcPr>
            <w:tcW w:w="5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588" w:leader="none"/>
              </w:tabs>
              <w:ind w:left="227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pacing w:val="2"/>
                <w:sz w:val="24"/>
                <w:szCs w:val="24"/>
                <w:shd w:fill="auto" w:val="clear"/>
              </w:rPr>
              <w:t>Проверка работоспособности электрокомпрессора СКАВ 20/30 с заменой комплектующих изделий (комплекты предохранительных клапанов и манометров, прошедших испытания, с предоставлением комплекта эксплуатационной документации на них)</w:t>
            </w:r>
          </w:p>
        </w:tc>
        <w:tc>
          <w:tcPr>
            <w:tcW w:w="249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20"/>
                <w:tab w:val="left" w:pos="626" w:leader="none"/>
              </w:tabs>
              <w:spacing w:before="2" w:after="0"/>
              <w:ind w:left="265"/>
              <w:contextualSpacing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День, следующий</w:t>
            </w:r>
            <w:r>
              <w:rPr>
                <w:spacing w:val="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за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днем</w:t>
            </w:r>
            <w:r>
              <w:rPr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подписания</w:t>
            </w:r>
            <w:r>
              <w:rPr>
                <w:spacing w:val="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договора.</w:t>
            </w:r>
          </w:p>
          <w:p>
            <w:pPr>
              <w:pStyle w:val="ListParagraph"/>
              <w:tabs>
                <w:tab w:val="clear" w:pos="720"/>
                <w:tab w:val="left" w:pos="622" w:leader="none"/>
              </w:tabs>
              <w:spacing w:before="3" w:after="0"/>
              <w:ind w:left="270"/>
              <w:contextualSpacing/>
              <w:rPr>
                <w:highlight w:val="none"/>
                <w:shd w:fill="auto" w:val="clear"/>
              </w:rPr>
            </w:pPr>
            <w:r>
              <w:rPr>
                <w:spacing w:val="4"/>
                <w:sz w:val="24"/>
                <w:szCs w:val="24"/>
                <w:shd w:fill="auto" w:val="clear"/>
              </w:rPr>
              <w:t xml:space="preserve"> </w:t>
            </w:r>
          </w:p>
        </w:tc>
        <w:tc>
          <w:tcPr>
            <w:tcW w:w="20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20"/>
                <w:tab w:val="left" w:pos="622" w:leader="none"/>
              </w:tabs>
              <w:spacing w:before="3" w:after="0"/>
              <w:ind w:left="270"/>
              <w:contextualSpacing/>
              <w:rPr>
                <w:highlight w:val="none"/>
                <w:shd w:fill="auto" w:val="clear"/>
              </w:rPr>
            </w:pPr>
            <w:r>
              <w:rPr>
                <w:color w:val="161616"/>
                <w:spacing w:val="-2"/>
                <w:sz w:val="24"/>
                <w:szCs w:val="24"/>
                <w:shd w:fill="auto" w:val="clear"/>
              </w:rPr>
              <w:t>до 01.12.2026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36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2.</w:t>
            </w:r>
          </w:p>
        </w:tc>
        <w:tc>
          <w:tcPr>
            <w:tcW w:w="5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588" w:leader="none"/>
              </w:tabs>
              <w:suppressAutoHyphens w:val="true"/>
              <w:bidi w:val="0"/>
              <w:spacing w:before="0" w:after="0"/>
              <w:ind w:hanging="0" w:left="227" w:right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pacing w:val="2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pacing w:val="2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Сдача в эксплуатацию отремонтированного оборудования.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626" w:leader="none"/>
              </w:tabs>
              <w:spacing w:before="2" w:after="0"/>
              <w:ind w:left="265"/>
              <w:contextualSpacing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0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622" w:leader="none"/>
              </w:tabs>
              <w:spacing w:before="3" w:after="0"/>
              <w:ind w:left="270"/>
              <w:contextualSpacing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36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3.</w:t>
            </w:r>
          </w:p>
        </w:tc>
        <w:tc>
          <w:tcPr>
            <w:tcW w:w="5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588" w:leader="none"/>
              </w:tabs>
              <w:suppressAutoHyphens w:val="true"/>
              <w:bidi w:val="0"/>
              <w:spacing w:before="0" w:after="0"/>
              <w:ind w:hanging="0" w:left="227" w:right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pacing w:val="2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spacing w:val="2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Предъявление Объекта ремонта комиссии Заказчика, оформление отчетной и исполнительной документации.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626" w:leader="none"/>
              </w:tabs>
              <w:spacing w:before="2" w:after="0"/>
              <w:ind w:left="265"/>
              <w:contextualSpacing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0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20"/>
                <w:tab w:val="left" w:pos="622" w:leader="none"/>
              </w:tabs>
              <w:spacing w:before="3" w:after="0"/>
              <w:ind w:left="270"/>
              <w:contextualSpacing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851" w:right="425" w:gutter="0" w:header="283" w:top="539" w:footer="0" w:bottom="890"/>
          <w:pgNumType w:fmt="decimal"/>
          <w:formProt w:val="false"/>
          <w:textDirection w:val="lrTb"/>
          <w:docGrid w:type="default" w:linePitch="299" w:charSpace="12288"/>
        </w:sect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rFonts w:eastAsia="Calibri"/>
          <w:b/>
          <w:bCs/>
          <w:color w:val="1D1D1D"/>
          <w:spacing w:val="-2"/>
          <w:sz w:val="28"/>
          <w:szCs w:val="28"/>
          <w:shd w:fill="auto" w:val="clear"/>
        </w:rPr>
        <w:t xml:space="preserve"> </w:t>
      </w:r>
      <w:r>
        <w:rPr>
          <w:rFonts w:eastAsia="Calibri"/>
          <w:b/>
          <w:bCs/>
          <w:color w:val="1D1D1D"/>
          <w:spacing w:val="-2"/>
          <w:sz w:val="28"/>
          <w:szCs w:val="28"/>
          <w:shd w:fill="auto" w:val="clear"/>
        </w:rPr>
        <w:tab/>
        <w:tab/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2"/>
          <w:sz w:val="28"/>
          <w:szCs w:val="28"/>
          <w:shd w:fill="auto" w:val="clear"/>
        </w:rPr>
        <w:t>2.2. Требования к качеству работ</w:t>
      </w:r>
    </w:p>
    <w:p>
      <w:pPr>
        <w:pStyle w:val="ListParagraph"/>
        <w:tabs>
          <w:tab w:val="clear" w:pos="720"/>
          <w:tab w:val="left" w:pos="583" w:leader="none"/>
        </w:tabs>
        <w:spacing w:before="272" w:after="0"/>
        <w:ind w:left="583"/>
        <w:contextualSpacing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tabs>
          <w:tab w:val="clear" w:pos="720"/>
          <w:tab w:val="left" w:pos="588" w:leader="none"/>
        </w:tabs>
        <w:ind w:left="227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  <w:t>Таблица 5.  Требования к качеству работ</w:t>
      </w:r>
    </w:p>
    <w:p>
      <w:pPr>
        <w:pStyle w:val="BodyText"/>
        <w:spacing w:lineRule="exact" w:line="275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2"/>
          <w:w w:val="105"/>
          <w:sz w:val="24"/>
          <w:szCs w:val="24"/>
          <w:shd w:fill="auto" w:val="clear"/>
        </w:rPr>
        <w:t xml:space="preserve">«ОКПД 2: 84.22.12. </w:t>
      </w:r>
      <w:r>
        <w:rPr>
          <w:rFonts w:eastAsia="Calibri"/>
          <w:b/>
          <w:bCs/>
          <w:color w:val="000000"/>
          <w:spacing w:val="-4"/>
          <w:w w:val="105"/>
          <w:sz w:val="24"/>
          <w:szCs w:val="24"/>
          <w:shd w:fill="auto" w:val="clear"/>
        </w:rPr>
        <w:t>Проверка приборов и средств защиты ГО и ЧС»</w:t>
      </w:r>
    </w:p>
    <w:p>
      <w:pPr>
        <w:pStyle w:val="ListParagraph"/>
        <w:tabs>
          <w:tab w:val="clear" w:pos="720"/>
          <w:tab w:val="left" w:pos="588" w:leader="none"/>
        </w:tabs>
        <w:ind w:left="227"/>
        <w:rPr>
          <w:rFonts w:eastAsia="Calibri"/>
          <w:b/>
          <w:bCs/>
          <w:color w:val="000000"/>
          <w:spacing w:val="-4"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bCs/>
          <w:color w:val="000000"/>
          <w:spacing w:val="-4"/>
          <w:sz w:val="24"/>
          <w:szCs w:val="24"/>
          <w:shd w:fill="auto" w:val="clear"/>
        </w:rPr>
      </w:r>
    </w:p>
    <w:tbl>
      <w:tblPr>
        <w:tblStyle w:val="af5"/>
        <w:tblW w:w="15083" w:type="dxa"/>
        <w:jc w:val="left"/>
        <w:tblInd w:w="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1"/>
        <w:gridCol w:w="2849"/>
        <w:gridCol w:w="8132"/>
      </w:tblGrid>
      <w:tr>
        <w:trPr>
          <w:trHeight w:val="690" w:hRule="atLeast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п/п</w:t>
            </w:r>
          </w:p>
        </w:tc>
        <w:tc>
          <w:tcPr>
            <w:tcW w:w="2849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Наименование параметра</w:t>
            </w:r>
          </w:p>
        </w:tc>
        <w:tc>
          <w:tcPr>
            <w:tcW w:w="8132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kern w:val="0"/>
                <w:sz w:val="24"/>
                <w:szCs w:val="24"/>
                <w:shd w:fill="auto" w:val="clear"/>
                <w:lang w:eastAsia="ru-RU" w:bidi="ar-SA"/>
              </w:rPr>
              <w:t>1</w:t>
            </w:r>
          </w:p>
        </w:tc>
        <w:tc>
          <w:tcPr>
            <w:tcW w:w="2849" w:type="dxa"/>
            <w:tcBorders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2</w:t>
            </w:r>
          </w:p>
        </w:tc>
        <w:tc>
          <w:tcPr>
            <w:tcW w:w="8132" w:type="dxa"/>
            <w:tcBorders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3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10981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выполнению работ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b/>
                <w:bCs/>
                <w:shd w:fill="auto" w:val="clear"/>
              </w:rPr>
            </w:r>
          </w:p>
        </w:tc>
        <w:tc>
          <w:tcPr>
            <w:tcW w:w="284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eastAsia="ru-RU" w:bidi="ar-SA"/>
              </w:rPr>
              <w:t>Общие требования к выполнению работ</w:t>
            </w:r>
          </w:p>
        </w:tc>
        <w:tc>
          <w:tcPr>
            <w:tcW w:w="8132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Работы выполняются в отношении объектов Заказчика, указанных в Таблице №2  в соответствии</w:t>
              <w:tab/>
              <w:t>с Таблицей №3</w:t>
            </w:r>
          </w:p>
          <w:p>
            <w:pPr>
              <w:pStyle w:val="Normal"/>
              <w:suppressAutoHyphens w:val="true"/>
              <w:spacing w:before="0" w:after="0"/>
              <w:ind w:left="-34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При выполнении работ необходимо соблюдать следующие требования: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506" w:leader="none"/>
              </w:tabs>
              <w:suppressAutoHyphens w:val="true"/>
              <w:spacing w:before="0" w:after="0"/>
              <w:ind w:firstLine="1" w:left="135" w:right="122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Исполнитель</w:t>
            </w:r>
            <w:r>
              <w:rPr>
                <w:spacing w:val="27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обеспечивает</w:t>
            </w:r>
            <w:r>
              <w:rPr>
                <w:spacing w:val="26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соблюдение</w:t>
            </w:r>
            <w:r>
              <w:rPr>
                <w:spacing w:val="30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техники</w:t>
            </w:r>
            <w:r>
              <w:rPr>
                <w:spacing w:val="24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безопасности при выполнении работ, требований к</w:t>
            </w:r>
            <w:r>
              <w:rPr>
                <w:spacing w:val="-1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квалификации</w:t>
            </w:r>
            <w:r>
              <w:rPr>
                <w:spacing w:val="28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персонала.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1522" w:leader="none"/>
                <w:tab w:val="left" w:pos="3169" w:leader="none"/>
                <w:tab w:val="left" w:pos="3807" w:leader="none"/>
                <w:tab w:val="left" w:pos="5996" w:leader="none"/>
              </w:tabs>
              <w:suppressAutoHyphens w:val="true"/>
              <w:spacing w:lineRule="exact" w:line="271" w:before="0" w:after="0"/>
              <w:ind w:hanging="85" w:left="192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kern w:val="0"/>
                <w:sz w:val="24"/>
                <w:szCs w:val="24"/>
                <w:shd w:fill="auto" w:val="clear"/>
                <w:lang w:eastAsia="ru-RU" w:bidi="ar-SA"/>
              </w:rPr>
              <w:t>Допуск персонала Исполнителя для выполнения работ осуществляется в соответствии с Регламентом процесса «Допуск персонала подрядных организаций на объекты ПАО «РусГидро» (утв. Приказом ПАО «РусГидро» от 28.04.2023 №300)» осуществляется после выполнения всех необходимых организационно-технических мероприятий с обязательным оформлением необходимых распоряжений и наряд-допусков. Подготовку рабочих мест и допуск к выполнению работ выполняет персонал Заказчика.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95" w:leader="none"/>
              </w:tabs>
              <w:suppressAutoHyphens w:val="true"/>
              <w:spacing w:lineRule="auto" w:line="235" w:before="1" w:after="0"/>
              <w:ind w:hanging="0" w:left="121" w:right="115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kern w:val="0"/>
                <w:sz w:val="24"/>
                <w:szCs w:val="24"/>
                <w:shd w:fill="auto" w:val="clear"/>
                <w:lang w:eastAsia="ru-RU" w:bidi="ar-SA"/>
              </w:rPr>
              <w:t>Согласование со службами Заказчика мест подключения временных коммуникаций (технические условия на подключения выдаются после получения от Исполнителя официального запроса с указанием потребных ресурсов в количественных и качественных показателях).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86" w:leader="none"/>
              </w:tabs>
              <w:suppressAutoHyphens w:val="true"/>
              <w:spacing w:before="0" w:after="0"/>
              <w:ind w:hanging="0" w:left="128" w:right="109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Текущий контроль выполнения работ должен включать в себя надзор за правильностью </w:t>
            </w:r>
            <w:r>
              <w:rPr>
                <w:color w:val="161616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и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последовательностью выполнения отдельных технологических операций.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5. Приемочный контроль. Перечень этапов </w:t>
            </w:r>
            <w:r>
              <w:rPr>
                <w:color w:val="2A2A2A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и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видов выполнения работ, подлежащих приемке, должен быть согласован </w:t>
            </w:r>
            <w:r>
              <w:rPr>
                <w:color w:val="181818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с </w:t>
            </w:r>
            <w:r>
              <w:rPr>
                <w:kern w:val="0"/>
                <w:sz w:val="24"/>
                <w:szCs w:val="20"/>
                <w:shd w:fill="auto" w:val="clear"/>
                <w:lang w:eastAsia="ru-RU" w:bidi="ar-SA"/>
              </w:rPr>
              <w:t>Заказчиком.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/>
            <w:shd w:color="auto" w:fill="auto" w:val="clea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организации работ</w:t>
            </w:r>
          </w:p>
        </w:tc>
        <w:tc>
          <w:tcPr>
            <w:tcW w:w="8132" w:type="dxa"/>
            <w:tcBorders/>
          </w:tcPr>
          <w:p>
            <w:pPr>
              <w:pStyle w:val="TableParagraph"/>
              <w:suppressAutoHyphens w:val="true"/>
              <w:spacing w:lineRule="exact" w:line="263" w:before="0" w:after="0"/>
              <w:ind w:left="132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4"/>
                <w:szCs w:val="20"/>
                <w:shd w:fill="auto" w:val="clear"/>
                <w:lang w:eastAsia="ru-RU" w:bidi="ar-SA"/>
              </w:rPr>
              <w:t>Работы выполняются  в</w:t>
            </w:r>
            <w:r>
              <w:rPr>
                <w:spacing w:val="-13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0"/>
                <w:shd w:fill="auto" w:val="clear"/>
                <w:lang w:eastAsia="ru-RU" w:bidi="ar-SA"/>
              </w:rPr>
              <w:t>соответствии</w:t>
            </w:r>
            <w:r>
              <w:rPr>
                <w:spacing w:val="7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0"/>
                <w:shd w:fill="auto" w:val="clear"/>
                <w:lang w:eastAsia="ru-RU" w:bidi="ar-SA"/>
              </w:rPr>
              <w:t>с</w:t>
            </w:r>
            <w:r>
              <w:rPr>
                <w:spacing w:val="-10"/>
                <w:kern w:val="0"/>
                <w:sz w:val="24"/>
                <w:szCs w:val="20"/>
                <w:shd w:fill="auto" w:val="clear"/>
                <w:lang w:eastAsia="ru-RU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0"/>
                <w:shd w:fill="auto" w:val="clear"/>
                <w:lang w:eastAsia="ru-RU" w:bidi="ar-SA"/>
              </w:rPr>
              <w:t>НТД: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- Федеральный закон от 21.07.1997 №ФЗ-116 «О промышленной безопасности опасных производственных объектов»;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- Федеральные нормы и правила в области промышленной безопасности "Правила промышленной безопасности при использовании оборудования, работающего под избыточным давлением", утвержденные приказом Ростехнадзора от 15.12.2020 № 536;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- Федеральные нормы и правила в области промышленной безопасности "Правила проведения экспертизы промышленной безопасности" утвержденных Приказом Ростехнадзора от 20.10.2020 № 420;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- Технический регламент таможенного союза «О безопасности оборудования, работающего под давлением», утв. Решением совета евразийской экономической комиссии от 02.07.2013 №41.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-Правила по охране труда при работе с инструментом и приспособлениями, утв. Приказом Минтруда РФ от 27.11.2020 № 835Н;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Правила по охране труда при эксплуатации электроустановок (Приказ Минтруда РФ от 15.12 2020г. №903н.);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Правила противопожарного режима в Российской Федерации, утв. Постановлением Правительства РФ от 16.09.2020. №1479;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true"/>
              <w:spacing w:before="0" w:after="0"/>
              <w:ind w:hanging="0" w:left="-34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Инструкция «Оказание первой помощи при несчастных случаях на производстве электрической и тепловой энергии». Введена к применению распоряжением ПАО «РусГидро» от 11.08.2021 № 353р;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true"/>
              <w:spacing w:before="0" w:after="0"/>
              <w:ind w:hanging="0" w:left="-34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Техническая политика ПАО «РусГидро» (действующая редакция);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Порядок хранения актов-допусков утв. Приказом Филиала ПАО «РусГидро» - «Бурейская ГЭС» от 25.02.2025 № БГЭС/78-119;</w:t>
            </w: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 xml:space="preserve"> 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Деятельность Исполнителя должна соответствовать вышеперечисленным нормативным документам, в том числе рекомендациям по формам используемых Исполнителем документов при выполнении работ, а также иным нормам и правилам, которые предъявляются на территории РФ к организациям, выполняющим аналогичные работы.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способам выполнения работ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 xml:space="preserve">Форма выполнения работ: 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Выездная,  с непосредственным выездом к Заказчику технических специалистов</w:t>
            </w:r>
          </w:p>
        </w:tc>
      </w:tr>
      <w:tr>
        <w:trPr>
          <w:trHeight w:val="527" w:hRule="atLeast"/>
        </w:trPr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0981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процедурам выполнения работ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Допуск персонала Исполнителя</w:t>
            </w:r>
          </w:p>
        </w:tc>
        <w:tc>
          <w:tcPr>
            <w:tcW w:w="8132" w:type="dxa"/>
            <w:tcBorders/>
          </w:tcPr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ind w:hanging="0" w:left="38"/>
              <w:contextualSpacing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Допуск персонала Исполнителя для выполнения работ  в соответствии с Регламентом процесса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ind w:hanging="0" w:left="0"/>
              <w:contextualSpacing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«Допуск персонала подрядных организаций на объекты ПАО «РусГидро» (утв. Приказом ПАО «РусГидро» от 28.04.2023 № 300)» с обязательным оформлением необходимых распоряжений и нарядов-допусков, а также в соответствии с Порядком хранения актов-допусков утв. Приказом Филиала ПАО «РусГидро» - «Бурейская ГЭС» от 25.02.2025 №БГЭС/78-119 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Выдачи заказа (отчета) за выполненные работы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данном этапе Заказчиком осуществляется проверка выполненного объема работ, контроль качества исполнения работ. Ввод оборудования в эксплуатацию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ind w:left="-34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охране окружающей среды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соблюдать санитарно – эпидемиологические требования, требования экологической безопасности, установленные законодательно – правовыми актами РФ и локальными актами ПАО «РусГидро» и Филиала ПАО «РусГидро» - «Бурейская ГЭС»;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незамедлительно сообщать Заказчику обо всех случаях нарушения природоохранного законодательства, имеющих место при предоставлении услуг;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осуществлять производственный контроль всех вредных воздействий;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не допускать сброса в водный объект продуктов производства и сопутствующих ему загрязняющих веществ, технологических и бытовых отходов, грунта, строительных и других материалов.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содержать в чистоте территорию, закрепленную за Исполнителем.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складировать отходы в местах, указанных техническим куратором по договору, осуществлять раздельный сбор образующихся отходов по их видам, классам опасности.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10981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60" w:after="0"/>
              <w:contextualSpacing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shd w:fill="auto" w:val="clear"/>
                <w:lang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Входной контроль применяемых запасных частей и материалов</w:t>
            </w:r>
          </w:p>
        </w:tc>
        <w:tc>
          <w:tcPr>
            <w:tcW w:w="81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 Применяемые при выполнении работ запасные части и материалы должны иметь сертификаты и (или) декларации о соответствии установленным требованиям ФЗ “ О техническом регулировании” от 27.12.2002 №184 (в действующей редакции), постановление Правительства РФ от 23.12.2021 №2425 “Об утверждении единого перечня продукции, подлежащий декларированию соответствия”, иных действующих технических регламентов, положений стандартов системы сертификации, СТО и НТД..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2. На к</w:t>
            </w:r>
            <w:r>
              <w:rPr>
                <w:rFonts w:eastAsia="Calibri" w:cs="Times New Roman"/>
                <w:color w:val="000000"/>
                <w:spacing w:val="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омплекты предохранительных клапанов и манометров, прошедших испытания, должны быть предоставлены заполненные комплекты эксплуатационной документации и паспорта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3.. Организация, порядок проведения и  оформления результатов входного контроля запасных частей и материалов, должны осуществляться в соответствии с требованиями Методических рекомендаций «Входной контроль материалов, изделий, конструкций, оборудования и документации, применяемых при строительно-монтажных работах на объектах филиала ПАО «РусГидро» - «Бурейская ГЭС, утвержденных приказом филиала ПАО «РусГидро» - «Бурейская ГЭС от 18.05.2022 №284 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1"/>
                <w:numId w:val="3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1098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Требования к результатам выполненных работ </w:t>
            </w:r>
          </w:p>
        </w:tc>
      </w:tr>
      <w:tr>
        <w:trPr/>
        <w:tc>
          <w:tcPr>
            <w:tcW w:w="731" w:type="dxa"/>
            <w:tcBorders/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en-US" w:eastAsia="en-US" w:bidi="ar-SA"/>
              </w:rPr>
              <w:t>Требования к результатам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выполненных работ</w:t>
            </w:r>
          </w:p>
        </w:tc>
        <w:tc>
          <w:tcPr>
            <w:tcW w:w="81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Работы выполняются в таком объёме, который позволит обеспечить работоспособность оборудования, указанного в таблице № 2 настоящих ТТ.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1098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/>
            </w:pPr>
            <w:r>
              <w:rPr>
                <w:rStyle w:val="Style9"/>
                <w:rFonts w:eastAsia="Times New Roman" w:cs="Times New Roman"/>
                <w:b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документации, по результату выполненных работ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Оформление отчетной документации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eastAsia="ru-RU" w:bidi="ar-SA"/>
              </w:rPr>
              <w:t xml:space="preserve">Документация предоставляется Заказчику в 2-х экземплярах с подписями на бумажном носителе, в 1 экземпляре с подписями на электронном носителе в сканированном виде (файлы PDF). Вся текстовая документация, также обязательно передается Заказчику в файлах редактируемых форматов: 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(.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AText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), (.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ACell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).</w:t>
            </w:r>
          </w:p>
          <w:p>
            <w:pPr>
              <w:pStyle w:val="Normal"/>
              <w:suppressAutoHyphens w:val="tru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Чертежи, таблицы, и и</w:t>
            </w:r>
            <w:bookmarkStart w:id="0" w:name="_GoBack_Копия_1_Копия_1"/>
            <w:bookmarkEnd w:id="0"/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ные документы, выполненные в специализированных продуктах, передаются в формате файлов соответствующих программ (DWG, CDW и т.п.) с обязательным приложением используемых шрифтов, форм и других файлов, необходимых для работы с передаваемой в электронном виде документацией. При этом предпочтительным форматом чертежей является формат Компас-3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(*.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CDW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), предоставление в других форматах возможно только по предварительному согласованию с Заказчиком.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составу исполнительной документации, передаваемой Заказчику и результатам работ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Представить Заказчику с актами выполненных работ и ведомостями фактически выполненных работ по реестру исполнительную документацию: акты на скрытые работы, сертификаты (декларации) соответствия используемых материалов, сертификаты качества и паспорта на применённые материалы, формуляры, акты выявленных дефектов, фотоотчёт до и после ремонта и т.д. Состав отчетной документации может быть уточнен, и согласован с Заказчиком и Подрядчиком в ходе производства работ по текущему ремонту.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1098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ListParagraph"/>
              <w:numPr>
                <w:ilvl w:val="2"/>
                <w:numId w:val="3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kern w:val="0"/>
                <w:sz w:val="20"/>
                <w:szCs w:val="20"/>
                <w:highlight w:val="none"/>
                <w:shd w:fill="auto" w:val="clear"/>
                <w:lang w:eastAsia="ru-RU" w:bidi="ar-SA"/>
              </w:rPr>
            </w:pPr>
            <w:r>
              <w:rPr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Срок гарантии на результаты выполненных работ </w:t>
            </w:r>
          </w:p>
        </w:tc>
        <w:tc>
          <w:tcPr>
            <w:tcW w:w="813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ind w:firstLine="48" w:left="-48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менее 1-го года с момента подписания Акта приемки выполненных работ (КС-2).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Исполнитель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 обязуется   производить   в   течение   гарантийного   периода     устранение всех неисправностей, возникших из-за дефектов обслуживания своими силами и за свой счет.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</w:tbl>
    <w:p>
      <w:pPr>
        <w:pStyle w:val="ListParagraph"/>
        <w:tabs>
          <w:tab w:val="clear" w:pos="720"/>
          <w:tab w:val="left" w:pos="588" w:leader="none"/>
        </w:tabs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tabs>
          <w:tab w:val="clear" w:pos="720"/>
          <w:tab w:val="left" w:pos="625" w:leader="none"/>
        </w:tabs>
        <w:spacing w:lineRule="exact" w:line="275" w:before="1" w:after="0"/>
        <w:ind w:left="216"/>
        <w:contextualSpacing/>
        <w:jc w:val="center"/>
        <w:rPr>
          <w:b/>
          <w:bCs/>
          <w:sz w:val="28"/>
          <w:szCs w:val="28"/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</w:r>
    </w:p>
    <w:p>
      <w:pPr>
        <w:pStyle w:val="Normal"/>
        <w:tabs>
          <w:tab w:val="clear" w:pos="720"/>
          <w:tab w:val="left" w:pos="625" w:leader="none"/>
        </w:tabs>
        <w:spacing w:lineRule="exact" w:line="275" w:before="1" w:after="0"/>
        <w:ind w:left="216"/>
        <w:contextualSpacing/>
        <w:jc w:val="center"/>
        <w:rPr>
          <w:b/>
          <w:bCs/>
          <w:sz w:val="28"/>
          <w:szCs w:val="28"/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</w:r>
    </w:p>
    <w:p>
      <w:pPr>
        <w:pStyle w:val="Normal"/>
        <w:tabs>
          <w:tab w:val="clear" w:pos="720"/>
          <w:tab w:val="left" w:pos="625" w:leader="none"/>
        </w:tabs>
        <w:spacing w:lineRule="exact" w:line="275" w:before="1" w:after="0"/>
        <w:contextualSpacing/>
        <w:rPr>
          <w:b/>
          <w:sz w:val="18"/>
          <w:highlight w:val="none"/>
          <w:shd w:fill="auto" w:val="clear"/>
        </w:rPr>
      </w:pPr>
      <w:r>
        <w:rPr>
          <w:b/>
          <w:sz w:val="18"/>
          <w:shd w:fill="auto" w:val="clear"/>
        </w:rPr>
      </w:r>
    </w:p>
    <w:sectPr>
      <w:headerReference w:type="default" r:id="rId3"/>
      <w:headerReference w:type="first" r:id="rId4"/>
      <w:type w:val="nextPage"/>
      <w:pgSz w:orient="landscape" w:w="16838" w:h="11906"/>
      <w:pgMar w:left="890" w:right="539" w:gutter="0" w:header="0" w:top="851" w:footer="0" w:bottom="425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0812783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4381082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35" w:hanging="370"/>
      </w:pPr>
      <w:rPr>
        <w:sz w:val="24"/>
        <w:spacing w:val="0"/>
        <w:i w:val="false"/>
        <w:b w:val="false"/>
        <w:szCs w:val="24"/>
        <w:iCs w:val="false"/>
        <w:bCs w:val="false"/>
        <w:w w:val="93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37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48" w:hanging="37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52" w:hanging="37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56" w:hanging="37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0" w:hanging="37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64" w:hanging="37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68" w:hanging="37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772" w:hanging="37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hanging="721" w:left="62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7d65e5"/>
    <w:rPr>
      <w:color w:val="0000FF"/>
      <w:u w:val="single"/>
    </w:rPr>
  </w:style>
  <w:style w:type="character" w:styleId="Style8" w:customStyle="1">
    <w:name w:val="Абзац списка Знак"/>
    <w:link w:val="ListParagraph"/>
    <w:qFormat/>
    <w:locked/>
    <w:rsid w:val="007d65e5"/>
    <w:rPr>
      <w:rFonts w:ascii="Times New Roman" w:hAnsi="Times New Roman" w:eastAsia="Times New Roman" w:cs="Times New Roman"/>
      <w:lang w:val="ru-RU"/>
    </w:rPr>
  </w:style>
  <w:style w:type="character" w:styleId="Style9" w:customStyle="1">
    <w:name w:val="комментарий"/>
    <w:qFormat/>
    <w:rsid w:val="007d65e5"/>
    <w:rPr>
      <w:b/>
      <w:i/>
      <w:shd w:fill="FFFF99" w:val="clear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ac6b72"/>
    <w:rPr>
      <w:rFonts w:ascii="Times New Roman" w:hAnsi="Times New Roman" w:eastAsia="Times New Roman" w:cs="Times New Roman"/>
      <w:lang w:val="ru-RU"/>
    </w:rPr>
  </w:style>
  <w:style w:type="character" w:styleId="Style11" w:customStyle="1">
    <w:name w:val="Нижний колонтитул Знак"/>
    <w:basedOn w:val="DefaultParagraphFont"/>
    <w:uiPriority w:val="99"/>
    <w:qFormat/>
    <w:rsid w:val="00ac6b72"/>
    <w:rPr>
      <w:rFonts w:ascii="Times New Roman" w:hAnsi="Times New Roman" w:eastAsia="Times New Roman" w:cs="Times New Roman"/>
      <w:lang w:val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link w:val="Style8"/>
    <w:qFormat/>
    <w:pPr>
      <w:spacing w:before="0" w:after="0"/>
      <w:ind w:left="720"/>
      <w:contextualSpacing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14" w:customStyle="1">
    <w:name w:val="Содержимое таблицы"/>
    <w:basedOn w:val="Normal"/>
    <w:qFormat/>
    <w:pPr>
      <w:suppressLineNumbers/>
    </w:pPr>
    <w:rPr/>
  </w:style>
  <w:style w:type="paragraph" w:styleId="Style15" w:customStyle="1">
    <w:name w:val="Заголовок таблицы"/>
    <w:basedOn w:val="Style14"/>
    <w:qFormat/>
    <w:pPr>
      <w:jc w:val="center"/>
    </w:pPr>
    <w:rPr>
      <w:b/>
      <w:bCs/>
    </w:rPr>
  </w:style>
  <w:style w:type="paragraph" w:styleId="Style16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Cs w:val="26"/>
    </w:rPr>
  </w:style>
  <w:style w:type="paragraph" w:styleId="Style17" w:customStyle="1">
    <w:name w:val="Таблица"/>
    <w:basedOn w:val="Normal"/>
    <w:qFormat/>
    <w:rsid w:val="007d65e5"/>
    <w:pPr>
      <w:keepNext w:val="true"/>
      <w:widowControl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ac6b72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ac6b72"/>
    <w:pPr>
      <w:tabs>
        <w:tab w:val="clear" w:pos="720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5">
    <w:name w:val="Table Grid"/>
    <w:basedOn w:val="a1"/>
    <w:rsid w:val="007d65e5"/>
    <w:rPr>
      <w:lang w:val="ru-RU"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8BB74-A28D-45FA-8219-D94B8DD36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Application>AlterOffice/2026.2.1.0$Linux_X86_64 LibreOffice_project/f008988ffacaa0b2bf57911c2759d08ca79831df</Application>
  <AppVersion>15.0000</AppVersion>
  <Pages>10</Pages>
  <Words>1547</Words>
  <Characters>10730</Characters>
  <CharactersWithSpaces>12103</CharactersWithSpaces>
  <Paragraphs>224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2025-12-09T05:49:00Z</dcterms:created>
  <dc:creator>Комлев Николай Константинович</dc:creator>
  <dc:description/>
  <dc:language>ru-RU</dc:language>
  <cp:lastModifiedBy>lysenkoea@corp.gidroogk.com</cp:lastModifiedBy>
  <dcterms:modified xsi:type="dcterms:W3CDTF">2026-10-08T08:35:18Z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Hewlett-Packard MFP</vt:lpwstr>
  </property>
  <property fmtid="{D5CDD505-2E9C-101B-9397-08002B2CF9AE}" pid="4" name="LastSaved">
    <vt:filetime>2025-12-09T00:00:00Z</vt:filetime>
  </property>
  <property fmtid="{D5CDD505-2E9C-101B-9397-08002B2CF9AE}" pid="5" name="Producer">
    <vt:lpwstr>3-Heights(TM) PDF Security Shell 4.8.25.2 (http://www.pdf-tools.com)</vt:lpwstr>
  </property>
</Properties>
</file>