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/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ОКПД 2 :77.11.10.000 Аренда транспортных средств без экипажа для нужд Северо-Кавказского филиала АО «Гидроремонт-ВКК» в с.Заюково</w:t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СОДЕРЖАНИЕ 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eastAsia="" w:cs="Times New Roman" w:eastAsiaTheme="minorEastAsia"/>
              <w:b w:val="false"/>
              <w:bCs w:val="false"/>
              <w:iCs w:val="false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cs="Times New Roman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cs="Times New Roman"/>
            </w:rPr>
            <w:fldChar w:fldCharType="separate"/>
          </w:r>
          <w:hyperlink w:anchor="_Toc54643453">
            <w:r>
              <w:rPr>
                <w:webHidden/>
                <w:rStyle w:val="Style15"/>
                <w:rFonts w:cs="Times New Roman"/>
                <w:vanish w:val="false"/>
              </w:rPr>
              <w:t>1.</w:t>
            </w:r>
            <w:r>
              <w:rPr>
                <w:rStyle w:val="Style15"/>
                <w:rFonts w:eastAsia="" w:cs="Times New Roman" w:eastAsiaTheme="minorEastAsia"/>
                <w:b w:val="false"/>
                <w:bCs w:val="false"/>
                <w:i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54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55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56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cs="Times New Roman"/>
                <w:sz w:val="24"/>
                <w:szCs w:val="24"/>
              </w:rPr>
              <w:t xml:space="preserve">Цель оказания </w:t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аренды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57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>Существующее положение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cs="Times New Roman" w:eastAsiaTheme="minorEastAsia"/>
              <w:b w:val="false"/>
              <w:bCs w:val="false"/>
              <w:iCs w:val="false"/>
            </w:rPr>
          </w:pPr>
          <w:hyperlink w:anchor="_Toc5464345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rFonts w:cs="Times New Roman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59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1.5.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cs="Times New Roman" w:eastAsiaTheme="minorEastAsia"/>
              <w:b w:val="false"/>
              <w:bCs w:val="false"/>
              <w:iCs w:val="false"/>
            </w:rPr>
          </w:pPr>
          <w:hyperlink w:anchor="_Toc54643461">
            <w:r>
              <w:rPr>
                <w:webHidden/>
                <w:rStyle w:val="Style15"/>
                <w:rFonts w:cs="Times New Roman"/>
                <w:vanish w:val="false"/>
              </w:rPr>
              <w:t>2.</w:t>
            </w:r>
            <w:r>
              <w:rPr>
                <w:rStyle w:val="Style15"/>
                <w:rFonts w:eastAsia="" w:cs="Times New Roman" w:eastAsiaTheme="minorEastAsia"/>
                <w:b w:val="false"/>
                <w:bCs w:val="false"/>
                <w:iCs w:val="false"/>
              </w:rPr>
              <w:tab/>
            </w:r>
            <w:r>
              <w:rPr>
                <w:rStyle w:val="Style15"/>
                <w:rFonts w:cs="Times New Roman"/>
              </w:rPr>
              <w:t>Требования к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62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cs="Times New Roman"/>
                <w:sz w:val="24"/>
                <w:szCs w:val="24"/>
              </w:rPr>
              <w:t xml:space="preserve">Требования к объемам и срокам </w:t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аренды</w:t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63">
            <w:r>
              <w:rPr>
                <w:webHidden/>
                <w:rStyle w:val="Style15"/>
                <w:rFonts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cs="Times New Roman"/>
                <w:sz w:val="24"/>
                <w:szCs w:val="24"/>
              </w:rPr>
              <w:t xml:space="preserve">Требования к перечню и объему </w:t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аренды</w:t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cs="Times New Roman" w:eastAsiaTheme="minorEastAsia"/>
              <w:b w:val="false"/>
              <w:bCs w:val="false"/>
              <w:iCs w:val="false"/>
            </w:rPr>
          </w:pPr>
          <w:hyperlink w:anchor="_Toc54643464">
            <w:r>
              <w:rPr>
                <w:webHidden/>
                <w:rStyle w:val="Style15"/>
                <w:rFonts w:cs="Times New Roman"/>
                <w:vanish w:val="false"/>
              </w:rPr>
              <w:t xml:space="preserve">Таблица 2. Перечень и объем </w:t>
            </w:r>
            <w:r>
              <w:rPr>
                <w:rStyle w:val="Style15"/>
                <w:rFonts w:cs="Times New Roman"/>
                <w:lang w:val="en-US"/>
              </w:rPr>
              <w:t>аренды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65">
            <w:r>
              <w:rPr>
                <w:webHidden/>
                <w:rStyle w:val="Style15"/>
                <w:rFonts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cs="Times New Roman"/>
                <w:sz w:val="24"/>
                <w:szCs w:val="24"/>
              </w:rPr>
              <w:t xml:space="preserve">Требования к срокам </w:t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аренды</w:t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cs="Times New Roman" w:eastAsiaTheme="minorEastAsia"/>
              <w:b w:val="false"/>
              <w:bCs w:val="false"/>
              <w:iCs w:val="false"/>
            </w:rPr>
          </w:pPr>
          <w:hyperlink w:anchor="_Toc54643466">
            <w:r>
              <w:rPr>
                <w:webHidden/>
                <w:rStyle w:val="Style15"/>
                <w:rFonts w:cs="Times New Roman"/>
                <w:vanish w:val="false"/>
              </w:rPr>
              <w:t xml:space="preserve">Таблица 3. Требования к срокам </w:t>
            </w:r>
            <w:r>
              <w:rPr>
                <w:rStyle w:val="Style15"/>
                <w:rFonts w:cs="Times New Roman"/>
                <w:lang w:val="en-US"/>
              </w:rPr>
              <w:t>аренды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400" w:leader="none"/>
              <w:tab w:val="right" w:pos="9911" w:leader="dot"/>
            </w:tabs>
            <w:rPr>
              <w:rFonts w:eastAsia="" w:cs="Times New Roman" w:eastAsiaTheme="minorEastAsia"/>
              <w:sz w:val="24"/>
              <w:szCs w:val="24"/>
            </w:rPr>
          </w:pPr>
          <w:hyperlink w:anchor="_Toc54643467">
            <w:r>
              <w:rPr>
                <w:webHidden/>
                <w:rStyle w:val="Style15"/>
                <w:rFonts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5"/>
                <w:rFonts w:eastAsia="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cs="Times New Roman"/>
                <w:sz w:val="24"/>
                <w:szCs w:val="24"/>
              </w:rPr>
              <w:t xml:space="preserve">Требования к качеству </w:t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аренды</w:t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eastAsia="" w:cs="Times New Roman" w:eastAsiaTheme="minorEastAsia"/>
              <w:b w:val="false"/>
              <w:bCs w:val="false"/>
              <w:iCs w:val="false"/>
            </w:rPr>
          </w:pPr>
          <w:hyperlink w:anchor="_Toc54643468">
            <w:r>
              <w:rPr>
                <w:webHidden/>
                <w:rStyle w:val="Style15"/>
                <w:rFonts w:cs="Times New Roman"/>
                <w:vanish w:val="false"/>
              </w:rPr>
              <w:t xml:space="preserve">Таблица 4. Требования к качеству </w:t>
            </w:r>
            <w:r>
              <w:rPr>
                <w:rStyle w:val="Style15"/>
                <w:rFonts w:cs="Times New Roman"/>
                <w:lang w:val="en-US"/>
              </w:rPr>
              <w:t>арендованных транспортных средств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_Toc54643468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rFonts w:cs="Times New Roman"/>
              <w:lang w:val="en-US"/>
            </w:rPr>
            <w:fldChar w:fldCharType="end"/>
          </w:r>
        </w:p>
      </w:sdtContent>
    </w:sdt>
    <w:p>
      <w:pPr>
        <w:pStyle w:val="TOC1"/>
        <w:rPr>
          <w:rFonts w:eastAsia="" w:cs="Times New Roman" w:eastAsiaTheme="minorEastAsia"/>
          <w:b w:val="false"/>
          <w:bCs w:val="false"/>
          <w:iCs w:val="false"/>
        </w:rPr>
      </w:pPr>
      <w:r>
        <w:rPr>
          <w:rFonts w:eastAsia="" w:cs="Times New Roman" w:eastAsiaTheme="minorEastAsia"/>
          <w:b w:val="false"/>
          <w:bCs w:val="false"/>
          <w:iCs w:val="false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firstLine="3686" w:left="0"/>
        <w:rPr>
          <w:sz w:val="24"/>
          <w:szCs w:val="24"/>
        </w:rPr>
      </w:pPr>
      <w:bookmarkStart w:id="0" w:name="_Toc51921655"/>
      <w:bookmarkStart w:id="1" w:name="_Toc54643453"/>
      <w:bookmarkStart w:id="2" w:name="_Toc51949628"/>
      <w:bookmarkStart w:id="3" w:name="_Toc51949199"/>
      <w:bookmarkStart w:id="4" w:name="_Toc51949198"/>
      <w:bookmarkStart w:id="5" w:name="_Toc51949644"/>
      <w:bookmarkStart w:id="6" w:name="_Toc51949645"/>
      <w:bookmarkStart w:id="7" w:name="_Toc51949182"/>
      <w:bookmarkStart w:id="8" w:name="_Toc51949627"/>
      <w:bookmarkStart w:id="9" w:name="_Toc51949181"/>
      <w:bookmarkStart w:id="10" w:name="_Toc51949626"/>
      <w:bookmarkStart w:id="11" w:name="_Toc51949180"/>
      <w:bookmarkStart w:id="12" w:name="_Toc51949625"/>
      <w:bookmarkStart w:id="13" w:name="_Toc51949179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1"/>
        <w:numPr>
          <w:ilvl w:val="0"/>
          <w:numId w:val="0"/>
        </w:numPr>
        <w:tabs>
          <w:tab w:val="clear" w:pos="708"/>
          <w:tab w:val="left" w:pos="0" w:leader="none"/>
          <w:tab w:val="left" w:pos="567" w:leader="none"/>
          <w:tab w:val="left" w:pos="851" w:leader="none"/>
        </w:tabs>
        <w:spacing w:before="120" w:after="0"/>
        <w:ind w:hanging="0" w:left="3828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Heading2"/>
        <w:numPr>
          <w:ilvl w:val="1"/>
          <w:numId w:val="8"/>
        </w:numPr>
        <w:tabs>
          <w:tab w:val="left" w:pos="0" w:leader="none"/>
          <w:tab w:val="left" w:pos="567" w:leader="none"/>
          <w:tab w:val="left" w:pos="851" w:leader="none"/>
        </w:tabs>
        <w:spacing w:before="120" w:after="0"/>
        <w:rPr/>
      </w:pPr>
      <w:bookmarkStart w:id="14" w:name="_Toc157772672"/>
      <w:bookmarkStart w:id="15" w:name="_Toc46743505"/>
      <w:bookmarkStart w:id="16" w:name="_Toc54643695"/>
      <w:r>
        <w:rPr/>
        <w:t>Обозначения и сокращения</w:t>
      </w:r>
      <w:bookmarkEnd w:id="14"/>
      <w:bookmarkEnd w:id="15"/>
      <w:bookmarkEnd w:id="16"/>
      <w:r>
        <w:rPr>
          <w:lang w:val="en-US"/>
        </w:rPr>
        <w:t>:</w:t>
      </w:r>
    </w:p>
    <w:tbl>
      <w:tblPr>
        <w:tblW w:w="99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766"/>
        <w:gridCol w:w="6204"/>
      </w:tblGrid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8"/>
              <w:shd w:val="clear" w:color="auto" w:fill="auto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8"/>
              <w:shd w:val="clear" w:color="auto" w:fill="auto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ListParagraph"/>
        <w:keepNext w:val="true"/>
        <w:numPr>
          <w:ilvl w:val="0"/>
          <w:numId w:val="6"/>
        </w:numPr>
        <w:tabs>
          <w:tab w:val="clear" w:pos="708"/>
          <w:tab w:val="left" w:pos="851" w:leader="none"/>
        </w:tabs>
        <w:spacing w:before="120" w:after="60"/>
        <w:contextualSpacing w:val="false"/>
        <w:jc w:val="both"/>
        <w:outlineLvl w:val="3"/>
        <w:rPr>
          <w:b/>
          <w:bCs/>
          <w:vanish/>
          <w:lang w:val="x-none" w:eastAsia="x-none"/>
        </w:rPr>
      </w:pPr>
      <w:r>
        <w:rPr>
          <w:b/>
          <w:bCs/>
          <w:vanish/>
          <w:lang w:val="x-none" w:eastAsia="x-none"/>
        </w:rPr>
      </w:r>
    </w:p>
    <w:p>
      <w:pPr>
        <w:pStyle w:val="ListParagraph"/>
        <w:keepNext w:val="true"/>
        <w:numPr>
          <w:ilvl w:val="1"/>
          <w:numId w:val="6"/>
        </w:numPr>
        <w:tabs>
          <w:tab w:val="clear" w:pos="708"/>
          <w:tab w:val="left" w:pos="851" w:leader="none"/>
        </w:tabs>
        <w:spacing w:before="120" w:after="60"/>
        <w:contextualSpacing w:val="false"/>
        <w:jc w:val="both"/>
        <w:outlineLvl w:val="3"/>
        <w:rPr>
          <w:b/>
          <w:bCs/>
          <w:vanish/>
          <w:lang w:val="x-none" w:eastAsia="x-none"/>
        </w:rPr>
      </w:pPr>
      <w:r>
        <w:rPr>
          <w:b/>
          <w:bCs/>
          <w:vanish/>
          <w:lang w:val="x-none" w:eastAsia="x-none"/>
        </w:rPr>
      </w:r>
    </w:p>
    <w:p>
      <w:pPr>
        <w:pStyle w:val="Heading4"/>
        <w:numPr>
          <w:ilvl w:val="0"/>
        </w:numPr>
        <w:tabs>
          <w:tab w:val="clear" w:pos="0"/>
          <w:tab w:val="left" w:pos="851" w:leader="none"/>
          <w:tab w:val="left" w:pos="985" w:leader="none"/>
        </w:tabs>
        <w:spacing w:before="0" w:after="0"/>
        <w:ind w:hanging="0" w:left="0"/>
        <w:rPr>
          <w:lang w:val="ru-RU"/>
        </w:rPr>
      </w:pPr>
      <w:r>
        <w:rPr/>
        <w:t xml:space="preserve">1.2. </w:t>
      </w:r>
      <w:bookmarkStart w:id="17" w:name="_Toc54643696"/>
      <w:bookmarkStart w:id="18" w:name="_Toc46743506"/>
      <w:r>
        <w:rPr/>
        <w:t>Наименование закупаемой продукции</w:t>
      </w:r>
      <w:bookmarkEnd w:id="17"/>
      <w:bookmarkEnd w:id="18"/>
      <w:r>
        <w:rPr>
          <w:lang w:val="ru-RU"/>
        </w:rPr>
        <w:t>:</w:t>
      </w:r>
    </w:p>
    <w:p>
      <w:pPr>
        <w:pStyle w:val="Heading4"/>
        <w:numPr>
          <w:ilvl w:val="0"/>
        </w:numPr>
        <w:tabs>
          <w:tab w:val="clear" w:pos="0"/>
          <w:tab w:val="left" w:pos="985" w:leader="none"/>
        </w:tabs>
        <w:spacing w:before="0" w:after="0"/>
        <w:ind w:hanging="0" w:left="0"/>
        <w:rPr>
          <w:b w:val="false"/>
          <w:lang w:val="ru-RU"/>
        </w:rPr>
      </w:pPr>
      <w:r>
        <w:rPr>
          <w:b w:val="false"/>
          <w:lang w:val="ru-RU"/>
        </w:rPr>
        <w:t>ОКПД 2 :77.11.10.000 Аренда транспортных средств без экипажа для нужд Северо-Кавказского филиала АО «Гидроремонт-ВКК» в с.Заюково (далее – продукция).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0"/>
        </w:numPr>
        <w:tabs>
          <w:tab w:val="clear" w:pos="0"/>
          <w:tab w:val="left" w:pos="851" w:leader="none"/>
        </w:tabs>
        <w:spacing w:before="0" w:after="0"/>
        <w:ind w:hanging="0" w:left="0"/>
        <w:rPr>
          <w:lang w:val="ru-RU"/>
        </w:rPr>
      </w:pPr>
      <w:r>
        <w:rPr/>
        <w:t>1.3. Цель аренды транспортных средств без экипажа</w:t>
      </w:r>
      <w:r>
        <w:rPr>
          <w:lang w:val="ru-RU"/>
        </w:rPr>
        <w:t>: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В рамках исполнения договора подряда № </w:t>
      </w:r>
      <w:r>
        <w:rPr>
          <w:color w:val="000000"/>
          <w:sz w:val="24"/>
          <w:szCs w:val="24"/>
          <w:lang w:val="x-none" w:eastAsia="x-none"/>
        </w:rPr>
        <w:t>1320-339-2025 от 22.12.</w:t>
      </w:r>
      <w:r>
        <w:rPr>
          <w:color w:val="000000"/>
          <w:sz w:val="24"/>
          <w:szCs w:val="24"/>
          <w:lang w:eastAsia="x-none"/>
        </w:rPr>
        <w:t>20</w:t>
      </w:r>
      <w:r>
        <w:rPr>
          <w:color w:val="000000"/>
          <w:sz w:val="24"/>
          <w:szCs w:val="24"/>
          <w:lang w:val="x-none" w:eastAsia="x-none"/>
        </w:rPr>
        <w:t>25г. «О</w:t>
      </w:r>
      <w:r>
        <w:rPr>
          <w:color w:val="000000"/>
          <w:sz w:val="24"/>
          <w:szCs w:val="24"/>
        </w:rPr>
        <w:t>КПД2 33.12.29 Оказание услуг по ремонту и техническому обслуживанию комплексной системы без</w:t>
      </w:r>
      <w:r>
        <w:rPr>
          <w:sz w:val="24"/>
          <w:szCs w:val="24"/>
        </w:rPr>
        <w:t xml:space="preserve">опасности станций Филиала ПАО «РусГидро»-«Северо-Осетинский филиал» заключенного между АО «Гидроремонт-ВКК и </w:t>
      </w:r>
      <w:r>
        <w:rPr>
          <w:rFonts w:ascii="Times New Roman;serif" w:hAnsi="Times New Roman;serif"/>
          <w:sz w:val="24"/>
          <w:szCs w:val="24"/>
        </w:rPr>
        <w:t>Филиалом ПАО «РусГидро»-«Северо-Осетинский филиал»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</w:numPr>
        <w:tabs>
          <w:tab w:val="clear" w:pos="0"/>
        </w:tabs>
        <w:spacing w:before="0" w:after="0"/>
        <w:ind w:hanging="0" w:left="0"/>
        <w:rPr>
          <w:lang w:val="ru-RU"/>
        </w:rPr>
      </w:pPr>
      <w:bookmarkStart w:id="19" w:name="_Toc46743508"/>
      <w:bookmarkStart w:id="20" w:name="_Toc54643698"/>
      <w:r>
        <w:rPr>
          <w:lang w:val="ru-RU"/>
        </w:rPr>
        <w:t xml:space="preserve">1.4. </w:t>
      </w:r>
      <w:r>
        <w:rPr/>
        <w:t>Существующее положение</w:t>
      </w:r>
      <w:bookmarkEnd w:id="19"/>
      <w:bookmarkEnd w:id="20"/>
      <w:r>
        <w:rPr>
          <w:lang w:val="ru-RU"/>
        </w:rPr>
        <w:t>:</w:t>
      </w:r>
      <w:bookmarkStart w:id="21" w:name="_GoBack"/>
      <w:bookmarkEnd w:id="21"/>
    </w:p>
    <w:p>
      <w:pPr>
        <w:pStyle w:val="Heading1"/>
        <w:numPr>
          <w:ilvl w:val="0"/>
          <w:numId w:val="0"/>
        </w:numPr>
        <w:spacing w:before="0" w:after="0"/>
        <w:ind w:hanging="0" w:left="0"/>
        <w:rPr>
          <w:sz w:val="24"/>
          <w:szCs w:val="24"/>
        </w:rPr>
      </w:pPr>
      <w:bookmarkStart w:id="22" w:name="_Toc54643699"/>
      <w:r>
        <w:rPr>
          <w:sz w:val="24"/>
          <w:szCs w:val="24"/>
        </w:rPr>
        <w:t>Таблица 1. Перечень объектов заказчика</w:t>
      </w:r>
      <w:bookmarkEnd w:id="22"/>
    </w:p>
    <w:tbl>
      <w:tblPr>
        <w:tblW w:w="9918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17"/>
        <w:gridCol w:w="2838"/>
        <w:gridCol w:w="2150"/>
        <w:gridCol w:w="2568"/>
        <w:gridCol w:w="1545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 (место оказания услуг)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Эзминская ГЭС,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Гизельдонская ГЭС,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Дзауджикауская ГЭС,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Головная Зарамагская ГЭС, Зарамагская ГЭС-1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Павлодольская ГЭС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  <w:lang w:val="en-US"/>
              </w:rPr>
              <w:t>Республика Северная Осетия-Алания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hanging="0" w:left="0"/>
              <w:jc w:val="center"/>
              <w:rPr>
                <w:b w:val="false"/>
                <w:bCs w:val="false"/>
                <w:lang w:val="ru-RU"/>
              </w:rPr>
            </w:pPr>
            <w:r>
              <w:rPr>
                <w:b w:val="false"/>
                <w:bCs w:val="false"/>
                <w:iCs/>
                <w:lang w:val="ru-RU"/>
              </w:rPr>
              <w:t>КСБ  станций Северо-Осетинского филиала ПАО «РусГидро»</w:t>
            </w:r>
          </w:p>
          <w:p>
            <w:pPr>
              <w:pStyle w:val="Normal"/>
              <w:widowControl w:val="false"/>
              <w:spacing w:before="120" w:after="60"/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0"/>
        </w:numPr>
        <w:tabs>
          <w:tab w:val="clear" w:pos="0"/>
          <w:tab w:val="left" w:pos="851" w:leader="none"/>
        </w:tabs>
        <w:spacing w:before="0" w:after="0"/>
        <w:ind w:hanging="0" w:left="0"/>
        <w:rPr/>
      </w:pPr>
      <w:r>
        <w:rPr/>
      </w:r>
    </w:p>
    <w:p>
      <w:pPr>
        <w:pStyle w:val="Heading4"/>
        <w:numPr>
          <w:ilvl w:val="1"/>
          <w:numId w:val="13"/>
        </w:numPr>
        <w:tabs>
          <w:tab w:val="left" w:pos="0" w:leader="none"/>
          <w:tab w:val="left" w:pos="851" w:leader="none"/>
        </w:tabs>
        <w:spacing w:before="0" w:after="0"/>
        <w:ind w:hanging="0" w:left="0"/>
        <w:rPr/>
      </w:pPr>
      <w:r>
        <w:rPr/>
        <w:t>Информация в отношении исполнения договора, которая должна быть учтена при подготовке заявки (в том числе перечень ресурсов, услуг и</w:t>
      </w:r>
      <w:r>
        <w:rPr>
          <w:lang w:val="ru-RU"/>
        </w:rPr>
        <w:t xml:space="preserve"> </w:t>
      </w:r>
      <w:r>
        <w:rPr/>
        <w:t xml:space="preserve">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r>
        <w:rPr>
          <w:lang w:val="ru-RU"/>
        </w:rPr>
        <w:t xml:space="preserve">: </w:t>
      </w:r>
    </w:p>
    <w:p>
      <w:pPr>
        <w:pStyle w:val="Heading3"/>
        <w:numPr>
          <w:ilvl w:val="0"/>
          <w:numId w:val="0"/>
        </w:numPr>
        <w:tabs>
          <w:tab w:val="clear" w:pos="708"/>
          <w:tab w:val="left" w:pos="993" w:leader="none"/>
        </w:tabs>
        <w:spacing w:before="0" w:after="0"/>
        <w:ind w:hanging="0" w:left="0"/>
        <w:rPr>
          <w:b w:val="false"/>
        </w:rPr>
      </w:pPr>
      <w:r>
        <w:rPr>
          <w:b w:val="false"/>
          <w:lang w:val="ru-RU"/>
        </w:rPr>
        <w:t xml:space="preserve">Арендатор </w:t>
      </w:r>
      <w:r>
        <w:rPr>
          <w:b w:val="false"/>
        </w:rPr>
        <w:t xml:space="preserve">планирует использовать (применять) технику в соответствии с номенклатурой (согласно </w:t>
      </w:r>
      <w:r>
        <w:rPr>
          <w:b w:val="false"/>
          <w:lang w:val="ru-RU"/>
        </w:rPr>
        <w:t>табл.2</w:t>
      </w:r>
      <w:r>
        <w:rPr>
          <w:b w:val="false"/>
        </w:rPr>
        <w:t>. настоящих Технических требований)</w:t>
      </w:r>
      <w:r>
        <w:rPr>
          <w:b w:val="false"/>
          <w:lang w:val="ru-RU"/>
        </w:rPr>
        <w:t>.</w:t>
      </w:r>
      <w:r>
        <w:rPr>
          <w:b w:val="false"/>
        </w:rPr>
        <w:t xml:space="preserve"> 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11"/>
        </w:numPr>
        <w:tabs>
          <w:tab w:val="clear" w:pos="708"/>
          <w:tab w:val="left" w:pos="567" w:leader="none"/>
          <w:tab w:val="left" w:pos="851" w:leader="none"/>
        </w:tabs>
        <w:spacing w:before="0" w:after="0"/>
        <w:jc w:val="center"/>
        <w:rPr>
          <w:sz w:val="24"/>
          <w:szCs w:val="24"/>
        </w:rPr>
      </w:pPr>
      <w:bookmarkStart w:id="23" w:name="_Toc157772678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23"/>
    </w:p>
    <w:p>
      <w:pPr>
        <w:pStyle w:val="Heading2"/>
        <w:numPr>
          <w:ilvl w:val="1"/>
          <w:numId w:val="12"/>
        </w:numPr>
        <w:tabs>
          <w:tab w:val="left" w:pos="0" w:leader="none"/>
          <w:tab w:val="left" w:pos="567" w:leader="none"/>
          <w:tab w:val="left" w:pos="851" w:leader="none"/>
        </w:tabs>
        <w:spacing w:before="0" w:after="0"/>
        <w:rPr/>
      </w:pPr>
      <w:bookmarkStart w:id="24" w:name="_Toc157772679"/>
      <w:r>
        <w:rPr/>
        <w:t xml:space="preserve">Требования к объемам и срокам </w:t>
      </w:r>
      <w:bookmarkEnd w:id="24"/>
      <w:r>
        <w:rPr>
          <w:lang w:val="ru-RU"/>
        </w:rPr>
        <w:t>аренды:</w:t>
      </w:r>
    </w:p>
    <w:p>
      <w:pPr>
        <w:pStyle w:val="Heading3"/>
        <w:numPr>
          <w:ilvl w:val="2"/>
          <w:numId w:val="16"/>
        </w:numPr>
        <w:spacing w:before="0" w:after="0"/>
        <w:ind w:hanging="302" w:left="302"/>
        <w:rPr/>
      </w:pPr>
      <w:bookmarkStart w:id="25" w:name="_Toc157772680"/>
      <w:bookmarkStart w:id="26" w:name="_Toc54643704"/>
      <w:r>
        <w:rPr/>
        <w:t xml:space="preserve">Требования к перечню и объему </w:t>
      </w:r>
      <w:bookmarkEnd w:id="25"/>
      <w:bookmarkEnd w:id="26"/>
      <w:r>
        <w:rPr>
          <w:lang w:val="ru-RU"/>
        </w:rPr>
        <w:t>аренды:</w:t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jc w:val="left"/>
        <w:rPr>
          <w:sz w:val="24"/>
          <w:szCs w:val="24"/>
          <w:lang w:val="ru-RU"/>
        </w:rPr>
      </w:pPr>
      <w:bookmarkStart w:id="27" w:name="_Toc157772681"/>
      <w:r>
        <w:rPr>
          <w:sz w:val="24"/>
          <w:szCs w:val="24"/>
        </w:rPr>
        <w:t xml:space="preserve">Таблица 2. Перечень и объем </w:t>
      </w:r>
      <w:bookmarkEnd w:id="27"/>
      <w:r>
        <w:rPr>
          <w:sz w:val="24"/>
          <w:szCs w:val="24"/>
        </w:rPr>
        <w:t>аренды</w:t>
      </w:r>
      <w:r>
        <w:rPr>
          <w:sz w:val="24"/>
          <w:szCs w:val="24"/>
          <w:lang w:val="ru-RU"/>
        </w:rPr>
        <w:t>:</w:t>
      </w:r>
    </w:p>
    <w:tbl>
      <w:tblPr>
        <w:tblW w:w="10175" w:type="dxa"/>
        <w:jc w:val="left"/>
        <w:tblInd w:w="-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66"/>
        <w:gridCol w:w="4194"/>
        <w:gridCol w:w="3105"/>
        <w:gridCol w:w="2109"/>
      </w:tblGrid>
      <w:tr>
        <w:trPr/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услуг/этапа услуг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  <w:tab w:val="left" w:pos="985" w:leader="none"/>
              </w:tabs>
              <w:spacing w:before="120" w:after="60"/>
              <w:ind w:hanging="0" w:left="0"/>
              <w:jc w:val="left"/>
              <w:rPr/>
            </w:pPr>
            <w:r>
              <w:rPr>
                <w:b w:val="false"/>
                <w:lang w:val="ru-RU"/>
              </w:rPr>
              <w:t>ОКПД 2:77.11.10.000 Аренда транспортных средств без экипажа для нужд Северо-Кавказского филиала АО «Гидроремонт-ВКК» в с.Заюково (в соответствии с перечнем транспортных средств)*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Условная единица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*Перечень транспортных средств</w:t>
      </w:r>
    </w:p>
    <w:tbl>
      <w:tblPr>
        <w:tblW w:w="9988" w:type="dxa"/>
        <w:jc w:val="left"/>
        <w:tblInd w:w="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11"/>
        <w:gridCol w:w="1982"/>
        <w:gridCol w:w="3934"/>
        <w:gridCol w:w="1538"/>
        <w:gridCol w:w="1723"/>
      </w:tblGrid>
      <w:tr>
        <w:trPr>
          <w:trHeight w:val="857" w:hRule="atLeast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техники</w:t>
            </w:r>
          </w:p>
          <w:p>
            <w:pPr>
              <w:pStyle w:val="Normal"/>
              <w:widowControl w:val="fals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характеристикам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426" w:leader="none"/>
              </w:tabs>
              <w:ind w:hanging="10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единиц техники</w:t>
            </w:r>
          </w:p>
        </w:tc>
      </w:tr>
      <w:tr>
        <w:trPr>
          <w:trHeight w:val="351" w:hRule="atLeast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478" w:hRule="atLeast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4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Легковое ТС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bCs/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</w:rPr>
              <w:t xml:space="preserve">Грузоподъемность — не менее 400кг, количество пассажирских мест — не менее 4, объем багажного отделения — не менее 360 л, дорожный просвет — не менее 165 мм, тип привода – передний или полный,  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>наличие рабочего охладителя и обогревателя в салоне, наличие багажника на крыше.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 должно быть в исправном техническом состоянии, прошедшее государственный технический осмотр.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0"/>
          <w:numId w:val="0"/>
        </w:numPr>
        <w:tabs>
          <w:tab w:val="clear" w:pos="708"/>
          <w:tab w:val="left" w:pos="567" w:leader="none"/>
          <w:tab w:val="left" w:pos="851" w:leader="none"/>
        </w:tabs>
        <w:spacing w:before="120" w:after="0"/>
        <w:ind w:hanging="0" w:left="720"/>
        <w:rPr/>
      </w:pPr>
      <w:r>
        <w:rPr/>
      </w:r>
    </w:p>
    <w:p>
      <w:pPr>
        <w:pStyle w:val="Heading3"/>
        <w:numPr>
          <w:ilvl w:val="2"/>
          <w:numId w:val="14"/>
        </w:numPr>
        <w:tabs>
          <w:tab w:val="clear" w:pos="708"/>
          <w:tab w:val="left" w:pos="567" w:leader="none"/>
          <w:tab w:val="left" w:pos="851" w:leader="none"/>
        </w:tabs>
        <w:spacing w:before="0" w:after="0"/>
        <w:rPr>
          <w:lang w:val="en-US"/>
        </w:rPr>
      </w:pPr>
      <w:r>
        <w:rPr/>
        <w:t xml:space="preserve">Требования к срокам </w:t>
      </w:r>
      <w:r>
        <w:rPr>
          <w:lang w:val="en-US"/>
        </w:rPr>
        <w:t>аренды:</w:t>
      </w:r>
    </w:p>
    <w:p>
      <w:pPr>
        <w:pStyle w:val="Heading1"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28" w:name="_Toc54643707"/>
      <w:bookmarkStart w:id="29" w:name="_Toc157772683"/>
      <w:bookmarkStart w:id="30" w:name="_Toc51339697"/>
      <w:bookmarkStart w:id="31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8"/>
      <w:bookmarkEnd w:id="29"/>
      <w:bookmarkEnd w:id="30"/>
      <w:bookmarkEnd w:id="31"/>
      <w:bookmarkEnd w:id="32"/>
      <w:r>
        <w:rPr>
          <w:sz w:val="24"/>
          <w:szCs w:val="24"/>
          <w:lang w:val="ru-RU"/>
        </w:rPr>
        <w:t>аренды:</w:t>
      </w:r>
    </w:p>
    <w:tbl>
      <w:tblPr>
        <w:tblW w:w="10129" w:type="dxa"/>
        <w:jc w:val="left"/>
        <w:tblInd w:w="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96"/>
        <w:gridCol w:w="5218"/>
        <w:gridCol w:w="2013"/>
        <w:gridCol w:w="2101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аренды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аренды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/>
              <w:rPr/>
            </w:pPr>
            <w:r>
              <w:rPr/>
              <w:t>1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  <w:tab w:val="left" w:pos="985" w:leader="none"/>
              </w:tabs>
              <w:spacing w:before="120" w:after="60"/>
              <w:ind w:hanging="0" w:left="0"/>
              <w:jc w:val="left"/>
              <w:rPr/>
            </w:pPr>
            <w:r>
              <w:rPr>
                <w:b w:val="false"/>
                <w:lang w:val="ru-RU"/>
              </w:rPr>
              <w:t>ОКПД 2: 77.11.10.000 Аренда транспортных средств без экипажа для нужд Северо-Кавказского филиала АО «Гидроремонт-ВКК» в с.Заюково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01.01.2027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данный срок установлен исходя из сроков, указанных в доходном договоре, согласно пункта 1.3.</w:t>
      </w:r>
    </w:p>
    <w:p>
      <w:pPr>
        <w:pStyle w:val="Heading2"/>
        <w:numPr>
          <w:ilvl w:val="0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ind w:hanging="0" w:left="720"/>
        <w:rPr/>
      </w:pPr>
      <w:r>
        <w:rPr/>
      </w:r>
      <w:bookmarkStart w:id="33" w:name="_Toc157772684"/>
      <w:bookmarkStart w:id="34" w:name="_Toc157772684"/>
    </w:p>
    <w:p>
      <w:pPr>
        <w:pStyle w:val="Heading2"/>
        <w:numPr>
          <w:ilvl w:val="1"/>
          <w:numId w:val="15"/>
        </w:numPr>
        <w:tabs>
          <w:tab w:val="left" w:pos="0" w:leader="none"/>
          <w:tab w:val="left" w:pos="567" w:leader="none"/>
          <w:tab w:val="left" w:pos="851" w:leader="none"/>
        </w:tabs>
        <w:spacing w:before="0" w:after="0"/>
        <w:rPr/>
      </w:pPr>
      <w:r>
        <w:rPr/>
        <w:t xml:space="preserve">Требования к </w:t>
      </w:r>
      <w:r>
        <w:rPr>
          <w:lang w:val="ru-RU"/>
        </w:rPr>
        <w:t xml:space="preserve">качеству </w:t>
      </w:r>
      <w:bookmarkEnd w:id="34"/>
      <w:r>
        <w:rPr>
          <w:lang w:val="ru-RU"/>
        </w:rPr>
        <w:t>арендованных транспортных средств</w:t>
      </w:r>
    </w:p>
    <w:p>
      <w:pPr>
        <w:pStyle w:val="Heading1"/>
        <w:numPr>
          <w:ilvl w:val="0"/>
          <w:numId w:val="0"/>
        </w:numPr>
        <w:spacing w:before="0" w:after="60"/>
        <w:ind w:hanging="0" w:left="0"/>
        <w:jc w:val="left"/>
        <w:rPr>
          <w:sz w:val="24"/>
          <w:szCs w:val="24"/>
        </w:rPr>
      </w:pPr>
      <w:bookmarkStart w:id="35" w:name="_Toc157772685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арендованных транспортных средств</w:t>
      </w:r>
      <w:bookmarkEnd w:id="35"/>
    </w:p>
    <w:p>
      <w:pPr>
        <w:pStyle w:val="Normal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Наименование: </w:t>
      </w:r>
      <w:r>
        <w:rPr>
          <w:rFonts w:eastAsia="Calibri"/>
          <w:bCs/>
          <w:sz w:val="24"/>
          <w:szCs w:val="24"/>
          <w:lang w:eastAsia="x-none"/>
        </w:rPr>
        <w:t>ОКПД 2: 77.11.10.000 Аренда транспортных средств без экипажа для нужд Северо-Кавказского филиала АО «Гидроремонт-ВКК» в с.Заюково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9"/>
        <w:tblW w:w="1014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34"/>
        <w:gridCol w:w="4041"/>
        <w:gridCol w:w="5266"/>
      </w:tblGrid>
      <w:tr>
        <w:trPr>
          <w:trHeight w:val="705" w:hRule="atLeast"/>
        </w:trPr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 w:eastAsia="ru-RU" w:bidi="ar-SA"/>
              </w:rPr>
              <w:t xml:space="preserve"> Арендатора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bookmarkStart w:id="3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6"/>
          </w:p>
        </w:tc>
        <w:tc>
          <w:tcPr>
            <w:tcW w:w="4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аренде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en-US" w:eastAsia="ru-RU" w:bidi="ar-SA"/>
              </w:rPr>
              <w:t>1.1.</w:t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аренде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</w:t>
            </w:r>
          </w:p>
        </w:tc>
        <w:tc>
          <w:tcPr>
            <w:tcW w:w="4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Объем аренды</w:t>
            </w:r>
          </w:p>
        </w:tc>
        <w:tc>
          <w:tcPr>
            <w:tcW w:w="52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Арендатор осуществляет любые правомерные действия по эксплуатации в соответствии с целями и назначением ТС согласно п.2.1.1. «Требования к перечню и объему аренды» и п.1.3 ТТ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en-US" w:eastAsia="ru-RU" w:bidi="ar-SA"/>
              </w:rPr>
              <w:t>1.2.</w:t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аренды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1.2.1.</w:t>
            </w:r>
          </w:p>
        </w:tc>
        <w:tc>
          <w:tcPr>
            <w:tcW w:w="40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Арендодателя</w:t>
            </w:r>
          </w:p>
        </w:tc>
        <w:tc>
          <w:tcPr>
            <w:tcW w:w="5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предоставить все необходимые документы на ТС (свидетельство о регистрации транспортного средства, паспорт транспортного средства, диагностическую карту, страховой полис) и комплект ключей. Арендодатель обязан нести все расходы, связанные с эксплуатацией ТС, включая, но не ограничиваясь по оплате горюче-смазочных материалов, оплату всех видов технического обслуживания и ремонтов, в том числе приобретение запасных частей, автошин, (шины должны соответствовать сезону и своевременно меняться в соответствии с ПДД), расходных материалов и т.п., хранение и утилизация отходов (отработанных шин, масла, тормозные накладок и т.п.), расходы по страхованию (КАСКО, ОСАГО), уплате налоговых пошлин, штрафов и иных расходов.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Предельный пробег ТС в месяц ≈ до 5000 км.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930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предоставлении в аренду транспортным средствам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40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Транспортное средство</w:t>
            </w:r>
          </w:p>
        </w:tc>
        <w:tc>
          <w:tcPr>
            <w:tcW w:w="5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предоставляться в технически исправном состоянии и  соответствовать всем установленным для них техническим требованиям безопасности дорожного движения.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укомплектовано необходимыми вспомогательными средствами: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огнетушитель;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аварийный знак остановки;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аптечка для оказания первой помощи пострадавшим в ДТП (автомобильная);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видеорегистратор;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запасное колесо;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баллонный ключ;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комплект зимних шипованных/летних шин.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результатам предоставления в аренду транспортных средств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en-US" w:eastAsia="ru-RU" w:bidi="ar-SA"/>
              </w:rPr>
              <w:t>2.1.</w:t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предоставления в аренду транспортных средств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2.1.1.</w:t>
            </w:r>
          </w:p>
        </w:tc>
        <w:tc>
          <w:tcPr>
            <w:tcW w:w="4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Учет времени эксплуатации ТС производится по факту отработанного времени, указанному в  путевых листах, подписанных Арендатором.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en-US" w:eastAsia="ru-RU" w:bidi="ar-SA"/>
              </w:rPr>
              <w:t>2.2.</w:t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предоставления в аренду транспортных средств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2.2.1.</w:t>
            </w:r>
          </w:p>
        </w:tc>
        <w:tc>
          <w:tcPr>
            <w:tcW w:w="4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Арендодателя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на момент заключения Договора обязан осуществить страхование ТС на весь срок аренды по договору обязательного страхования гражданской ответственности владельцев транспортных средств.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lang w:val="en-US" w:eastAsia="ru-RU" w:bidi="ar-SA"/>
              </w:rPr>
              <w:t>2.3.</w:t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предоставления в аренду транспортных средств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ru-RU" w:bidi="ar-SA"/>
              </w:rPr>
              <w:t>2.3.1</w:t>
            </w:r>
          </w:p>
        </w:tc>
        <w:tc>
          <w:tcPr>
            <w:tcW w:w="4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Арендодателя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в течение 2 (двух) рабочих дней с даты подписания договора обязан передать по акту приема – передачи транспортное средство с принадлежностями, необходимыми для его эксплуатации.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арендатора документации, определяемой видами услуг (помимо указанных в других разделах ТТ)</w:t>
            </w:r>
          </w:p>
        </w:tc>
      </w:tr>
      <w:tr>
        <w:trPr>
          <w:trHeight w:val="1390" w:hRule="atLeast"/>
        </w:trPr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40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Арендодателя</w:t>
            </w:r>
          </w:p>
        </w:tc>
        <w:tc>
          <w:tcPr>
            <w:tcW w:w="5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соблюдать законодательство РФ при эксплуатации, обслуживании ТС.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Арендодателя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4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Арендодателя</w:t>
            </w:r>
          </w:p>
        </w:tc>
        <w:tc>
          <w:tcPr>
            <w:tcW w:w="526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несет ответственность за качество, работоспособность, функциональные свойства арендуемого ТС в соответствии с настоящими техническими требованиями и действующими нормативными актами РФ.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невозможности предоставления ТС (поломка, плановые ремонт или техническое обслуживание) Арендодатель обязан незамедлительно уведомить об этом Арендатора и по согласованию с ним предоставить ТС с аналогичными техническими характеристиками. Время отсутствия ТС не оплачивается.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Арендодателю и его обязательствам, влияющим на исполнение договора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4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526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Арендодатель обязан при невозможности предоставления 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технику в течении 24 часов с аналогичными техническими характеристиками, соответствующими условиям Договора и на условиях, согласованных в Заявках.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поломки техники Арендатор уведомляет Арендодателя посредством телефонной связи.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уведомления о неисправности техники Арендодатель обязан в течении 24 часов устранить неисправность или предоставить в рабочем состоянии ТС с аналогичными характеристиками, без увеличения стоимости услуг.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3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Прочие требования к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аренде</w:t>
            </w:r>
          </w:p>
        </w:tc>
      </w:tr>
      <w:tr>
        <w:trPr/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6.1.</w:t>
            </w:r>
          </w:p>
        </w:tc>
        <w:tc>
          <w:tcPr>
            <w:tcW w:w="4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месяц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1 месяца является фиксированной и постоянной на протяжении всего срока действия договора.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 неполный месяц оплата производится пропорционально фактически использованному времени.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bookmarkStart w:id="37" w:name="_Toc51951664"/>
      <w:bookmarkStart w:id="38" w:name="_Toc51950249"/>
      <w:bookmarkStart w:id="39" w:name="_Toc51951665"/>
      <w:bookmarkStart w:id="40" w:name="_Toc51952198"/>
      <w:bookmarkStart w:id="41" w:name="_Toc51952458"/>
      <w:bookmarkStart w:id="42" w:name="_Toc51952896"/>
      <w:bookmarkStart w:id="43" w:name="_Toc51953286"/>
      <w:bookmarkStart w:id="44" w:name="_Toc51953676"/>
      <w:bookmarkStart w:id="45" w:name="_Toc51954066"/>
      <w:bookmarkStart w:id="46" w:name="_Toc53499408"/>
      <w:bookmarkStart w:id="47" w:name="_Toc53758624"/>
      <w:bookmarkStart w:id="48" w:name="_Toc51951923"/>
      <w:bookmarkStart w:id="49" w:name="_Toc53499409"/>
      <w:bookmarkStart w:id="50" w:name="_Toc51951283"/>
      <w:bookmarkStart w:id="51" w:name="_Toc53758627"/>
      <w:bookmarkStart w:id="52" w:name="_Toc51949203"/>
      <w:bookmarkStart w:id="53" w:name="_Toc51950250"/>
      <w:bookmarkStart w:id="54" w:name="_Toc51951284"/>
      <w:bookmarkStart w:id="55" w:name="_Toc51951924"/>
      <w:bookmarkStart w:id="56" w:name="_Toc51952199"/>
      <w:bookmarkStart w:id="57" w:name="_Toc51952459"/>
      <w:bookmarkStart w:id="58" w:name="_Toc51952897"/>
      <w:bookmarkStart w:id="59" w:name="_Toc51953287"/>
      <w:bookmarkStart w:id="60" w:name="_Toc51953677"/>
      <w:bookmarkStart w:id="61" w:name="_Toc51954067"/>
      <w:bookmarkStart w:id="62" w:name="_Toc53758626"/>
      <w:bookmarkStart w:id="63" w:name="_Toc53499410"/>
      <w:bookmarkStart w:id="64" w:name="_Toc51951673"/>
      <w:bookmarkStart w:id="65" w:name="_Toc51949207"/>
      <w:bookmarkStart w:id="66" w:name="_Toc51950258"/>
      <w:bookmarkStart w:id="67" w:name="_Toc51951285"/>
      <w:bookmarkStart w:id="68" w:name="_Toc51951666"/>
      <w:bookmarkStart w:id="69" w:name="_Toc51951925"/>
      <w:bookmarkStart w:id="70" w:name="_Toc51952200"/>
      <w:bookmarkStart w:id="71" w:name="_Toc51952460"/>
      <w:bookmarkStart w:id="72" w:name="_Toc51952898"/>
      <w:bookmarkStart w:id="73" w:name="_Toc51953288"/>
      <w:bookmarkStart w:id="74" w:name="_Toc51953678"/>
      <w:bookmarkStart w:id="75" w:name="_Toc51954068"/>
      <w:bookmarkStart w:id="76" w:name="_Toc53499411"/>
      <w:bookmarkStart w:id="77" w:name="_Toc53758625"/>
      <w:bookmarkStart w:id="78" w:name="_Toc51949204"/>
      <w:bookmarkStart w:id="79" w:name="_Toc51950252"/>
      <w:bookmarkStart w:id="80" w:name="_Toc51951286"/>
      <w:bookmarkStart w:id="81" w:name="_Toc51951667"/>
      <w:bookmarkStart w:id="82" w:name="_Toc51951926"/>
      <w:bookmarkStart w:id="83" w:name="_Toc51952201"/>
      <w:bookmarkStart w:id="84" w:name="_Toc51952461"/>
      <w:bookmarkStart w:id="85" w:name="_Toc51952899"/>
      <w:bookmarkStart w:id="86" w:name="_Toc51953289"/>
      <w:bookmarkStart w:id="87" w:name="_Toc51953679"/>
      <w:bookmarkStart w:id="88" w:name="_Toc51954069"/>
      <w:bookmarkStart w:id="89" w:name="_Toc53499414"/>
      <w:bookmarkStart w:id="90" w:name="_Toc53758630"/>
      <w:bookmarkStart w:id="91" w:name="_Toc51949210"/>
      <w:bookmarkStart w:id="92" w:name="_Toc51950255"/>
      <w:bookmarkStart w:id="93" w:name="_Toc53758639"/>
      <w:bookmarkStart w:id="94" w:name="_Toc51951289"/>
      <w:bookmarkStart w:id="95" w:name="_Toc51951670"/>
      <w:bookmarkStart w:id="96" w:name="_Toc51951929"/>
      <w:bookmarkStart w:id="97" w:name="_Toc51952204"/>
      <w:bookmarkStart w:id="98" w:name="_Toc51952464"/>
      <w:bookmarkStart w:id="99" w:name="_Toc51953292"/>
      <w:bookmarkStart w:id="100" w:name="_Toc51953682"/>
      <w:bookmarkStart w:id="101" w:name="_Toc51954072"/>
      <w:bookmarkStart w:id="102" w:name="_Toc53499423"/>
      <w:bookmarkStart w:id="103" w:name="_Toc51949201"/>
      <w:bookmarkStart w:id="104" w:name="_Toc51949216"/>
      <w:bookmarkStart w:id="105" w:name="_Toc53758633"/>
      <w:bookmarkStart w:id="106" w:name="_Toc53499417"/>
      <w:bookmarkStart w:id="107" w:name="_Toc51954075"/>
      <w:bookmarkStart w:id="108" w:name="_Toc51953685"/>
      <w:bookmarkStart w:id="109" w:name="_Toc51953295"/>
      <w:bookmarkStart w:id="110" w:name="_Toc51952905"/>
      <w:bookmarkStart w:id="111" w:name="_Toc51952467"/>
      <w:bookmarkStart w:id="112" w:name="_Toc51952902"/>
      <w:bookmarkStart w:id="113" w:name="_Toc51952207"/>
      <w:bookmarkStart w:id="114" w:name="_Toc51951932"/>
      <w:bookmarkStart w:id="115" w:name="_Toc53499420"/>
      <w:bookmarkStart w:id="116" w:name="_Toc53758636"/>
      <w:bookmarkStart w:id="117" w:name="_Toc51949213"/>
      <w:bookmarkStart w:id="118" w:name="_Toc51950261"/>
      <w:bookmarkStart w:id="119" w:name="_Toc51951295"/>
      <w:bookmarkStart w:id="120" w:name="_Toc51951676"/>
      <w:bookmarkStart w:id="121" w:name="_Toc51951935"/>
      <w:bookmarkStart w:id="122" w:name="_Toc51952210"/>
      <w:bookmarkStart w:id="123" w:name="_Toc51952470"/>
      <w:bookmarkStart w:id="124" w:name="_Toc51952908"/>
      <w:bookmarkStart w:id="125" w:name="_Toc51953298"/>
      <w:bookmarkStart w:id="126" w:name="_Toc51953688"/>
      <w:bookmarkStart w:id="127" w:name="_Toc51954078"/>
      <w:bookmarkStart w:id="128" w:name="_Toc51950251"/>
      <w:bookmarkStart w:id="129" w:name="_Toc51951292"/>
      <w:bookmarkStart w:id="130" w:name="_Toc51949202"/>
      <w:bookmarkStart w:id="131" w:name="_Toc51950264"/>
      <w:bookmarkStart w:id="132" w:name="_Toc51951298"/>
      <w:bookmarkStart w:id="133" w:name="_Toc51951679"/>
      <w:bookmarkStart w:id="134" w:name="_Toc51951938"/>
      <w:bookmarkStart w:id="135" w:name="_Toc51952213"/>
      <w:bookmarkStart w:id="136" w:name="_Toc51952473"/>
      <w:bookmarkStart w:id="137" w:name="_Toc51952911"/>
      <w:bookmarkStart w:id="138" w:name="_Toc51953301"/>
      <w:bookmarkStart w:id="139" w:name="_Toc51953691"/>
      <w:bookmarkStart w:id="140" w:name="_Toc51954081"/>
      <w:bookmarkStart w:id="141" w:name="_Toc53499424"/>
      <w:bookmarkStart w:id="142" w:name="_Toc53758640"/>
      <w:bookmarkStart w:id="143" w:name="_Toc53758654"/>
      <w:bookmarkStart w:id="144" w:name="_Toc51950265"/>
      <w:bookmarkStart w:id="145" w:name="_Toc51951299"/>
      <w:bookmarkStart w:id="146" w:name="_Toc51951680"/>
      <w:bookmarkStart w:id="147" w:name="_Toc51951939"/>
      <w:bookmarkStart w:id="148" w:name="_Toc51952214"/>
      <w:bookmarkStart w:id="149" w:name="_Toc51952474"/>
      <w:bookmarkStart w:id="150" w:name="_Toc51952912"/>
      <w:bookmarkStart w:id="151" w:name="_Toc51953302"/>
      <w:bookmarkStart w:id="152" w:name="_Toc51953692"/>
      <w:bookmarkStart w:id="153" w:name="_Toc51954082"/>
      <w:bookmarkStart w:id="154" w:name="_Toc53499434"/>
      <w:bookmarkStart w:id="155" w:name="_Toc53758641"/>
      <w:bookmarkStart w:id="156" w:name="_Toc51949227"/>
      <w:bookmarkStart w:id="157" w:name="_Toc51950266"/>
      <w:bookmarkStart w:id="158" w:name="_Toc51951300"/>
      <w:bookmarkStart w:id="159" w:name="_Toc51951681"/>
      <w:bookmarkStart w:id="160" w:name="_Toc51951940"/>
      <w:bookmarkStart w:id="161" w:name="_Toc51952215"/>
      <w:bookmarkStart w:id="162" w:name="_Toc51952475"/>
      <w:bookmarkStart w:id="163" w:name="_Toc51952913"/>
      <w:bookmarkStart w:id="164" w:name="_Toc51953303"/>
      <w:bookmarkStart w:id="165" w:name="_Toc51953693"/>
      <w:bookmarkStart w:id="166" w:name="_Toc51954083"/>
      <w:bookmarkStart w:id="167" w:name="_Toc51949217"/>
      <w:bookmarkStart w:id="168" w:name="_Toc51951682"/>
      <w:bookmarkStart w:id="169" w:name="_Toc53499426"/>
      <w:bookmarkStart w:id="170" w:name="_Toc51954084"/>
      <w:bookmarkStart w:id="171" w:name="_Toc51953694"/>
      <w:bookmarkStart w:id="172" w:name="_Toc51953304"/>
      <w:bookmarkStart w:id="173" w:name="_Toc51952914"/>
      <w:bookmarkStart w:id="174" w:name="_Toc51952476"/>
      <w:bookmarkStart w:id="175" w:name="_Toc51952216"/>
      <w:bookmarkStart w:id="176" w:name="_Toc51951941"/>
      <w:bookmarkStart w:id="177" w:name="_Toc51951309"/>
      <w:bookmarkStart w:id="178" w:name="_Toc51951301"/>
      <w:bookmarkStart w:id="179" w:name="_Toc51950267"/>
      <w:bookmarkStart w:id="180" w:name="_Toc53499425"/>
      <w:bookmarkStart w:id="181" w:name="_Toc53758642"/>
      <w:bookmarkStart w:id="182" w:name="_Toc51949218"/>
      <w:bookmarkStart w:id="183" w:name="_Toc51950275"/>
      <w:bookmarkStart w:id="184" w:name="_Toc51951690"/>
      <w:bookmarkStart w:id="185" w:name="_Toc51951949"/>
      <w:bookmarkStart w:id="186" w:name="_Toc51952224"/>
      <w:bookmarkStart w:id="187" w:name="_Toc51952484"/>
      <w:bookmarkStart w:id="188" w:name="_Toc51952922"/>
      <w:bookmarkStart w:id="189" w:name="_Toc51953312"/>
      <w:bookmarkStart w:id="190" w:name="_Toc51953702"/>
      <w:bookmarkStart w:id="191" w:name="_Toc51954092"/>
      <w:bookmarkStart w:id="192" w:name="_Toc51949219"/>
      <w:bookmarkStart w:id="193" w:name="_Toc53499435"/>
      <w:bookmarkStart w:id="194" w:name="_Toc53758651"/>
      <w:bookmarkStart w:id="195" w:name="_Toc51949230"/>
      <w:bookmarkStart w:id="196" w:name="_Toc51950276"/>
      <w:bookmarkStart w:id="197" w:name="_Toc51951310"/>
      <w:bookmarkStart w:id="198" w:name="_Toc51951691"/>
      <w:bookmarkStart w:id="199" w:name="_Toc51951950"/>
      <w:bookmarkStart w:id="200" w:name="_Toc51952225"/>
      <w:bookmarkStart w:id="201" w:name="_Toc51952485"/>
      <w:bookmarkStart w:id="202" w:name="_Toc51952923"/>
      <w:bookmarkStart w:id="203" w:name="_Toc51953313"/>
      <w:bookmarkStart w:id="204" w:name="_Toc51953703"/>
      <w:bookmarkStart w:id="205" w:name="_Toc51954093"/>
      <w:bookmarkStart w:id="206" w:name="_Toc53499438"/>
      <w:bookmarkStart w:id="207" w:name="_Toc53758650"/>
      <w:bookmarkStart w:id="208" w:name="_Toc51949231"/>
      <w:bookmarkStart w:id="209" w:name="_Toc51950277"/>
      <w:bookmarkStart w:id="210" w:name="_Toc51951311"/>
      <w:bookmarkStart w:id="211" w:name="_Toc51951692"/>
      <w:bookmarkStart w:id="212" w:name="_Toc51951951"/>
      <w:bookmarkStart w:id="213" w:name="_Toc51952226"/>
      <w:bookmarkStart w:id="214" w:name="_Toc51952486"/>
      <w:bookmarkStart w:id="215" w:name="_Toc51952924"/>
      <w:bookmarkStart w:id="216" w:name="_Toc51953314"/>
      <w:bookmarkStart w:id="217" w:name="_Toc51953704"/>
      <w:bookmarkStart w:id="218" w:name="_Toc51954094"/>
      <w:bookmarkStart w:id="219" w:name="_Toc53499437"/>
      <w:bookmarkStart w:id="220" w:name="_Toc53758653"/>
      <w:bookmarkStart w:id="221" w:name="_Toc51949228"/>
      <w:bookmarkStart w:id="222" w:name="_Toc51950278"/>
      <w:bookmarkStart w:id="223" w:name="_Toc51951312"/>
      <w:bookmarkStart w:id="224" w:name="_Toc51951693"/>
      <w:bookmarkStart w:id="225" w:name="_Toc51951952"/>
      <w:bookmarkStart w:id="226" w:name="_Toc51952227"/>
      <w:bookmarkStart w:id="227" w:name="_Toc51952487"/>
      <w:bookmarkStart w:id="228" w:name="_Toc51952925"/>
      <w:bookmarkStart w:id="229" w:name="_Toc51953315"/>
      <w:bookmarkStart w:id="230" w:name="_Toc51953705"/>
      <w:bookmarkStart w:id="231" w:name="_Toc51954095"/>
      <w:bookmarkStart w:id="232" w:name="_Toc53499436"/>
      <w:bookmarkStart w:id="233" w:name="_Toc53758652"/>
      <w:bookmarkStart w:id="234" w:name="_Toc51949229"/>
      <w:bookmarkStart w:id="235" w:name="_Toc51950279"/>
      <w:bookmarkStart w:id="236" w:name="_Toc51951313"/>
      <w:bookmarkStart w:id="237" w:name="_Toc51951694"/>
      <w:bookmarkStart w:id="238" w:name="_Toc51951953"/>
      <w:bookmarkStart w:id="239" w:name="_Toc51952228"/>
      <w:bookmarkStart w:id="240" w:name="_Toc51952488"/>
      <w:bookmarkStart w:id="241" w:name="_Toc51952926"/>
      <w:bookmarkStart w:id="242" w:name="_Toc51953316"/>
      <w:bookmarkStart w:id="243" w:name="_Toc51953706"/>
      <w:bookmarkStart w:id="244" w:name="_Toc51954096"/>
      <w:bookmarkStart w:id="245" w:name="_Toc51951664"/>
      <w:bookmarkStart w:id="246" w:name="_Toc51950249"/>
      <w:bookmarkStart w:id="247" w:name="_Toc51951665"/>
      <w:bookmarkStart w:id="248" w:name="_Toc51952198"/>
      <w:bookmarkStart w:id="249" w:name="_Toc51952458"/>
      <w:bookmarkStart w:id="250" w:name="_Toc51952896"/>
      <w:bookmarkStart w:id="251" w:name="_Toc51953286"/>
      <w:bookmarkStart w:id="252" w:name="_Toc51953676"/>
      <w:bookmarkStart w:id="253" w:name="_Toc51954066"/>
      <w:bookmarkStart w:id="254" w:name="_Toc53499408"/>
      <w:bookmarkStart w:id="255" w:name="_Toc53758624"/>
      <w:bookmarkStart w:id="256" w:name="_Toc51951923"/>
      <w:bookmarkStart w:id="257" w:name="_Toc53499409"/>
      <w:bookmarkStart w:id="258" w:name="_Toc51951283"/>
      <w:bookmarkStart w:id="259" w:name="_Toc53758627"/>
      <w:bookmarkStart w:id="260" w:name="_Toc51949203"/>
      <w:bookmarkStart w:id="261" w:name="_Toc51950250"/>
      <w:bookmarkStart w:id="262" w:name="_Toc51951284"/>
      <w:bookmarkStart w:id="263" w:name="_Toc51951924"/>
      <w:bookmarkStart w:id="264" w:name="_Toc51952199"/>
      <w:bookmarkStart w:id="265" w:name="_Toc51952459"/>
      <w:bookmarkStart w:id="266" w:name="_Toc51952897"/>
      <w:bookmarkStart w:id="267" w:name="_Toc51953287"/>
      <w:bookmarkStart w:id="268" w:name="_Toc51953677"/>
      <w:bookmarkStart w:id="269" w:name="_Toc51954067"/>
      <w:bookmarkStart w:id="270" w:name="_Toc53758626"/>
      <w:bookmarkStart w:id="271" w:name="_Toc53499410"/>
      <w:bookmarkStart w:id="272" w:name="_Toc51951673"/>
      <w:bookmarkStart w:id="273" w:name="_Toc51949207"/>
      <w:bookmarkStart w:id="274" w:name="_Toc51950258"/>
      <w:bookmarkStart w:id="275" w:name="_Toc51951285"/>
      <w:bookmarkStart w:id="276" w:name="_Toc51951666"/>
      <w:bookmarkStart w:id="277" w:name="_Toc51951925"/>
      <w:bookmarkStart w:id="278" w:name="_Toc51952200"/>
      <w:bookmarkStart w:id="279" w:name="_Toc51952460"/>
      <w:bookmarkStart w:id="280" w:name="_Toc51952898"/>
      <w:bookmarkStart w:id="281" w:name="_Toc51953288"/>
      <w:bookmarkStart w:id="282" w:name="_Toc51953678"/>
      <w:bookmarkStart w:id="283" w:name="_Toc51954068"/>
      <w:bookmarkStart w:id="284" w:name="_Toc53499411"/>
      <w:bookmarkStart w:id="285" w:name="_Toc53758625"/>
      <w:bookmarkStart w:id="286" w:name="_Toc51949204"/>
      <w:bookmarkStart w:id="287" w:name="_Toc51950252"/>
      <w:bookmarkStart w:id="288" w:name="_Toc51951286"/>
      <w:bookmarkStart w:id="289" w:name="_Toc51951667"/>
      <w:bookmarkStart w:id="290" w:name="_Toc51951926"/>
      <w:bookmarkStart w:id="291" w:name="_Toc51952201"/>
      <w:bookmarkStart w:id="292" w:name="_Toc51952461"/>
      <w:bookmarkStart w:id="293" w:name="_Toc51952899"/>
      <w:bookmarkStart w:id="294" w:name="_Toc51953289"/>
      <w:bookmarkStart w:id="295" w:name="_Toc51953679"/>
      <w:bookmarkStart w:id="296" w:name="_Toc51954069"/>
      <w:bookmarkStart w:id="297" w:name="_Toc53499414"/>
      <w:bookmarkStart w:id="298" w:name="_Toc53758630"/>
      <w:bookmarkStart w:id="299" w:name="_Toc51949210"/>
      <w:bookmarkStart w:id="300" w:name="_Toc51950255"/>
      <w:bookmarkStart w:id="301" w:name="_Toc53758639"/>
      <w:bookmarkStart w:id="302" w:name="_Toc51951289"/>
      <w:bookmarkStart w:id="303" w:name="_Toc51951670"/>
      <w:bookmarkStart w:id="304" w:name="_Toc51951929"/>
      <w:bookmarkStart w:id="305" w:name="_Toc51952204"/>
      <w:bookmarkStart w:id="306" w:name="_Toc51952464"/>
      <w:bookmarkStart w:id="307" w:name="_Toc51953292"/>
      <w:bookmarkStart w:id="308" w:name="_Toc51953682"/>
      <w:bookmarkStart w:id="309" w:name="_Toc51954072"/>
      <w:bookmarkStart w:id="310" w:name="_Toc53499423"/>
      <w:bookmarkStart w:id="311" w:name="_Toc51949201"/>
      <w:bookmarkStart w:id="312" w:name="_Toc51949216"/>
      <w:bookmarkStart w:id="313" w:name="_Toc53758633"/>
      <w:bookmarkStart w:id="314" w:name="_Toc53499417"/>
      <w:bookmarkStart w:id="315" w:name="_Toc51954075"/>
      <w:bookmarkStart w:id="316" w:name="_Toc51953685"/>
      <w:bookmarkStart w:id="317" w:name="_Toc51953295"/>
      <w:bookmarkStart w:id="318" w:name="_Toc51952905"/>
      <w:bookmarkStart w:id="319" w:name="_Toc51952467"/>
      <w:bookmarkStart w:id="320" w:name="_Toc51952902"/>
      <w:bookmarkStart w:id="321" w:name="_Toc51952207"/>
      <w:bookmarkStart w:id="322" w:name="_Toc51951932"/>
      <w:bookmarkStart w:id="323" w:name="_Toc53499420"/>
      <w:bookmarkStart w:id="324" w:name="_Toc53758636"/>
      <w:bookmarkStart w:id="325" w:name="_Toc51949213"/>
      <w:bookmarkStart w:id="326" w:name="_Toc51950261"/>
      <w:bookmarkStart w:id="327" w:name="_Toc51951295"/>
      <w:bookmarkStart w:id="328" w:name="_Toc51951676"/>
      <w:bookmarkStart w:id="329" w:name="_Toc51951935"/>
      <w:bookmarkStart w:id="330" w:name="_Toc51952210"/>
      <w:bookmarkStart w:id="331" w:name="_Toc51952470"/>
      <w:bookmarkStart w:id="332" w:name="_Toc51952908"/>
      <w:bookmarkStart w:id="333" w:name="_Toc51953298"/>
      <w:bookmarkStart w:id="334" w:name="_Toc51953688"/>
      <w:bookmarkStart w:id="335" w:name="_Toc51954078"/>
      <w:bookmarkStart w:id="336" w:name="_Toc51950251"/>
      <w:bookmarkStart w:id="337" w:name="_Toc51951292"/>
      <w:bookmarkStart w:id="338" w:name="_Toc51949202"/>
      <w:bookmarkStart w:id="339" w:name="_Toc51950264"/>
      <w:bookmarkStart w:id="340" w:name="_Toc51951298"/>
      <w:bookmarkStart w:id="341" w:name="_Toc51951679"/>
      <w:bookmarkStart w:id="342" w:name="_Toc51951938"/>
      <w:bookmarkStart w:id="343" w:name="_Toc51952213"/>
      <w:bookmarkStart w:id="344" w:name="_Toc51952473"/>
      <w:bookmarkStart w:id="345" w:name="_Toc51952911"/>
      <w:bookmarkStart w:id="346" w:name="_Toc51953301"/>
      <w:bookmarkStart w:id="347" w:name="_Toc51953691"/>
      <w:bookmarkStart w:id="348" w:name="_Toc51954081"/>
      <w:bookmarkStart w:id="349" w:name="_Toc53499424"/>
      <w:bookmarkStart w:id="350" w:name="_Toc53758640"/>
      <w:bookmarkStart w:id="351" w:name="_Toc53758654"/>
      <w:bookmarkStart w:id="352" w:name="_Toc51950265"/>
      <w:bookmarkStart w:id="353" w:name="_Toc51951299"/>
      <w:bookmarkStart w:id="354" w:name="_Toc51951680"/>
      <w:bookmarkStart w:id="355" w:name="_Toc51951939"/>
      <w:bookmarkStart w:id="356" w:name="_Toc51952214"/>
      <w:bookmarkStart w:id="357" w:name="_Toc51952474"/>
      <w:bookmarkStart w:id="358" w:name="_Toc51952912"/>
      <w:bookmarkStart w:id="359" w:name="_Toc51953302"/>
      <w:bookmarkStart w:id="360" w:name="_Toc51953692"/>
      <w:bookmarkStart w:id="361" w:name="_Toc51954082"/>
      <w:bookmarkStart w:id="362" w:name="_Toc53499434"/>
      <w:bookmarkStart w:id="363" w:name="_Toc53758641"/>
      <w:bookmarkStart w:id="364" w:name="_Toc51949227"/>
      <w:bookmarkStart w:id="365" w:name="_Toc51950266"/>
      <w:bookmarkStart w:id="366" w:name="_Toc51951300"/>
      <w:bookmarkStart w:id="367" w:name="_Toc51951681"/>
      <w:bookmarkStart w:id="368" w:name="_Toc51951940"/>
      <w:bookmarkStart w:id="369" w:name="_Toc51952215"/>
      <w:bookmarkStart w:id="370" w:name="_Toc51952475"/>
      <w:bookmarkStart w:id="371" w:name="_Toc51952913"/>
      <w:bookmarkStart w:id="372" w:name="_Toc51953303"/>
      <w:bookmarkStart w:id="373" w:name="_Toc51953693"/>
      <w:bookmarkStart w:id="374" w:name="_Toc51954083"/>
      <w:bookmarkStart w:id="375" w:name="_Toc51949217"/>
      <w:bookmarkStart w:id="376" w:name="_Toc51951682"/>
      <w:bookmarkStart w:id="377" w:name="_Toc53499426"/>
      <w:bookmarkStart w:id="378" w:name="_Toc51954084"/>
      <w:bookmarkStart w:id="379" w:name="_Toc51953694"/>
      <w:bookmarkStart w:id="380" w:name="_Toc51953304"/>
      <w:bookmarkStart w:id="381" w:name="_Toc51952914"/>
      <w:bookmarkStart w:id="382" w:name="_Toc51952476"/>
      <w:bookmarkStart w:id="383" w:name="_Toc51952216"/>
      <w:bookmarkStart w:id="384" w:name="_Toc51951941"/>
      <w:bookmarkStart w:id="385" w:name="_Toc51951309"/>
      <w:bookmarkStart w:id="386" w:name="_Toc51951301"/>
      <w:bookmarkStart w:id="387" w:name="_Toc51950267"/>
      <w:bookmarkStart w:id="388" w:name="_Toc53499425"/>
      <w:bookmarkStart w:id="389" w:name="_Toc53758642"/>
      <w:bookmarkStart w:id="390" w:name="_Toc51949218"/>
      <w:bookmarkStart w:id="391" w:name="_Toc51950275"/>
      <w:bookmarkStart w:id="392" w:name="_Toc51951690"/>
      <w:bookmarkStart w:id="393" w:name="_Toc51951949"/>
      <w:bookmarkStart w:id="394" w:name="_Toc51952224"/>
      <w:bookmarkStart w:id="395" w:name="_Toc51952484"/>
      <w:bookmarkStart w:id="396" w:name="_Toc51952922"/>
      <w:bookmarkStart w:id="397" w:name="_Toc51953312"/>
      <w:bookmarkStart w:id="398" w:name="_Toc51953702"/>
      <w:bookmarkStart w:id="399" w:name="_Toc51954092"/>
      <w:bookmarkStart w:id="400" w:name="_Toc51949219"/>
      <w:bookmarkStart w:id="401" w:name="_Toc53499435"/>
      <w:bookmarkStart w:id="402" w:name="_Toc53758651"/>
      <w:bookmarkStart w:id="403" w:name="_Toc51949230"/>
      <w:bookmarkStart w:id="404" w:name="_Toc51950276"/>
      <w:bookmarkStart w:id="405" w:name="_Toc51951310"/>
      <w:bookmarkStart w:id="406" w:name="_Toc51951691"/>
      <w:bookmarkStart w:id="407" w:name="_Toc51951950"/>
      <w:bookmarkStart w:id="408" w:name="_Toc51952225"/>
      <w:bookmarkStart w:id="409" w:name="_Toc51952485"/>
      <w:bookmarkStart w:id="410" w:name="_Toc51952923"/>
      <w:bookmarkStart w:id="411" w:name="_Toc51953313"/>
      <w:bookmarkStart w:id="412" w:name="_Toc51953703"/>
      <w:bookmarkStart w:id="413" w:name="_Toc51954093"/>
      <w:bookmarkStart w:id="414" w:name="_Toc53499438"/>
      <w:bookmarkStart w:id="415" w:name="_Toc53758650"/>
      <w:bookmarkStart w:id="416" w:name="_Toc51949231"/>
      <w:bookmarkStart w:id="417" w:name="_Toc51950277"/>
      <w:bookmarkStart w:id="418" w:name="_Toc51951311"/>
      <w:bookmarkStart w:id="419" w:name="_Toc51951692"/>
      <w:bookmarkStart w:id="420" w:name="_Toc51951951"/>
      <w:bookmarkStart w:id="421" w:name="_Toc51952226"/>
      <w:bookmarkStart w:id="422" w:name="_Toc51952486"/>
      <w:bookmarkStart w:id="423" w:name="_Toc51952924"/>
      <w:bookmarkStart w:id="424" w:name="_Toc51953314"/>
      <w:bookmarkStart w:id="425" w:name="_Toc51953704"/>
      <w:bookmarkStart w:id="426" w:name="_Toc51954094"/>
      <w:bookmarkStart w:id="427" w:name="_Toc53499437"/>
      <w:bookmarkStart w:id="428" w:name="_Toc53758653"/>
      <w:bookmarkStart w:id="429" w:name="_Toc51949228"/>
      <w:bookmarkStart w:id="430" w:name="_Toc51950278"/>
      <w:bookmarkStart w:id="431" w:name="_Toc51951312"/>
      <w:bookmarkStart w:id="432" w:name="_Toc51951693"/>
      <w:bookmarkStart w:id="433" w:name="_Toc51951952"/>
      <w:bookmarkStart w:id="434" w:name="_Toc51952227"/>
      <w:bookmarkStart w:id="435" w:name="_Toc51952487"/>
      <w:bookmarkStart w:id="436" w:name="_Toc51952925"/>
      <w:bookmarkStart w:id="437" w:name="_Toc51953315"/>
      <w:bookmarkStart w:id="438" w:name="_Toc51953705"/>
      <w:bookmarkStart w:id="439" w:name="_Toc51954095"/>
      <w:bookmarkStart w:id="440" w:name="_Toc53499436"/>
      <w:bookmarkStart w:id="441" w:name="_Toc53758652"/>
      <w:bookmarkStart w:id="442" w:name="_Toc51949229"/>
      <w:bookmarkStart w:id="443" w:name="_Toc51950279"/>
      <w:bookmarkStart w:id="444" w:name="_Toc51951313"/>
      <w:bookmarkStart w:id="445" w:name="_Toc51951694"/>
      <w:bookmarkStart w:id="446" w:name="_Toc51951953"/>
      <w:bookmarkStart w:id="447" w:name="_Toc51952228"/>
      <w:bookmarkStart w:id="448" w:name="_Toc51952488"/>
      <w:bookmarkStart w:id="449" w:name="_Toc51952926"/>
      <w:bookmarkStart w:id="450" w:name="_Toc51953316"/>
      <w:bookmarkStart w:id="451" w:name="_Toc51953706"/>
      <w:bookmarkStart w:id="452" w:name="_Toc51954096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72249559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/>
        <w:b w:val="false"/>
        <w:szCs w:val="24"/>
        <w:iCs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9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9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9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0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0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182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8"/>
        <w:i w:val="false"/>
        <w:b/>
        <w:szCs w:val="28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414"/>
        </w:tabs>
        <w:ind w:left="788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257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2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3"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  <w:rPr>
        <w:b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-475" w:hanging="375"/>
      </w:pPr>
      <w:rPr>
        <w:b/>
        <w:lang w:val="ru-RU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-9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-147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-23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-281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-36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415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-4640" w:hanging="2160"/>
      </w:pPr>
      <w:rPr>
        <w:b/>
      </w:rPr>
    </w:lvl>
  </w:abstractNum>
  <w:abstractNum w:abstractNumId="14">
    <w:lvl w:ilvl="0">
      <w:start w:val="2"/>
      <w:numFmt w:val="decimal"/>
      <w:lvlText w:val="%1"/>
      <w:lvlJc w:val="left"/>
      <w:pPr>
        <w:tabs>
          <w:tab w:val="num" w:pos="0"/>
        </w:tabs>
        <w:ind w:left="600" w:hanging="60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00" w:hanging="600"/>
      </w:pPr>
      <w:rPr>
        <w:b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b/>
      </w:rPr>
    </w:lvl>
  </w:abstractNum>
  <w:abstractNum w:abstractNumId="15"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/>
      </w:rPr>
    </w:lvl>
  </w:abstractNum>
  <w:abstractNum w:abstractNumId="16">
    <w:lvl w:ilvl="0">
      <w:start w:val="2"/>
      <w:numFmt w:val="decimal"/>
      <w:lvlText w:val="%1"/>
      <w:lvlJc w:val="left"/>
      <w:pPr>
        <w:tabs>
          <w:tab w:val="num" w:pos="0"/>
        </w:tabs>
        <w:ind w:left="480" w:hanging="48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271" w:hanging="48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302" w:hanging="720"/>
      </w:pPr>
      <w:rPr>
        <w:sz w:val="24"/>
        <w:szCs w:val="24"/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93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-23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28" w:hanging="180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014f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390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aa6e64"/>
    <w:pPr>
      <w:keepNext w:val="true"/>
      <w:numPr>
        <w:ilvl w:val="2"/>
        <w:numId w:val="3"/>
      </w:numPr>
      <w:spacing w:before="120" w:after="60"/>
      <w:ind w:hanging="709" w:left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a6e6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32" w:customStyle="1">
    <w:name w:val="Заголовок 3 ДИТ Знак"/>
    <w:link w:val="37"/>
    <w:qFormat/>
    <w:rsid w:val="00f76e65"/>
    <w:rPr>
      <w:sz w:val="24"/>
      <w:szCs w:val="24"/>
      <w:lang w:val="en-US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8c3aea"/>
    <w:rPr>
      <w:color w:val="605E5C"/>
      <w:shd w:fill="E1DFDD" w:val="clear"/>
    </w:rPr>
  </w:style>
  <w:style w:type="character" w:styleId="Style14" w:customStyle="1">
    <w:name w:val="Основной текст_"/>
    <w:link w:val="18"/>
    <w:uiPriority w:val="99"/>
    <w:qFormat/>
    <w:locked/>
    <w:rsid w:val="00767b9a"/>
    <w:rPr>
      <w:sz w:val="28"/>
      <w:szCs w:val="28"/>
      <w:shd w:fill="FFFFFF" w:val="clear"/>
    </w:rPr>
  </w:style>
  <w:style w:type="character" w:styleId="Style15" w:customStyle="1">
    <w:name w:val="Ссылка указателя"/>
    <w:qFormat/>
    <w:rPr/>
  </w:style>
  <w:style w:type="character" w:styleId="Style16" w:customStyle="1">
    <w:name w:val="Нижний колонтитул Знак"/>
    <w:basedOn w:val="DefaultParagraphFont"/>
    <w:uiPriority w:val="99"/>
    <w:qFormat/>
    <w:rsid w:val="008f1eb0"/>
    <w:rPr>
      <w:sz w:val="28"/>
      <w:szCs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ind w:hanging="0" w:left="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6e7e08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" w:cstheme="minorHAnsi"/>
      <w:b/>
      <w:bCs/>
      <w:i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b548b"/>
    <w:pPr>
      <w:ind w:left="56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ab548b"/>
    <w:pPr>
      <w:spacing w:before="120" w:after="0"/>
      <w:ind w:left="280"/>
    </w:pPr>
    <w:rPr>
      <w:rFonts w:cs="Calibri" w:cstheme="minorHAnsi"/>
      <w:b/>
      <w:bCs/>
      <w:sz w:val="22"/>
      <w:szCs w:val="22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22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ab548b"/>
    <w:pPr>
      <w:ind w:left="84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37" w:customStyle="1">
    <w:name w:val="Заголовок 3 ДИТ"/>
    <w:basedOn w:val="Normal"/>
    <w:link w:val="32"/>
    <w:qFormat/>
    <w:rsid w:val="00f76e65"/>
    <w:pPr>
      <w:numPr>
        <w:ilvl w:val="2"/>
      </w:numPr>
    </w:pPr>
    <w:rPr>
      <w:sz w:val="24"/>
      <w:szCs w:val="24"/>
      <w:lang w:val="en-US"/>
    </w:rPr>
  </w:style>
  <w:style w:type="paragraph" w:styleId="TOC6">
    <w:name w:val="TOC 6"/>
    <w:basedOn w:val="Normal"/>
    <w:next w:val="Normal"/>
    <w:autoRedefine/>
    <w:unhideWhenUsed/>
    <w:rsid w:val="006a5fb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6a5fb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6a5fba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8" w:customStyle="1">
    <w:name w:val="Основной текст1"/>
    <w:basedOn w:val="Normal"/>
    <w:link w:val="Style14"/>
    <w:uiPriority w:val="99"/>
    <w:qFormat/>
    <w:rsid w:val="00767b9a"/>
    <w:pPr>
      <w:widowControl w:val="false"/>
      <w:shd w:val="clear" w:color="auto" w:fill="FFFFFF"/>
      <w:spacing w:lineRule="exact" w:line="302"/>
    </w:pPr>
    <w:rPr/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E5E71-B91C-4E58-B56E-73EBB94B6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AlterOffice/2026.2.1.0$Linux_X86_64 LibreOffice_project/f008988ffacaa0b2bf57911c2759d08ca79831df</Application>
  <AppVersion>15.0000</AppVersion>
  <Pages>7</Pages>
  <Words>1124</Words>
  <Characters>7681</Characters>
  <CharactersWithSpaces>8629</CharactersWithSpaces>
  <Paragraphs>184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2026-01-27T11:35:00Z</dcterms:created>
  <dc:creator>Быстров Олег Геннадьевич</dc:creator>
  <dc:description/>
  <dc:language>ru-RU</dc:language>
  <cp:lastModifiedBy>velikosvyatnn@corp.gidroogk.com</cp:lastModifiedBy>
  <cp:lastPrinted>2006-07-26T14:04:00Z</cp:lastPrinted>
  <dcterms:modified xsi:type="dcterms:W3CDTF">2026-10-08T10:39:05Z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