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9"/>
        <w:shd w:val="clear" w:color="auto" w:fill="auto"/>
        <w:spacing w:lineRule="auto" w:line="276"/>
        <w:ind w:hanging="4767" w:left="9020"/>
        <w:jc w:val="right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19"/>
        <w:shd w:val="clear" w:color="auto" w:fill="auto"/>
        <w:spacing w:lineRule="auto" w:line="276"/>
        <w:ind w:hanging="4767" w:left="9020"/>
        <w:jc w:val="right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rFonts w:ascii="Times New Roman" w:hAnsi="Times New Roman"/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</w:t>
      </w:r>
    </w:p>
    <w:p>
      <w:pPr>
        <w:pStyle w:val="Normal"/>
        <w:keepNext w:val="true"/>
        <w:keepLines/>
        <w:jc w:val="center"/>
        <w:rPr/>
      </w:pPr>
      <w:r>
        <w:rPr>
          <w:rFonts w:eastAsia="Calibri"/>
          <w:sz w:val="24"/>
          <w:szCs w:val="24"/>
        </w:rPr>
        <w:t xml:space="preserve">на 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</w:rPr>
        <w:t>[</w:t>
      </w:r>
      <w:r>
        <w:rPr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ОКПД2 [</w:t>
      </w:r>
      <w:r>
        <w:rPr>
          <w:rStyle w:val="Strong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77.39.19.119</w:t>
      </w:r>
      <w:r>
        <w:rPr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]  Аренда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 xml:space="preserve"> 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>дизельгенераторной установки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 xml:space="preserve"> для нужд Дагестанского филиала АО «Гидроремонт-ВКК» в г. Махачкала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/>
          <w:b w:val="false"/>
          <w:bCs w:val="false"/>
          <w:sz w:val="24"/>
          <w:szCs w:val="24"/>
        </w:rPr>
        <w:t>Лот №</w:t>
      </w:r>
      <w:r>
        <w:rPr>
          <w:rFonts w:eastAsia="Calibri"/>
          <w:b w:val="false"/>
          <w:bCs w:val="false"/>
          <w:i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sz w:val="24"/>
          <w:szCs w:val="24"/>
          <w:u w:val="none"/>
          <w:em w:val="none"/>
        </w:rPr>
        <w:t>_____________________________________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ascii="Times New Roman" w:hAnsi="Times New Roman"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360" w:left="567"/>
        <w:jc w:val="center"/>
        <w:rPr>
          <w:rFonts w:ascii="Times New Roman" w:hAnsi="Times New Roman"/>
          <w:sz w:val="24"/>
          <w:szCs w:val="24"/>
        </w:rPr>
      </w:pPr>
      <w:bookmarkStart w:id="0" w:name="_Toc54643694"/>
      <w:r>
        <w:rPr>
          <w:b/>
          <w:sz w:val="24"/>
          <w:szCs w:val="24"/>
        </w:rPr>
        <w:t>Общие сведения</w:t>
      </w:r>
      <w:bookmarkEnd w:id="0"/>
    </w:p>
    <w:p>
      <w:pPr>
        <w:pStyle w:val="Heading4"/>
        <w:numPr>
          <w:ilvl w:val="1"/>
          <w:numId w:val="3"/>
        </w:numPr>
        <w:spacing w:before="0" w:after="0"/>
        <w:ind w:hanging="432" w:left="567"/>
        <w:jc w:val="both"/>
        <w:rPr/>
      </w:pPr>
      <w:bookmarkStart w:id="1" w:name="_Toc54643696"/>
      <w:bookmarkStart w:id="2" w:name="_Toc46743506"/>
      <w:r>
        <w:rPr>
          <w:sz w:val="24"/>
          <w:szCs w:val="24"/>
        </w:rPr>
        <w:t>Наименование закупаемой продукции</w:t>
      </w:r>
      <w:bookmarkEnd w:id="1"/>
      <w:bookmarkEnd w:id="2"/>
      <w:r>
        <w:rPr>
          <w:sz w:val="24"/>
          <w:szCs w:val="24"/>
          <w:lang w:val="ru-RU"/>
        </w:rPr>
        <w:t xml:space="preserve">: 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>[ОКПД2 [</w:t>
      </w:r>
      <w:r>
        <w:rPr>
          <w:rStyle w:val="Strong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>77.39.19.119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 xml:space="preserve">]  Аренда 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>дизельгенераторной установки</w:t>
      </w:r>
      <w:r>
        <w:rPr>
          <w:rStyle w:val="Style8"/>
          <w:rFonts w:eastAsia="Calibri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 xml:space="preserve"> для нужд Дагестанского филиала АО «Гидроремонт-ВКК» в г. Махачкала</w:t>
      </w:r>
      <w:r>
        <w:rPr>
          <w:sz w:val="24"/>
          <w:szCs w:val="24"/>
          <w:lang w:val="ru-RU"/>
        </w:rPr>
        <w:t>.</w:t>
      </w:r>
    </w:p>
    <w:p>
      <w:pPr>
        <w:pStyle w:val="Heading4"/>
        <w:numPr>
          <w:ilvl w:val="1"/>
          <w:numId w:val="3"/>
        </w:numPr>
        <w:spacing w:before="0" w:after="0"/>
        <w:ind w:hanging="432" w:left="567"/>
        <w:jc w:val="both"/>
        <w:rPr/>
      </w:pPr>
      <w:bookmarkStart w:id="3" w:name="_Toc54643697"/>
      <w:bookmarkStart w:id="4" w:name="_Toc46743507"/>
      <w:r>
        <w:rPr>
          <w:sz w:val="24"/>
          <w:szCs w:val="24"/>
        </w:rPr>
        <w:t xml:space="preserve">Цель </w:t>
      </w:r>
      <w:bookmarkEnd w:id="4"/>
      <w:r>
        <w:rPr>
          <w:sz w:val="24"/>
          <w:szCs w:val="24"/>
        </w:rPr>
        <w:t xml:space="preserve">оказания услуг: </w:t>
      </w:r>
      <w:bookmarkEnd w:id="3"/>
      <w:r>
        <w:rPr>
          <w:rStyle w:val="Style8"/>
          <w:b w:val="false"/>
          <w:i w:val="false"/>
          <w:sz w:val="24"/>
          <w:szCs w:val="24"/>
          <w:shd w:fill="auto" w:val="clear"/>
          <w:lang w:val="ru-RU"/>
        </w:rPr>
        <w:t xml:space="preserve">выполнение работ в рамках исполнения </w:t>
      </w:r>
      <w:r>
        <w:rPr>
          <w:rStyle w:val="Style8"/>
          <w:rFonts w:cs="Times New Roman"/>
          <w:b w:val="false"/>
          <w:i w:val="false"/>
          <w:sz w:val="24"/>
          <w:szCs w:val="24"/>
          <w:shd w:fill="auto" w:val="clear"/>
          <w:lang w:val="ru-RU"/>
        </w:rPr>
        <w:t xml:space="preserve">проекта </w:t>
      </w:r>
      <w:r>
        <w:rPr>
          <w:rStyle w:val="Style8"/>
          <w:rFonts w:cs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val="ru-RU"/>
        </w:rPr>
        <w:t>[</w:t>
      </w:r>
      <w:r>
        <w:rPr>
          <w:rStyle w:val="Style8"/>
          <w:rFonts w:cs="Times New Roman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val="ru-RU"/>
        </w:rPr>
        <w:t>РЕМ_ДФ_ 4-РЕМ-2026-ДФ] Текущий ремонт ГТС Чиркейской ГЭС, Миатлинской ГЭС и Чирюртской ГЭС-1</w:t>
      </w:r>
      <w:r>
        <w:rPr>
          <w:rStyle w:val="Style8"/>
          <w:b w:val="false"/>
          <w:bCs w:val="false"/>
          <w:i w:val="false"/>
          <w:color w:val="000000"/>
          <w:sz w:val="24"/>
          <w:szCs w:val="24"/>
          <w:shd w:fill="auto" w:val="clear"/>
          <w:lang w:val="ru-RU"/>
        </w:rPr>
        <w:t>.</w:t>
      </w:r>
    </w:p>
    <w:p>
      <w:pPr>
        <w:pStyle w:val="Heading1"/>
        <w:tabs>
          <w:tab w:val="clear" w:pos="0"/>
          <w:tab w:val="left" w:pos="851" w:leader="none"/>
        </w:tabs>
        <w:ind w:hanging="0" w:left="0"/>
        <w:rPr>
          <w:rFonts w:ascii="Times New Roman" w:hAnsi="Times New Roman"/>
          <w:sz w:val="24"/>
          <w:szCs w:val="24"/>
        </w:rPr>
      </w:pPr>
      <w:bookmarkStart w:id="5" w:name="_Toc54643699"/>
      <w:r>
        <w:rPr>
          <w:sz w:val="24"/>
          <w:szCs w:val="24"/>
        </w:rPr>
        <w:t>Таблица 1. Перечень объектов заказчика</w:t>
      </w:r>
      <w:bookmarkEnd w:id="5"/>
    </w:p>
    <w:tbl>
      <w:tblPr>
        <w:tblW w:w="992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09"/>
        <w:gridCol w:w="2918"/>
        <w:gridCol w:w="3241"/>
        <w:gridCol w:w="2954"/>
      </w:tblGrid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оказания услуг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  <w:br/>
              <w:t>(в отношении которого оказываются услуги)</w:t>
            </w:r>
          </w:p>
        </w:tc>
      </w:tr>
      <w:tr>
        <w:trPr/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2904" w:hRule="atLeast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Чирюртская </w:t>
            </w:r>
            <w:r>
              <w:rPr>
                <w:sz w:val="24"/>
                <w:szCs w:val="24"/>
              </w:rPr>
              <w:t>ГЭС-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Чирюртская </w:t>
            </w:r>
            <w:r>
              <w:rPr>
                <w:sz w:val="24"/>
                <w:szCs w:val="24"/>
              </w:rPr>
              <w:t>ГЭС-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  <w:shd w:fill="FFFFFF" w:val="clear"/>
              </w:rPr>
              <w:t xml:space="preserve">Республика Дагестан, </w:t>
              <w:br/>
            </w:r>
            <w:r>
              <w:rPr>
                <w:iCs/>
                <w:sz w:val="24"/>
                <w:szCs w:val="24"/>
                <w:shd w:fill="FFFFFF" w:val="clear"/>
              </w:rPr>
              <w:t xml:space="preserve">Чирюртская </w:t>
            </w:r>
            <w:r>
              <w:rPr>
                <w:iCs/>
                <w:sz w:val="24"/>
                <w:szCs w:val="24"/>
                <w:shd w:fill="FFFFFF" w:val="clear"/>
              </w:rPr>
              <w:t>ГЭС-</w:t>
            </w:r>
            <w:r>
              <w:rPr>
                <w:iCs/>
                <w:sz w:val="24"/>
                <w:szCs w:val="24"/>
                <w:shd w:fill="FFFFFF" w:val="clear"/>
              </w:rPr>
              <w:t>1</w:t>
            </w:r>
            <w:r>
              <w:rPr>
                <w:iCs/>
                <w:sz w:val="24"/>
                <w:szCs w:val="24"/>
                <w:shd w:fill="FFFFFF" w:val="clear"/>
              </w:rPr>
              <w:t>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iCs/>
                <w:sz w:val="24"/>
                <w:szCs w:val="24"/>
                <w:shd w:fill="FFFFFF" w:val="clear"/>
              </w:rPr>
              <w:t xml:space="preserve">Чирюртская </w:t>
            </w:r>
            <w:r>
              <w:rPr>
                <w:iCs/>
                <w:sz w:val="24"/>
                <w:szCs w:val="24"/>
                <w:shd w:fill="FFFFFF" w:val="clear"/>
              </w:rPr>
              <w:t>ГЭС-</w:t>
            </w:r>
            <w:r>
              <w:rPr>
                <w:iCs/>
                <w:sz w:val="24"/>
                <w:szCs w:val="24"/>
                <w:shd w:fill="FFFFFF" w:val="clear"/>
              </w:rPr>
              <w:t>2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spacing w:before="120" w:after="60"/>
              <w:ind w:hanging="0" w:left="135"/>
              <w:jc w:val="center"/>
              <w:rPr/>
            </w:pPr>
            <w:r>
              <w:rPr>
                <w:rStyle w:val="Style8"/>
                <w:b w:val="false"/>
                <w:bCs w:val="false"/>
                <w:i w:val="false"/>
                <w:iCs/>
                <w:color w:val="000000"/>
                <w:sz w:val="24"/>
                <w:szCs w:val="24"/>
                <w:shd w:fill="auto" w:val="clear"/>
                <w:lang w:val="ru-RU"/>
              </w:rPr>
              <w:t>Отводящий канал Чирюртской ГЭС-1</w:t>
            </w:r>
          </w:p>
        </w:tc>
      </w:tr>
    </w:tbl>
    <w:p>
      <w:pPr>
        <w:pStyle w:val="Heading4"/>
        <w:numPr>
          <w:ilvl w:val="1"/>
          <w:numId w:val="3"/>
        </w:numPr>
        <w:spacing w:before="0" w:after="0"/>
        <w:ind w:hanging="432" w:left="567"/>
        <w:rPr>
          <w:rFonts w:ascii="Times New Roman" w:hAnsi="Times New Roman"/>
          <w:sz w:val="24"/>
          <w:szCs w:val="24"/>
        </w:rPr>
      </w:pPr>
      <w:bookmarkStart w:id="6" w:name="_Hlk49857604"/>
      <w:bookmarkStart w:id="7" w:name="_Toc54643700"/>
      <w:bookmarkStart w:id="8" w:name="_Toc46743509"/>
      <w:r>
        <w:rPr>
          <w:sz w:val="24"/>
          <w:szCs w:val="24"/>
        </w:rPr>
        <w:t xml:space="preserve">Информация в отношении исполнения договора, </w:t>
      </w:r>
      <w:bookmarkStart w:id="9" w:name="_Hlk46492347"/>
      <w:r>
        <w:rPr>
          <w:sz w:val="24"/>
          <w:szCs w:val="24"/>
        </w:rPr>
        <w:t xml:space="preserve">которая должна быть учтена при подготовке заявки </w:t>
      </w:r>
      <w:bookmarkEnd w:id="9"/>
      <w:r>
        <w:rPr>
          <w:sz w:val="24"/>
          <w:szCs w:val="24"/>
        </w:rPr>
        <w:t xml:space="preserve">(в том числе перечень ресурсов, услуг и документов, предоставляемых </w:t>
      </w:r>
      <w:r>
        <w:rPr>
          <w:sz w:val="24"/>
          <w:szCs w:val="24"/>
          <w:lang w:val="ru-RU"/>
        </w:rPr>
        <w:t>заказчиком</w:t>
      </w:r>
      <w:r>
        <w:rPr>
          <w:sz w:val="24"/>
          <w:szCs w:val="24"/>
        </w:rPr>
        <w:t xml:space="preserve"> на этапе исполнения договора)</w:t>
      </w:r>
      <w:bookmarkStart w:id="10" w:name="_Hlk48209761"/>
      <w:bookmarkEnd w:id="6"/>
      <w:bookmarkEnd w:id="7"/>
      <w:bookmarkEnd w:id="8"/>
      <w:r>
        <w:rPr>
          <w:sz w:val="24"/>
          <w:szCs w:val="24"/>
          <w:lang w:val="ru-RU"/>
        </w:rPr>
        <w:t xml:space="preserve">: </w:t>
      </w:r>
    </w:p>
    <w:p>
      <w:pPr>
        <w:pStyle w:val="Heading3"/>
        <w:numPr>
          <w:ilvl w:val="2"/>
          <w:numId w:val="3"/>
        </w:numPr>
        <w:ind w:hanging="504" w:left="56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lang w:val="ru-RU"/>
        </w:rPr>
        <w:t xml:space="preserve">Арендатор </w:t>
      </w:r>
      <w:r>
        <w:rPr>
          <w:sz w:val="24"/>
          <w:szCs w:val="24"/>
        </w:rPr>
        <w:t xml:space="preserve">планирует использовать (применять) </w:t>
      </w:r>
      <w:r>
        <w:rPr>
          <w:sz w:val="24"/>
          <w:szCs w:val="24"/>
        </w:rPr>
        <w:t>оборудование</w:t>
      </w:r>
      <w:r>
        <w:rPr>
          <w:sz w:val="24"/>
          <w:szCs w:val="24"/>
        </w:rPr>
        <w:t xml:space="preserve"> в соответствии с номенклатурой (согласно </w:t>
      </w:r>
      <w:r>
        <w:rPr>
          <w:sz w:val="24"/>
          <w:szCs w:val="24"/>
          <w:lang w:val="ru-RU"/>
        </w:rPr>
        <w:t>табл.2</w:t>
      </w:r>
      <w:r>
        <w:rPr>
          <w:sz w:val="24"/>
          <w:szCs w:val="24"/>
        </w:rPr>
        <w:t>. настоящих Технических требований)</w:t>
      </w:r>
      <w:r>
        <w:rPr>
          <w:sz w:val="24"/>
          <w:szCs w:val="24"/>
          <w:lang w:val="ru-RU"/>
        </w:rPr>
        <w:t>.</w:t>
      </w:r>
    </w:p>
    <w:p>
      <w:pPr>
        <w:pStyle w:val="Heading1"/>
        <w:numPr>
          <w:ilvl w:val="0"/>
          <w:numId w:val="3"/>
        </w:numPr>
        <w:tabs>
          <w:tab w:val="clear" w:pos="0"/>
          <w:tab w:val="left" w:pos="567" w:leader="none"/>
          <w:tab w:val="left" w:pos="851" w:leader="none"/>
        </w:tabs>
        <w:spacing w:before="120" w:after="0"/>
        <w:rPr>
          <w:rFonts w:ascii="Times New Roman" w:hAnsi="Times New Roman"/>
          <w:sz w:val="24"/>
          <w:szCs w:val="24"/>
        </w:rPr>
      </w:pPr>
      <w:bookmarkStart w:id="11" w:name="_Toc157772678"/>
      <w:bookmarkEnd w:id="10"/>
      <w:r>
        <w:rPr>
          <w:b/>
          <w:sz w:val="24"/>
          <w:szCs w:val="24"/>
          <w:lang w:val="ru-RU"/>
        </w:rPr>
        <w:t>Требования</w:t>
      </w:r>
      <w:r>
        <w:rPr>
          <w:b/>
          <w:sz w:val="24"/>
          <w:szCs w:val="24"/>
        </w:rPr>
        <w:t xml:space="preserve"> к продукции</w:t>
      </w:r>
      <w:bookmarkEnd w:id="11"/>
    </w:p>
    <w:p>
      <w:pPr>
        <w:pStyle w:val="Heading4"/>
        <w:numPr>
          <w:ilvl w:val="1"/>
          <w:numId w:val="3"/>
        </w:numPr>
        <w:spacing w:before="0" w:after="0"/>
        <w:ind w:hanging="432" w:left="567"/>
        <w:rPr>
          <w:rFonts w:ascii="Times New Roman" w:hAnsi="Times New Roman"/>
          <w:sz w:val="24"/>
          <w:szCs w:val="24"/>
        </w:rPr>
      </w:pPr>
      <w:bookmarkStart w:id="12" w:name="_Toc54643703"/>
      <w:r>
        <w:rPr>
          <w:sz w:val="24"/>
          <w:szCs w:val="24"/>
        </w:rPr>
        <w:t xml:space="preserve">Требования к объемам и срокам </w:t>
      </w:r>
      <w:bookmarkEnd w:id="12"/>
      <w:r>
        <w:rPr>
          <w:sz w:val="24"/>
          <w:szCs w:val="24"/>
          <w:lang w:val="ru-RU"/>
        </w:rPr>
        <w:t>аренды</w:t>
      </w:r>
    </w:p>
    <w:p>
      <w:pPr>
        <w:pStyle w:val="Normal"/>
        <w:ind w:hanging="432" w:left="56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2.1.1. </w:t>
      </w:r>
      <w:bookmarkStart w:id="13" w:name="_Toc157772680"/>
      <w:bookmarkStart w:id="14" w:name="_Toc54643704"/>
      <w:r>
        <w:rPr>
          <w:sz w:val="24"/>
          <w:szCs w:val="24"/>
        </w:rPr>
        <w:t xml:space="preserve">Требования к перечню и объему </w:t>
      </w:r>
      <w:bookmarkEnd w:id="14"/>
      <w:r>
        <w:rPr>
          <w:sz w:val="24"/>
          <w:szCs w:val="24"/>
        </w:rPr>
        <w:t>аренды</w:t>
      </w:r>
      <w:bookmarkEnd w:id="13"/>
    </w:p>
    <w:p>
      <w:pPr>
        <w:pStyle w:val="Heading1"/>
        <w:tabs>
          <w:tab w:val="clear" w:pos="0"/>
          <w:tab w:val="left" w:pos="851" w:leader="none"/>
        </w:tabs>
        <w:spacing w:before="0" w:after="0"/>
        <w:ind w:hanging="0" w:left="0"/>
        <w:rPr>
          <w:rFonts w:ascii="Times New Roman" w:hAnsi="Times New Roman"/>
          <w:sz w:val="24"/>
          <w:szCs w:val="24"/>
        </w:rPr>
      </w:pPr>
      <w:bookmarkStart w:id="15" w:name="_Toc54643705"/>
      <w:bookmarkStart w:id="16" w:name="_Toc51339695"/>
      <w:r>
        <w:rPr>
          <w:sz w:val="24"/>
          <w:szCs w:val="24"/>
        </w:rPr>
        <w:t xml:space="preserve">Таблица 2. </w:t>
      </w:r>
      <w:bookmarkEnd w:id="15"/>
      <w:bookmarkEnd w:id="16"/>
      <w:r>
        <w:rPr>
          <w:sz w:val="24"/>
          <w:szCs w:val="24"/>
        </w:rPr>
        <w:t>Перечень и объем аренды</w:t>
      </w:r>
    </w:p>
    <w:tbl>
      <w:tblPr>
        <w:tblW w:w="979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382"/>
        <w:gridCol w:w="2393"/>
        <w:gridCol w:w="4822"/>
        <w:gridCol w:w="2197"/>
      </w:tblGrid>
      <w:tr>
        <w:trPr/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оборудования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техническим характеристикам </w:t>
            </w:r>
            <w:r>
              <w:rPr>
                <w:sz w:val="24"/>
                <w:szCs w:val="24"/>
              </w:rPr>
              <w:t>оборудования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Количество, шт</w:t>
            </w:r>
          </w:p>
        </w:tc>
      </w:tr>
      <w:tr>
        <w:trPr/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Дизельгенераторная установка</w:t>
            </w:r>
          </w:p>
        </w:tc>
        <w:tc>
          <w:tcPr>
            <w:tcW w:w="4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993" w:leader="none"/>
              </w:tabs>
              <w:spacing w:lineRule="auto" w:line="240" w:before="0" w:after="0"/>
              <w:ind w:hanging="0" w:left="0"/>
              <w:contextualSpacing/>
              <w:rPr/>
            </w:pP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 xml:space="preserve">Основаная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 xml:space="preserve">мощность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>(PRP)</w:t>
            </w: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 xml:space="preserve"> – не менее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>19,5</w:t>
            </w:r>
            <w:hyperlink r:id="rId2">
              <w:r>
                <w:rPr>
                  <w:rStyle w:val="Hyperlink"/>
                  <w:rFonts w:cs="Times New Roman"/>
                  <w:b w:val="false"/>
                  <w:bCs w:val="false"/>
                  <w:color w:val="auto"/>
                  <w:sz w:val="24"/>
                  <w:szCs w:val="24"/>
                  <w:u w:val="none"/>
                </w:rPr>
                <w:t xml:space="preserve"> кВА</w:t>
              </w:r>
            </w:hyperlink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> /</w:t>
            </w: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>15,6</w:t>
            </w:r>
            <w:hyperlink r:id="rId3">
              <w:r>
                <w:rPr>
                  <w:rStyle w:val="Hyperlink"/>
                  <w:rFonts w:cs="Times New Roman"/>
                  <w:b w:val="false"/>
                  <w:bCs w:val="false"/>
                  <w:color w:val="auto"/>
                  <w:sz w:val="24"/>
                  <w:szCs w:val="24"/>
                  <w:u w:val="none"/>
                </w:rPr>
                <w:t xml:space="preserve"> кВт</w:t>
              </w:r>
            </w:hyperlink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 xml:space="preserve">;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>Резервная</w:t>
            </w: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 xml:space="preserve"> мощность – не менее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>21,5</w:t>
            </w: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 xml:space="preserve"> кВА /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>17,2</w:t>
            </w: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 xml:space="preserve"> кВт; Номинальный ток в основном режиме —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>не менее 75 А;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993" w:leader="none"/>
              </w:tabs>
              <w:spacing w:lineRule="auto" w:line="240" w:before="0" w:after="0"/>
              <w:ind w:hanging="0" w:left="0"/>
              <w:contextualSpacing/>
              <w:rPr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</w:rPr>
              <w:t xml:space="preserve">Количество фаз – 3;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eastAsia="x-none"/>
              </w:rPr>
              <w:t xml:space="preserve">Напряжение, В – 230/400;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eastAsia="x-none"/>
              </w:rPr>
              <w:t>Исполнение — в контейнере с замком; Двигатель — дизельный;</w:t>
            </w:r>
          </w:p>
          <w:p>
            <w:pPr>
              <w:pStyle w:val="ListParagraph"/>
              <w:numPr>
                <w:ilvl w:val="0"/>
                <w:numId w:val="0"/>
              </w:numPr>
              <w:tabs>
                <w:tab w:val="clear" w:pos="708"/>
                <w:tab w:val="left" w:pos="993" w:leader="none"/>
              </w:tabs>
              <w:spacing w:lineRule="auto" w:line="240" w:before="0" w:after="0"/>
              <w:ind w:hanging="0" w:left="0"/>
              <w:contextualSpacing/>
              <w:rPr/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eastAsia="x-none"/>
              </w:rPr>
              <w:t>наличие информационной панели с индикацией параметров (напряжение, частота, давление масла, температура, уровень топлива).</w:t>
            </w:r>
          </w:p>
        </w:tc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1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2.1.2. </w:t>
      </w:r>
      <w:bookmarkStart w:id="17" w:name="_Toc157772682"/>
      <w:r>
        <w:rPr>
          <w:color w:val="000000" w:themeColor="text1"/>
          <w:sz w:val="24"/>
          <w:szCs w:val="24"/>
        </w:rPr>
        <w:t>Требования к срокам аренды</w:t>
      </w:r>
      <w:bookmarkEnd w:id="17"/>
    </w:p>
    <w:p>
      <w:pPr>
        <w:pStyle w:val="Heading1"/>
        <w:spacing w:before="0" w:after="0"/>
        <w:ind w:hanging="426" w:left="426"/>
        <w:rPr>
          <w:rFonts w:ascii="Times New Roman" w:hAnsi="Times New Roman"/>
          <w:sz w:val="24"/>
          <w:szCs w:val="24"/>
        </w:rPr>
      </w:pPr>
      <w:bookmarkStart w:id="18" w:name="_Toc157772683"/>
      <w:bookmarkStart w:id="19" w:name="_Toc54643707"/>
      <w:bookmarkStart w:id="20" w:name="_Toc50125127"/>
      <w:bookmarkStart w:id="21" w:name="_Toc51339697"/>
      <w:r>
        <w:rPr>
          <w:color w:val="000000" w:themeColor="text1"/>
          <w:sz w:val="24"/>
          <w:szCs w:val="24"/>
        </w:rPr>
        <w:t xml:space="preserve">Таблица </w:t>
      </w:r>
      <w:r>
        <w:rPr>
          <w:color w:val="000000" w:themeColor="text1"/>
          <w:sz w:val="24"/>
          <w:szCs w:val="24"/>
          <w:lang w:val="ru-RU"/>
        </w:rPr>
        <w:t>3</w:t>
      </w:r>
      <w:r>
        <w:rPr>
          <w:color w:val="000000" w:themeColor="text1"/>
          <w:sz w:val="24"/>
          <w:szCs w:val="24"/>
        </w:rPr>
        <w:t xml:space="preserve">. </w:t>
      </w:r>
      <w:bookmarkStart w:id="22" w:name="_Hlk50465284"/>
      <w:r>
        <w:rPr>
          <w:color w:val="000000" w:themeColor="text1"/>
          <w:sz w:val="24"/>
          <w:szCs w:val="24"/>
        </w:rPr>
        <w:t xml:space="preserve">Требования </w:t>
      </w:r>
      <w:r>
        <w:rPr>
          <w:color w:val="000000" w:themeColor="text1"/>
          <w:sz w:val="24"/>
          <w:szCs w:val="24"/>
          <w:lang w:val="ru-RU"/>
        </w:rPr>
        <w:t>к</w:t>
      </w:r>
      <w:r>
        <w:rPr>
          <w:color w:val="000000" w:themeColor="text1"/>
          <w:sz w:val="24"/>
          <w:szCs w:val="24"/>
        </w:rPr>
        <w:t xml:space="preserve"> срокам </w:t>
      </w:r>
      <w:bookmarkEnd w:id="19"/>
      <w:bookmarkEnd w:id="20"/>
      <w:bookmarkEnd w:id="21"/>
      <w:bookmarkEnd w:id="22"/>
      <w:r>
        <w:rPr>
          <w:color w:val="000000" w:themeColor="text1"/>
          <w:sz w:val="24"/>
          <w:szCs w:val="24"/>
          <w:lang w:val="ru-RU"/>
        </w:rPr>
        <w:t>аренды</w:t>
      </w:r>
      <w:bookmarkEnd w:id="18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8"/>
        <w:gridCol w:w="4849"/>
        <w:gridCol w:w="1996"/>
        <w:gridCol w:w="2116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оборудования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аренды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Окончание аренды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Дизельгенераторная установка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месяца*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 данный срок установлен исходя из сроков, указанных в доходных договорах, согласно пункта 1.2.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bookmarkStart w:id="23" w:name="_Toc141969503"/>
      <w:r>
        <w:rPr>
          <w:sz w:val="24"/>
          <w:szCs w:val="24"/>
        </w:rPr>
        <w:t>2.2.</w:t>
        <w:tab/>
      </w:r>
      <w:bookmarkEnd w:id="23"/>
      <w:r>
        <w:rPr>
          <w:sz w:val="24"/>
          <w:szCs w:val="24"/>
        </w:rPr>
        <w:t>Условия оплаты: арендная плата вносится арендатором в течении 30 календарных/7 рабочих дней (для МСП) с даты подписания акта оказанных услуг.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2.3. Требования к качеству продукции.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Таблица 4. Требования к качеству продукции</w:t>
      </w:r>
      <w:r>
        <w:rPr>
          <w:sz w:val="24"/>
          <w:szCs w:val="24"/>
          <w:lang w:val="en-US"/>
        </w:rPr>
        <w:t>.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fffa"/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69"/>
        <w:gridCol w:w="2444"/>
        <w:gridCol w:w="6808"/>
      </w:tblGrid>
      <w:tr>
        <w:trPr>
          <w:trHeight w:val="705" w:hRule="atLeast"/>
        </w:trPr>
        <w:tc>
          <w:tcPr>
            <w:tcW w:w="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4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8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4" w:name="_Toc53499667"/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  <w:bookmarkEnd w:id="24"/>
          </w:p>
        </w:tc>
        <w:tc>
          <w:tcPr>
            <w:tcW w:w="24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8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6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en-US" w:eastAsia="ru-RU" w:bidi="ar-SA"/>
              </w:rPr>
              <w:t>предоставляемой технике</w:t>
            </w:r>
          </w:p>
        </w:tc>
      </w:tr>
      <w:tr>
        <w:trPr/>
        <w:tc>
          <w:tcPr>
            <w:tcW w:w="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1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.1.</w:t>
            </w:r>
          </w:p>
        </w:tc>
        <w:tc>
          <w:tcPr>
            <w:tcW w:w="244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предоставляем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ому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оборудованию</w:t>
            </w:r>
          </w:p>
        </w:tc>
        <w:tc>
          <w:tcPr>
            <w:tcW w:w="68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Арендодатель должен иметь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для исполнения договора в собственности или на праве аренды материально-технических ресурсов (машин и механизмов, специальных приспособлений и инструментов)</w:t>
            </w:r>
          </w:p>
        </w:tc>
      </w:tr>
      <w:tr>
        <w:trPr/>
        <w:tc>
          <w:tcPr>
            <w:tcW w:w="6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оборудованию и материалам</w:t>
            </w:r>
          </w:p>
        </w:tc>
      </w:tr>
      <w:tr>
        <w:trPr>
          <w:trHeight w:val="1390" w:hRule="atLeast"/>
        </w:trPr>
        <w:tc>
          <w:tcPr>
            <w:tcW w:w="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Соответствие техники законодательству РФ</w:t>
            </w:r>
          </w:p>
        </w:tc>
        <w:tc>
          <w:tcPr>
            <w:tcW w:w="68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Используем</w:t>
            </w: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 xml:space="preserve">ое оборудование </w:t>
            </w: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должн</w:t>
            </w: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о</w:t>
            </w: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 xml:space="preserve"> соответствовать требованиям безопасности, общим требованиям, установленным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ГОСТ Р53174-2008</w:t>
            </w: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 xml:space="preserve"> «Установки электрогенераторные с дизельными и газовыми двигателями внутреннего сгорания. Общие технические условия»,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ГОСТ Р55006-2012</w:t>
            </w: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 xml:space="preserve"> «Стационарные дизельные и газопоршневые электростанции с двигателями внутреннего сгорания. Общие технические условия»,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ГОСТ 33115-2014</w:t>
            </w: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 xml:space="preserve"> «Установки электрогенераторные с дизельными и газовыми двигателями внутреннего сгорания. Общие технические условия»,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ТР ТС 010/2011</w:t>
            </w: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 xml:space="preserve"> «О безопасности машин и оборудования»,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ТР ТС 020/2011</w:t>
            </w: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 «Электромагнитная совместимость технических средств».</w:t>
            </w:r>
          </w:p>
        </w:tc>
      </w:tr>
      <w:tr>
        <w:trPr/>
        <w:tc>
          <w:tcPr>
            <w:tcW w:w="66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.2.</w:t>
            </w:r>
          </w:p>
        </w:tc>
        <w:tc>
          <w:tcPr>
            <w:tcW w:w="2444" w:type="dxa"/>
            <w:vMerge w:val="restart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техническому состоянию Техники</w:t>
            </w:r>
          </w:p>
        </w:tc>
        <w:tc>
          <w:tcPr>
            <w:tcW w:w="68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Предоставлять технически исправн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ое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оборудование.</w:t>
            </w:r>
          </w:p>
        </w:tc>
      </w:tr>
      <w:tr>
        <w:trPr/>
        <w:tc>
          <w:tcPr>
            <w:tcW w:w="669" w:type="dxa"/>
            <w:vMerge w:val="continue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hanging="0" w:left="1224"/>
              <w:contextualSpacing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444" w:type="dxa"/>
            <w:vMerge w:val="continue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8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Содержание (мойка (по мере необходимости), техническое обслуживание и ремонт, в том числе приобретение запасных частей, расходных материалов) заправка смазочными материалами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оборудования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осуществляется силами и средствами Арендодателя.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Затраты на топливо производятся за счет Арендатора.</w:t>
            </w:r>
          </w:p>
        </w:tc>
      </w:tr>
      <w:tr>
        <w:trPr/>
        <w:tc>
          <w:tcPr>
            <w:tcW w:w="6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52" w:type="dxa"/>
            <w:gridSpan w:val="2"/>
            <w:tcBorders/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Арендодателю и его обязательствам, влияющим на исполнение договора</w:t>
            </w:r>
          </w:p>
        </w:tc>
      </w:tr>
      <w:tr>
        <w:trPr/>
        <w:tc>
          <w:tcPr>
            <w:tcW w:w="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3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.1.</w:t>
            </w:r>
          </w:p>
        </w:tc>
        <w:tc>
          <w:tcPr>
            <w:tcW w:w="244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Обязанности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Арендодателя</w:t>
            </w:r>
          </w:p>
        </w:tc>
        <w:tc>
          <w:tcPr>
            <w:tcW w:w="68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В случае поломки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оборудования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Арендатор уведомляет Арендодателя посредством телефонной связи. После уведомления о неисправности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оборудования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Арендодатель обязан в течении 24 часов устранить неисправность или предоставить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оборудование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 с аналогичными характеристиками.</w:t>
            </w:r>
          </w:p>
        </w:tc>
      </w:tr>
      <w:tr>
        <w:trPr/>
        <w:tc>
          <w:tcPr>
            <w:tcW w:w="66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25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требования к аренде</w:t>
            </w:r>
          </w:p>
        </w:tc>
      </w:tr>
      <w:tr>
        <w:trPr/>
        <w:tc>
          <w:tcPr>
            <w:tcW w:w="66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4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.1.</w:t>
            </w:r>
          </w:p>
        </w:tc>
        <w:tc>
          <w:tcPr>
            <w:tcW w:w="24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Стоимость за 1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месяц</w:t>
            </w:r>
          </w:p>
        </w:tc>
        <w:tc>
          <w:tcPr>
            <w:tcW w:w="68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Стоимость 1 месяца является фиксированной и постоянной на протяжении всего срока действия договора.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За неполный месяц оплата производится пропорционально, фактически использованному времени.</w:t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0"/>
        </w:numPr>
        <w:spacing w:lineRule="auto" w:line="276"/>
        <w:ind w:hanging="0"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</w:rPr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851" w:gutter="0" w:header="680" w:top="737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18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418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556"/>
        </w:tabs>
        <w:ind w:left="930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87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38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8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9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9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7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0"/>
        <w:b w:val="false"/>
        <w:szCs w:val="20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a20b6f"/>
    <w:pPr>
      <w:keepNext w:val="true"/>
      <w:tabs>
        <w:tab w:val="clear" w:pos="708"/>
        <w:tab w:val="left" w:pos="0" w:leader="none"/>
        <w:tab w:val="left" w:pos="851" w:leader="none"/>
      </w:tabs>
      <w:spacing w:before="120" w:after="60"/>
      <w:ind w:hanging="0" w:left="567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a20b6f"/>
    <w:rPr>
      <w:rFonts w:eastAsia="Calibri"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Основной текст_"/>
    <w:link w:val="19"/>
    <w:uiPriority w:val="99"/>
    <w:qFormat/>
    <w:locked/>
    <w:rsid w:val="008e58aa"/>
    <w:rPr>
      <w:sz w:val="28"/>
      <w:szCs w:val="28"/>
      <w:shd w:fill="FFFFFF" w:val="clear"/>
    </w:rPr>
  </w:style>
  <w:style w:type="character" w:styleId="Style15" w:customStyle="1">
    <w:name w:val="Основной текст + Малые прописные"/>
    <w:uiPriority w:val="99"/>
    <w:qFormat/>
    <w:rsid w:val="008e58aa"/>
    <w:rPr>
      <w:rFonts w:ascii="Times New Roman" w:hAnsi="Times New Roman" w:cs="Times New Roman"/>
      <w:smallCaps/>
      <w:color w:val="000000"/>
      <w:spacing w:val="0"/>
      <w:w w:val="100"/>
      <w:sz w:val="28"/>
      <w:szCs w:val="28"/>
      <w:u w:val="none"/>
      <w:lang w:val="ru-RU" w:bidi="ar-SA"/>
    </w:rPr>
  </w:style>
  <w:style w:type="character" w:styleId="Style16" w:customStyle="1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11" w:customStyle="1">
    <w:name w:val="caption11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99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  <w:tab w:val="left" w:pos="851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19" w:customStyle="1">
    <w:name w:val="Основной текст1"/>
    <w:basedOn w:val="Normal"/>
    <w:link w:val="Style14"/>
    <w:uiPriority w:val="99"/>
    <w:qFormat/>
    <w:rsid w:val="008e58aa"/>
    <w:pPr>
      <w:widowControl w:val="false"/>
      <w:shd w:val="clear" w:color="auto" w:fill="FFFFFF"/>
      <w:spacing w:lineRule="exact" w:line="302"/>
    </w:pPr>
    <w:rPr/>
  </w:style>
  <w:style w:type="paragraph" w:styleId="Default" w:customStyle="1">
    <w:name w:val="Default"/>
    <w:qFormat/>
    <w:rsid w:val="008e58a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paragraph" w:styleId="Style38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a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allgen.ru/genset/kva/198" TargetMode="External"/><Relationship Id="rId3" Type="http://schemas.openxmlformats.org/officeDocument/2006/relationships/hyperlink" Target="https://www.allgen.ru/genset/kvt/158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A2B0E4-62CC-4E5F-9D31-5C77E5F94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Application>AlterOffice/2026.2.0.0$Linux_X86_64 LibreOffice_project/bc4ef1adf80b36c7a6365f8ed6cbf29021361edd</Application>
  <AppVersion>15.0000</AppVersion>
  <Pages>4</Pages>
  <Words>555</Words>
  <Characters>3936</Characters>
  <CharactersWithSpaces>4402</CharactersWithSpaces>
  <Paragraphs>94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2025-02-17T12:53:00Z</dcterms:created>
  <dc:creator>Быстров Олег Геннадьевич</dc:creator>
  <dc:description/>
  <dc:language>ru-RU</dc:language>
  <cp:lastModifiedBy>sunkulievaa@corp.gidroogk.com</cp:lastModifiedBy>
  <cp:lastPrinted>2026-01-29T09:30:51Z</cp:lastPrinted>
  <dcterms:modified xsi:type="dcterms:W3CDTF">2026-10-08T13:45:36Z</dcterms:modified>
  <cp:revision>23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