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17.xml" ContentType="application/vnd.openxmlformats-officedocument.wordprocessingml.header+xml"/>
  <Override PartName="/word/footer1.xml" ContentType="application/vnd.openxmlformats-officedocument.wordprocessingml.foot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header14.xml" ContentType="application/vnd.openxmlformats-officedocument.wordprocessingml.header+xml"/>
  <Override PartName="/word/embeddings/oleObject1.xlsx" ContentType="application/vnd.openxmlformats-officedocument.spreadsheetml.sheet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media/image1.jpeg" ContentType="image/jpeg"/>
  <Override PartName="/word/media/image2.wmf" ContentType="image/x-wmf"/>
  <Override PartName="/word/header15.xml" ContentType="application/vnd.openxmlformats-officedocument.wordprocessingml.header+xml"/>
  <Override PartName="/word/header11.xml" ContentType="application/vnd.openxmlformats-officedocument.wordprocessingml.header+xml"/>
  <Override PartName="/word/header8.xml" ContentType="application/vnd.openxmlformats-officedocument.wordprocessingml.header+xml"/>
  <Override PartName="/word/header10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2.xml" ContentType="application/vnd.openxmlformats-officedocument.wordprocessingml.header+xml"/>
  <Override PartName="/word/header9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8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footer11.xml" ContentType="application/vnd.openxmlformats-officedocument.wordprocessingml.footer+xml"/>
  <Override PartName="/word/header19.xml" ContentType="application/vnd.openxmlformats-officedocument.wordprocessingml.header+xml"/>
  <Override PartName="/word/footer3.xml" ContentType="application/vnd.openxmlformats-officedocument.wordprocessingml.footer+xml"/>
  <Override PartName="/word/header13.xml" ContentType="application/vnd.openxmlformats-officedocument.wordprocessingml.header+xml"/>
  <Override PartName="/word/footer4.xml" ContentType="application/vnd.openxmlformats-officedocument.wordprocessingml.footer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spacing w:lineRule="auto" w:line="264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>
        <w:rPr>
          <w:rFonts w:eastAsia="Calibri"/>
          <w:b/>
          <w:sz w:val="24"/>
          <w:szCs w:val="24"/>
          <w:lang w:eastAsia="x-none"/>
        </w:rPr>
        <w:t xml:space="preserve">ОКПД2 58.29.50.000 </w:t>
      </w:r>
      <w:r>
        <w:rPr>
          <w:rFonts w:eastAsia="Calibri"/>
          <w:b/>
          <w:sz w:val="26"/>
          <w:szCs w:val="26"/>
        </w:rPr>
        <w:t>Создание системы аудита сетевых доступов»</w:t>
      </w:r>
    </w:p>
    <w:p>
      <w:pPr>
        <w:pStyle w:val="Normal"/>
        <w:spacing w:lineRule="auto" w:line="264"/>
        <w:jc w:val="center"/>
        <w:rPr>
          <w:rStyle w:val="Style8"/>
          <w:b w:val="false"/>
          <w:i w:val="false"/>
          <w:i w:val="false"/>
          <w:sz w:val="26"/>
          <w:szCs w:val="26"/>
          <w:shd w:fill="auto" w:val="clear"/>
        </w:rPr>
      </w:pPr>
      <w:r>
        <w:rPr>
          <w:b w:val="false"/>
          <w:i w:val="false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>
        <w:rPr>
          <w:rFonts w:eastAsia="Calibri"/>
          <w:b/>
          <w:i/>
          <w:sz w:val="26"/>
          <w:szCs w:val="26"/>
        </w:rPr>
        <w:t>_____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284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26"/>
              <w:b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26"/>
              <w:b w:val="false"/>
              <w:rFonts w:eastAsia="Calibri"/>
            </w:rPr>
            <w:fldChar w:fldCharType="separate"/>
          </w:r>
          <w:hyperlink w:anchor="_Toc240977116">
            <w:r>
              <w:rPr>
                <w:webHidden/>
                <w:rStyle w:val="Style26"/>
                <w:rFonts w:eastAsia="Calibri"/>
                <w:b w:val="false"/>
              </w:rPr>
              <w:t>1.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6"/>
                <w:rFonts w:eastAsia="Calibri"/>
                <w:b w:val="false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b w:val="false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567" w:leader="none"/>
              <w:tab w:val="left" w:pos="1120" w:leader="none"/>
              <w:tab w:val="right" w:pos="9911" w:leader="dot"/>
            </w:tabs>
            <w:ind w:left="142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17">
            <w:r>
              <w:rPr>
                <w:webHidden/>
                <w:rStyle w:val="Style26"/>
                <w:rFonts w:eastAsia="Calibri"/>
                <w:iCs/>
                <w:sz w:val="24"/>
                <w:szCs w:val="24"/>
              </w:rPr>
              <w:t>1.1.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567" w:leader="none"/>
              <w:tab w:val="left" w:pos="1120" w:leader="none"/>
              <w:tab w:val="right" w:pos="9911" w:leader="dot"/>
            </w:tabs>
            <w:ind w:left="142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18">
            <w:r>
              <w:rPr>
                <w:webHidden/>
                <w:rStyle w:val="Style26"/>
                <w:rFonts w:eastAsia="Calibri"/>
                <w:iCs/>
                <w:sz w:val="24"/>
                <w:szCs w:val="24"/>
              </w:rPr>
              <w:t>1.2.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567" w:leader="none"/>
              <w:tab w:val="left" w:pos="1120" w:leader="none"/>
              <w:tab w:val="right" w:pos="9911" w:leader="dot"/>
            </w:tabs>
            <w:ind w:left="142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19">
            <w:r>
              <w:rPr>
                <w:webHidden/>
                <w:rStyle w:val="Style26"/>
                <w:rFonts w:eastAsia="Calibri"/>
                <w:iCs/>
                <w:sz w:val="24"/>
                <w:szCs w:val="24"/>
              </w:rPr>
              <w:t>1.3.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Цель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567" w:leader="none"/>
              <w:tab w:val="left" w:pos="1120" w:leader="none"/>
              <w:tab w:val="right" w:pos="9911" w:leader="dot"/>
            </w:tabs>
            <w:ind w:left="142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20">
            <w:r>
              <w:rPr>
                <w:webHidden/>
                <w:rStyle w:val="Style26"/>
                <w:rFonts w:eastAsia="Calibri"/>
                <w:iCs/>
                <w:sz w:val="24"/>
                <w:szCs w:val="24"/>
              </w:rPr>
              <w:t>1.4.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567" w:leader="none"/>
              <w:tab w:val="left" w:pos="1120" w:leader="none"/>
              <w:tab w:val="right" w:pos="9911" w:leader="dot"/>
            </w:tabs>
            <w:ind w:left="142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21">
            <w:r>
              <w:rPr>
                <w:webHidden/>
                <w:rStyle w:val="Style26"/>
                <w:rFonts w:eastAsia="Calibri"/>
                <w:iCs/>
                <w:sz w:val="24"/>
                <w:szCs w:val="24"/>
              </w:rPr>
              <w:t>1.5.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567" w:leader="none"/>
              <w:tab w:val="left" w:pos="1120" w:leader="none"/>
              <w:tab w:val="right" w:pos="9911" w:leader="dot"/>
            </w:tabs>
            <w:ind w:left="142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23">
            <w:r>
              <w:rPr>
                <w:webHidden/>
                <w:rStyle w:val="Style26"/>
                <w:rFonts w:eastAsia="Calibri"/>
                <w:iCs/>
                <w:sz w:val="24"/>
                <w:szCs w:val="24"/>
              </w:rPr>
              <w:t>1.6.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284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240977124">
            <w:r>
              <w:rPr>
                <w:webHidden/>
                <w:rStyle w:val="Style26"/>
                <w:rFonts w:eastAsia="Calibri"/>
                <w:b w:val="false"/>
              </w:rPr>
              <w:t>2.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6"/>
                <w:rFonts w:eastAsia="Calibri"/>
                <w:b w:val="false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b w:val="false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567" w:leader="none"/>
              <w:tab w:val="left" w:pos="1120" w:leader="none"/>
              <w:tab w:val="right" w:pos="9911" w:leader="dot"/>
            </w:tabs>
            <w:ind w:left="142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25">
            <w:r>
              <w:rPr>
                <w:webHidden/>
                <w:rStyle w:val="Style26"/>
                <w:rFonts w:eastAsia="Calibri"/>
                <w:iCs/>
                <w:sz w:val="24"/>
                <w:szCs w:val="24"/>
              </w:rPr>
              <w:t>2.1.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Требования к объемам и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284" w:leader="none"/>
              <w:tab w:val="left" w:pos="851" w:leader="none"/>
              <w:tab w:val="left" w:pos="1120" w:leader="none"/>
              <w:tab w:val="right" w:pos="9911" w:leader="dot"/>
            </w:tabs>
            <w:ind w:left="284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26">
            <w:r>
              <w:rPr>
                <w:webHidden/>
                <w:rStyle w:val="Style26"/>
                <w:rFonts w:eastAsia="Calibri"/>
                <w:sz w:val="24"/>
                <w:szCs w:val="24"/>
              </w:rPr>
              <w:t>2.1.1.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Требования к видам и объемам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284" w:leader="none"/>
              <w:tab w:val="left" w:pos="851" w:leader="none"/>
              <w:tab w:val="left" w:pos="1120" w:leader="none"/>
              <w:tab w:val="right" w:pos="9911" w:leader="dot"/>
            </w:tabs>
            <w:ind w:left="284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28">
            <w:r>
              <w:rPr>
                <w:webHidden/>
                <w:rStyle w:val="Style26"/>
                <w:rFonts w:eastAsia="Calibri"/>
                <w:sz w:val="24"/>
                <w:szCs w:val="24"/>
              </w:rPr>
              <w:t>2.1.2.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Требования к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567" w:leader="none"/>
              <w:tab w:val="left" w:pos="1120" w:leader="none"/>
              <w:tab w:val="right" w:pos="9911" w:leader="dot"/>
            </w:tabs>
            <w:ind w:left="142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240977129">
            <w:r>
              <w:rPr>
                <w:webHidden/>
                <w:rStyle w:val="Style26"/>
                <w:rFonts w:eastAsia="Calibri"/>
                <w:iCs/>
                <w:sz w:val="24"/>
                <w:szCs w:val="24"/>
              </w:rPr>
              <w:t>2.2.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6"/>
                <w:rFonts w:eastAsia="Calibri"/>
                <w:sz w:val="24"/>
                <w:szCs w:val="2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vanish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284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240977130">
            <w:r>
              <w:rPr>
                <w:webHidden/>
                <w:rStyle w:val="Style26"/>
                <w:rFonts w:eastAsia="Calibri"/>
                <w:b w:val="false"/>
              </w:rPr>
              <w:t>3.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6"/>
                <w:rFonts w:eastAsia="Calibri"/>
                <w:b w:val="false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b w:val="false"/>
                <w:vanish w:val="false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284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240977131">
            <w:r>
              <w:rPr>
                <w:webHidden/>
                <w:rStyle w:val="Style26"/>
                <w:rFonts w:eastAsia="Calibri"/>
                <w:b w:val="false"/>
              </w:rPr>
              <w:t>4.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6"/>
                <w:rFonts w:eastAsia="Calibri"/>
                <w:b w:val="false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_Toc240977131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b w:val="false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284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240977132">
            <w:r>
              <w:rPr>
                <w:webHidden/>
                <w:rStyle w:val="Style26"/>
                <w:rFonts w:eastAsia="Calibri"/>
                <w:b w:val="false"/>
              </w:rPr>
              <w:t>5.</w:t>
            </w:r>
            <w:r>
              <w:rPr>
                <w:rStyle w:val="Style26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6"/>
                <w:rFonts w:eastAsia="Calibri"/>
                <w:b w:val="false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b w:val="false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284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240977133">
            <w:r>
              <w:rPr>
                <w:webHidden/>
                <w:rStyle w:val="Style26"/>
                <w:rFonts w:eastAsia="Calibri"/>
                <w:b w:val="false"/>
              </w:rPr>
              <w:t>Приложение № 1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_Toc240977133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b w:val="false"/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284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240977134">
            <w:r>
              <w:rPr>
                <w:webHidden/>
                <w:rStyle w:val="Style26"/>
                <w:rFonts w:eastAsia="Calibri"/>
                <w:b w:val="false"/>
              </w:rPr>
              <w:t>Приложение № 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b w:val="false"/>
                <w:vanish w:val="false"/>
              </w:rPr>
              <w:tab/>
              <w:t>24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284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240977135">
            <w:r>
              <w:rPr>
                <w:webHidden/>
                <w:rStyle w:val="Style26"/>
                <w:rFonts w:eastAsia="Calibri"/>
                <w:b w:val="false"/>
                <w:kern w:val="2"/>
                <w:lang w:eastAsia="en-US"/>
              </w:rPr>
              <w:t>Приложение № 3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_Toc240977135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6"/>
                <w:b w:val="false"/>
                <w:vanish w:val="false"/>
              </w:rPr>
              <w:tab/>
              <w:t>47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26"/>
              <w:b w:val="false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284" w:leader="none"/>
          <w:tab w:val="right" w:pos="9911" w:leader="dot"/>
        </w:tabs>
        <w:spacing w:lineRule="auto" w:line="300" w:before="0" w:after="0"/>
        <w:jc w:val="both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</w:numPr>
        <w:tabs>
          <w:tab w:val="clear" w:pos="0"/>
        </w:tabs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</w:rPr>
      </w:pPr>
      <w:bookmarkStart w:id="0" w:name="_Toc240977116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556" w:left="1276"/>
        <w:rPr>
          <w:rStyle w:val="Style8"/>
          <w:b/>
          <w:i w:val="false"/>
          <w:i w:val="false"/>
          <w:shd w:fill="auto" w:val="clear"/>
        </w:rPr>
      </w:pPr>
      <w:bookmarkStart w:id="2" w:name="_Toc240977117"/>
      <w:bookmarkStart w:id="3" w:name="_Toc46743505"/>
      <w:r>
        <w:rPr/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Заказчик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ПАО «РусГидро»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Информационная безопасность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Исполнительная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ИТ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Информационные технологии</w:t>
            </w:r>
            <w:r>
              <w:rPr>
                <w:rStyle w:val="FootnoteReference"/>
                <w:sz w:val="24"/>
                <w:szCs w:val="24"/>
                <w:lang w:eastAsia="x-none"/>
              </w:rPr>
              <w:footnoteReference w:id="2"/>
            </w:r>
            <w:r>
              <w:rPr>
                <w:rStyle w:val="Style"/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x-none"/>
              </w:rPr>
              <w:t>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ЛВС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Локальная вычислительная сеть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НМА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Нематериальные активы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Операционная система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ПО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Программное обеспечение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Подрядчик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Участник, получивший право на заключение договора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 обработки данных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Эксплуатационная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NAC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Network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Access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Control</w:t>
            </w:r>
            <w:r>
              <w:rPr>
                <w:sz w:val="24"/>
                <w:szCs w:val="24"/>
              </w:rPr>
              <w:t xml:space="preserve"> (Система контроля сетевого доступа)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4" w:name="_Toc240977118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ОКПД2 58.29.50.000 Создание системы аудита сетевых доступов</w:t>
      </w:r>
      <w:r>
        <w:rPr>
          <w:rFonts w:eastAsia="Calibri"/>
          <w:color w:val="000000"/>
          <w:sz w:val="24"/>
          <w:szCs w:val="24"/>
          <w:lang w:eastAsia="x-none"/>
        </w:rPr>
        <w:t>.</w:t>
      </w:r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6" w:name="_Toc240977119"/>
      <w:bookmarkStart w:id="7" w:name="_Toc46743507"/>
      <w:r>
        <w:rPr/>
        <w:t xml:space="preserve">Цель </w:t>
      </w:r>
      <w:bookmarkEnd w:id="7"/>
      <w:r>
        <w:rPr>
          <w:lang w:val="ru-RU"/>
        </w:rPr>
        <w:t>выполнения работ</w:t>
      </w:r>
      <w:bookmarkEnd w:id="6"/>
    </w:p>
    <w:p>
      <w:pPr>
        <w:pStyle w:val="Rtext1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1.3.1 Целью мероприятия является реализация Zero Trust подхода в части безопасной сетевой архитектуры, за счет создания системы аудита сетевых доступов в соответствии с протоколом мероприятия по результату стратегической сессии ДИТ ПАО "РусГидро" и ООО "РусГидро ИТ сервис".</w:t>
      </w:r>
    </w:p>
    <w:p>
      <w:pPr>
        <w:pStyle w:val="Rtext1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1.3.2. Задачами являются:</w:t>
      </w:r>
    </w:p>
    <w:p>
      <w:pPr>
        <w:pStyle w:val="Rtext1"/>
        <w:numPr>
          <w:ilvl w:val="0"/>
          <w:numId w:val="38"/>
        </w:numPr>
        <w:tabs>
          <w:tab w:val="clear" w:pos="708"/>
          <w:tab w:val="left" w:pos="993" w:leader="none"/>
        </w:tabs>
        <w:ind w:hanging="0" w:left="709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разработка документации;</w:t>
      </w:r>
    </w:p>
    <w:p>
      <w:pPr>
        <w:pStyle w:val="Rtext1"/>
        <w:numPr>
          <w:ilvl w:val="0"/>
          <w:numId w:val="38"/>
        </w:numPr>
        <w:tabs>
          <w:tab w:val="clear" w:pos="708"/>
          <w:tab w:val="left" w:pos="993" w:leader="none"/>
        </w:tabs>
        <w:ind w:hanging="0" w:left="709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развёртывание инфраструктуры NAC-системы;</w:t>
      </w:r>
    </w:p>
    <w:p>
      <w:pPr>
        <w:pStyle w:val="Rtext1"/>
        <w:numPr>
          <w:ilvl w:val="0"/>
          <w:numId w:val="38"/>
        </w:numPr>
        <w:tabs>
          <w:tab w:val="clear" w:pos="708"/>
          <w:tab w:val="left" w:pos="993" w:leader="none"/>
        </w:tabs>
        <w:ind w:hanging="0" w:left="709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настройка NAC-системы;</w:t>
      </w:r>
    </w:p>
    <w:p>
      <w:pPr>
        <w:pStyle w:val="Rtext1"/>
        <w:numPr>
          <w:ilvl w:val="0"/>
          <w:numId w:val="38"/>
        </w:numPr>
        <w:tabs>
          <w:tab w:val="clear" w:pos="708"/>
          <w:tab w:val="left" w:pos="993" w:leader="none"/>
        </w:tabs>
        <w:ind w:hanging="0" w:left="709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разработка безопасной типовой конфигурации сетевых доступов;</w:t>
      </w:r>
    </w:p>
    <w:p>
      <w:pPr>
        <w:pStyle w:val="Rtext1"/>
        <w:numPr>
          <w:ilvl w:val="0"/>
          <w:numId w:val="38"/>
        </w:numPr>
        <w:tabs>
          <w:tab w:val="clear" w:pos="708"/>
          <w:tab w:val="left" w:pos="993" w:leader="none"/>
        </w:tabs>
        <w:ind w:hanging="0" w:left="709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проведение ПСИ</w:t>
      </w:r>
      <w:r>
        <w:rPr>
          <w:rFonts w:eastAsia="Calibri"/>
          <w:szCs w:val="24"/>
          <w:lang w:val="en-US" w:eastAsia="x-none"/>
        </w:rPr>
        <w:t>;</w:t>
      </w:r>
    </w:p>
    <w:p>
      <w:pPr>
        <w:pStyle w:val="Rtext1"/>
        <w:numPr>
          <w:ilvl w:val="0"/>
          <w:numId w:val="38"/>
        </w:numPr>
        <w:tabs>
          <w:tab w:val="clear" w:pos="708"/>
          <w:tab w:val="left" w:pos="993" w:leader="none"/>
        </w:tabs>
        <w:ind w:hanging="0" w:left="709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ввод в опытную эксплуатация</w:t>
      </w:r>
      <w:r>
        <w:rPr>
          <w:rFonts w:eastAsia="Calibri"/>
          <w:szCs w:val="24"/>
          <w:lang w:val="en-US" w:eastAsia="x-none"/>
        </w:rPr>
        <w:t>;</w:t>
      </w:r>
    </w:p>
    <w:p>
      <w:pPr>
        <w:pStyle w:val="Rtext1"/>
        <w:numPr>
          <w:ilvl w:val="0"/>
          <w:numId w:val="38"/>
        </w:numPr>
        <w:tabs>
          <w:tab w:val="clear" w:pos="708"/>
          <w:tab w:val="left" w:pos="993" w:leader="none"/>
        </w:tabs>
        <w:ind w:hanging="0" w:left="709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ввод в промышленную эксплуатацию</w:t>
      </w:r>
      <w:r>
        <w:rPr>
          <w:rFonts w:eastAsia="Calibri"/>
          <w:szCs w:val="24"/>
          <w:lang w:val="en-US" w:eastAsia="x-none"/>
        </w:rPr>
        <w:t>.</w:t>
      </w:r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8" w:name="_Toc240977120"/>
      <w:bookmarkStart w:id="9" w:name="_Toc46743508"/>
      <w:r>
        <w:rPr/>
        <w:t>Существующее положение</w:t>
      </w:r>
      <w:bookmarkEnd w:id="8"/>
      <w:bookmarkEnd w:id="9"/>
      <w:r>
        <w:rPr>
          <w:lang w:val="ru-RU"/>
        </w:rPr>
        <w:t xml:space="preserve"> </w:t>
      </w:r>
    </w:p>
    <w:p>
      <w:pPr>
        <w:pStyle w:val="Rtext1"/>
        <w:rPr>
          <w:rFonts w:eastAsia="Calibri"/>
          <w:szCs w:val="24"/>
          <w:lang w:eastAsia="x-none"/>
        </w:rPr>
      </w:pPr>
      <w:bookmarkStart w:id="10" w:name="_Toc46743509"/>
      <w:bookmarkStart w:id="11" w:name="_Hlk49857604"/>
      <w:r>
        <w:rPr>
          <w:rFonts w:eastAsia="Calibri"/>
          <w:szCs w:val="24"/>
          <w:lang w:eastAsia="x-none"/>
        </w:rPr>
        <w:t>В настоящий момент система аудита сетевых доступов отсутствует.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Tn1"/>
        <w:spacing w:lineRule="auto" w:line="276" w:before="0" w:after="0"/>
        <w:jc w:val="left"/>
        <w:rPr>
          <w:b/>
        </w:rPr>
      </w:pPr>
      <w:bookmarkStart w:id="12" w:name="_Toc131080448"/>
      <w:bookmarkStart w:id="13" w:name="_Toc130406163"/>
      <w:bookmarkStart w:id="14" w:name="_Toc131081289"/>
      <w:r>
        <w:rPr>
          <w:b/>
        </w:rPr>
        <w:t>Таблица 1. Перечень объектов Заказчика</w:t>
      </w:r>
      <w:bookmarkEnd w:id="12"/>
      <w:bookmarkEnd w:id="13"/>
      <w:bookmarkEnd w:id="14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2"/>
        <w:gridCol w:w="1977"/>
        <w:gridCol w:w="2985"/>
        <w:gridCol w:w="2693"/>
        <w:gridCol w:w="1701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Расположение объекта (место поставки МТР, производства работ)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основного средства (в отношении которого выполняются работы)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Система аудита сетевых доступов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Российская Федерация, Республика Хакасия, посёлок городского типа Черёмушки, Саяно-Шушенская ГЭС им. П. С. Непорожнего, здание щитового блока ОРУ-500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Новое основное средство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Эксплуатирующая организация: ПАО «РусГидро»</w:t>
            </w:r>
          </w:p>
        </w:tc>
      </w:tr>
    </w:tbl>
    <w:p>
      <w:pPr>
        <w:pStyle w:val="Heading4"/>
        <w:numPr>
          <w:ilvl w:val="1"/>
          <w:numId w:val="3"/>
        </w:numPr>
        <w:ind w:hanging="556" w:left="1276"/>
        <w:rPr/>
      </w:pPr>
      <w:bookmarkStart w:id="15" w:name="_Toc240977121"/>
      <w:r>
        <w:rPr/>
        <w:t xml:space="preserve">Информация в отношении исполнения договора, </w:t>
      </w:r>
      <w:bookmarkStart w:id="16" w:name="_Hlk46492347"/>
      <w:r>
        <w:rPr/>
        <w:t xml:space="preserve">которая должна быть учтена при подготовке заявки </w:t>
      </w:r>
      <w:bookmarkEnd w:id="1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  <w:bookmarkEnd w:id="15"/>
    </w:p>
    <w:p>
      <w:pPr>
        <w:pStyle w:val="T31"/>
        <w:ind w:firstLine="567" w:left="0"/>
        <w:rPr/>
      </w:pPr>
      <w:r>
        <w:rPr/>
        <w:t>1.5.1. Подрядчик должен в полном объеме обладать всеми материально-техническими ресурсами необходимыми для качественного выполнения работ и достижения требуемого результата.</w:t>
      </w:r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17" w:name="_Toc240977123"/>
      <w:bookmarkStart w:id="18" w:name="_Hlk48209761"/>
      <w:bookmarkStart w:id="19" w:name="_Toc240977122"/>
      <w:bookmarkStart w:id="20" w:name="_Toc240977061"/>
      <w:bookmarkStart w:id="21" w:name="_Toc240976848"/>
      <w:bookmarkEnd w:id="18"/>
      <w:bookmarkEnd w:id="19"/>
      <w:bookmarkEnd w:id="20"/>
      <w:bookmarkEnd w:id="21"/>
      <w:r>
        <w:rPr/>
        <w:t>Иные требования и сведения общего характера</w:t>
      </w:r>
      <w:bookmarkEnd w:id="17"/>
      <w:r>
        <w:rPr>
          <w:lang w:val="ru-RU"/>
        </w:rPr>
        <w:t xml:space="preserve"> </w:t>
      </w:r>
    </w:p>
    <w:p>
      <w:pPr>
        <w:pStyle w:val="T31"/>
        <w:spacing w:lineRule="auto" w:line="300"/>
        <w:ind w:firstLine="567" w:left="0"/>
        <w:rPr/>
      </w:pPr>
      <w:r>
        <w:rPr/>
        <w:t xml:space="preserve">1.6.1. Техническая документация и информация, необходимая Подрядчику для выполнения работ, будет представляться по письменному запросу Подрядчика к Заказчику. </w:t>
      </w:r>
    </w:p>
    <w:p>
      <w:pPr>
        <w:pStyle w:val="T31"/>
        <w:spacing w:lineRule="auto" w:line="300"/>
        <w:ind w:firstLine="567" w:left="0"/>
        <w:rPr/>
      </w:pPr>
      <w:r>
        <w:rPr/>
        <w:t>1.6.2. Заказчик своевременно уведомляет Подрядчика об изменениях требований НТД, которые необходимо учесть при выполнении работ, путем направления официального письма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300"/>
        <w:ind w:firstLine="567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1.6.3. Заказчик имеет право осуществлять контроль за деятельностью Подрядчика.</w:t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lang w:val="ru-RU"/>
        </w:rPr>
      </w:pPr>
      <w:bookmarkStart w:id="22" w:name="_Toc240977124"/>
      <w:bookmarkStart w:id="23" w:name="_Toc51339693"/>
      <w:r>
        <w:rPr/>
        <w:t>Требования к продукции</w:t>
      </w:r>
      <w:bookmarkEnd w:id="22"/>
      <w:bookmarkEnd w:id="23"/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24" w:name="_Toc240977125"/>
      <w:r>
        <w:rPr/>
        <w:t xml:space="preserve">Требования к объемам и срокам </w:t>
      </w:r>
      <w:r>
        <w:rPr>
          <w:lang w:val="ru-RU"/>
        </w:rPr>
        <w:t>выполнения работ</w:t>
      </w:r>
      <w:bookmarkEnd w:id="24"/>
    </w:p>
    <w:p>
      <w:pPr>
        <w:pStyle w:val="Heading3"/>
        <w:numPr>
          <w:ilvl w:val="2"/>
          <w:numId w:val="3"/>
        </w:numPr>
        <w:ind w:hanging="556" w:left="1276"/>
        <w:rPr/>
      </w:pPr>
      <w:bookmarkStart w:id="25" w:name="_Toc240977126"/>
      <w:r>
        <w:rPr/>
        <w:t>Требования к видам и объемам работ</w:t>
      </w:r>
      <w:bookmarkEnd w:id="25"/>
    </w:p>
    <w:p>
      <w:pPr>
        <w:pStyle w:val="Normal"/>
        <w:spacing w:before="120" w:after="120"/>
        <w:rPr>
          <w:b/>
          <w:sz w:val="24"/>
        </w:rPr>
      </w:pPr>
      <w:bookmarkStart w:id="26" w:name="_Toc51339695"/>
      <w:r>
        <w:rPr>
          <w:b/>
          <w:sz w:val="24"/>
        </w:rPr>
        <w:t xml:space="preserve">Таблица 2.1. Перечень </w:t>
      </w:r>
      <w:bookmarkEnd w:id="26"/>
      <w:r>
        <w:rPr>
          <w:b/>
          <w:sz w:val="24"/>
        </w:rPr>
        <w:t>и объем выполняемых работ</w:t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89"/>
        <w:gridCol w:w="2122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этапа работ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8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Этап 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</w:rPr>
              <w:t>1.</w:t>
            </w:r>
            <w:r>
              <w:rPr>
                <w:sz w:val="22"/>
                <w:szCs w:val="24"/>
                <w:lang w:val="en-US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Разработка документации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Условная единица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8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Этап 2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2.1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Поставка ПО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Условная единица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3.</w:t>
            </w:r>
          </w:p>
        </w:tc>
        <w:tc>
          <w:tcPr>
            <w:tcW w:w="8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Этап 3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</w:rPr>
              <w:t>3.1.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 xml:space="preserve">Развёртывание инфраструктуры </w:t>
            </w:r>
            <w:r>
              <w:rPr>
                <w:bCs/>
                <w:kern w:val="2"/>
                <w:sz w:val="22"/>
                <w:szCs w:val="24"/>
                <w:lang w:val="en-US" w:eastAsia="en-US"/>
              </w:rPr>
              <w:t>NAC-</w:t>
            </w:r>
            <w:r>
              <w:rPr>
                <w:bCs/>
                <w:kern w:val="2"/>
                <w:sz w:val="22"/>
                <w:szCs w:val="24"/>
                <w:lang w:eastAsia="en-US"/>
              </w:rPr>
              <w:t>системы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Условная единица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</w:rPr>
              <w:t>3.2.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 xml:space="preserve">Настройка </w:t>
            </w:r>
            <w:r>
              <w:rPr>
                <w:bCs/>
                <w:kern w:val="2"/>
                <w:sz w:val="22"/>
                <w:szCs w:val="24"/>
                <w:lang w:val="en-US" w:eastAsia="en-US"/>
              </w:rPr>
              <w:t>NAC-</w:t>
            </w:r>
            <w:r>
              <w:rPr>
                <w:bCs/>
                <w:kern w:val="2"/>
                <w:sz w:val="22"/>
                <w:szCs w:val="24"/>
                <w:lang w:eastAsia="en-US"/>
              </w:rPr>
              <w:t>системы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Условная единица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</w:rPr>
              <w:t>3.3.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Разработка безопасной типовой конфигурации сетевых доступов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Условная единица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3.4.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Проведение ПСИ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Условная единица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3.5.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Ввод в опытную эксплуатация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Условная единица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3.6.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Ввод в промышленную эксплуатацию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Условная единица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kern w:val="2"/>
                <w:sz w:val="22"/>
                <w:szCs w:val="24"/>
                <w:lang w:eastAsia="en-US"/>
              </w:rPr>
            </w:pPr>
            <w:r>
              <w:rPr>
                <w:bCs/>
                <w:kern w:val="2"/>
                <w:sz w:val="22"/>
                <w:szCs w:val="24"/>
                <w:lang w:eastAsia="en-US"/>
              </w:rPr>
              <w:t>1</w:t>
            </w:r>
          </w:p>
        </w:tc>
      </w:tr>
    </w:tbl>
    <w:p>
      <w:pPr>
        <w:pStyle w:val="Normal"/>
        <w:spacing w:before="120" w:after="120"/>
        <w:rPr>
          <w:b/>
          <w:sz w:val="24"/>
        </w:rPr>
      </w:pPr>
      <w:bookmarkStart w:id="27" w:name="_Toc51955658"/>
      <w:bookmarkStart w:id="28" w:name="_Toc54970186"/>
      <w:r>
        <w:rPr>
          <w:b/>
          <w:sz w:val="24"/>
        </w:rPr>
        <w:t>Таблица 2.2 Перечень и объем закупа</w:t>
      </w:r>
      <w:bookmarkEnd w:id="28"/>
      <w:r>
        <w:rPr>
          <w:b/>
          <w:sz w:val="24"/>
        </w:rPr>
        <w:t xml:space="preserve">емого ПО </w:t>
      </w:r>
      <w:bookmarkEnd w:id="27"/>
    </w:p>
    <w:tbl>
      <w:tblPr>
        <w:tblW w:w="981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86"/>
        <w:gridCol w:w="2125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pacing w:before="0" w:after="0"/>
              <w:ind w:left="0"/>
              <w:contextualSpacing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2"/>
                <w:szCs w:val="24"/>
              </w:rPr>
            </w:pPr>
            <w:r>
              <w:rPr>
                <w:sz w:val="22"/>
                <w:szCs w:val="24"/>
              </w:rPr>
              <w:t>Система контроля сетевого доступа NAICE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 w:val="22"/>
                <w:szCs w:val="24"/>
              </w:rPr>
            </w:pPr>
            <w:r>
              <w:rPr>
                <w:iCs/>
                <w:color w:val="000000"/>
                <w:sz w:val="22"/>
                <w:szCs w:val="24"/>
              </w:rPr>
              <w:t>шт.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 w:val="22"/>
                <w:szCs w:val="24"/>
              </w:rPr>
            </w:pPr>
            <w:r>
              <w:rPr>
                <w:iCs/>
                <w:color w:val="000000"/>
                <w:sz w:val="22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pacing w:before="0" w:after="0"/>
              <w:ind w:left="0"/>
              <w:contextualSpacing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22"/>
                <w:szCs w:val="24"/>
              </w:rPr>
            </w:pPr>
            <w:r>
              <w:rPr>
                <w:sz w:val="22"/>
                <w:szCs w:val="24"/>
              </w:rPr>
              <w:t>Опция TACACS+ на одну систему контроля сетевого доступа NAICE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 w:val="22"/>
                <w:szCs w:val="24"/>
              </w:rPr>
            </w:pPr>
            <w:r>
              <w:rPr>
                <w:iCs/>
                <w:color w:val="000000"/>
                <w:sz w:val="22"/>
                <w:szCs w:val="24"/>
              </w:rPr>
              <w:t>шт.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 w:val="22"/>
                <w:szCs w:val="24"/>
              </w:rPr>
            </w:pPr>
            <w:r>
              <w:rPr>
                <w:iCs/>
                <w:color w:val="000000"/>
                <w:sz w:val="22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pacing w:before="0" w:after="0"/>
              <w:ind w:left="0"/>
              <w:contextualSpacing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3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Опция на 1 пользовательское подключение в системе контроля сетевого доступа NAICE, пакет «ADVANCED, 1+ уникальных пользовательских подключений», бессрочная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 w:val="22"/>
                <w:szCs w:val="24"/>
              </w:rPr>
            </w:pPr>
            <w:r>
              <w:rPr>
                <w:iCs/>
                <w:color w:val="000000"/>
                <w:sz w:val="22"/>
                <w:szCs w:val="24"/>
              </w:rPr>
              <w:t>шт.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 w:val="22"/>
                <w:szCs w:val="24"/>
                <w:highlight w:val="yellow"/>
              </w:rPr>
            </w:pPr>
            <w:r>
              <w:rPr>
                <w:iCs/>
                <w:color w:val="000000"/>
                <w:sz w:val="22"/>
                <w:szCs w:val="24"/>
              </w:rPr>
              <w:t>100</w:t>
            </w:r>
          </w:p>
        </w:tc>
      </w:tr>
    </w:tbl>
    <w:p>
      <w:pPr>
        <w:pStyle w:val="Heading3"/>
        <w:numPr>
          <w:ilvl w:val="2"/>
          <w:numId w:val="3"/>
        </w:numPr>
        <w:ind w:hanging="556" w:left="1276"/>
        <w:rPr/>
      </w:pPr>
      <w:bookmarkStart w:id="29" w:name="_Toc240977128"/>
      <w:bookmarkStart w:id="30" w:name="_Toc51339696"/>
      <w:bookmarkStart w:id="31" w:name="_Toc240977127"/>
      <w:bookmarkStart w:id="32" w:name="_Toc240977066"/>
      <w:bookmarkEnd w:id="31"/>
      <w:bookmarkEnd w:id="32"/>
      <w:r>
        <w:rPr/>
        <w:t xml:space="preserve">Требования </w:t>
      </w:r>
      <w:bookmarkEnd w:id="30"/>
      <w:r>
        <w:rPr/>
        <w:t>к срокам выполнения работ</w:t>
      </w:r>
      <w:bookmarkEnd w:id="29"/>
    </w:p>
    <w:p>
      <w:pPr>
        <w:pStyle w:val="Normal"/>
        <w:spacing w:before="120" w:after="120"/>
        <w:rPr>
          <w:b/>
          <w:sz w:val="24"/>
          <w:shd w:fill="FFFF99" w:val="clear"/>
        </w:rPr>
      </w:pPr>
      <w:bookmarkStart w:id="33" w:name="_Toc54970188"/>
      <w:r>
        <w:rPr>
          <w:b/>
          <w:sz w:val="24"/>
        </w:rPr>
        <w:t>Таблица 3.1 Требования по срокам выполнения работ / оказания услуг</w:t>
      </w:r>
      <w:bookmarkEnd w:id="33"/>
      <w:r>
        <w:rPr>
          <w:rStyle w:val="Style8"/>
          <w:sz w:val="22"/>
          <w:szCs w:val="24"/>
        </w:rPr>
        <w:t xml:space="preserve"> 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8"/>
        <w:gridCol w:w="2268"/>
        <w:gridCol w:w="3261"/>
        <w:gridCol w:w="3260"/>
      </w:tblGrid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работ / услуг </w:t>
              <w:br/>
              <w:t>(вид / этап (работ/ услуг)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Этап 1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</w:rPr>
              <w:t>Разработка документации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  <w:r>
              <w:rPr>
                <w:rStyle w:val="FootnoteReference"/>
                <w:sz w:val="22"/>
                <w:szCs w:val="22"/>
                <w:lang w:val="en-US"/>
              </w:rPr>
              <w:footnoteReference w:id="3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X+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>р.д.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Этап 2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kern w:val="2"/>
                <w:sz w:val="22"/>
                <w:szCs w:val="22"/>
                <w:lang w:eastAsia="en-US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</w:rPr>
              <w:t>Поставка ПО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X+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>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X+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>р.д.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Этап 3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</w:rPr>
              <w:t xml:space="preserve">Развёртывание инфраструктуры </w:t>
            </w:r>
            <w:r>
              <w:rPr>
                <w:bCs/>
                <w:kern w:val="2"/>
                <w:sz w:val="22"/>
                <w:szCs w:val="22"/>
                <w:lang w:val="en-US" w:eastAsia="en-US"/>
              </w:rPr>
              <w:t>NAC-</w:t>
            </w:r>
            <w:r>
              <w:rPr>
                <w:bCs/>
                <w:kern w:val="2"/>
                <w:sz w:val="22"/>
                <w:szCs w:val="22"/>
                <w:lang w:eastAsia="en-US"/>
              </w:rPr>
              <w:t>системы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X+50 </w:t>
            </w:r>
            <w:r>
              <w:rPr>
                <w:sz w:val="22"/>
                <w:szCs w:val="22"/>
              </w:rPr>
              <w:t>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X+55 </w:t>
            </w:r>
            <w:r>
              <w:rPr>
                <w:sz w:val="22"/>
                <w:szCs w:val="22"/>
              </w:rPr>
              <w:t>р.д.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</w:rPr>
              <w:t xml:space="preserve">Настройка </w:t>
            </w:r>
            <w:r>
              <w:rPr>
                <w:bCs/>
                <w:kern w:val="2"/>
                <w:sz w:val="22"/>
                <w:szCs w:val="22"/>
                <w:lang w:val="en-US" w:eastAsia="en-US"/>
              </w:rPr>
              <w:t>NAC-</w:t>
            </w:r>
            <w:r>
              <w:rPr>
                <w:bCs/>
                <w:kern w:val="2"/>
                <w:sz w:val="22"/>
                <w:szCs w:val="22"/>
                <w:lang w:eastAsia="en-US"/>
              </w:rPr>
              <w:t>системы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X+55 </w:t>
            </w:r>
            <w:r>
              <w:rPr>
                <w:sz w:val="22"/>
                <w:szCs w:val="22"/>
              </w:rPr>
              <w:t>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X+70 </w:t>
            </w:r>
            <w:r>
              <w:rPr>
                <w:sz w:val="22"/>
                <w:szCs w:val="22"/>
              </w:rPr>
              <w:t>р.д.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безопасной типовой конфигурации сетевых доступов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X+70 </w:t>
            </w:r>
            <w:r>
              <w:rPr>
                <w:sz w:val="22"/>
                <w:szCs w:val="22"/>
              </w:rPr>
              <w:t>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X+100 </w:t>
            </w:r>
            <w:r>
              <w:rPr>
                <w:sz w:val="22"/>
                <w:szCs w:val="22"/>
              </w:rPr>
              <w:t>р.д.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ПСИ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X+100 </w:t>
            </w:r>
            <w:r>
              <w:rPr>
                <w:sz w:val="22"/>
                <w:szCs w:val="22"/>
              </w:rPr>
              <w:t>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X+102 </w:t>
            </w:r>
            <w:r>
              <w:rPr>
                <w:sz w:val="22"/>
                <w:szCs w:val="22"/>
              </w:rPr>
              <w:t>р.д.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в опытную эксплуатация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X+102 </w:t>
            </w:r>
            <w:r>
              <w:rPr>
                <w:sz w:val="22"/>
                <w:szCs w:val="22"/>
              </w:rPr>
              <w:t>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X+112 </w:t>
            </w:r>
            <w:r>
              <w:rPr>
                <w:sz w:val="22"/>
                <w:szCs w:val="22"/>
              </w:rPr>
              <w:t>р.д.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в промышленную эксплуатацию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X+112 </w:t>
            </w:r>
            <w:r>
              <w:rPr>
                <w:sz w:val="22"/>
                <w:szCs w:val="22"/>
              </w:rPr>
              <w:t>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X+112 </w:t>
            </w:r>
            <w:r>
              <w:rPr>
                <w:sz w:val="22"/>
                <w:szCs w:val="22"/>
              </w:rPr>
              <w:t>р.д.</w:t>
            </w:r>
          </w:p>
        </w:tc>
      </w:tr>
    </w:tbl>
    <w:p>
      <w:pPr>
        <w:pStyle w:val="Normal"/>
        <w:spacing w:before="120" w:after="120"/>
        <w:rPr>
          <w:b/>
          <w:shd w:fill="FFFF99" w:val="clear"/>
        </w:rPr>
      </w:pPr>
      <w:bookmarkStart w:id="34" w:name="_Toc54970189"/>
      <w:r>
        <w:rPr>
          <w:b/>
          <w:sz w:val="24"/>
        </w:rPr>
        <w:t xml:space="preserve">Таблица 3.2 Требования по срокам поставки </w:t>
      </w:r>
      <w:bookmarkEnd w:id="34"/>
      <w:r>
        <w:rPr>
          <w:b/>
          <w:sz w:val="24"/>
        </w:rPr>
        <w:t>ПО</w:t>
      </w:r>
      <w:r>
        <w:rPr>
          <w:rStyle w:val="Style8"/>
          <w:sz w:val="22"/>
          <w:szCs w:val="24"/>
        </w:rPr>
        <w:t xml:space="preserve"> 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8"/>
        <w:gridCol w:w="2268"/>
        <w:gridCol w:w="3261"/>
        <w:gridCol w:w="3260"/>
      </w:tblGrid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(партии продукции)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контроля сетевого доступа NAICE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>X</w:t>
            </w:r>
            <w:r>
              <w:rPr>
                <w:szCs w:val="22"/>
              </w:rPr>
              <w:t>+20 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>X+</w:t>
            </w:r>
            <w:r>
              <w:rPr>
                <w:szCs w:val="22"/>
              </w:rPr>
              <w:t>5</w:t>
            </w:r>
            <w:r>
              <w:rPr>
                <w:szCs w:val="22"/>
                <w:lang w:val="en-US"/>
              </w:rPr>
              <w:t xml:space="preserve">0 </w:t>
            </w:r>
            <w:r>
              <w:rPr>
                <w:szCs w:val="22"/>
              </w:rPr>
              <w:t>р.д.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Опция TACACS+ на одну систему контроля сетевого доступа NAICE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>X</w:t>
            </w:r>
            <w:r>
              <w:rPr>
                <w:szCs w:val="22"/>
              </w:rPr>
              <w:t>+20 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>X+</w:t>
            </w:r>
            <w:r>
              <w:rPr>
                <w:szCs w:val="22"/>
              </w:rPr>
              <w:t>5</w:t>
            </w:r>
            <w:r>
              <w:rPr>
                <w:szCs w:val="22"/>
                <w:lang w:val="en-US"/>
              </w:rPr>
              <w:t xml:space="preserve">0 </w:t>
            </w:r>
            <w:r>
              <w:rPr>
                <w:szCs w:val="22"/>
              </w:rPr>
              <w:t>р.д.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Опция на 1 пользовательское подключение в системе контроля сетевого доступа NAICE, пакет «ADVANCED, 1+ уникальных пользовательских подключений», 3 года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>X</w:t>
            </w:r>
            <w:r>
              <w:rPr>
                <w:szCs w:val="22"/>
              </w:rPr>
              <w:t>+20 р.д.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>X+</w:t>
            </w:r>
            <w:r>
              <w:rPr>
                <w:szCs w:val="22"/>
              </w:rPr>
              <w:t>5</w:t>
            </w:r>
            <w:r>
              <w:rPr>
                <w:szCs w:val="22"/>
                <w:lang w:val="en-US"/>
              </w:rPr>
              <w:t xml:space="preserve">0 </w:t>
            </w:r>
            <w:r>
              <w:rPr>
                <w:szCs w:val="22"/>
              </w:rPr>
              <w:t>р.д.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notePr>
            <w:numFmt w:val="decimal"/>
            <w:numRestart w:val="eachPage"/>
          </w:footnotePr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rPr/>
      </w:pPr>
      <w:r>
        <w:rPr/>
      </w:r>
      <w:bookmarkStart w:id="35" w:name="_Toc50125126"/>
      <w:bookmarkStart w:id="36" w:name="_Toc50125126"/>
      <w:bookmarkEnd w:id="36"/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37" w:name="_Toc50125126"/>
      <w:bookmarkStart w:id="38" w:name="_Toc51339698"/>
      <w:bookmarkStart w:id="39" w:name="_Toc240977129"/>
      <w:bookmarkEnd w:id="37"/>
      <w:r>
        <w:rPr/>
        <w:t xml:space="preserve">Требования к </w:t>
      </w:r>
      <w:r>
        <w:rPr>
          <w:lang w:val="ru-RU"/>
        </w:rPr>
        <w:t>качеству продукции</w:t>
      </w:r>
      <w:bookmarkEnd w:id="39"/>
    </w:p>
    <w:p>
      <w:pPr>
        <w:pStyle w:val="Normal"/>
        <w:spacing w:before="120" w:after="120"/>
        <w:rPr>
          <w:rStyle w:val="Style8"/>
          <w:i w:val="false"/>
          <w:i w:val="false"/>
          <w:sz w:val="24"/>
          <w:shd w:fill="auto" w:val="clear"/>
        </w:rPr>
      </w:pPr>
      <w:bookmarkStart w:id="40" w:name="_Toc51339698"/>
      <w:r>
        <w:rPr>
          <w:b/>
          <w:sz w:val="24"/>
        </w:rPr>
        <w:t xml:space="preserve">Таблица 4. Требования к </w:t>
      </w:r>
      <w:bookmarkEnd w:id="40"/>
      <w:r>
        <w:rPr>
          <w:b/>
          <w:sz w:val="24"/>
        </w:rPr>
        <w:t>качеству продукции</w:t>
      </w:r>
    </w:p>
    <w:p>
      <w:pPr>
        <w:pStyle w:val="Normal"/>
        <w:rPr>
          <w:rStyle w:val="Style8"/>
          <w:b w:val="false"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работ: </w:t>
      </w:r>
      <w:r>
        <w:rPr>
          <w:rFonts w:eastAsia="Calibri"/>
          <w:sz w:val="24"/>
          <w:szCs w:val="24"/>
          <w:lang w:eastAsia="x-none"/>
        </w:rPr>
        <w:t>ОКПД2 58.29.50.000 Создание системы аудита сетевых доступов.</w:t>
      </w:r>
    </w:p>
    <w:tbl>
      <w:tblPr>
        <w:tblStyle w:val="affffff2"/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5"/>
        <w:gridCol w:w="2251"/>
        <w:gridCol w:w="3663"/>
        <w:gridCol w:w="2610"/>
        <w:gridCol w:w="2855"/>
        <w:gridCol w:w="2811"/>
      </w:tblGrid>
      <w:tr>
        <w:trPr/>
        <w:tc>
          <w:tcPr>
            <w:tcW w:w="8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2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66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54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6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36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выполнению работ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5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Объем работ</w:t>
            </w:r>
          </w:p>
        </w:tc>
        <w:tc>
          <w:tcPr>
            <w:tcW w:w="366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32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Разработка документации, в т.ч.: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Сбор требований и границ проекта (перечень сегментов, типов устройств, сценариев доступа, анализ нормативных требований и внутренних политик);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Определение архитектуры решения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Разработка и согласование плана производства работ;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Разработка и согласование программы и методики испытаний;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Разработка эксплуатационной документации;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Разработка акта готовности системы к вводу в опытную эксплуатацию;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Разработка паспорта системы.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2. Поставка ПО в соответствии с таблицей 2.2.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left="67"/>
              <w:jc w:val="left"/>
              <w:rPr>
                <w:spacing w:val="-4"/>
                <w:sz w:val="20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0"/>
                <w:szCs w:val="24"/>
                <w:lang w:val="ru-RU" w:eastAsia="ru-RU" w:bidi="ar-SA"/>
              </w:rPr>
              <w:t>3. Развёртывание инфраструктуры NAC-системы, в т.ч.: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Подготовка вычислительной инфраструктуры;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 xml:space="preserve">Установка компонентов 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NAC</w:t>
            </w: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-системы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Настройка кластера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pacing w:val="-4"/>
                <w:sz w:val="20"/>
              </w:rPr>
            </w:pPr>
            <w:r>
              <w:rPr>
                <w:rFonts w:eastAsia="Times New Roman" w:cs="Times New Roman"/>
                <w:spacing w:val="-4"/>
                <w:kern w:val="0"/>
                <w:sz w:val="20"/>
                <w:szCs w:val="24"/>
                <w:lang w:val="ru-RU" w:eastAsia="ru-RU" w:bidi="ar-SA"/>
              </w:rPr>
              <w:t xml:space="preserve">4. </w:t>
            </w:r>
            <w:r>
              <w:rPr>
                <w:rFonts w:eastAsia="Times New Roman" w:cs="Times New Roman"/>
                <w:spacing w:val="-4"/>
                <w:kern w:val="0"/>
                <w:sz w:val="20"/>
                <w:lang w:val="ru-RU" w:eastAsia="ru-RU" w:bidi="ar-SA"/>
              </w:rPr>
              <w:t>Настройка NAC-системы, в т.ч.: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Настройка методов аутентификации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Настройка источников идентификации (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LDAP</w:t>
            </w: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, сертификаты);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Интеграция с сетевым оборудованием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Настройка мониторинга и резервного копирования.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5.  Разработка безопасной типовой конфигурации сетевых доступов, в т.ч.: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Определение ролей доступа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Разработка матрицы доступа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Разработка и настройка политик авторизации;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Настройка профилирования устройств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 xml:space="preserve">Настройка 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posture-</w:t>
            </w: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проверок.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6. Проведение ПСИ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7. Ввод в опытную эксплуатацию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8. Ввод в промышленную эксплуатацию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При выполнении работ Подрядчик должен руководствоваться требованиями документов, указанных в Приложении № 1 к настоящим ТТ.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bookmarkStart w:id="41" w:name="_Toc137126364"/>
            <w:bookmarkStart w:id="42" w:name="_Toc133502488"/>
            <w:bookmarkStart w:id="43" w:name="_Toc130406176"/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  <w:bookmarkEnd w:id="41"/>
            <w:bookmarkEnd w:id="42"/>
            <w:bookmarkEnd w:id="43"/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3663" w:type="dxa"/>
            <w:tcBorders/>
          </w:tcPr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Допуск персонала Подрядчика для выполнения работ осуществляется в соответствии с требованиями:</w:t>
            </w:r>
          </w:p>
          <w:p>
            <w:pPr>
              <w:pStyle w:val="Tlst1"/>
              <w:widowControl w:val="false"/>
              <w:numPr>
                <w:ilvl w:val="0"/>
                <w:numId w:val="27"/>
              </w:numPr>
              <w:suppressAutoHyphens w:val="true"/>
              <w:spacing w:before="0" w:after="0"/>
              <w:ind w:hanging="0" w:left="150"/>
              <w:contextualSpacing/>
              <w:rPr>
                <w:rFonts w:eastAsia="Aptos"/>
                <w:b w:val="false"/>
              </w:rPr>
            </w:pPr>
            <w:r>
              <w:rPr>
                <w:rFonts w:eastAsia="Aptos" w:cs="Times New Roman"/>
                <w:b w:val="false"/>
                <w:kern w:val="0"/>
                <w:lang w:val="ru-RU" w:eastAsia="ru-RU" w:bidi="ar-SA"/>
              </w:rPr>
              <w:t>регламента процесса «Допуск персонала подрядных организаций на объекты ПАО «РусГидро».</w:t>
            </w:r>
          </w:p>
          <w:p>
            <w:pPr>
              <w:pStyle w:val="Tlst1"/>
              <w:widowControl w:val="false"/>
              <w:numPr>
                <w:ilvl w:val="0"/>
                <w:numId w:val="27"/>
              </w:numPr>
              <w:suppressAutoHyphens w:val="true"/>
              <w:spacing w:before="0" w:after="0"/>
              <w:ind w:hanging="0" w:left="150"/>
              <w:contextualSpacing/>
              <w:rPr>
                <w:rFonts w:eastAsia="Aptos"/>
                <w:b w:val="false"/>
              </w:rPr>
            </w:pPr>
            <w:r>
              <w:rPr>
                <w:rFonts w:eastAsia="Aptos" w:cs="Times New Roman"/>
                <w:b w:val="false"/>
                <w:kern w:val="0"/>
                <w:lang w:val="ru-RU" w:eastAsia="ru-RU" w:bidi="ar-SA"/>
              </w:rPr>
              <w:t>положений о пропускном и внутриобъектовом режимах соответствующих площадок в контуре работ, указанных в таблице 1 настоящих технических требований.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Aptos" w:cs="Times New Roman"/>
                <w:kern w:val="0"/>
                <w:sz w:val="20"/>
                <w:szCs w:val="20"/>
                <w:lang w:val="ru-RU" w:eastAsia="ru-RU" w:bidi="ar-SA"/>
              </w:rPr>
              <w:t>Подготовку рабочих мест и допуск работников Подрядчика к выполнению работ выполняет персонал Заказчика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оборудованию и программному обеспечению, используемому для выполнения работ</w:t>
            </w:r>
          </w:p>
        </w:tc>
        <w:tc>
          <w:tcPr>
            <w:tcW w:w="3663" w:type="dxa"/>
            <w:tcBorders/>
          </w:tcPr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Для выполнения работ Подрядчик должен использовать технические и программные средства, принадлежащее ему на законном основании, лицензионные ограничения и санкции соответствующих правообладателей не должны препятствовать выполнению работ на объектах Заказчика.</w:t>
            </w:r>
          </w:p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Подрядчиком должно быть исключено применение личных технических и программных средств принадлежащего работникам Подрядчика.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корпоративные файлообменные сервисы, Подрядчиком должно быть исключено использование некорпоративных (личных) адресов электронной почты и/или файлообменных сервисов сотрудников Подрядчика.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Применение флеш-накопителей Исполнителя для настройки оборудования допускается только после их проверки антивирусным ПО Заказчика.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контролю качества работ и материалов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Контроль качества выполняемых работ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Подрядчик должен обеспечивать контроль выполняемых работ на каждом этапе.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0"/>
                <w:szCs w:val="20"/>
              </w:rPr>
            </w:pPr>
            <w:bookmarkStart w:id="44" w:name="_Toc137126367"/>
            <w:bookmarkStart w:id="45" w:name="_Toc133502491"/>
            <w:bookmarkStart w:id="46" w:name="_Toc130406179"/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  <w:bookmarkEnd w:id="44"/>
            <w:bookmarkEnd w:id="45"/>
            <w:bookmarkEnd w:id="46"/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персоналу подрядчика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Квалификация и опыт персонала Подрядчика, привлекаемого к выполнению работ</w:t>
            </w:r>
          </w:p>
        </w:tc>
        <w:tc>
          <w:tcPr>
            <w:tcW w:w="3663" w:type="dxa"/>
            <w:tcBorders/>
          </w:tcPr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Работники Подрядчика, обеспечивающие выполнение работ, должны быть обучены, иметь подготовку и опыт не менее 3-х лет в областях:</w:t>
            </w:r>
          </w:p>
          <w:p>
            <w:pPr>
              <w:pStyle w:val="Tlst1"/>
              <w:widowControl w:val="false"/>
              <w:numPr>
                <w:ilvl w:val="0"/>
                <w:numId w:val="28"/>
              </w:numPr>
              <w:tabs>
                <w:tab w:val="left" w:pos="0" w:leader="none"/>
                <w:tab w:val="left" w:pos="350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b w:val="false"/>
              </w:rPr>
            </w:pPr>
            <w:r>
              <w:rPr>
                <w:rFonts w:eastAsia="Aptos" w:cs="Times New Roman"/>
                <w:b w:val="false"/>
                <w:kern w:val="0"/>
                <w:lang w:val="ru-RU" w:eastAsia="ru-RU" w:bidi="ar-SA"/>
              </w:rPr>
              <w:t>наладки вычислительной инфраструктуры</w:t>
            </w:r>
            <w:r>
              <w:rPr>
                <w:rFonts w:eastAsia="Aptos" w:cs="Times New Roman"/>
                <w:b w:val="false"/>
                <w:kern w:val="0"/>
                <w:lang w:val="en-US" w:eastAsia="ru-RU" w:bidi="ar-SA"/>
              </w:rPr>
              <w:t>;</w:t>
            </w:r>
          </w:p>
          <w:p>
            <w:pPr>
              <w:pStyle w:val="Tlst1"/>
              <w:widowControl w:val="false"/>
              <w:numPr>
                <w:ilvl w:val="0"/>
                <w:numId w:val="28"/>
              </w:numPr>
              <w:tabs>
                <w:tab w:val="left" w:pos="0" w:leader="none"/>
                <w:tab w:val="left" w:pos="350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b w:val="false"/>
              </w:rPr>
            </w:pPr>
            <w:r>
              <w:rPr>
                <w:rFonts w:eastAsia="Aptos" w:cs="Times New Roman"/>
                <w:b w:val="false"/>
                <w:kern w:val="0"/>
                <w:lang w:val="ru-RU" w:eastAsia="ru-RU" w:bidi="ar-SA"/>
              </w:rPr>
              <w:t>наладки средств защиты информации.</w:t>
            </w:r>
          </w:p>
          <w:p>
            <w:pPr>
              <w:pStyle w:val="Tlst1"/>
              <w:widowControl w:val="false"/>
              <w:tabs>
                <w:tab w:val="clear" w:pos="0"/>
                <w:tab w:val="left" w:pos="350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b w:val="false"/>
              </w:rPr>
            </w:pPr>
            <w:r>
              <w:rPr>
                <w:rFonts w:cs="Times New Roman"/>
                <w:b w:val="false"/>
                <w:kern w:val="0"/>
                <w:lang w:val="ru-RU" w:eastAsia="ru-RU" w:bidi="ar-SA"/>
              </w:rPr>
              <w:t>Работники Подрядчика, привлекаемые для выполнения работ, должны быть обучены и иметь удостоверения по проверке знаний правил охраны и безопасности труда, соответствующую группу допуска по электробезопасности с учетом должности, профессии и представить их до начала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Aptos" w:cs="Times New Roman"/>
                <w:kern w:val="0"/>
                <w:sz w:val="20"/>
                <w:szCs w:val="20"/>
                <w:lang w:val="ru-RU" w:eastAsia="ru-RU" w:bidi="ar-SA"/>
              </w:rPr>
              <w:t>В течение 5 дней после заключения договора Подрядчик должен предоставить копии документов, подтверждающие наличие в штате квалифицированных специалистов с высшим профессиональным образованием в области информационных технологий и информационной безопасности либо прошедших соответствующую профессиональную переподготовку в количестве не менее 5 (пяти) человек.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 работ и охране труда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Требования к безопасности выполняемых работ</w:t>
            </w:r>
          </w:p>
        </w:tc>
        <w:tc>
          <w:tcPr>
            <w:tcW w:w="3663" w:type="dxa"/>
            <w:tcBorders/>
          </w:tcPr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В ходе оказания услуг Подрядчик должен соблюдать требования действующего федерального законодательства РФ, нормативных правовых актов субъектов РФ, относящиеся к сфере деятельности и проведения работ.</w:t>
            </w:r>
          </w:p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Подрядчик должен соблюдать требования действующего федерального законодательства РФ, нормативных правовых актов субъектов РФ, в т.ч. законодательство об охране окружающей среды, промышленной и пожарной безопасности, охране труда, энергоэффективности, а также все иные законодательные и нормативные акты, относящиеся к сфере деятельности.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Подрядчик, в случае необходимости,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2"/>
                <w:lang w:val="ru-RU" w:eastAsia="ru-RU" w:bidi="ar-SA"/>
              </w:rPr>
              <w:t>Требования к ПО, поставляемому подрядчиком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Технические характеристики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en-US" w:eastAsia="ru-RU" w:bidi="ar-SA"/>
              </w:rPr>
              <w:t>NAC</w:t>
            </w: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-система должна обладать техническими характеристиками, приведенными в Приложении №3 к настоящим ТТ.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2.2.</w:t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2.2.1.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Безопасность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Продукция должна соответствовать общим правилам безопасности, предъявляемым к продукции данного рода. Продукция должна соответствовать требованиям технической документации на данную продукцию и обеспечивать безопасность персонала при ее эксплуатации (использовании)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2.3.</w:t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0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2.3.1.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Техническая поддержка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На всю продукцию должна предлагаться техническая поддержка производителя в рабочее время на весь срок гарантии.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4"/>
                <w:lang w:val="ru-RU" w:eastAsia="ru-RU" w:bidi="ar-SA"/>
              </w:rPr>
              <w:t>Для позиций Таблицы 2.2 техническая поддержка производителя предоставляется на срок не менее 36 месяцев в объеме:</w:t>
            </w:r>
          </w:p>
          <w:p>
            <w:pPr>
              <w:pStyle w:val="List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ind w:hanging="283" w:left="313"/>
              <w:contextualSpacing/>
              <w:jc w:val="left"/>
              <w:rPr>
                <w:iCs/>
                <w:sz w:val="20"/>
              </w:rPr>
            </w:pPr>
            <w:r>
              <w:rPr>
                <w:rFonts w:cs="Times New Roman"/>
                <w:iCs/>
                <w:kern w:val="0"/>
                <w:sz w:val="20"/>
                <w:lang w:val="ru-RU" w:eastAsia="ru-RU" w:bidi="ar-SA"/>
              </w:rPr>
              <w:t>работа горячей линии для приёма входящих обращений: в режиме 24х7 (круглосуточно, без праздников и выходных);</w:t>
            </w:r>
          </w:p>
          <w:p>
            <w:pPr>
              <w:pStyle w:val="List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ind w:hanging="283" w:left="313"/>
              <w:contextualSpacing/>
              <w:jc w:val="left"/>
              <w:rPr>
                <w:iCs/>
                <w:sz w:val="20"/>
              </w:rPr>
            </w:pPr>
            <w:r>
              <w:rPr>
                <w:rFonts w:cs="Times New Roman"/>
                <w:iCs/>
                <w:kern w:val="0"/>
                <w:sz w:val="20"/>
                <w:lang w:val="ru-RU" w:eastAsia="ru-RU" w:bidi="ar-SA"/>
              </w:rPr>
              <w:t>работа горячей линии дистанционной поддержки: в режиме 8х5 (в рабочее время);</w:t>
            </w:r>
          </w:p>
          <w:p>
            <w:pPr>
              <w:pStyle w:val="List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ind w:hanging="283" w:left="313"/>
              <w:contextualSpacing/>
              <w:jc w:val="left"/>
              <w:rPr>
                <w:iCs/>
                <w:sz w:val="20"/>
              </w:rPr>
            </w:pPr>
            <w:r>
              <w:rPr>
                <w:rFonts w:cs="Times New Roman"/>
                <w:iCs/>
                <w:spacing w:val="-6"/>
                <w:kern w:val="0"/>
                <w:sz w:val="20"/>
                <w:lang w:val="ru-RU" w:eastAsia="ru-RU" w:bidi="ar-SA"/>
              </w:rPr>
              <w:t>предоставление обновлений ПО:</w:t>
            </w:r>
            <w:r>
              <w:rPr>
                <w:rFonts w:cs="Times New Roman"/>
                <w:iCs/>
                <w:kern w:val="0"/>
                <w:sz w:val="20"/>
                <w:lang w:val="ru-RU" w:eastAsia="ru-RU" w:bidi="ar-SA"/>
              </w:rPr>
              <w:t xml:space="preserve"> </w:t>
            </w:r>
            <w:r>
              <w:rPr>
                <w:rFonts w:cs="Times New Roman"/>
                <w:iCs/>
                <w:spacing w:val="-6"/>
                <w:kern w:val="0"/>
                <w:sz w:val="20"/>
                <w:lang w:val="ru-RU" w:eastAsia="ru-RU" w:bidi="ar-SA"/>
              </w:rPr>
              <w:t>на протяжение всего срока поддержки;</w:t>
            </w:r>
          </w:p>
          <w:p>
            <w:pPr>
              <w:pStyle w:val="List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ind w:hanging="283" w:left="313"/>
              <w:contextualSpacing/>
              <w:jc w:val="left"/>
              <w:rPr>
                <w:iCs/>
                <w:sz w:val="20"/>
              </w:rPr>
            </w:pPr>
            <w:r>
              <w:rPr>
                <w:rFonts w:cs="Times New Roman"/>
                <w:iCs/>
                <w:kern w:val="0"/>
                <w:sz w:val="20"/>
                <w:lang w:val="ru-RU" w:eastAsia="ru-RU" w:bidi="ar-SA"/>
              </w:rPr>
              <w:t>неограниченное количество обращений в техническую поддержку.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2.4.</w:t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b/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0"/>
                <w:szCs w:val="24"/>
                <w:lang w:val="ru-RU" w:eastAsia="ru-RU" w:bidi="ar-SA"/>
              </w:rPr>
              <w:t>Прочие требования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1457" w:hRule="atLeast"/>
        </w:trPr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2.4.1.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Требования к происхождению ПО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Поставляемое ПО должно входить в «Единый реестр российских программ для электронных вычислительных машин и баз данных» (постановление Правительства РФ от 16.11.2015 № 1236)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</w:t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0"/>
                <w:szCs w:val="24"/>
                <w:lang w:val="ru-RU" w:eastAsia="ru-RU" w:bidi="ar-SA"/>
              </w:rPr>
              <w:t>Требования к результатам выполнения договора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3.1.</w:t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b/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0"/>
                <w:szCs w:val="24"/>
                <w:lang w:val="ru-RU" w:eastAsia="ru-RU" w:bidi="ar-SA"/>
              </w:rPr>
              <w:t>Общие требования к результатам выполнения договора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3.1.1.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Общие требования к результатам создания системы аудита сетевых доступов</w:t>
            </w:r>
          </w:p>
        </w:tc>
        <w:tc>
          <w:tcPr>
            <w:tcW w:w="3663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1. В результате создания системы аудита сетевых доступов должна быть разработана документации для развёртывания NAC-системы, в т.ч.: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Аналитический отчет, включающий в себя информацию о требованиях и границах проекта (перечень сегментов, типов устройств, сценариев доступа, анализ нормативных требований и внутренних политик);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Архитектурная концепция, фиксирующая и определяющая конечный список используемых технических средств и решений, взаимосвязи компонентов, функциональность, аппаратное обеспечение.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План производства работ;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Программа и методика испытаний;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Подписанный сторонами протокол прохождения ПСИ;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Разработанный акт готовности системы к вводу в опытную эксплуатацию;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Разработанный паспорт системы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Эксплуатационная документация в объеме Положения о процессе приемки информационных систем в эксплуатацию.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left="67"/>
              <w:jc w:val="left"/>
              <w:rPr>
                <w:spacing w:val="-4"/>
                <w:sz w:val="20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0"/>
                <w:szCs w:val="24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spacing w:val="-4"/>
                <w:kern w:val="0"/>
                <w:sz w:val="20"/>
                <w:lang w:val="ru-RU" w:eastAsia="ru-RU" w:bidi="ar-SA"/>
              </w:rPr>
              <w:t xml:space="preserve">. В результате создания системы аудита сетевых доступов должна быть </w:t>
            </w:r>
            <w:r>
              <w:rPr>
                <w:rFonts w:eastAsia="Times New Roman" w:cs="Times New Roman"/>
                <w:spacing w:val="-4"/>
                <w:kern w:val="0"/>
                <w:sz w:val="20"/>
                <w:szCs w:val="24"/>
                <w:lang w:val="ru-RU" w:eastAsia="ru-RU" w:bidi="ar-SA"/>
              </w:rPr>
              <w:t>развёрнута инфраструктура NAC-системы, в т.ч.: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подготовлена вычислительная инфраструктура;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 xml:space="preserve">Установлены компоненты 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NAC-</w:t>
            </w: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системы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Настроен кластера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pacing w:val="-4"/>
                <w:sz w:val="20"/>
              </w:rPr>
            </w:pPr>
            <w:r>
              <w:rPr>
                <w:rFonts w:eastAsia="Times New Roman" w:cs="Times New Roman"/>
                <w:spacing w:val="-4"/>
                <w:kern w:val="0"/>
                <w:sz w:val="20"/>
                <w:szCs w:val="24"/>
                <w:lang w:val="ru-RU" w:eastAsia="ru-RU" w:bidi="ar-SA"/>
              </w:rPr>
              <w:t>3.</w:t>
            </w:r>
            <w:r>
              <w:rPr>
                <w:rFonts w:eastAsia="Times New Roman" w:cs="Times New Roman"/>
                <w:spacing w:val="-4"/>
                <w:kern w:val="0"/>
                <w:sz w:val="20"/>
                <w:lang w:val="ru-RU" w:eastAsia="ru-RU" w:bidi="ar-SA"/>
              </w:rPr>
              <w:t xml:space="preserve"> В результате создания системы аудита сетевых доступов должна быть произведена настройка NAC-системы, в т.ч.: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Настройка методов аутентификации;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Настройка источников идентификации (</w:t>
            </w:r>
            <w:r>
              <w:rPr>
                <w:rFonts w:cs="Times New Roman"/>
                <w:spacing w:val="-4"/>
                <w:kern w:val="0"/>
                <w:sz w:val="20"/>
                <w:lang w:val="en-US" w:eastAsia="ru-RU" w:bidi="ar-SA"/>
              </w:rPr>
              <w:t>LDAP</w:t>
            </w: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, сертификаты);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Интеграция с сетевым оборудованием;</w:t>
            </w:r>
          </w:p>
          <w:p>
            <w:pPr>
              <w:pStyle w:val="List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67"/>
              <w:contextualSpacing/>
              <w:jc w:val="left"/>
              <w:rPr>
                <w:spacing w:val="-4"/>
                <w:sz w:val="20"/>
              </w:rPr>
            </w:pPr>
            <w:r>
              <w:rPr>
                <w:rFonts w:cs="Times New Roman"/>
                <w:spacing w:val="-4"/>
                <w:kern w:val="0"/>
                <w:sz w:val="20"/>
                <w:lang w:val="ru-RU" w:eastAsia="ru-RU" w:bidi="ar-SA"/>
              </w:rPr>
              <w:t>Настройка мониторинга и резервного копирования.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pacing w:val="-4"/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4.</w:t>
            </w:r>
            <w:r>
              <w:rPr>
                <w:rFonts w:eastAsia="Times New Roman" w:cs="Times New Roman"/>
                <w:spacing w:val="-4"/>
                <w:kern w:val="0"/>
                <w:sz w:val="20"/>
                <w:lang w:val="ru-RU" w:eastAsia="ru-RU" w:bidi="ar-SA"/>
              </w:rPr>
              <w:t xml:space="preserve"> В результате создания системы аудита сетевых доступов должна быть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разработана безопасная типовая конфигурации сетевых доступов и разработана матрица доступов</w:t>
            </w:r>
            <w:r>
              <w:rPr>
                <w:rFonts w:eastAsia="Times New Roman" w:cs="Times New Roman"/>
                <w:spacing w:val="-4"/>
                <w:kern w:val="0"/>
                <w:sz w:val="20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5. </w:t>
            </w:r>
            <w:r>
              <w:rPr>
                <w:rFonts w:eastAsia="Times New Roman" w:cs="Times New Roman"/>
                <w:spacing w:val="-4"/>
                <w:kern w:val="0"/>
                <w:sz w:val="20"/>
                <w:lang w:val="ru-RU" w:eastAsia="ru-RU" w:bidi="ar-SA"/>
              </w:rPr>
              <w:t>В результате создания системы аудита сетевых доступов должны быть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проведены ПСИ;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6. </w:t>
            </w:r>
            <w:r>
              <w:rPr>
                <w:rFonts w:eastAsia="Times New Roman" w:cs="Times New Roman"/>
                <w:spacing w:val="-4"/>
                <w:kern w:val="0"/>
                <w:sz w:val="20"/>
                <w:lang w:val="ru-RU" w:eastAsia="ru-RU" w:bidi="ar-SA"/>
              </w:rPr>
              <w:t>В результате создания системы аудита сетевых доступов должен быть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произведен ввод в опытную эксплуатацию;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7. </w:t>
            </w:r>
            <w:r>
              <w:rPr>
                <w:rFonts w:eastAsia="Times New Roman" w:cs="Times New Roman"/>
                <w:spacing w:val="-4"/>
                <w:kern w:val="0"/>
                <w:sz w:val="20"/>
                <w:lang w:val="ru-RU" w:eastAsia="ru-RU" w:bidi="ar-SA"/>
              </w:rPr>
              <w:t>В результате создания системы аудита сетевых доступов должен быть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произведен ввод в промышленную эксплуатацию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Проведение ПСИ не должно оказывать влияние на иные ИС (системы) ИТ-инфраструктуры Заказчика.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3.1.2.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Требования к исполнительной и эксплуатационной документации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Должна быть представлена эксплуатационная документация на Систему в объеме Положения о процессе приемки информационных систем в эксплуатацию.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6"/>
              </w:numPr>
              <w:suppressAutoHyphens w:val="true"/>
              <w:spacing w:before="60" w:after="60"/>
              <w:ind w:hanging="0" w:left="0"/>
              <w:contextualSpacing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6"/>
              </w:numPr>
              <w:suppressAutoHyphens w:val="true"/>
              <w:spacing w:before="60" w:after="60"/>
              <w:ind w:hanging="0" w:left="0"/>
              <w:contextualSpacing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Требования к системе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1. Система аудита сетевых доступов должна регистрировать все попытки установления сетевого соединения (успешные и неуспешные)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2. Система аудита сетевых доступов должна автоматически определять тип подключенного устройства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3. Система аудита сетевых доступов должна иметь возможность проверять состояние конечных устройств на соответствие корпоративным политикам безопасности и фиксировать результаты проверки в журнале событий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 xml:space="preserve">4. Выход из строя одного из экземпляров </w:t>
            </w: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en-US" w:eastAsia="ru-RU" w:bidi="ar-SA"/>
              </w:rPr>
              <w:t>NAC</w:t>
            </w: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-системы не должен влиять на работоспособность всей системы.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iCs/>
                <w:sz w:val="20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 xml:space="preserve">5. Система аудита сетевых доступов должна обеспечивать передачу событий в существующие </w:t>
            </w: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en-US" w:eastAsia="ru-RU" w:bidi="ar-SA"/>
              </w:rPr>
              <w:t>SIEM</w:t>
            </w: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-систему и систему мониторинга ПАО «РусГидро»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6. Система аудита сетевых доступов должна использовать существующие источники идентификации для сопоставления сетевого доступа с учетной записью пользователя.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6"/>
              </w:numPr>
              <w:suppressAutoHyphens w:val="true"/>
              <w:spacing w:before="60" w:after="60"/>
              <w:ind w:hanging="0" w:left="0"/>
              <w:contextualSpacing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Требования к масштабируемости системы</w:t>
            </w:r>
          </w:p>
        </w:tc>
        <w:tc>
          <w:tcPr>
            <w:tcW w:w="3663" w:type="dxa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202" w:leader="none"/>
              </w:tabs>
              <w:suppressAutoHyphens w:val="true"/>
              <w:spacing w:before="0" w:after="0"/>
              <w:ind w:left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Система аудита сетевых доступов должна обеспечивать возможность увеличения покрытия сетевого оборудования без перерывов в обслуживания путем добавления лицензий на конечные устройства, добавления кластеров для покрытия отдельных сегментов сети.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6"/>
              </w:numPr>
              <w:suppressAutoHyphens w:val="true"/>
              <w:spacing w:before="60" w:after="60"/>
              <w:ind w:hanging="0" w:left="0"/>
              <w:contextualSpacing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порядку приемки результатов работ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6"/>
              </w:numPr>
              <w:suppressAutoHyphens w:val="true"/>
              <w:spacing w:before="60" w:after="60"/>
              <w:ind w:hanging="0" w:left="0"/>
              <w:contextualSpacing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приемке результатов работ</w:t>
            </w:r>
          </w:p>
        </w:tc>
        <w:tc>
          <w:tcPr>
            <w:tcW w:w="3663" w:type="dxa"/>
            <w:tcBorders/>
          </w:tcPr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Все комплекты документов, разрабатываемые Подрядчиком в рамках всех этапов работ, указанных в Таблице 2.1, должны быть согласованы с Заказчиком, все замечания на момент приемки должны быть устранены.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Все выявленные замечания на этапах реализации создания системы аудита сетевых доступов должны быть устранены.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6"/>
              </w:numPr>
              <w:suppressAutoHyphens w:val="true"/>
              <w:spacing w:before="60" w:after="60"/>
              <w:ind w:hanging="0" w:left="0"/>
              <w:contextualSpacing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6"/>
              </w:numPr>
              <w:suppressAutoHyphens w:val="true"/>
              <w:spacing w:before="60" w:after="60"/>
              <w:ind w:hanging="0" w:left="0"/>
              <w:contextualSpacing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3663" w:type="dxa"/>
            <w:tcBorders/>
          </w:tcPr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Исполнительная и эксплуатационная документация, разрабатываемая Подрядчиком в рамках работ, указанных в Таблице 2.1, должна быть разработана в соответствии с требованиями нормативно-правовых актов и нормативно-технических документов, указанных в Приложении №1 к настоящим ТТ.</w:t>
            </w:r>
          </w:p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Вся разрабатываемая документация должна быть выполнена на русском языке.</w:t>
            </w:r>
          </w:p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Вся указанная документация должна быть передана Заказчику в 1 экз. на бумажном носителе и в 1 экз. в электронном виде.</w:t>
            </w:r>
          </w:p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Электронный формат</w:t>
            </w:r>
            <w:r>
              <w:rPr>
                <w:rStyle w:val="FootnoteReference"/>
                <w:rFonts w:eastAsia="Aptos" w:cs="Times New Roman"/>
                <w:b w:val="false"/>
                <w:kern w:val="0"/>
                <w:szCs w:val="20"/>
                <w:lang w:val="ru-RU" w:eastAsia="ru-RU" w:bidi="ar-SA"/>
              </w:rPr>
              <w:footnoteReference w:id="4"/>
            </w: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 xml:space="preserve">  предоставляемых документов должен соответствовать:</w:t>
            </w:r>
          </w:p>
          <w:p>
            <w:pPr>
              <w:pStyle w:val="Tlst1"/>
              <w:widowControl w:val="false"/>
              <w:numPr>
                <w:ilvl w:val="0"/>
                <w:numId w:val="29"/>
              </w:numPr>
              <w:tabs>
                <w:tab w:val="clear" w:pos="0"/>
                <w:tab w:val="left" w:pos="208" w:leader="none"/>
              </w:tabs>
              <w:suppressAutoHyphens w:val="true"/>
              <w:spacing w:before="0" w:after="0"/>
              <w:ind w:hanging="0" w:left="0"/>
              <w:contextualSpacing/>
              <w:rPr>
                <w:rFonts w:eastAsia="Aptos"/>
                <w:b w:val="false"/>
              </w:rPr>
            </w:pPr>
            <w:r>
              <w:rPr>
                <w:rFonts w:eastAsia="Aptos" w:cs="Times New Roman"/>
                <w:b w:val="false"/>
                <w:kern w:val="0"/>
                <w:lang w:val="ru-RU" w:eastAsia="ru-RU" w:bidi="ar-SA"/>
              </w:rPr>
              <w:t>Portable Document Format (PDF) - для сканированных или не редактируемых копий документов;</w:t>
            </w:r>
          </w:p>
          <w:p>
            <w:pPr>
              <w:pStyle w:val="Tlst1"/>
              <w:widowControl w:val="false"/>
              <w:numPr>
                <w:ilvl w:val="0"/>
                <w:numId w:val="29"/>
              </w:numPr>
              <w:tabs>
                <w:tab w:val="clear" w:pos="0"/>
                <w:tab w:val="left" w:pos="208" w:leader="none"/>
              </w:tabs>
              <w:suppressAutoHyphens w:val="true"/>
              <w:spacing w:before="0" w:after="0"/>
              <w:ind w:hanging="0" w:left="0"/>
              <w:contextualSpacing/>
              <w:rPr>
                <w:rFonts w:eastAsia="Aptos"/>
                <w:b w:val="false"/>
              </w:rPr>
            </w:pPr>
            <w:r>
              <w:rPr>
                <w:rFonts w:eastAsia="Aptos" w:cs="Times New Roman"/>
                <w:b w:val="false"/>
                <w:kern w:val="0"/>
                <w:lang w:val="ru-RU" w:eastAsia="ru-RU" w:bidi="ar-SA"/>
              </w:rPr>
              <w:t>Open Document Format (ODF):</w:t>
            </w:r>
          </w:p>
          <w:p>
            <w:pPr>
              <w:pStyle w:val="Tlst21"/>
              <w:widowControl w:val="false"/>
              <w:numPr>
                <w:ilvl w:val="1"/>
                <w:numId w:val="26"/>
              </w:numPr>
              <w:suppressAutoHyphens w:val="true"/>
              <w:spacing w:before="0" w:after="0"/>
              <w:ind w:hanging="142" w:left="485"/>
              <w:contextualSpacing/>
              <w:rPr>
                <w:b w:val="false"/>
                <w:sz w:val="20"/>
                <w:szCs w:val="20"/>
              </w:rPr>
            </w:pPr>
            <w:r>
              <w:rPr>
                <w:rFonts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ODT - для оригинальных редактируемых текстовых документов,</w:t>
            </w:r>
          </w:p>
          <w:p>
            <w:pPr>
              <w:pStyle w:val="Tlst21"/>
              <w:widowControl w:val="false"/>
              <w:numPr>
                <w:ilvl w:val="1"/>
                <w:numId w:val="26"/>
              </w:numPr>
              <w:suppressAutoHyphens w:val="true"/>
              <w:spacing w:before="0" w:after="0"/>
              <w:ind w:hanging="142" w:left="485"/>
              <w:contextualSpacing/>
              <w:rPr>
                <w:b w:val="false"/>
                <w:sz w:val="20"/>
                <w:szCs w:val="20"/>
              </w:rPr>
            </w:pPr>
            <w:r>
              <w:rPr>
                <w:rFonts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ODS - для оригинальных редактируемых документов, содержащих табличные данные.</w:t>
            </w:r>
          </w:p>
          <w:p>
            <w:pPr>
              <w:pStyle w:val="List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Aptos" w:cs="Times New Roman"/>
                <w:kern w:val="0"/>
                <w:sz w:val="20"/>
                <w:szCs w:val="20"/>
                <w:lang w:val="ru-RU" w:eastAsia="ru-RU" w:bidi="ar-SA"/>
              </w:rPr>
              <w:t>VSDX – для редактируемых копий графических схем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6"/>
              </w:numPr>
              <w:suppressAutoHyphens w:val="true"/>
              <w:spacing w:before="60" w:after="60"/>
              <w:ind w:hanging="0" w:left="0"/>
              <w:contextualSpacing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4.1.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3663" w:type="dxa"/>
            <w:tcBorders/>
          </w:tcPr>
          <w:p>
            <w:pPr>
              <w:pStyle w:val="Tlst21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b w:val="false"/>
                <w:sz w:val="20"/>
                <w:szCs w:val="20"/>
              </w:rPr>
            </w:pPr>
            <w:r>
              <w:rPr>
                <w:rFonts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При выполнении работ Подрядчик должен руководствоваться требованиями документов, указанных в Приложении № 1 к настоящим ТТ.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6"/>
              </w:numPr>
              <w:suppressAutoHyphens w:val="tru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5.1.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  <w:tc>
          <w:tcPr>
            <w:tcW w:w="3663" w:type="dxa"/>
            <w:tcBorders/>
          </w:tcPr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Гарантийный срок на результат выполнения работ (в т.ч. на электронные носители информации) должен составлять 36 месяцев с даты подписания Акта о приемке выполненных работ.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Гарантия не предполагает выполнение дополнительных работ по актуализации проектной документации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о приемке выполненных работ.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bCs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5.2.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Конфиденциальность информации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Подрядчик обязуется не использовать какие-либо документы, поступившие от Заказчика, или иную поступившую от него информацию, кроме как в целях реализации настоящих технических требований, без предварительного письменного согласия Заказчика.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6"/>
              </w:numPr>
              <w:suppressAutoHyphens w:val="tru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6.1.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наличию лицензий на выполнение работ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Подрядчик обязан предоставить заказчику следующие лицензии:</w:t>
            </w:r>
          </w:p>
          <w:p>
            <w:pPr>
              <w:pStyle w:val="ListParagraph"/>
              <w:widowControl w:val="false"/>
              <w:numPr>
                <w:ilvl w:val="3"/>
                <w:numId w:val="31"/>
              </w:numPr>
              <w:tabs>
                <w:tab w:val="clear" w:pos="708"/>
                <w:tab w:val="left" w:pos="208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Лицензия Федеральной службы по техническому и экспортному контролю на деятельность по оказанию услуг по установке, монтажу, наладке, испытаниям, ремонту средств защиты информации, в т.ч. программных (программно-технических) средств защиты информации и программных (программно-технических) средств контроля эффективности защиты информации.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1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6.2.</w:t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36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6"/>
              </w:numPr>
              <w:suppressAutoHyphens w:val="tru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Прочие требования к выполняемым работам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7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Требования к обеспечению информационной безопасности при оказании услуг</w:t>
            </w:r>
          </w:p>
        </w:tc>
        <w:tc>
          <w:tcPr>
            <w:tcW w:w="3663" w:type="dxa"/>
            <w:tcBorders/>
          </w:tcPr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В ходе оказания услуг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>
            <w:pPr>
              <w:pStyle w:val="Tl1"/>
              <w:widowControl w:val="false"/>
              <w:suppressAutoHyphens w:val="true"/>
              <w:spacing w:before="0" w:after="0"/>
              <w:contextualSpacing/>
              <w:jc w:val="left"/>
              <w:rPr>
                <w:b w:val="false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Cs w:val="20"/>
                <w:lang w:val="ru-RU" w:eastAsia="ru-RU" w:bidi="ar-SA"/>
              </w:rPr>
              <w:t>Подрядчик обязан уведомить Заказчика (в письменном виде в течении 3 рабочих дней с момента выявления) обо всех инцидентах информационной безопасности (в т.ч. факты несанкционированных доступа, ознакомления, 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 исключением случаев предусмотренных законодательством РФ) без согласования с Заказчиком запрещена.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При необходимости предоставления Подрядчику удаленного доступа для проведения работ, Подрядчик обязан соблюдать порядок предоставления удаленного доступа, действующий в ПАО «РусГидро».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81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b w:val="false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footnotePr>
            <w:numFmt w:val="decimal"/>
            <w:numRestart w:val="eachPage"/>
          </w:footnotePr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47" w:name="_Toc240977130"/>
      <w:bookmarkStart w:id="48" w:name="_Toc53393312"/>
      <w:r>
        <w:rPr/>
        <w:t>Требования к документации по ценообразованию</w:t>
      </w:r>
      <w:bookmarkEnd w:id="48"/>
      <w:r>
        <w:rPr/>
        <w:t xml:space="preserve"> на этапе закупки</w:t>
      </w:r>
      <w:bookmarkEnd w:id="47"/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iCs/>
          <w:sz w:val="24"/>
        </w:rPr>
        <w:t>3.1.</w:t>
        <w:tab/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49" w:name="_Toc240977131"/>
      <w:r>
        <w:rPr/>
        <w:t>Требования к документации по ценообразованию на этапе заключения (исполнения) договора</w:t>
      </w:r>
      <w:bookmarkEnd w:id="49"/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iCs/>
          <w:sz w:val="24"/>
        </w:rPr>
        <w:t>4.1.</w:t>
        <w:tab/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</w:rPr>
      </w:pPr>
      <w:bookmarkStart w:id="50" w:name="_Toc240977132"/>
      <w:bookmarkStart w:id="51" w:name="_Toc46743519"/>
      <w:bookmarkStart w:id="52" w:name="_Toc51339699"/>
      <w:r>
        <w:rPr/>
        <w:t>Приложения</w:t>
      </w:r>
      <w:bookmarkEnd w:id="50"/>
      <w:bookmarkEnd w:id="51"/>
      <w:bookmarkEnd w:id="52"/>
    </w:p>
    <w:p>
      <w:pPr>
        <w:pStyle w:val="Rtext1"/>
        <w:rPr/>
      </w:pPr>
      <w:bookmarkStart w:id="53" w:name="_Toc144806327"/>
      <w:r>
        <w:rPr/>
        <w:t>Приложение № 1. Перечень нормативно-правовых и нормативно-технических документов и документов ПАО «РусГидро».</w:t>
      </w:r>
    </w:p>
    <w:p>
      <w:pPr>
        <w:pStyle w:val="Rtext1"/>
        <w:rPr/>
      </w:pPr>
      <w:bookmarkStart w:id="54" w:name="_Toc144806327"/>
      <w:r>
        <w:rPr/>
        <w:t>Приложение № 2. Требования к оформлению и составлению смет или расчетов на выполнение работ/услуг.</w:t>
      </w:r>
      <w:bookmarkEnd w:id="54"/>
    </w:p>
    <w:p>
      <w:pPr>
        <w:pStyle w:val="Rtext1"/>
        <w:rPr/>
      </w:pPr>
      <w:r>
        <w:rPr/>
        <w:t xml:space="preserve">Приложение №3. Технические требования к </w:t>
      </w:r>
      <w:r>
        <w:rPr>
          <w:lang w:val="en-US"/>
        </w:rPr>
        <w:t>NAC</w:t>
      </w:r>
      <w:r>
        <w:rPr/>
        <w:t>-системе</w:t>
      </w:r>
    </w:p>
    <w:p>
      <w:pPr>
        <w:pStyle w:val="Rtext1"/>
        <w:rPr/>
      </w:pPr>
      <w:r>
        <w:rPr/>
        <w:t>Приложение № 4. Регламент процесса «Допуск персонала подрядных организаций на объекты ПАО «РусГидро» (утв. приказом ПАО «РусГидро» от 04.02.2022 г. № 82).</w:t>
      </w:r>
    </w:p>
    <w:p>
      <w:pPr>
        <w:pStyle w:val="Normal"/>
        <w:rPr>
          <w:color w:val="000000"/>
          <w:sz w:val="24"/>
          <w:szCs w:val="26"/>
          <w:shd w:fill="FFFFFF" w:val="clear"/>
        </w:rPr>
      </w:pPr>
      <w:r>
        <w:rPr>
          <w:color w:val="000000"/>
          <w:sz w:val="24"/>
          <w:szCs w:val="26"/>
          <w:shd w:fill="FFFFFF" w:val="clear"/>
        </w:rPr>
      </w:r>
      <w:r>
        <w:br w:type="page"/>
      </w:r>
    </w:p>
    <w:p>
      <w:pPr>
        <w:pStyle w:val="Rtext1"/>
        <w:rPr/>
      </w:pPr>
      <w:r>
        <w:rPr/>
      </w:r>
    </w:p>
    <w:p>
      <w:pPr>
        <w:pStyle w:val="Heading1"/>
        <w:numPr>
          <w:ilvl w:val="0"/>
          <w:numId w:val="0"/>
        </w:numPr>
        <w:tabs>
          <w:tab w:val="clear" w:pos="708"/>
          <w:tab w:val="left" w:pos="426" w:leader="none"/>
        </w:tabs>
        <w:spacing w:before="0" w:after="0"/>
        <w:ind w:hanging="0" w:left="0"/>
        <w:jc w:val="right"/>
        <w:rPr/>
      </w:pPr>
      <w:bookmarkStart w:id="55" w:name="_Toc240977133"/>
      <w:r>
        <w:rPr/>
        <w:t>Приложение № </w:t>
      </w:r>
      <w:r>
        <w:rPr>
          <w:lang w:val="ru-RU"/>
        </w:rPr>
        <w:t>1</w:t>
      </w:r>
      <w:bookmarkEnd w:id="55"/>
    </w:p>
    <w:p>
      <w:pPr>
        <w:pStyle w:val="ConsPlusNormal1"/>
        <w:widowControl/>
        <w:tabs>
          <w:tab w:val="clear" w:pos="708"/>
          <w:tab w:val="left" w:pos="0" w:leader="none"/>
        </w:tabs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ConsPlusNormal1"/>
        <w:widowControl/>
        <w:tabs>
          <w:tab w:val="clear" w:pos="708"/>
          <w:tab w:val="left" w:pos="1260" w:leader="none"/>
        </w:tabs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 нормативно-правовых и нормативно-технических документов и документов ПАО «РусГидро»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tabs>
          <w:tab w:val="clear" w:pos="708"/>
          <w:tab w:val="left" w:pos="567" w:leader="none"/>
        </w:tabs>
        <w:spacing w:lineRule="auto" w:line="276"/>
        <w:ind w:left="0"/>
        <w:jc w:val="both"/>
        <w:rPr>
          <w:b/>
          <w:bCs/>
          <w:iCs/>
          <w:lang w:eastAsia="x-none"/>
        </w:rPr>
      </w:pPr>
      <w:r>
        <w:rPr>
          <w:b/>
          <w:bCs/>
          <w:iCs/>
          <w:lang w:eastAsia="x-none"/>
        </w:rPr>
        <w:t>1.</w:t>
        <w:tab/>
        <w:t>Нормативно-правовые документы: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Федеральный закон от 27.07.2006 № 149-ФЗ «Об информации, информационных технологиях и о защите информации».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Федеральный закон от 27.07.2006 № 152-ФЗ «О персональных данных».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Федеральный закон от 21.07.2011 № 256-ФЗ «О безопасности объектов топливно-энергетического комплекса».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Федеральный закон от 29.07.2004 № 98-ФЗ «О коммерческой тайне».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Федеральный закон от 26.07.2017 № 187-ФЗ «О безопасности критической информационной инфраструктуры Российской Федерации».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Федеральный закон от 27.07.2010 № 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Методический документ «Методика оценки угроз безопасности информации» (утв. ФСТЭК России 05.02.2021).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Приказ Минтруда России от 15.12.2020 № 903н «Об утверждении Правил по охране труда при эксплуатации электроустановок» с изменениями, внесенными приказом Минтруда России от 29.04.2022 № 279н (ред. от 29.04.2025) «О внесении изменений в Правила по охране труда при эксплуатации электроустановок, утвержденные приказом Министерства труда и социальной защиты Российской Федерации от 15 декабря 2020 г. № 903н».</w:t>
      </w:r>
    </w:p>
    <w:p>
      <w:pPr>
        <w:pStyle w:val="ListParagraph"/>
        <w:tabs>
          <w:tab w:val="clear" w:pos="708"/>
          <w:tab w:val="left" w:pos="567" w:leader="none"/>
        </w:tabs>
        <w:spacing w:lineRule="auto" w:line="276" w:before="0" w:after="0"/>
        <w:ind w:left="0"/>
        <w:contextualSpacing w:val="false"/>
        <w:jc w:val="both"/>
        <w:rPr/>
      </w:pPr>
      <w:r>
        <w:rPr/>
      </w:r>
    </w:p>
    <w:p>
      <w:pPr>
        <w:pStyle w:val="ListParagraph"/>
        <w:numPr>
          <w:ilvl w:val="0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>
          <w:b/>
        </w:rPr>
      </w:pPr>
      <w:r>
        <w:rPr>
          <w:b/>
          <w:bCs/>
        </w:rPr>
        <w:t>Нормативно-технические документы: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ГОСТ 34.201-2020 Информационные технологии (ИТ). Комплекс стандартов на автоматизированные системы. Виды, комплектность и обозначение документов при создании автоматизированных систем.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>
          <w:spacing w:val="-4"/>
        </w:rPr>
      </w:pPr>
      <w:r>
        <w:rPr>
          <w:spacing w:val="-4"/>
        </w:rPr>
        <w:t>ГОСТ 34.602-2020 Информационные технологии (ИТ). Комплекс стандартов на автоматизированные системы. Техническое задание на создание автоматизированной системы.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ГОСТ Р 57100-2016/ISO/IEC/IEEE 42010:2011. Системная и программная инженерия. Описание архитектуры.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ГОСТ Р 59792-2021 Информационные технологии (ИТ). Комплекс стандартов на автоматизированные системы. Виды испытаний автоматизированных систем.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ГОСТ Р 59793-2021 Информационные технологии (ИТ). Комплекс стандартов на автоматизированные системы. Автоматизированные системы. Стадии создания.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>
          <w:spacing w:val="-8"/>
        </w:rPr>
      </w:pPr>
      <w:r>
        <w:rPr>
          <w:spacing w:val="-8"/>
        </w:rPr>
        <w:t>ГОСТ Р 59795-2021 Информационные технологии (ИТ). Комплекс стандартов на автоматизированные системы. Автоматизированные системы. Требования к содержанию документов.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ГОСТ Р 59853-2021 Информационные технологии (ИТ). Комплекс стандартов на автоматизированные системы. Автоматизированные системы. Термины и определения.</w:t>
      </w:r>
    </w:p>
    <w:p>
      <w:pPr>
        <w:pStyle w:val="ListParagraph"/>
        <w:numPr>
          <w:ilvl w:val="0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>
          <w:b/>
        </w:rPr>
      </w:pPr>
      <w:r>
        <w:rPr>
          <w:b/>
          <w:bCs/>
        </w:rPr>
        <w:t>Документы ПАО «РусГидро»: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Техническая политика ПАО «РусГидро» (утверждена решением Совета Директоров ПАО «РусГидро» (протокол от 09.04.2020 № 307 в ред. протокола от 24.02.2022 № 340)).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Положение об инсайдерской информации ПАО «РусГидро» (утверждено решением Совета директоров ПАО «РусГидро» (протокол от 23.12.2022 № 353)).</w:t>
      </w:r>
    </w:p>
    <w:p>
      <w:p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Приказ ПАО «РусГидро» от 02.09.2022 № 654 «Об утверждении Положения о порядке приемки в эксплуатацию информационных систем».</w:t>
      </w:r>
    </w:p>
    <w:p>
      <w:pPr>
        <w:sectPr>
          <w:headerReference w:type="default" r:id="rId7"/>
          <w:headerReference w:type="first" r:id="rId8"/>
          <w:footnotePr>
            <w:numFmt w:val="decimal"/>
            <w:numRestart w:val="eachPage"/>
          </w:footnotePr>
          <w:type w:val="nextPage"/>
          <w:pgSz w:w="11906" w:h="16838"/>
          <w:pgMar w:left="1701" w:right="850" w:gutter="0" w:header="708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1"/>
          <w:numId w:val="34"/>
        </w:numPr>
        <w:tabs>
          <w:tab w:val="clear" w:pos="708"/>
          <w:tab w:val="left" w:pos="567" w:leader="none"/>
        </w:tabs>
        <w:suppressAutoHyphens w:val="false"/>
        <w:spacing w:lineRule="auto" w:line="276" w:before="0" w:after="0"/>
        <w:ind w:hanging="0" w:left="0"/>
        <w:contextualSpacing w:val="false"/>
        <w:jc w:val="both"/>
        <w:rPr/>
      </w:pPr>
      <w:r>
        <w:rPr/>
        <w:t>Приказ ПАО «РусГидро» от 11.11.2024 № 780 «Об утверждении Политики ПАО «РусГидро» в отношении обработки персональных данных».</w:t>
      </w:r>
    </w:p>
    <w:p>
      <w:pPr>
        <w:pStyle w:val="123"/>
        <w:jc w:val="right"/>
        <w:rPr>
          <w:bCs/>
        </w:rPr>
      </w:pPr>
      <w:bookmarkStart w:id="56" w:name="_Toc240977134"/>
      <w:bookmarkStart w:id="57" w:name="_Toc233245653"/>
      <w:bookmarkStart w:id="58" w:name="_Toc224214318"/>
      <w:r>
        <w:rPr>
          <w:bCs/>
        </w:rPr>
        <w:t>П</w:t>
      </w:r>
      <w:r>
        <w:rPr>
          <w:bCs/>
          <w:caps w:val="false"/>
          <w:smallCaps w:val="false"/>
        </w:rPr>
        <w:t>риложение</w:t>
      </w:r>
      <w:r>
        <w:rPr>
          <w:bCs/>
        </w:rPr>
        <w:t xml:space="preserve"> № </w:t>
      </w:r>
      <w:bookmarkEnd w:id="57"/>
      <w:bookmarkEnd w:id="58"/>
      <w:r>
        <w:rPr>
          <w:bCs/>
        </w:rPr>
        <w:t>2</w:t>
      </w:r>
      <w:bookmarkEnd w:id="56"/>
    </w:p>
    <w:p>
      <w:pPr>
        <w:pStyle w:val="Normal"/>
        <w:jc w:val="center"/>
        <w:rPr>
          <w:bCs/>
          <w:caps/>
          <w:szCs w:val="24"/>
          <w:shd w:fill="FFFF99" w:val="clear"/>
        </w:rPr>
      </w:pPr>
      <w:r>
        <w:rPr>
          <w:bCs/>
          <w:caps/>
          <w:szCs w:val="24"/>
          <w:shd w:fill="FFFF99" w:val="clear"/>
        </w:rPr>
      </w:r>
      <w:bookmarkStart w:id="59" w:name="_Toc54646414"/>
      <w:bookmarkStart w:id="60" w:name="_Hlk48224758"/>
      <w:bookmarkStart w:id="61" w:name="_Ref40301253"/>
      <w:bookmarkStart w:id="62" w:name="_Toc54451385"/>
      <w:bookmarkStart w:id="63" w:name="_Toc54646414"/>
      <w:bookmarkStart w:id="64" w:name="_Hlk48224758"/>
      <w:bookmarkStart w:id="65" w:name="_Ref40301253"/>
      <w:bookmarkStart w:id="66" w:name="_Toc54451385"/>
      <w:bookmarkEnd w:id="63"/>
      <w:bookmarkEnd w:id="64"/>
      <w:bookmarkEnd w:id="65"/>
      <w:bookmarkEnd w:id="66"/>
    </w:p>
    <w:p>
      <w:pPr>
        <w:pStyle w:val="Normal"/>
        <w:tabs>
          <w:tab w:val="clear" w:pos="708"/>
          <w:tab w:val="left" w:pos="0" w:leader="none"/>
        </w:tabs>
        <w:jc w:val="center"/>
        <w:rPr/>
      </w:pPr>
      <w:r>
        <w:rPr>
          <w:b/>
        </w:rPr>
        <w:t>Требования к оформлению и составлению</w:t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b/>
        </w:rPr>
      </w:pPr>
      <w:r>
        <w:rPr>
          <w:b/>
        </w:rPr>
        <w:t>смет или расчетов на выполнение работ/услуг</w:t>
      </w:r>
    </w:p>
    <w:p>
      <w:pPr>
        <w:pStyle w:val="Normal"/>
        <w:jc w:val="center"/>
        <w:rPr>
          <w:bCs/>
          <w:caps/>
          <w:szCs w:val="24"/>
          <w:shd w:fill="FFFF99" w:val="clear"/>
        </w:rPr>
      </w:pPr>
      <w:r>
        <w:rPr>
          <w:bCs/>
          <w:caps/>
          <w:szCs w:val="24"/>
          <w:shd w:fill="FFFF99" w:val="clear"/>
        </w:rPr>
      </w:r>
    </w:p>
    <w:p>
      <w:pPr>
        <w:pStyle w:val="Normal"/>
        <w:tabs>
          <w:tab w:val="clear" w:pos="708"/>
          <w:tab w:val="left" w:pos="1260" w:leader="none"/>
        </w:tabs>
        <w:jc w:val="center"/>
        <w:rPr>
          <w:b/>
          <w:szCs w:val="24"/>
        </w:rPr>
      </w:pPr>
      <w:r>
        <w:rPr>
          <w:b/>
          <w:szCs w:val="24"/>
        </w:rPr>
        <w:t>Требования к оформлению и составлению</w:t>
      </w:r>
    </w:p>
    <w:p>
      <w:pPr>
        <w:pStyle w:val="Normal"/>
        <w:tabs>
          <w:tab w:val="clear" w:pos="708"/>
          <w:tab w:val="left" w:pos="1260" w:leader="none"/>
        </w:tabs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b/>
          <w:szCs w:val="24"/>
        </w:rPr>
        <w:t>сметной документации на работы по техническому перевооружению (не относящихся к работам, стоимость которых определяется в соответствии со Статьей 8.3 Градостроительного кодекса РФ)</w:t>
      </w:r>
    </w:p>
    <w:p>
      <w:pPr>
        <w:pStyle w:val="Normal"/>
        <w:tabs>
          <w:tab w:val="clear" w:pos="708"/>
          <w:tab w:val="left" w:pos="162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0" w:after="240"/>
        <w:ind w:firstLine="709" w:left="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Настоящие требования разработаны для единого подхода к оформлению и составлению сметной документации на работы по техническому перевооружению.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0" w:after="240"/>
        <w:ind w:firstLine="709" w:left="0"/>
        <w:jc w:val="both"/>
        <w:rPr>
          <w:rFonts w:cs="Arial"/>
          <w:sz w:val="22"/>
          <w:szCs w:val="22"/>
          <w:u w:val="single"/>
        </w:rPr>
      </w:pPr>
      <w:r>
        <w:rPr>
          <w:sz w:val="22"/>
          <w:szCs w:val="22"/>
        </w:rPr>
        <w:t>Использование</w:t>
      </w:r>
      <w:r>
        <w:rPr>
          <w:rFonts w:cs="Arial"/>
          <w:sz w:val="22"/>
          <w:szCs w:val="22"/>
        </w:rPr>
        <w:t xml:space="preserve"> нормативов ценообразования, не зарегистрированных и не вошедших в ФРСН, </w:t>
      </w:r>
      <w:r>
        <w:rPr>
          <w:rFonts w:cs="Arial"/>
          <w:b/>
          <w:sz w:val="22"/>
          <w:szCs w:val="22"/>
          <w:u w:val="single"/>
        </w:rPr>
        <w:t>не допускается</w:t>
      </w:r>
      <w:r>
        <w:rPr>
          <w:rFonts w:cs="Arial"/>
          <w:sz w:val="22"/>
          <w:szCs w:val="22"/>
        </w:rPr>
        <w:t>, кроме случаев, прямо указанных в настоящих требованиях.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Версия программного комплекса «Гранд-Смета» (далее–ПК «Гранд-смета») </w:t>
      </w:r>
      <w:r>
        <w:rPr>
          <w:sz w:val="22"/>
          <w:szCs w:val="22"/>
          <w:u w:val="single"/>
        </w:rPr>
        <w:t>должна быть не ниже 2021.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При составлении смет на техническое перевооружение энергетического оборудования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техперевооружению» с учетом дополнений и изменений 1-12 (далее – БЦ), «Методических указаний по формированию смет и калькуляций на ремонт энергооборудования» (СО 34.20.607-2005), разработанных АО «ЦКБ Энергоремонт». Поправочный индекс к Базовым ценам учитывать в размере, не превышающем предельный индекс, установленный для Филиала (ПО) ПАО «РусГидро».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При</w:t>
      </w:r>
      <w:r>
        <w:rPr>
          <w:rFonts w:cs="Arial"/>
          <w:sz w:val="22"/>
          <w:szCs w:val="22"/>
        </w:rPr>
        <w:t xml:space="preserve"> составлении сметной документации необходимо использовать сметно-нормативную базу … </w:t>
      </w:r>
      <w:r>
        <w:rPr>
          <w:sz w:val="22"/>
          <w:szCs w:val="22"/>
        </w:rPr>
        <w:t>«ФЕР 2020 изм.1-9».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Определение</w:t>
      </w:r>
      <w:r>
        <w:rPr>
          <w:rFonts w:cs="Arial"/>
          <w:sz w:val="22"/>
          <w:szCs w:val="22"/>
        </w:rPr>
        <w:t xml:space="preserve"> сметной стоимости работ при ремонте, реконструкции и техническом перевооружении возможно ниже указанным методом:</w:t>
      </w:r>
    </w:p>
    <w:p>
      <w:pPr>
        <w:pStyle w:val="Normal"/>
        <w:numPr>
          <w:ilvl w:val="1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>Базисно-индексным</w:t>
      </w:r>
      <w:r>
        <w:rPr>
          <w:rFonts w:cs="Arial"/>
          <w:sz w:val="22"/>
          <w:szCs w:val="22"/>
        </w:rPr>
        <w:t xml:space="preserve"> (является </w:t>
      </w:r>
      <w:r>
        <w:rPr>
          <w:rFonts w:cs="Arial"/>
          <w:b/>
          <w:sz w:val="22"/>
          <w:szCs w:val="22"/>
        </w:rPr>
        <w:t>приоритетным</w:t>
      </w:r>
      <w:r>
        <w:rPr>
          <w:rFonts w:cs="Arial"/>
          <w:sz w:val="22"/>
          <w:szCs w:val="22"/>
        </w:rPr>
        <w:t xml:space="preserve"> до полного введения ресурсно-индексного метода) - с использованием единичных расценок, в том числе, их отдельных составляющих, сведения о которых включены в ФРСН. Сметная стоимость строительства, определенная с применением базисно-индексного метода, приводится в локальных сметных расчетах (далее – ЛСР), локальных сметах (далее -ЛС) в </w:t>
      </w:r>
      <w:r>
        <w:rPr>
          <w:rFonts w:cs="Arial"/>
          <w:b/>
          <w:sz w:val="22"/>
          <w:szCs w:val="22"/>
        </w:rPr>
        <w:t>двух уровнях цен: базисном и текущем</w:t>
      </w:r>
      <w:r>
        <w:rPr>
          <w:rFonts w:cs="Arial"/>
          <w:sz w:val="22"/>
          <w:szCs w:val="22"/>
        </w:rPr>
        <w:t>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При определении сметной стоимости </w:t>
      </w:r>
      <w:r>
        <w:rPr>
          <w:rFonts w:cs="Arial"/>
          <w:b/>
          <w:sz w:val="22"/>
          <w:szCs w:val="22"/>
        </w:rPr>
        <w:t>базисно-индексным</w:t>
      </w:r>
      <w:r>
        <w:rPr>
          <w:rFonts w:cs="Arial"/>
          <w:sz w:val="22"/>
          <w:szCs w:val="22"/>
        </w:rPr>
        <w:t xml:space="preserve"> методами применяются индексы изменения сметной стоимости на текущий период (при наличии) для соответствующих видов объектов капитального строительства и субъектов Российской Федерации (частей территорий субъектов Российской Федерации), либо индексы, сведения о которых последними включены в ФРСН: </w:t>
      </w:r>
    </w:p>
    <w:p>
      <w:pPr>
        <w:pStyle w:val="Normal"/>
        <w:numPr>
          <w:ilvl w:val="1"/>
          <w:numId w:val="21"/>
        </w:numPr>
        <w:tabs>
          <w:tab w:val="clear" w:pos="708"/>
          <w:tab w:val="left" w:pos="426" w:leader="none"/>
          <w:tab w:val="left" w:pos="567" w:leader="none"/>
          <w:tab w:val="left" w:pos="993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Для базисно-индексного метода: Индексы, публикуемые Минстроем РФ: Индексы по</w:t>
      </w:r>
      <w:r>
        <w:rPr>
          <w:rFonts w:cs="Arial"/>
          <w:b/>
          <w:sz w:val="22"/>
          <w:szCs w:val="22"/>
        </w:rPr>
        <w:t xml:space="preserve"> видам объектов</w:t>
      </w:r>
      <w:r>
        <w:rPr>
          <w:rFonts w:cs="Arial"/>
          <w:sz w:val="22"/>
          <w:szCs w:val="22"/>
        </w:rPr>
        <w:t xml:space="preserve"> (при полном соответствии наименования объекта, кроме "Прочих", а также при применительном использовании наименования объекта, включая "Прочие") </w:t>
      </w:r>
      <w:r>
        <w:rPr>
          <w:rFonts w:cs="Arial"/>
          <w:b/>
          <w:sz w:val="22"/>
          <w:szCs w:val="22"/>
        </w:rPr>
        <w:t xml:space="preserve">к </w:t>
      </w:r>
      <w:r>
        <w:rPr>
          <w:rFonts w:cs="Arial"/>
          <w:sz w:val="22"/>
          <w:szCs w:val="22"/>
        </w:rPr>
        <w:t>элементам</w:t>
      </w:r>
      <w:r>
        <w:rPr>
          <w:rFonts w:cs="Arial"/>
          <w:b/>
          <w:sz w:val="22"/>
          <w:szCs w:val="22"/>
        </w:rPr>
        <w:t xml:space="preserve"> прямых затрат.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b/>
          <w:sz w:val="22"/>
          <w:szCs w:val="22"/>
        </w:rPr>
      </w:pPr>
      <w:r>
        <w:rPr>
          <w:rFonts w:cs="Arial"/>
          <w:sz w:val="22"/>
          <w:szCs w:val="22"/>
        </w:rPr>
        <w:t>В сметных расчетах на этап работ допускается использовать прогнозные среднегодовые индексы-дефляторы по данным Единых сценарных условий, Группы РусГидро. В настоящий момент актуальными являются индексы-дефляторы инвестиций (вариант – для формирования инвестиционных, производственных программ), приложенные к приказу ПАО «РусГидро</w:t>
      </w:r>
      <w:r>
        <w:rPr>
          <w:color w:val="000000"/>
          <w:sz w:val="22"/>
          <w:szCs w:val="22"/>
        </w:rPr>
        <w:t>» от 08.11.2023г. № 810</w:t>
      </w:r>
      <w:r>
        <w:rPr>
          <w:sz w:val="22"/>
          <w:szCs w:val="22"/>
        </w:rPr>
        <w:t>:</w:t>
      </w:r>
    </w:p>
    <w:p>
      <w:pPr>
        <w:pStyle w:val="Normal"/>
        <w:tabs>
          <w:tab w:val="clear" w:pos="708"/>
          <w:tab w:val="left" w:pos="284" w:leader="none"/>
          <w:tab w:val="left" w:pos="1134" w:leader="none"/>
        </w:tabs>
        <w:spacing w:before="40" w:after="40"/>
        <w:ind w:left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2024 г. – 5,3%;</w:t>
      </w:r>
    </w:p>
    <w:p>
      <w:pPr>
        <w:pStyle w:val="Normal"/>
        <w:tabs>
          <w:tab w:val="clear" w:pos="708"/>
          <w:tab w:val="left" w:pos="284" w:leader="none"/>
          <w:tab w:val="left" w:pos="1134" w:leader="none"/>
        </w:tabs>
        <w:spacing w:before="40" w:after="40"/>
        <w:ind w:left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2025г. – 4,8%;</w:t>
      </w:r>
    </w:p>
    <w:p>
      <w:pPr>
        <w:pStyle w:val="Normal"/>
        <w:tabs>
          <w:tab w:val="clear" w:pos="708"/>
          <w:tab w:val="left" w:pos="284" w:leader="none"/>
          <w:tab w:val="left" w:pos="1134" w:leader="none"/>
        </w:tabs>
        <w:spacing w:before="40" w:after="40"/>
        <w:ind w:left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2026г. – 4,6%.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На основании прогнозных величин инфляции для каждого из видов работ по каждому году их проведения общие индексы-дефляторы определяются как произведение индексов-дефляторов 2-го, 3-го и последующих годов до середины срока производства работ от года, в уровне которого составлена сметная документация. Например, при проведении работ i-го этапа в 2023 г. при начале работ и составлении сметной документации в уровне цен 2021 г. должен быть учтен индекс-дефлятор на 2022 и 2023 год</w:t>
      </w:r>
      <w:r>
        <w:rPr>
          <w:color w:val="000000"/>
          <w:sz w:val="22"/>
          <w:szCs w:val="22"/>
        </w:rPr>
        <w:t>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В случае, если </w:t>
      </w:r>
      <w:r>
        <w:rPr>
          <w:color w:val="000000"/>
          <w:sz w:val="22"/>
          <w:szCs w:val="22"/>
        </w:rPr>
        <w:t>стоимость рассчитана в текущем уровне цен с применением индексов изменения сметной стоимости, соответствующих году начала строительства</w:t>
      </w:r>
      <w:r>
        <w:rPr>
          <w:rFonts w:cs="Arial"/>
          <w:color w:val="000000"/>
          <w:sz w:val="22"/>
          <w:szCs w:val="22"/>
        </w:rPr>
        <w:t xml:space="preserve">, а планируемый период выполнения работ составляет до одного календарного года, то индекс-дефлятор не </w:t>
      </w:r>
      <w:r>
        <w:rPr>
          <w:rFonts w:cs="Arial"/>
          <w:sz w:val="22"/>
          <w:szCs w:val="22"/>
        </w:rPr>
        <w:t>применяется.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eastAsia="Calibri"/>
          <w:spacing w:val="-4"/>
          <w:sz w:val="22"/>
          <w:szCs w:val="22"/>
        </w:rPr>
      </w:pPr>
      <w:r>
        <w:rPr>
          <w:rFonts w:eastAsia="Calibri"/>
          <w:spacing w:val="-4"/>
          <w:sz w:val="22"/>
          <w:szCs w:val="22"/>
        </w:rPr>
        <w:t xml:space="preserve">В случае </w:t>
      </w:r>
      <w:r>
        <w:rPr>
          <w:rFonts w:eastAsia="Calibri"/>
          <w:i/>
          <w:spacing w:val="-4"/>
          <w:sz w:val="22"/>
          <w:szCs w:val="22"/>
        </w:rPr>
        <w:t>отсутствия</w:t>
      </w:r>
      <w:r>
        <w:rPr>
          <w:rFonts w:eastAsia="Calibri"/>
          <w:spacing w:val="-4"/>
          <w:sz w:val="22"/>
          <w:szCs w:val="22"/>
        </w:rPr>
        <w:t xml:space="preserve"> единичных расценок в действующей СНБ возможно определение сметной стоимости с применением сборников: «Единых норм и расценок на строительные, монтажные и ремонтно-строительные работы» (далее – ЕНиР) и «Ведомственных норм и расценок на строительные, монтажные и ремонтно-строительные работы» (далее – ВНиР).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1134" w:leader="none"/>
        </w:tabs>
        <w:spacing w:lineRule="auto" w:line="276" w:before="0" w:after="240"/>
        <w:ind w:firstLine="709" w:left="0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При </w:t>
      </w:r>
      <w:r>
        <w:rPr>
          <w:rFonts w:eastAsia="Calibri"/>
          <w:i/>
          <w:sz w:val="22"/>
          <w:szCs w:val="22"/>
        </w:rPr>
        <w:t xml:space="preserve">отсутствии </w:t>
      </w:r>
      <w:r>
        <w:rPr>
          <w:rFonts w:eastAsia="Calibri"/>
          <w:sz w:val="22"/>
          <w:szCs w:val="22"/>
        </w:rPr>
        <w:t>информации о сметных ценах в ФГИС ЦС и ФССЦ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ПЦ). При этом среднерыночная цена формируется Методом анализа ТКП в соответствии с Приложением №3 к Требованиям к оформлению и составлению сметной документации на</w:t>
      </w:r>
      <w:r>
        <w:rPr>
          <w:rFonts w:eastAsia="Calibri"/>
          <w:szCs w:val="20"/>
        </w:rPr>
        <w:t xml:space="preserve"> </w:t>
      </w:r>
      <w:r>
        <w:rPr>
          <w:rFonts w:eastAsia="Calibri"/>
          <w:sz w:val="22"/>
          <w:szCs w:val="22"/>
        </w:rPr>
        <w:t>работы по техническому перевооружению.</w:t>
      </w:r>
    </w:p>
    <w:p>
      <w:pPr>
        <w:pStyle w:val="Normal"/>
        <w:widowControl w:val="false"/>
        <w:numPr>
          <w:ilvl w:val="0"/>
          <w:numId w:val="21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>
      <w:pPr>
        <w:pStyle w:val="Normal"/>
        <w:widowControl w:val="false"/>
        <w:numPr>
          <w:ilvl w:val="0"/>
          <w:numId w:val="21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</w:r>
      <w:r>
        <w:rPr>
          <w:color w:val="FF0000"/>
          <w:sz w:val="22"/>
          <w:szCs w:val="22"/>
        </w:rPr>
        <w:t xml:space="preserve"> 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Транспортные затраты определяются следующими методами:</w:t>
      </w:r>
    </w:p>
    <w:p>
      <w:pPr>
        <w:pStyle w:val="Normal"/>
        <w:numPr>
          <w:ilvl w:val="1"/>
          <w:numId w:val="21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по доставке материальных ресурсов:</w:t>
      </w:r>
      <w:r>
        <w:rPr>
          <w:rFonts w:eastAsia="Calibri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0"/>
          <w:numId w:val="24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Normal"/>
        <w:numPr>
          <w:ilvl w:val="0"/>
          <w:numId w:val="24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Методом анализа ТКП в соответствии с Методикой ПЦ;</w:t>
      </w:r>
    </w:p>
    <w:p>
      <w:pPr>
        <w:pStyle w:val="Normal"/>
        <w:numPr>
          <w:ilvl w:val="0"/>
          <w:numId w:val="24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в размере до 3-х процентов от отпускной цены материальных ресурсов (при невозможности определить затраты указанными выше способами), по решению заказчика.</w:t>
      </w:r>
    </w:p>
    <w:p>
      <w:pPr>
        <w:pStyle w:val="Normal"/>
        <w:numPr>
          <w:ilvl w:val="1"/>
          <w:numId w:val="21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по доставке оборудования</w:t>
      </w:r>
      <w:r>
        <w:rPr>
          <w:rFonts w:eastAsia="Calibri"/>
          <w:sz w:val="22"/>
          <w:szCs w:val="22"/>
        </w:rPr>
        <w:t>:</w:t>
      </w:r>
    </w:p>
    <w:p>
      <w:pPr>
        <w:pStyle w:val="Normal"/>
        <w:numPr>
          <w:ilvl w:val="0"/>
          <w:numId w:val="24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Normal"/>
        <w:numPr>
          <w:ilvl w:val="0"/>
          <w:numId w:val="24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Методом анализа ТКП в соответствии с Методикой ПЦ;</w:t>
      </w:r>
    </w:p>
    <w:p>
      <w:pPr>
        <w:pStyle w:val="Normal"/>
        <w:widowControl w:val="false"/>
        <w:numPr>
          <w:ilvl w:val="0"/>
          <w:numId w:val="24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в размере до 3-х процентов от отпускной цены оборудования (при невозможности определить затраты</w:t>
      </w:r>
      <w:bookmarkStart w:id="67" w:name="_Hlk86255346"/>
      <w:r>
        <w:rPr>
          <w:sz w:val="22"/>
          <w:szCs w:val="22"/>
        </w:rPr>
        <w:t xml:space="preserve"> </w:t>
      </w:r>
      <w:bookmarkEnd w:id="67"/>
      <w:r>
        <w:rPr>
          <w:sz w:val="22"/>
          <w:szCs w:val="22"/>
        </w:rPr>
        <w:t>указанными выше способами), по решению заказчика.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Если транспортировка осуществляется заказчиком самостоятельно (самовывоз), данный показатель не учитывается.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851" w:leader="none"/>
        </w:tabs>
        <w:spacing w:before="40" w:after="40"/>
        <w:ind w:firstLine="567"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Заготовительно-складские расходы определяются в % от суммы отпускной цены материалов, изделий, конструкций, оборудования и транспортных затрат:</w:t>
      </w:r>
    </w:p>
    <w:p>
      <w:pPr>
        <w:pStyle w:val="Normal"/>
        <w:widowControl w:val="false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2% -для материальных ресурсов (кроме металлоконструкций);</w:t>
      </w:r>
    </w:p>
    <w:p>
      <w:pPr>
        <w:pStyle w:val="Normal"/>
        <w:widowControl w:val="false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0,75%- для металлоконструкций;</w:t>
      </w:r>
    </w:p>
    <w:p>
      <w:pPr>
        <w:pStyle w:val="Normal"/>
        <w:widowControl w:val="false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1,2% - для оборудования.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sz w:val="22"/>
          <w:szCs w:val="22"/>
        </w:rPr>
        <w:t>Затраты на эксплуатацию строительной техники, не учтенной нормами и расценками, включенными в ФРСН, определяются Методом анализа ТКП в соответствии с Методикой ПЦ и включаются в Главу 9 ССРСС</w:t>
      </w:r>
      <w:r>
        <w:rPr>
          <w:rFonts w:eastAsia="Calibri"/>
          <w:b/>
          <w:color w:val="FF0000"/>
          <w:sz w:val="22"/>
          <w:szCs w:val="22"/>
        </w:rPr>
        <w:t>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color w:val="000000"/>
          <w:spacing w:val="-8"/>
          <w:sz w:val="22"/>
          <w:szCs w:val="22"/>
        </w:rPr>
      </w:pPr>
      <w:r>
        <w:rPr>
          <w:rFonts w:eastAsia="Calibri"/>
          <w:spacing w:val="-8"/>
          <w:sz w:val="22"/>
          <w:szCs w:val="22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color w:val="000000"/>
          <w:spacing w:val="-4"/>
          <w:sz w:val="22"/>
          <w:szCs w:val="22"/>
        </w:rPr>
      </w:pPr>
      <w:r>
        <w:rPr>
          <w:rFonts w:eastAsia="Calibri"/>
          <w:color w:val="000000"/>
          <w:spacing w:val="-4"/>
          <w:sz w:val="22"/>
          <w:szCs w:val="22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>
        <w:rPr>
          <w:rFonts w:eastAsia="Calibri"/>
          <w:color w:val="FF0000"/>
          <w:spacing w:val="-4"/>
          <w:sz w:val="22"/>
          <w:szCs w:val="22"/>
        </w:rPr>
        <w:t xml:space="preserve"> </w:t>
      </w:r>
      <w:r>
        <w:rPr>
          <w:rFonts w:eastAsia="Calibri"/>
          <w:spacing w:val="-4"/>
          <w:sz w:val="22"/>
          <w:szCs w:val="22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При внесении изменений в сметную документацию разрабатывается сводный сметный </w:t>
      </w:r>
    </w:p>
    <w:p>
      <w:pPr>
        <w:pStyle w:val="Normal"/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pacing w:val="-4"/>
          <w:sz w:val="22"/>
          <w:szCs w:val="22"/>
        </w:rPr>
      </w:pPr>
      <w:r>
        <w:rPr>
          <w:rFonts w:eastAsia="Calibri"/>
          <w:color w:val="000000"/>
          <w:spacing w:val="-4"/>
          <w:sz w:val="22"/>
          <w:szCs w:val="22"/>
        </w:rPr>
        <w:t>Затраты</w:t>
      </w:r>
      <w:r>
        <w:rPr>
          <w:rFonts w:eastAsia="Calibri"/>
          <w:spacing w:val="-4"/>
          <w:sz w:val="22"/>
          <w:szCs w:val="22"/>
        </w:rPr>
        <w:t xml:space="preserve"> на возведение временных зданий и сооружений учитывать в том случае, если они указаны в ПОС, Технических требованиях. Размер средств на устройство и ликвидацию временных зданий и сооружений определяются одним из способов: нормативным методом с применением нормативов затрат на строительство титульных временных зданий и сооружений, сведения о которых включены в ФРСН, расчетным методом на основании ЛСР (ЛС) или калькуляций, в соответствии с данными ПОС. Порядок расчета за возведенные временные здания и сооружения оговаривать в договоре подряда.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Резерв</w:t>
      </w:r>
      <w:r>
        <w:rPr>
          <w:rFonts w:eastAsia="Calibri"/>
          <w:sz w:val="22"/>
          <w:szCs w:val="22"/>
        </w:rPr>
        <w:t xml:space="preserve"> средств на непредвиденные работы и затраты определять в Технических </w:t>
      </w:r>
    </w:p>
    <w:p>
      <w:pPr>
        <w:pStyle w:val="Normal"/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rPr>
          <w:sz w:val="22"/>
          <w:szCs w:val="22"/>
        </w:rPr>
      </w:pPr>
      <w:r>
        <w:rPr>
          <w:sz w:val="22"/>
          <w:szCs w:val="22"/>
        </w:rPr>
        <w:t>требованиях и начислять в смете в процентах в размере, указанном в утвержденных Технических требованиях. Порядок расчета за непредвиденные работы и затраты оговаривать в договоре подряда.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pacing w:val="-8"/>
          <w:sz w:val="22"/>
          <w:szCs w:val="22"/>
        </w:rPr>
      </w:pPr>
      <w:r>
        <w:rPr>
          <w:rFonts w:eastAsia="Calibri"/>
          <w:spacing w:val="-8"/>
          <w:sz w:val="22"/>
          <w:szCs w:val="22"/>
        </w:rPr>
        <w:t xml:space="preserve">В </w:t>
      </w:r>
      <w:r>
        <w:rPr>
          <w:rFonts w:eastAsia="Calibri"/>
          <w:color w:val="000000"/>
          <w:spacing w:val="-8"/>
          <w:sz w:val="22"/>
          <w:szCs w:val="22"/>
        </w:rPr>
        <w:t>ЛСР</w:t>
      </w:r>
      <w:r>
        <w:rPr>
          <w:rFonts w:eastAsia="Calibri"/>
          <w:spacing w:val="-8"/>
          <w:sz w:val="22"/>
          <w:szCs w:val="22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В </w:t>
      </w:r>
      <w:r>
        <w:rPr>
          <w:rFonts w:eastAsia="Calibri"/>
          <w:color w:val="000000"/>
          <w:sz w:val="22"/>
          <w:szCs w:val="22"/>
        </w:rPr>
        <w:t>ЛСР</w:t>
      </w:r>
      <w:r>
        <w:rPr>
          <w:rFonts w:eastAsia="Calibri"/>
          <w:sz w:val="22"/>
          <w:szCs w:val="22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pacing w:val="-4"/>
          <w:sz w:val="22"/>
          <w:szCs w:val="22"/>
        </w:rPr>
      </w:pPr>
      <w:r>
        <w:rPr>
          <w:rFonts w:eastAsia="Calibri"/>
          <w:color w:val="000000"/>
          <w:spacing w:val="-4"/>
          <w:sz w:val="22"/>
          <w:szCs w:val="22"/>
        </w:rPr>
        <w:t>Сметная</w:t>
      </w:r>
      <w:r>
        <w:rPr>
          <w:rFonts w:eastAsia="Calibri"/>
          <w:spacing w:val="-4"/>
          <w:sz w:val="22"/>
          <w:szCs w:val="22"/>
        </w:rPr>
        <w:t xml:space="preserve">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eastAsia="Calibri"/>
          <w:spacing w:val="-4"/>
          <w:sz w:val="22"/>
          <w:szCs w:val="22"/>
          <w:lang w:val="en-US"/>
        </w:rPr>
        <w:t>VII</w:t>
      </w:r>
      <w:r>
        <w:rPr>
          <w:rFonts w:eastAsia="Calibri"/>
          <w:spacing w:val="-4"/>
          <w:sz w:val="22"/>
          <w:szCs w:val="22"/>
        </w:rPr>
        <w:t xml:space="preserve">. Методики определения сметной стоимости строительства: 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851" w:leader="none"/>
        </w:tabs>
        <w:spacing w:before="40" w:after="40"/>
        <w:rPr>
          <w:color w:val="000000"/>
          <w:spacing w:val="-6"/>
          <w:sz w:val="22"/>
          <w:szCs w:val="22"/>
        </w:rPr>
      </w:pPr>
      <w:r>
        <w:rPr>
          <w:spacing w:val="-6"/>
          <w:sz w:val="22"/>
          <w:szCs w:val="22"/>
        </w:rPr>
        <w:t xml:space="preserve">Данные работы оформляются отдельными локальными сметами в соответствии </w:t>
      </w:r>
      <w:r>
        <w:rPr>
          <w:color w:val="000000"/>
          <w:spacing w:val="-6"/>
          <w:sz w:val="22"/>
          <w:szCs w:val="22"/>
        </w:rPr>
        <w:t xml:space="preserve">с Приложением № 1.5 к Требованиям по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и включаются в ССР. 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Стоимость</w:t>
      </w:r>
      <w:r>
        <w:rPr>
          <w:rFonts w:eastAsia="Calibri"/>
          <w:sz w:val="22"/>
          <w:szCs w:val="22"/>
        </w:rPr>
        <w:t xml:space="preserve">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</w:t>
      </w:r>
      <w:r>
        <w:rPr>
          <w:rFonts w:eastAsia="Calibri"/>
          <w:color w:val="000000"/>
          <w:sz w:val="22"/>
          <w:szCs w:val="22"/>
        </w:rPr>
        <w:t>(образец формы расчета представлен в Приложении № 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перевооружению).</w:t>
      </w:r>
      <w:r>
        <w:rPr>
          <w:rFonts w:eastAsia="Calibri"/>
          <w:sz w:val="22"/>
          <w:szCs w:val="22"/>
        </w:rPr>
        <w:t xml:space="preserve"> Участник (подрядчик, контрагент) представляет смету на шеф-монтажные работы в соответствии с графиком выполнения работ.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При необходимости учета командировочных расходов в сметной документации составляется расчет. Размер суточных командировочных расходов определять в соответствии с Федеральным законодательством и с учетом норм, определяемых внутренним документом организации.</w:t>
      </w:r>
    </w:p>
    <w:p>
      <w:pPr>
        <w:pStyle w:val="Normal"/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rPr>
          <w:sz w:val="22"/>
          <w:szCs w:val="22"/>
        </w:rPr>
      </w:pPr>
      <w:r>
        <w:rPr>
          <w:sz w:val="22"/>
          <w:szCs w:val="22"/>
        </w:rPr>
        <w:t>Лимиты командировочных расходов при производстве СМР и ПНР по статьям затрат следующие: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суточные - 700 руб./сутки;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проживание – 5000 руб./сутки;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Normal"/>
        <w:widowControl w:val="false"/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rPr>
          <w:b/>
          <w:i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b/>
          <w:sz w:val="22"/>
          <w:szCs w:val="22"/>
          <w:u w:val="single"/>
        </w:rPr>
      </w:pPr>
      <w:r>
        <w:rPr>
          <w:rFonts w:eastAsia="Calibri"/>
          <w:sz w:val="22"/>
          <w:szCs w:val="22"/>
        </w:rPr>
        <w:t xml:space="preserve">В </w:t>
      </w:r>
      <w:r>
        <w:rPr>
          <w:rFonts w:eastAsia="Calibri"/>
          <w:color w:val="000000"/>
          <w:sz w:val="22"/>
          <w:szCs w:val="22"/>
        </w:rPr>
        <w:t>локальных</w:t>
      </w:r>
      <w:r>
        <w:rPr>
          <w:rFonts w:eastAsia="Calibri"/>
          <w:sz w:val="22"/>
          <w:szCs w:val="22"/>
        </w:rPr>
        <w:t xml:space="preserve"> сметных расчетах построчные и итоговые суммы </w:t>
      </w:r>
      <w:r>
        <w:rPr>
          <w:rFonts w:eastAsia="Calibri"/>
          <w:b/>
          <w:sz w:val="22"/>
          <w:szCs w:val="22"/>
          <w:u w:val="single"/>
        </w:rPr>
        <w:t>округлять: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при базисно-индексном методе до двух знаков после запятой (до копеек)</w:t>
      </w:r>
      <w:r>
        <w:rPr>
          <w:b/>
          <w:sz w:val="22"/>
          <w:szCs w:val="22"/>
        </w:rPr>
        <w:t>.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pacing w:val="-8"/>
          <w:sz w:val="22"/>
          <w:szCs w:val="22"/>
        </w:rPr>
      </w:pPr>
      <w:r>
        <w:rPr>
          <w:rFonts w:eastAsia="Calibri"/>
          <w:color w:val="000000"/>
          <w:spacing w:val="-8"/>
          <w:sz w:val="22"/>
          <w:szCs w:val="22"/>
        </w:rPr>
        <w:t>Выходные</w:t>
      </w:r>
      <w:r>
        <w:rPr>
          <w:rFonts w:eastAsia="Calibri"/>
          <w:spacing w:val="-8"/>
          <w:sz w:val="22"/>
          <w:szCs w:val="22"/>
        </w:rPr>
        <w:t xml:space="preserve"> формы сметных расчетов должны соответствовать Образцу согласно Приложению 1.5.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связи с предоставлением Заказчиком услуг, указанных в разделе Технических требований «Иные условия поставки товаров, выполнения работ, оказания услуг»</w:t>
      </w:r>
      <w:r>
        <w:rPr>
          <w:rStyle w:val="FootnoteReference"/>
          <w:rFonts w:eastAsia="Calibri"/>
          <w:sz w:val="22"/>
          <w:szCs w:val="22"/>
        </w:rPr>
        <w:footnoteReference w:id="5"/>
      </w:r>
      <w:r>
        <w:rPr>
          <w:rFonts w:eastAsia="Calibri"/>
          <w:sz w:val="22"/>
          <w:szCs w:val="22"/>
        </w:rPr>
        <w:t>:</w:t>
      </w:r>
    </w:p>
    <w:p>
      <w:pPr>
        <w:pStyle w:val="Normal"/>
        <w:numPr>
          <w:ilvl w:val="1"/>
          <w:numId w:val="21"/>
        </w:numPr>
        <w:tabs>
          <w:tab w:val="clear" w:pos="708"/>
          <w:tab w:val="left" w:pos="709" w:leader="none"/>
          <w:tab w:val="left" w:pos="851" w:leader="none"/>
          <w:tab w:val="left" w:pos="1560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>
        <w:rPr>
          <w:color w:val="000000"/>
          <w:sz w:val="22"/>
          <w:szCs w:val="22"/>
        </w:rPr>
        <w:t>сметной</w:t>
      </w:r>
      <w:r>
        <w:rPr>
          <w:sz w:val="22"/>
          <w:szCs w:val="22"/>
        </w:rPr>
        <w:t xml:space="preserve"> документации при определении стоимости работ по расценкам, указанным в сборниках «Базовых цен на работы по ремонту энергетического оборудования», затраты на услуги, предоставляемые Заказчиком подрядным организациям не учитывать. </w:t>
      </w:r>
    </w:p>
    <w:p>
      <w:pPr>
        <w:pStyle w:val="Normal"/>
        <w:numPr>
          <w:ilvl w:val="1"/>
          <w:numId w:val="21"/>
        </w:numPr>
        <w:tabs>
          <w:tab w:val="clear" w:pos="708"/>
          <w:tab w:val="left" w:pos="709" w:leader="none"/>
          <w:tab w:val="left" w:pos="851" w:leader="none"/>
          <w:tab w:val="left" w:pos="1560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Из норм и расценок, внесенных в ФРСН, при составлении сметной документации исключать затраты:</w:t>
      </w:r>
    </w:p>
    <w:p>
      <w:pPr>
        <w:pStyle w:val="Normal"/>
        <w:numPr>
          <w:ilvl w:val="2"/>
          <w:numId w:val="21"/>
        </w:numPr>
        <w:tabs>
          <w:tab w:val="clear" w:pos="708"/>
          <w:tab w:val="left" w:pos="709" w:leader="none"/>
          <w:tab w:val="left" w:pos="851" w:leader="none"/>
          <w:tab w:val="left" w:pos="1560" w:leader="none"/>
        </w:tabs>
        <w:spacing w:before="40" w:after="40"/>
        <w:ind w:firstLine="709" w:left="0"/>
        <w:jc w:val="both"/>
        <w:rPr>
          <w:spacing w:val="-12"/>
          <w:sz w:val="22"/>
          <w:szCs w:val="22"/>
        </w:rPr>
      </w:pPr>
      <w:r>
        <w:rPr>
          <w:spacing w:val="-12"/>
          <w:sz w:val="22"/>
          <w:szCs w:val="22"/>
        </w:rPr>
        <w:t>По предоставляемым грузоподъемным механизмам, учтенным в составе сметных норм и расценок:</w:t>
      </w:r>
    </w:p>
    <w:p>
      <w:pPr>
        <w:pStyle w:val="Normal"/>
        <w:widowControl w:val="false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Исключать из норм и расценок предоставляемые грузоподъемные механизмы. </w:t>
      </w:r>
    </w:p>
    <w:p>
      <w:pPr>
        <w:pStyle w:val="Normal"/>
        <w:tabs>
          <w:tab w:val="clear" w:pos="708"/>
          <w:tab w:val="left" w:pos="709" w:leader="none"/>
          <w:tab w:val="left" w:pos="851" w:leader="none"/>
          <w:tab w:val="left" w:pos="1418" w:leader="none"/>
        </w:tabs>
        <w:spacing w:before="40" w:after="40"/>
        <w:rPr>
          <w:sz w:val="22"/>
          <w:szCs w:val="22"/>
        </w:rPr>
      </w:pPr>
      <w:r>
        <w:rPr>
          <w:sz w:val="22"/>
          <w:szCs w:val="22"/>
        </w:rPr>
        <w:t>В случае использования подрядчиком собственных/арендованных механизмов полностью, либо частично, для выполнения конкретной работы на строительной площадке, из расценки на выполнение данных работ грузоподъемные механизмы не исключаются</w:t>
      </w:r>
    </w:p>
    <w:p>
      <w:pPr>
        <w:pStyle w:val="Normal"/>
        <w:numPr>
          <w:ilvl w:val="2"/>
          <w:numId w:val="21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По предоставляемой электроэнергии (в том числе, в составе стоимости машино-часа):</w:t>
      </w:r>
    </w:p>
    <w:p>
      <w:pPr>
        <w:pStyle w:val="Normal"/>
        <w:widowControl w:val="false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cs="Arial"/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Рассчитанная</w:t>
      </w:r>
      <w:r>
        <w:rPr>
          <w:rFonts w:cs="Arial"/>
          <w:spacing w:val="-4"/>
          <w:sz w:val="22"/>
          <w:szCs w:val="22"/>
        </w:rPr>
        <w:t xml:space="preserve"> сумма возврата стоимости электрической энергии (со знаком «–») учитывается в последней главе ССРСС, где имеется смета на СМР (как правило, в главах 1-7, если затраты по главе 8 определены на основании смет, то сумма возврата стоимости электрической энергии учитывается в главе 8)</w:t>
      </w:r>
      <w:r>
        <w:rPr>
          <w:rStyle w:val="FootnoteReference"/>
          <w:rFonts w:cs="Arial"/>
          <w:spacing w:val="-4"/>
          <w:sz w:val="22"/>
          <w:szCs w:val="22"/>
        </w:rPr>
        <w:footnoteReference w:id="6"/>
      </w:r>
      <w:r>
        <w:rPr>
          <w:rFonts w:cs="Arial"/>
          <w:spacing w:val="-4"/>
          <w:sz w:val="22"/>
          <w:szCs w:val="22"/>
        </w:rPr>
        <w:t xml:space="preserve">. Рекомендации по расчету суммы возврата стоимости электрической энергии указаны в приложении 4 к настоящим требованиям. </w:t>
      </w:r>
    </w:p>
    <w:p>
      <w:pPr>
        <w:pStyle w:val="Normal"/>
        <w:widowControl w:val="false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cs="Arial"/>
          <w:spacing w:val="-8"/>
          <w:sz w:val="22"/>
          <w:szCs w:val="22"/>
        </w:rPr>
      </w:pPr>
      <w:r>
        <w:rPr>
          <w:rFonts w:cs="Arial"/>
          <w:spacing w:val="-8"/>
          <w:sz w:val="22"/>
          <w:szCs w:val="22"/>
        </w:rPr>
        <w:t>Индекс пересчета в текущие цены применять аналогичный примененному в сметной документации.</w:t>
      </w:r>
    </w:p>
    <w:p>
      <w:pPr>
        <w:pStyle w:val="Normal"/>
        <w:widowControl w:val="false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При применении индексов по статьям затрат в сметной документации для данного ресурса применять индекс на материалы.</w:t>
      </w:r>
    </w:p>
    <w:p>
      <w:pPr>
        <w:pStyle w:val="Normal"/>
        <w:numPr>
          <w:ilvl w:val="2"/>
          <w:numId w:val="21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По предоставляемому сжатому воздуху:</w:t>
      </w:r>
    </w:p>
    <w:p>
      <w:pPr>
        <w:pStyle w:val="Normal"/>
        <w:widowControl w:val="false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Из норм и расценок исключать стоимость компрессоров. </w:t>
      </w:r>
    </w:p>
    <w:p>
      <w:pPr>
        <w:pStyle w:val="Normal"/>
        <w:numPr>
          <w:ilvl w:val="2"/>
          <w:numId w:val="21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По предоставляемой воде:</w:t>
      </w:r>
    </w:p>
    <w:p>
      <w:pPr>
        <w:pStyle w:val="Normal"/>
        <w:widowControl w:val="false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Из норм и расценок исключать стоимость воды.</w:t>
      </w:r>
    </w:p>
    <w:p>
      <w:pPr>
        <w:pStyle w:val="Normal"/>
        <w:numPr>
          <w:ilvl w:val="2"/>
          <w:numId w:val="21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Учтенные в составе накладных расходов:</w:t>
      </w:r>
    </w:p>
    <w:p>
      <w:pPr>
        <w:pStyle w:val="Normal"/>
        <w:widowControl w:val="false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расходы по обеспечению санитарно-гигиенических и бытовых условий (удельный вес статьи затрат в накладных расходах - 3,02%);</w:t>
      </w:r>
    </w:p>
    <w:p>
      <w:pPr>
        <w:pStyle w:val="Normal"/>
        <w:widowControl w:val="false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cs="Arial"/>
          <w:spacing w:val="-8"/>
          <w:sz w:val="22"/>
          <w:szCs w:val="22"/>
        </w:rPr>
      </w:pPr>
      <w:r>
        <w:rPr>
          <w:rFonts w:cs="Arial"/>
          <w:spacing w:val="-8"/>
          <w:sz w:val="22"/>
          <w:szCs w:val="22"/>
        </w:rPr>
        <w:t>содержание пожарной и сторожевой охраны (удельный вес статьи затрат в накладных расходах - 2,01%);</w:t>
      </w:r>
    </w:p>
    <w:p>
      <w:pPr>
        <w:pStyle w:val="Normal"/>
        <w:widowControl w:val="false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расходы</w:t>
      </w:r>
      <w:r>
        <w:rPr>
          <w:sz w:val="22"/>
          <w:szCs w:val="22"/>
        </w:rPr>
        <w:t xml:space="preserve"> по благоустройству и содержанию строительных площадок (удельный вес статьи затрат в накладных расходах – 1,61%)</w:t>
      </w:r>
    </w:p>
    <w:p>
      <w:pPr>
        <w:pStyle w:val="Normal"/>
        <w:tabs>
          <w:tab w:val="clear" w:pos="708"/>
          <w:tab w:val="left" w:pos="709" w:leader="none"/>
          <w:tab w:val="left" w:pos="851" w:leader="none"/>
          <w:tab w:val="left" w:pos="1418" w:leader="none"/>
        </w:tabs>
        <w:spacing w:before="40" w:after="40"/>
        <w:rPr>
          <w:sz w:val="22"/>
          <w:szCs w:val="22"/>
        </w:rPr>
      </w:pPr>
      <w:r>
        <w:rPr>
          <w:sz w:val="22"/>
          <w:szCs w:val="22"/>
        </w:rPr>
        <w:t>исключаются путем применения понижающего коэффициента к нормативам накладных расходов на строительные работы в размере 0,93</w:t>
      </w:r>
      <w:r>
        <w:rPr>
          <w:rStyle w:val="FootnoteReference"/>
          <w:sz w:val="22"/>
          <w:szCs w:val="22"/>
        </w:rPr>
        <w:footnoteReference w:id="7"/>
      </w:r>
      <w:r>
        <w:rPr>
          <w:sz w:val="22"/>
          <w:szCs w:val="22"/>
        </w:rPr>
        <w:t>. Понижающий коэффициент не применяется к нормативам накладных расходов на ремонтно-строительные работы, работы по реконструкции зданий и сооружений (ГЭСН/ФЕР/ТЕР-2001-46), монтажные и пусконаладочные работы.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sz w:val="22"/>
          <w:szCs w:val="22"/>
        </w:rPr>
        <w:t xml:space="preserve">ССРСС разрабатывается на объект строительства и (или) этап строительства на основании итоговых стоимостных показателей объектных и (или) локальных сметных расчетов (смет), а также сметных расчетов на отдельные виды затрат в текущем уровне цен. ССРСС составляется при наличии двух и более смет. Обязательными приложениями к ССРСС являются локальные сметы, подписанные инженером-сметчиком контрагента (подрядчика), с обязательным указанием должности, наименования организации, Ф.И.О. подписанта. Наименование и нумерация глав сводного сметного расчета не подлежат корректировке вне зависимости от состава включаемых затрат. В случае отсутствия затрат, предусматриваемых соответствующей главой сводного сметного расчета, эта глава пропускается без изменения номеров последующих глав. </w:t>
      </w:r>
      <w:r>
        <w:rPr>
          <w:rFonts w:eastAsia="Calibri"/>
          <w:color w:val="000000"/>
          <w:sz w:val="22"/>
          <w:szCs w:val="22"/>
        </w:rPr>
        <w:t>Формат ССРСС выполнять по Образцу 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Сметная документация должна быть представлена в двух вариантах: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перевооружению;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>в формате ПК «Гранд-смета» выходная форма для печати указана ниже:</w:t>
      </w:r>
    </w:p>
    <w:p>
      <w:pPr>
        <w:pStyle w:val="Normal"/>
        <w:spacing w:before="0" w:after="240"/>
        <w:ind w:left="737"/>
        <w:rPr>
          <w:color w:val="000000"/>
          <w:sz w:val="20"/>
          <w:szCs w:val="20"/>
          <w:highlight w:val="yellow"/>
        </w:rPr>
      </w:pPr>
      <w:r>
        <w:rPr/>
        <w:drawing>
          <wp:inline distT="0" distB="0" distL="0" distR="0">
            <wp:extent cx="5591175" cy="2995295"/>
            <wp:effectExtent l="0" t="0" r="0" b="0"/>
            <wp:docPr id="2" name="Рисунок 11" descr="cid:image001.jpg@01D771AB.FE884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cid:image001.jpg@01D771AB.FE884A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ind w:left="510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Приложение 1 </w:t>
      </w:r>
    </w:p>
    <w:p>
      <w:pPr>
        <w:pStyle w:val="Normal"/>
        <w:ind w:left="5103"/>
        <w:rPr>
          <w:color w:val="000000"/>
          <w:sz w:val="20"/>
          <w:szCs w:val="20"/>
        </w:rPr>
      </w:pPr>
      <w:r>
        <w:rPr>
          <w:color w:val="000000"/>
          <w:sz w:val="20"/>
          <w:szCs w:val="24"/>
        </w:rPr>
        <w:t xml:space="preserve">к Требованиям к оформлению и составлению сметной документации </w:t>
      </w:r>
    </w:p>
    <w:p>
      <w:pPr>
        <w:pStyle w:val="Normal"/>
        <w:ind w:left="5103"/>
        <w:rPr>
          <w:color w:val="000000"/>
          <w:sz w:val="20"/>
          <w:szCs w:val="24"/>
          <w:u w:val="single"/>
        </w:rPr>
      </w:pPr>
      <w:r>
        <w:rPr>
          <w:color w:val="000000"/>
          <w:sz w:val="20"/>
          <w:szCs w:val="24"/>
          <w:u w:val="single"/>
        </w:rPr>
        <w:t>на выполнение работ по программе ремонтов, реконструкции и техническому перевооружению</w:t>
      </w:r>
    </w:p>
    <w:p>
      <w:pPr>
        <w:pStyle w:val="Normal"/>
        <w:spacing w:before="0" w:after="240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240"/>
        <w:jc w:val="center"/>
        <w:rPr>
          <w:b/>
          <w:szCs w:val="24"/>
        </w:rPr>
      </w:pPr>
      <w:r>
        <w:rPr>
          <w:b/>
          <w:szCs w:val="24"/>
        </w:rPr>
        <w:t>Требования к оформлению и составлению сводного сметного расчета</w:t>
      </w:r>
    </w:p>
    <w:p>
      <w:pPr>
        <w:pStyle w:val="Normal"/>
        <w:spacing w:before="0" w:after="240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b/>
          <w:szCs w:val="24"/>
        </w:rPr>
        <w:t>к договорам на реконструкцию, техническое перевооружение и ремонт и дополнительным соглашениям к указанным договорам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993" w:leader="none"/>
        </w:tabs>
        <w:spacing w:before="0" w:after="240"/>
        <w:ind w:firstLine="709" w:left="0"/>
        <w:jc w:val="both"/>
        <w:rPr>
          <w:rFonts w:cs="Arial"/>
          <w:color w:val="000000"/>
          <w:sz w:val="22"/>
          <w:szCs w:val="24"/>
        </w:rPr>
      </w:pPr>
      <w:r>
        <w:rPr>
          <w:rFonts w:cs="Arial"/>
          <w:color w:val="000000"/>
          <w:sz w:val="22"/>
          <w:szCs w:val="24"/>
        </w:rPr>
        <w:t xml:space="preserve">При наличии двух и более сметных расчетов составлять ССРСС в текущем уровне цен по форме Приложения </w:t>
      </w:r>
      <w:r>
        <w:rPr>
          <w:color w:val="000000"/>
          <w:sz w:val="22"/>
          <w:szCs w:val="22"/>
        </w:rPr>
        <w:t xml:space="preserve">№ 1.1 к </w:t>
      </w:r>
      <w:r>
        <w:rPr>
          <w:rFonts w:cs="Arial"/>
          <w:color w:val="000000"/>
          <w:sz w:val="22"/>
          <w:szCs w:val="22"/>
        </w:rPr>
        <w:t xml:space="preserve">Требованиям к оформлению и составлению </w:t>
      </w:r>
      <w:r>
        <w:rPr>
          <w:color w:val="000000"/>
          <w:sz w:val="22"/>
          <w:szCs w:val="22"/>
        </w:rPr>
        <w:t>сметной документации на выполнение строительно-монтажных работ по программе ремонтов, реконструкции и техническому перевооружению по образцу.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993" w:leader="none"/>
        </w:tabs>
        <w:spacing w:before="0" w:after="240"/>
        <w:ind w:firstLine="709" w:left="0"/>
        <w:jc w:val="both"/>
        <w:rPr>
          <w:rFonts w:cs="Arial"/>
          <w:color w:val="000000"/>
          <w:sz w:val="22"/>
          <w:szCs w:val="24"/>
        </w:rPr>
      </w:pPr>
      <w:r>
        <w:rPr>
          <w:rFonts w:cs="Arial"/>
          <w:color w:val="000000"/>
          <w:sz w:val="22"/>
          <w:szCs w:val="24"/>
        </w:rPr>
        <w:t xml:space="preserve">В случае заключений дополнительных соглашений к договору (далее - д/с), ССРСС необходимо выполнять в накопительной форме с учетом </w:t>
      </w:r>
      <w:r>
        <w:rPr>
          <w:color w:val="000000"/>
          <w:sz w:val="22"/>
          <w:szCs w:val="22"/>
        </w:rPr>
        <w:t>ЛСР (</w:t>
      </w:r>
      <w:r>
        <w:rPr>
          <w:rFonts w:cs="Arial"/>
          <w:color w:val="000000"/>
          <w:sz w:val="22"/>
          <w:szCs w:val="24"/>
        </w:rPr>
        <w:t xml:space="preserve">ЛС) к основному договору и ко всем заключенным д/с к нему. В итогах ССРСС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ССРСС очередного д/с и стоимостью основного договора. Форма ССРСС с учетом заключения д/с к договору приведена в Приложении </w:t>
      </w:r>
      <w:r>
        <w:rPr>
          <w:color w:val="000000"/>
          <w:sz w:val="22"/>
          <w:szCs w:val="22"/>
        </w:rPr>
        <w:t xml:space="preserve">№ 1.2 к </w:t>
      </w:r>
      <w:r>
        <w:rPr>
          <w:rFonts w:cs="Arial"/>
          <w:color w:val="000000"/>
          <w:sz w:val="22"/>
          <w:szCs w:val="22"/>
        </w:rPr>
        <w:t xml:space="preserve">Требованиям к оформлению и составлению </w:t>
      </w:r>
      <w:r>
        <w:rPr>
          <w:color w:val="000000"/>
          <w:sz w:val="22"/>
          <w:szCs w:val="22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993" w:leader="none"/>
        </w:tabs>
        <w:spacing w:before="0" w:after="240"/>
        <w:ind w:firstLine="709" w:left="0"/>
        <w:jc w:val="both"/>
        <w:rPr>
          <w:rFonts w:cs="Arial"/>
          <w:color w:val="000000"/>
          <w:sz w:val="22"/>
          <w:szCs w:val="24"/>
        </w:rPr>
      </w:pPr>
      <w:r>
        <w:rPr>
          <w:rFonts w:cs="Arial"/>
          <w:color w:val="000000"/>
          <w:sz w:val="22"/>
          <w:szCs w:val="24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>
        <w:rPr>
          <w:color w:val="000000"/>
          <w:sz w:val="22"/>
          <w:szCs w:val="22"/>
        </w:rPr>
        <w:t xml:space="preserve">к Требованиям </w:t>
      </w:r>
      <w:r>
        <w:rPr>
          <w:rFonts w:cs="Arial"/>
          <w:color w:val="000000"/>
          <w:sz w:val="22"/>
          <w:szCs w:val="24"/>
        </w:rPr>
        <w:t xml:space="preserve">к оформлению и составлению </w:t>
      </w:r>
      <w:r>
        <w:rPr>
          <w:color w:val="000000"/>
          <w:sz w:val="22"/>
          <w:szCs w:val="22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993" w:leader="none"/>
        </w:tabs>
        <w:spacing w:before="0" w:after="240"/>
        <w:ind w:firstLine="709" w:left="0"/>
        <w:jc w:val="both"/>
        <w:rPr>
          <w:rFonts w:cs="Arial"/>
          <w:color w:val="000000"/>
          <w:sz w:val="22"/>
          <w:szCs w:val="24"/>
        </w:rPr>
      </w:pPr>
      <w:r>
        <w:rPr>
          <w:rFonts w:cs="Arial"/>
          <w:color w:val="000000"/>
          <w:sz w:val="22"/>
          <w:szCs w:val="24"/>
        </w:rPr>
        <w:t>ЛС являются приложениями к ССРСС. Нумерация приложений указывается по мере включения ЛС в ССР в накопительной форме - по порядку.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993" w:leader="none"/>
        </w:tabs>
        <w:spacing w:before="0" w:after="240"/>
        <w:ind w:firstLine="709" w:left="0"/>
        <w:jc w:val="both"/>
        <w:rPr>
          <w:rFonts w:cs="Arial"/>
          <w:color w:val="000000"/>
          <w:sz w:val="22"/>
          <w:szCs w:val="24"/>
        </w:rPr>
      </w:pPr>
      <w:r>
        <w:rPr>
          <w:rFonts w:cs="Arial"/>
          <w:color w:val="000000"/>
          <w:sz w:val="22"/>
          <w:szCs w:val="24"/>
        </w:rPr>
        <w:t>Разнесение затрат (сумм ЛС) по графам и главам ССРСС осуществлять в соответствии с указаниями Методики определения сметной стоимости строительства.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993" w:leader="none"/>
        </w:tabs>
        <w:spacing w:before="0" w:after="240"/>
        <w:ind w:firstLine="709" w:left="0"/>
        <w:jc w:val="both"/>
        <w:rPr>
          <w:rFonts w:cs="Arial"/>
          <w:color w:val="000000"/>
          <w:sz w:val="22"/>
          <w:szCs w:val="24"/>
        </w:rPr>
      </w:pPr>
      <w:r>
        <w:rPr>
          <w:rFonts w:cs="Arial"/>
          <w:color w:val="000000"/>
          <w:sz w:val="22"/>
          <w:szCs w:val="24"/>
        </w:rPr>
        <w:t xml:space="preserve">В ССРСС, построчные и итоговые суммы </w:t>
      </w:r>
      <w:r>
        <w:rPr>
          <w:color w:val="000000"/>
          <w:sz w:val="22"/>
          <w:szCs w:val="22"/>
        </w:rPr>
        <w:t xml:space="preserve">указывать </w:t>
      </w:r>
      <w:r>
        <w:rPr>
          <w:rFonts w:cs="Arial"/>
          <w:color w:val="000000"/>
          <w:sz w:val="22"/>
          <w:szCs w:val="24"/>
        </w:rPr>
        <w:t>в рублях с округлением до двух знаков после запятой. Величину НДС не указывать.</w:t>
      </w:r>
    </w:p>
    <w:p>
      <w:pPr>
        <w:sectPr>
          <w:headerReference w:type="default" r:id="rId10"/>
          <w:headerReference w:type="first" r:id="rId11"/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276" w:right="707" w:gutter="0" w:header="709" w:top="851" w:footer="709" w:bottom="766"/>
          <w:pgNumType w:fmt="decimal"/>
          <w:formProt w:val="false"/>
          <w:textDirection w:val="lrTb"/>
          <w:docGrid w:type="default" w:linePitch="360" w:charSpace="0"/>
        </w:sectPr>
        <w:pStyle w:val="Normal"/>
        <w:numPr>
          <w:ilvl w:val="0"/>
          <w:numId w:val="20"/>
        </w:numPr>
        <w:tabs>
          <w:tab w:val="clear" w:pos="708"/>
          <w:tab w:val="left" w:pos="993" w:leader="none"/>
        </w:tabs>
        <w:spacing w:before="0" w:after="240"/>
        <w:ind w:firstLine="709" w:left="0"/>
        <w:jc w:val="both"/>
        <w:rPr>
          <w:rFonts w:cs="Arial"/>
          <w:color w:val="000000"/>
          <w:sz w:val="22"/>
          <w:szCs w:val="24"/>
        </w:rPr>
      </w:pPr>
      <w:r>
        <w:rPr>
          <w:rFonts w:cs="Arial"/>
          <w:color w:val="000000"/>
          <w:sz w:val="22"/>
          <w:szCs w:val="24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ССРСС.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>Приложение № 1.1</w:t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>к Требованиям к оформлению и составлению 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Normal"/>
        <w:widowControl w:val="false"/>
        <w:ind w:firstLine="720" w:left="57"/>
        <w:jc w:val="right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widowControl w:val="false"/>
        <w:ind w:firstLine="720" w:left="57"/>
        <w:rPr>
          <w:rFonts w:cs="Arial"/>
          <w:szCs w:val="24"/>
        </w:rPr>
      </w:pPr>
      <w:r>
        <w:rPr>
          <w:rFonts w:cs="Arial"/>
          <w:b/>
          <w:sz w:val="22"/>
          <w:szCs w:val="22"/>
        </w:rPr>
        <w:t xml:space="preserve">ОБРАЗЕЦ </w:t>
      </w:r>
      <w:r>
        <w:rPr>
          <w:rFonts w:cs="Arial"/>
          <w:szCs w:val="24"/>
        </w:rPr>
        <w:t xml:space="preserve">                                                                                            </w:t>
      </w:r>
    </w:p>
    <w:p>
      <w:pPr>
        <w:pStyle w:val="Normal"/>
        <w:widowControl w:val="false"/>
        <w:ind w:firstLine="720" w:left="5811"/>
        <w:jc w:val="center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widowControl w:val="false"/>
        <w:ind w:firstLine="720" w:left="5811"/>
        <w:jc w:val="right"/>
        <w:rPr>
          <w:rFonts w:cs="Arial"/>
          <w:szCs w:val="24"/>
        </w:rPr>
      </w:pPr>
      <w:r>
        <w:rPr>
          <w:rFonts w:cs="Arial"/>
          <w:szCs w:val="24"/>
        </w:rPr>
        <w:t>Приложение №___</w:t>
      </w:r>
    </w:p>
    <w:p>
      <w:pPr>
        <w:pStyle w:val="Normal"/>
        <w:widowControl w:val="false"/>
        <w:ind w:firstLine="720" w:left="5811"/>
        <w:jc w:val="right"/>
        <w:rPr>
          <w:rFonts w:cs="Arial"/>
          <w:szCs w:val="24"/>
        </w:rPr>
      </w:pPr>
      <w:r>
        <w:rPr>
          <w:rFonts w:cs="Arial"/>
          <w:szCs w:val="24"/>
        </w:rPr>
        <w:t>к договору от_______№_____</w:t>
      </w:r>
    </w:p>
    <w:p>
      <w:pPr>
        <w:pStyle w:val="Normal"/>
        <w:widowControl w:val="false"/>
        <w:ind w:firstLine="720"/>
        <w:jc w:val="right"/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</w:p>
    <w:p>
      <w:pPr>
        <w:pStyle w:val="Normal"/>
        <w:widowControl w:val="false"/>
        <w:ind w:firstLine="720"/>
        <w:jc w:val="right"/>
        <w:rPr>
          <w:rFonts w:cs="Arial"/>
          <w:szCs w:val="24"/>
        </w:rPr>
      </w:pPr>
      <w:r>
        <w:rPr>
          <w:rFonts w:cs="Arial"/>
          <w:szCs w:val="24"/>
        </w:rPr>
      </w:r>
      <w:bookmarkStart w:id="68" w:name="P2945"/>
      <w:bookmarkStart w:id="69" w:name="P2506"/>
      <w:bookmarkStart w:id="70" w:name="P2566"/>
      <w:bookmarkStart w:id="71" w:name="P2529"/>
      <w:bookmarkStart w:id="72" w:name="P2531"/>
      <w:bookmarkStart w:id="73" w:name="P2525"/>
      <w:bookmarkStart w:id="74" w:name="P2736"/>
      <w:bookmarkStart w:id="75" w:name="P2524"/>
      <w:bookmarkStart w:id="76" w:name="P2528"/>
      <w:bookmarkStart w:id="77" w:name="P2526"/>
      <w:bookmarkStart w:id="78" w:name="P2530"/>
      <w:bookmarkStart w:id="79" w:name="P2546"/>
      <w:bookmarkStart w:id="80" w:name="P2746"/>
      <w:bookmarkStart w:id="81" w:name="P2527"/>
      <w:bookmarkStart w:id="82" w:name="P2522"/>
      <w:bookmarkStart w:id="83" w:name="P2523"/>
      <w:bookmarkStart w:id="84" w:name="P2616"/>
      <w:bookmarkStart w:id="85" w:name="P3258"/>
      <w:bookmarkStart w:id="86" w:name="P2945"/>
      <w:bookmarkStart w:id="87" w:name="P2506"/>
      <w:bookmarkStart w:id="88" w:name="P2566"/>
      <w:bookmarkStart w:id="89" w:name="P2529"/>
      <w:bookmarkStart w:id="90" w:name="P2531"/>
      <w:bookmarkStart w:id="91" w:name="P2525"/>
      <w:bookmarkStart w:id="92" w:name="P2736"/>
      <w:bookmarkStart w:id="93" w:name="P2524"/>
      <w:bookmarkStart w:id="94" w:name="P2528"/>
      <w:bookmarkStart w:id="95" w:name="P2526"/>
      <w:bookmarkStart w:id="96" w:name="P2530"/>
      <w:bookmarkStart w:id="97" w:name="P2546"/>
      <w:bookmarkStart w:id="98" w:name="P2746"/>
      <w:bookmarkStart w:id="99" w:name="P2527"/>
      <w:bookmarkStart w:id="100" w:name="P2522"/>
      <w:bookmarkStart w:id="101" w:name="P2523"/>
      <w:bookmarkStart w:id="102" w:name="P2616"/>
      <w:bookmarkStart w:id="103" w:name="P3258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</w:p>
    <w:tbl>
      <w:tblPr>
        <w:tblW w:w="5000" w:type="pct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3733"/>
        <w:gridCol w:w="5903"/>
      </w:tblGrid>
      <w:tr>
        <w:trPr>
          <w:trHeight w:val="1158" w:hRule="atLeast"/>
        </w:trPr>
        <w:tc>
          <w:tcPr>
            <w:tcW w:w="3733" w:type="dxa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b/>
                <w:szCs w:val="24"/>
              </w:rPr>
              <w:t>СОГЛАСОВАНО</w:t>
            </w:r>
            <w:r>
              <w:rPr>
                <w:szCs w:val="24"/>
              </w:rPr>
              <w:t>:</w:t>
            </w:r>
          </w:p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______________(Подрядчик 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rPr>
                <w:szCs w:val="24"/>
              </w:rPr>
            </w:pPr>
            <w:r>
              <w:rPr>
                <w:szCs w:val="24"/>
              </w:rPr>
              <w:t>_______________(ФИО)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rPr>
                <w:rFonts w:cs="Arial"/>
                <w:szCs w:val="24"/>
              </w:rPr>
            </w:pPr>
            <w:r>
              <w:rPr>
                <w:szCs w:val="24"/>
              </w:rPr>
              <w:t>Заказчик:______________________</w:t>
            </w:r>
          </w:p>
        </w:tc>
        <w:tc>
          <w:tcPr>
            <w:tcW w:w="590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УТВЕРЖДАЮ:</w:t>
            </w:r>
          </w:p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b/>
                <w:szCs w:val="24"/>
              </w:rPr>
              <w:t xml:space="preserve">                                                              </w:t>
            </w:r>
            <w:r>
              <w:rPr>
                <w:b/>
                <w:sz w:val="22"/>
                <w:szCs w:val="24"/>
              </w:rPr>
              <w:t xml:space="preserve">                             </w:t>
            </w:r>
            <w:r>
              <w:rPr>
                <w:sz w:val="22"/>
                <w:szCs w:val="24"/>
              </w:rPr>
              <w:t>_____________(Заказчик )</w:t>
            </w:r>
          </w:p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sz w:val="22"/>
                <w:szCs w:val="24"/>
              </w:rPr>
              <w:t xml:space="preserve">                  </w:t>
            </w:r>
            <w:r>
              <w:rPr>
                <w:sz w:val="22"/>
                <w:szCs w:val="24"/>
              </w:rPr>
              <w:t>______________(</w:t>
            </w:r>
            <w:r>
              <w:rPr>
                <w:szCs w:val="24"/>
              </w:rPr>
              <w:t>ФИО)</w:t>
            </w:r>
          </w:p>
        </w:tc>
      </w:tr>
      <w:tr>
        <w:trPr/>
        <w:tc>
          <w:tcPr>
            <w:tcW w:w="3733" w:type="dxa"/>
            <w:tcBorders/>
          </w:tcPr>
          <w:p>
            <w:pPr>
              <w:pStyle w:val="Normal"/>
              <w:widowControl w:val="false"/>
              <w:jc w:val="center"/>
              <w:rPr>
                <w:rFonts w:cs="Arial"/>
                <w:szCs w:val="24"/>
              </w:rPr>
            </w:pPr>
            <w:r>
              <w:rPr>
                <w:szCs w:val="24"/>
              </w:rPr>
              <w:t>(наименование организации)</w:t>
            </w:r>
          </w:p>
        </w:tc>
        <w:tc>
          <w:tcPr>
            <w:tcW w:w="5903" w:type="dxa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9636" w:type="dxa"/>
            <w:gridSpan w:val="2"/>
            <w:tcBorders/>
          </w:tcPr>
          <w:p>
            <w:pPr>
              <w:pStyle w:val="Normal"/>
              <w:widowControl w:val="false"/>
              <w:rPr>
                <w:rFonts w:cs="Arial"/>
                <w:szCs w:val="24"/>
              </w:rPr>
            </w:pPr>
            <w:r>
              <w:rPr>
                <w:szCs w:val="24"/>
              </w:rPr>
              <w:t>Утвержден: __ ______________202__ г.</w:t>
            </w:r>
          </w:p>
        </w:tc>
      </w:tr>
    </w:tbl>
    <w:p>
      <w:pPr>
        <w:pStyle w:val="Normal"/>
        <w:widowControl w:val="false"/>
        <w:ind w:firstLine="720"/>
        <w:jc w:val="center"/>
        <w:rPr>
          <w:rFonts w:cs="Arial"/>
          <w:szCs w:val="24"/>
        </w:rPr>
      </w:pPr>
      <w:r>
        <w:rPr>
          <w:rFonts w:cs="Arial"/>
          <w:szCs w:val="24"/>
        </w:rPr>
      </w:r>
    </w:p>
    <w:tbl>
      <w:tblPr>
        <w:tblW w:w="109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215"/>
        <w:gridCol w:w="2664"/>
        <w:gridCol w:w="3098"/>
      </w:tblGrid>
      <w:tr>
        <w:trPr/>
        <w:tc>
          <w:tcPr>
            <w:tcW w:w="5215" w:type="dxa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Сводный сметный расчет сметной стоимостью</w:t>
            </w:r>
          </w:p>
        </w:tc>
        <w:tc>
          <w:tcPr>
            <w:tcW w:w="266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3098" w:type="dxa"/>
            <w:tcBorders/>
          </w:tcPr>
          <w:p>
            <w:pPr>
              <w:pStyle w:val="Normal"/>
              <w:widowControl w:val="false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руб.</w:t>
            </w:r>
          </w:p>
        </w:tc>
      </w:tr>
      <w:tr>
        <w:trPr/>
        <w:tc>
          <w:tcPr>
            <w:tcW w:w="10977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10977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  <w:t>(ссылка на документ об утверждении)</w:t>
            </w:r>
          </w:p>
        </w:tc>
      </w:tr>
      <w:tr>
        <w:trPr/>
        <w:tc>
          <w:tcPr>
            <w:tcW w:w="10977" w:type="dxa"/>
            <w:gridSpan w:val="3"/>
            <w:tcBorders/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  <w:t>СВОДНЫЙ СМЕТНЫЙ РАСЧЕТ</w:t>
            </w:r>
          </w:p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  <w:t>N ССРСС-________</w:t>
            </w:r>
          </w:p>
        </w:tc>
      </w:tr>
      <w:tr>
        <w:trPr>
          <w:trHeight w:val="22" w:hRule="atLeast"/>
        </w:trPr>
        <w:tc>
          <w:tcPr>
            <w:tcW w:w="10977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10977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стройки)</w:t>
            </w:r>
          </w:p>
        </w:tc>
      </w:tr>
      <w:tr>
        <w:trPr/>
        <w:tc>
          <w:tcPr>
            <w:tcW w:w="10977" w:type="dxa"/>
            <w:gridSpan w:val="3"/>
            <w:tcBorders/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Normal"/>
        <w:widowControl w:val="false"/>
        <w:ind w:firstLine="720"/>
        <w:jc w:val="center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15"/>
        <w:gridCol w:w="1143"/>
        <w:gridCol w:w="227"/>
        <w:gridCol w:w="1058"/>
        <w:gridCol w:w="328"/>
        <w:gridCol w:w="1214"/>
        <w:gridCol w:w="338"/>
        <w:gridCol w:w="957"/>
        <w:gridCol w:w="1327"/>
        <w:gridCol w:w="1206"/>
        <w:gridCol w:w="1322"/>
      </w:tblGrid>
      <w:tr>
        <w:trPr>
          <w:trHeight w:val="212" w:hRule="atLeast"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N п/п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Обоснование</w:t>
            </w:r>
          </w:p>
        </w:tc>
        <w:tc>
          <w:tcPr>
            <w:tcW w:w="12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66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Сметная стоимость, руб.</w:t>
            </w:r>
          </w:p>
        </w:tc>
      </w:tr>
      <w:tr>
        <w:trPr>
          <w:trHeight w:val="1114" w:hRule="atLeast"/>
        </w:trPr>
        <w:tc>
          <w:tcPr>
            <w:tcW w:w="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19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монтажных работ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оборудования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прочих затрат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</w:tr>
      <w:tr>
        <w:trPr>
          <w:trHeight w:val="85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>
        <w:trPr>
          <w:trHeight w:val="24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27" w:hRule="atLeast"/>
        </w:trPr>
        <w:tc>
          <w:tcPr>
            <w:tcW w:w="3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  <w:tab w:val="left" w:pos="2091" w:leader="none"/>
              </w:tabs>
              <w:ind w:hanging="425" w:left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>Руководитель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ind w:hanging="141" w:left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проектной организации</w:t>
            </w:r>
          </w:p>
        </w:tc>
        <w:tc>
          <w:tcPr>
            <w:tcW w:w="6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[подпись (инициалы, фамилия)]</w:t>
            </w:r>
          </w:p>
        </w:tc>
      </w:tr>
      <w:tr>
        <w:trPr/>
        <w:tc>
          <w:tcPr>
            <w:tcW w:w="3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инженер проекта</w:t>
            </w:r>
          </w:p>
        </w:tc>
        <w:tc>
          <w:tcPr>
            <w:tcW w:w="6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1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" w:left="-9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отдела</w:t>
            </w:r>
          </w:p>
        </w:tc>
        <w:tc>
          <w:tcPr>
            <w:tcW w:w="4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1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9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(наименование)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[подпись (инициалы, фамилия)]</w:t>
            </w:r>
          </w:p>
        </w:tc>
      </w:tr>
      <w:tr>
        <w:trPr/>
        <w:tc>
          <w:tcPr>
            <w:tcW w:w="1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283"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  <w:tc>
          <w:tcPr>
            <w:tcW w:w="7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[подпись (инициалы, фамилия)]</w:t>
            </w:r>
          </w:p>
        </w:tc>
      </w:tr>
    </w:tbl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rPr>
          <w:rFonts w:cs="Arial"/>
          <w:szCs w:val="24"/>
        </w:rPr>
      </w:pPr>
      <w:r>
        <w:rPr>
          <w:rFonts w:cs="Arial"/>
          <w:szCs w:val="24"/>
        </w:rPr>
      </w:r>
      <w:r>
        <w:br w:type="page"/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>Приложение №1.2</w:t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 xml:space="preserve">к Требованиям к оформлению и составлению </w:t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>сметной документации на выполнение работ по программе</w:t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>ремонтов, реконструкции и техническому перевооружению</w:t>
      </w:r>
    </w:p>
    <w:p>
      <w:pPr>
        <w:pStyle w:val="Normal"/>
        <w:widowControl w:val="false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widowControl w:val="false"/>
        <w:rPr>
          <w:rFonts w:cs="Arial"/>
          <w:szCs w:val="24"/>
        </w:rPr>
      </w:pPr>
      <w:r>
        <w:rPr>
          <w:rFonts w:cs="Arial"/>
          <w:b/>
          <w:sz w:val="22"/>
          <w:szCs w:val="22"/>
        </w:rPr>
        <w:t xml:space="preserve">ОБРАЗЕЦ </w:t>
      </w:r>
      <w:r>
        <w:rPr>
          <w:rFonts w:cs="Arial"/>
          <w:szCs w:val="24"/>
        </w:rPr>
        <w:t xml:space="preserve">                                                                                            </w:t>
      </w:r>
    </w:p>
    <w:p>
      <w:pPr>
        <w:pStyle w:val="Normal"/>
        <w:widowControl w:val="false"/>
        <w:jc w:val="right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widowControl w:val="false"/>
        <w:tabs>
          <w:tab w:val="clear" w:pos="708"/>
          <w:tab w:val="left" w:pos="6804" w:leader="none"/>
        </w:tabs>
        <w:ind w:left="5103"/>
        <w:rPr>
          <w:rFonts w:cs="Arial"/>
          <w:szCs w:val="24"/>
        </w:rPr>
      </w:pPr>
      <w:r>
        <w:rPr>
          <w:rFonts w:cs="Arial"/>
          <w:szCs w:val="24"/>
        </w:rPr>
        <w:t>Приложение №___</w:t>
      </w:r>
    </w:p>
    <w:p>
      <w:pPr>
        <w:pStyle w:val="Normal"/>
        <w:widowControl w:val="false"/>
        <w:tabs>
          <w:tab w:val="clear" w:pos="708"/>
          <w:tab w:val="left" w:pos="6946" w:leader="none"/>
        </w:tabs>
        <w:ind w:left="5103"/>
        <w:rPr>
          <w:rFonts w:cs="Arial"/>
          <w:szCs w:val="24"/>
        </w:rPr>
      </w:pPr>
      <w:r>
        <w:rPr>
          <w:rFonts w:cs="Arial"/>
          <w:szCs w:val="24"/>
        </w:rPr>
        <w:t>дополнительному соглашению от ___ № __</w:t>
      </w:r>
    </w:p>
    <w:p>
      <w:pPr>
        <w:pStyle w:val="Normal"/>
        <w:widowControl w:val="false"/>
        <w:ind w:left="5103"/>
        <w:rPr>
          <w:rFonts w:cs="Arial"/>
          <w:szCs w:val="24"/>
        </w:rPr>
      </w:pPr>
      <w:r>
        <w:rPr>
          <w:rFonts w:cs="Arial"/>
          <w:szCs w:val="24"/>
        </w:rPr>
        <w:t xml:space="preserve">к договору от________№_____ </w:t>
      </w:r>
    </w:p>
    <w:tbl>
      <w:tblPr>
        <w:tblW w:w="5000" w:type="pct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081"/>
        <w:gridCol w:w="8555"/>
      </w:tblGrid>
      <w:tr>
        <w:trPr/>
        <w:tc>
          <w:tcPr>
            <w:tcW w:w="9636" w:type="dxa"/>
            <w:gridSpan w:val="2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Заказчик</w:t>
            </w:r>
          </w:p>
        </w:tc>
      </w:tr>
      <w:tr>
        <w:trPr/>
        <w:tc>
          <w:tcPr>
            <w:tcW w:w="1081" w:type="dxa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855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организации)</w:t>
            </w:r>
          </w:p>
        </w:tc>
      </w:tr>
      <w:tr>
        <w:trPr/>
        <w:tc>
          <w:tcPr>
            <w:tcW w:w="9636" w:type="dxa"/>
            <w:gridSpan w:val="2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Утвержден __ ______________ 20__ г.</w:t>
            </w:r>
          </w:p>
        </w:tc>
      </w:tr>
    </w:tbl>
    <w:p>
      <w:pPr>
        <w:pStyle w:val="Normal"/>
        <w:widowControl w:val="false"/>
        <w:jc w:val="center"/>
        <w:rPr>
          <w:szCs w:val="24"/>
        </w:rPr>
      </w:pPr>
      <w:r>
        <w:rPr>
          <w:szCs w:val="24"/>
        </w:rPr>
      </w:r>
    </w:p>
    <w:tbl>
      <w:tblPr>
        <w:tblW w:w="5000" w:type="pct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573"/>
        <w:gridCol w:w="2343"/>
        <w:gridCol w:w="2721"/>
      </w:tblGrid>
      <w:tr>
        <w:trPr/>
        <w:tc>
          <w:tcPr>
            <w:tcW w:w="4573" w:type="dxa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Сводный сметный расчет сметной стоимостью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721" w:type="dxa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</w:tr>
      <w:tr>
        <w:trPr/>
        <w:tc>
          <w:tcPr>
            <w:tcW w:w="9637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(ссылка на документ об утверждении)</w:t>
            </w:r>
          </w:p>
        </w:tc>
      </w:tr>
      <w:tr>
        <w:trPr/>
        <w:tc>
          <w:tcPr>
            <w:tcW w:w="9637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СВОДНЫЙ СМЕТНЫЙ РАСЧЕТ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N ССРСС-________</w:t>
            </w:r>
          </w:p>
        </w:tc>
      </w:tr>
      <w:tr>
        <w:trPr/>
        <w:tc>
          <w:tcPr>
            <w:tcW w:w="9637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стройки)</w:t>
            </w:r>
          </w:p>
        </w:tc>
      </w:tr>
      <w:tr>
        <w:trPr/>
        <w:tc>
          <w:tcPr>
            <w:tcW w:w="9637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Normal"/>
        <w:widowControl w:val="false"/>
        <w:jc w:val="center"/>
        <w:rPr>
          <w:szCs w:val="24"/>
        </w:rPr>
      </w:pPr>
      <w:r>
        <w:rPr>
          <w:szCs w:val="24"/>
        </w:rPr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96"/>
        <w:gridCol w:w="1147"/>
        <w:gridCol w:w="299"/>
        <w:gridCol w:w="1692"/>
        <w:gridCol w:w="57"/>
        <w:gridCol w:w="1544"/>
        <w:gridCol w:w="12"/>
        <w:gridCol w:w="1007"/>
        <w:gridCol w:w="1181"/>
        <w:gridCol w:w="741"/>
        <w:gridCol w:w="1459"/>
      </w:tblGrid>
      <w:tr>
        <w:trPr>
          <w:trHeight w:val="311" w:hRule="atLeast"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Nп/п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Обоснование</w:t>
            </w:r>
          </w:p>
        </w:tc>
        <w:tc>
          <w:tcPr>
            <w:tcW w:w="20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5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Сметная стоимость, руб.</w:t>
            </w:r>
          </w:p>
        </w:tc>
      </w:tr>
      <w:tr>
        <w:trPr>
          <w:trHeight w:val="1294" w:hRule="atLeast"/>
        </w:trPr>
        <w:tc>
          <w:tcPr>
            <w:tcW w:w="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монтажных работ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оборудования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прочих затрат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</w:tr>
      <w:tr>
        <w:trPr>
          <w:trHeight w:val="13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>
        <w:trPr/>
        <w:tc>
          <w:tcPr>
            <w:tcW w:w="96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Сметы основного договора</w:t>
            </w:r>
          </w:p>
        </w:tc>
      </w:tr>
      <w:tr>
        <w:trPr>
          <w:trHeight w:val="287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39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сметам основного договора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96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Включить дополнительным соглашением № 1</w:t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включено дополнительным соглашением № 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1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Исключить дополнительным соглашением № 2</w:t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исключено дополнительным соглашением № 2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главе №: __________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главам №№: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ССР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Справочно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Сумма основного договора, без НДС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Сумма изменения</w:t>
              <w:br/>
              <w:t>(увеличения/уменьшения) стоимости основного договора на основании ДС № 1, без НДС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Сумма изменения</w:t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634" w:type="dxa"/>
            <w:gridSpan w:val="4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091" w:leader="none"/>
              </w:tabs>
              <w:rPr>
                <w:szCs w:val="24"/>
              </w:rPr>
            </w:pPr>
            <w:r>
              <w:rPr>
                <w:szCs w:val="24"/>
              </w:rPr>
              <w:t>Руководитель проектной организации</w:t>
            </w:r>
          </w:p>
        </w:tc>
        <w:tc>
          <w:tcPr>
            <w:tcW w:w="6001" w:type="dxa"/>
            <w:gridSpan w:val="7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3634" w:type="dxa"/>
            <w:gridSpan w:val="4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6001" w:type="dxa"/>
            <w:gridSpan w:val="7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[подпись (инициалы, фамилия)]</w:t>
            </w:r>
          </w:p>
        </w:tc>
      </w:tr>
      <w:tr>
        <w:trPr/>
        <w:tc>
          <w:tcPr>
            <w:tcW w:w="3634" w:type="dxa"/>
            <w:gridSpan w:val="4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Главный инженер проекта</w:t>
            </w:r>
          </w:p>
        </w:tc>
        <w:tc>
          <w:tcPr>
            <w:tcW w:w="6001" w:type="dxa"/>
            <w:gridSpan w:val="7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3634" w:type="dxa"/>
            <w:gridSpan w:val="4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6001" w:type="dxa"/>
            <w:gridSpan w:val="7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[подпись (инициалы, фамилия)]</w:t>
            </w:r>
          </w:p>
        </w:tc>
      </w:tr>
      <w:tr>
        <w:trPr/>
        <w:tc>
          <w:tcPr>
            <w:tcW w:w="1942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</w:t>
            </w:r>
          </w:p>
        </w:tc>
        <w:tc>
          <w:tcPr>
            <w:tcW w:w="1749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556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отдела</w:t>
            </w:r>
          </w:p>
        </w:tc>
        <w:tc>
          <w:tcPr>
            <w:tcW w:w="4388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1942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749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(наименование)</w:t>
            </w:r>
          </w:p>
        </w:tc>
        <w:tc>
          <w:tcPr>
            <w:tcW w:w="1556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4388" w:type="dxa"/>
            <w:gridSpan w:val="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[подпись (инициалы, фамилия)]</w:t>
            </w:r>
          </w:p>
        </w:tc>
      </w:tr>
      <w:tr>
        <w:trPr/>
        <w:tc>
          <w:tcPr>
            <w:tcW w:w="1942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Заказчик</w:t>
            </w:r>
          </w:p>
        </w:tc>
        <w:tc>
          <w:tcPr>
            <w:tcW w:w="7693" w:type="dxa"/>
            <w:gridSpan w:val="8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1942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7693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[должность, подпись (инициалы, фамилия)]</w:t>
            </w:r>
          </w:p>
        </w:tc>
      </w:tr>
    </w:tbl>
    <w:p>
      <w:pPr>
        <w:sectPr>
          <w:headerReference w:type="default" r:id="rId13"/>
          <w:headerReference w:type="first" r:id="rId14"/>
          <w:footerReference w:type="default" r:id="rId15"/>
          <w:footerReference w:type="first" r:id="rId16"/>
          <w:footnotePr>
            <w:numFmt w:val="decimal"/>
            <w:numRestart w:val="eachPage"/>
          </w:footnotePr>
          <w:type w:val="nextPage"/>
          <w:pgSz w:w="11906" w:h="16838"/>
          <w:pgMar w:left="1418" w:right="851" w:gutter="0" w:header="709" w:top="1134" w:footer="709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>Приложение №1.3</w:t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 xml:space="preserve">к Требованиям к оформлению и составлению </w:t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Normal"/>
        <w:widowControl w:val="false"/>
        <w:ind w:firstLine="720" w:left="5811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widowControl w:val="false"/>
        <w:ind w:firstLine="720" w:left="57"/>
        <w:rPr>
          <w:rFonts w:cs="Arial"/>
          <w:szCs w:val="24"/>
        </w:rPr>
      </w:pPr>
      <w:r>
        <w:rPr>
          <w:rFonts w:cs="Arial"/>
          <w:b/>
          <w:sz w:val="22"/>
          <w:szCs w:val="22"/>
        </w:rPr>
        <w:t xml:space="preserve">ОБРАЗЕЦ </w:t>
      </w:r>
      <w:r>
        <w:rPr>
          <w:rFonts w:cs="Arial"/>
          <w:szCs w:val="24"/>
        </w:rPr>
        <w:t xml:space="preserve">                                                                                            </w:t>
      </w:r>
    </w:p>
    <w:p>
      <w:pPr>
        <w:pStyle w:val="Normal"/>
        <w:widowControl w:val="false"/>
        <w:ind w:firstLine="720" w:left="5811"/>
        <w:jc w:val="right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widowControl w:val="false"/>
        <w:ind w:firstLine="720" w:left="5811"/>
        <w:jc w:val="right"/>
        <w:rPr>
          <w:rFonts w:cs="Arial"/>
          <w:szCs w:val="24"/>
        </w:rPr>
      </w:pPr>
      <w:r>
        <w:rPr>
          <w:rFonts w:cs="Arial"/>
          <w:szCs w:val="24"/>
        </w:rPr>
        <w:t>Приложение №___</w:t>
      </w:r>
    </w:p>
    <w:p>
      <w:pPr>
        <w:pStyle w:val="Normal"/>
        <w:widowControl w:val="false"/>
        <w:ind w:firstLine="720" w:left="5811"/>
        <w:jc w:val="right"/>
        <w:rPr>
          <w:rFonts w:cs="Arial"/>
          <w:szCs w:val="24"/>
        </w:rPr>
      </w:pPr>
      <w:r>
        <w:rPr>
          <w:rFonts w:cs="Arial"/>
          <w:szCs w:val="24"/>
        </w:rPr>
        <w:t>к дополнительному соглашению от ___ № ___</w:t>
      </w:r>
    </w:p>
    <w:p>
      <w:pPr>
        <w:pStyle w:val="Normal"/>
        <w:widowControl w:val="false"/>
        <w:ind w:firstLine="720" w:left="5811"/>
        <w:jc w:val="center"/>
        <w:rPr>
          <w:rFonts w:cs="Arial"/>
          <w:szCs w:val="24"/>
        </w:rPr>
      </w:pPr>
      <w:r>
        <w:rPr>
          <w:rFonts w:cs="Arial"/>
          <w:szCs w:val="24"/>
        </w:rPr>
        <w:t xml:space="preserve">                                   </w:t>
      </w:r>
      <w:r>
        <w:rPr>
          <w:rFonts w:cs="Arial"/>
          <w:szCs w:val="24"/>
        </w:rPr>
        <w:t xml:space="preserve">к договору от_______№_____ </w:t>
      </w:r>
    </w:p>
    <w:p>
      <w:pPr>
        <w:pStyle w:val="Normal"/>
        <w:widowControl w:val="false"/>
        <w:ind w:firstLine="720"/>
        <w:jc w:val="center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widowControl w:val="false"/>
        <w:spacing w:before="0" w:after="2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Сопоставительная ведомость изменения сметной стоимости</w:t>
      </w:r>
    </w:p>
    <w:p>
      <w:pPr>
        <w:pStyle w:val="Normal"/>
        <w:widowControl w:val="false"/>
        <w:spacing w:before="0" w:after="240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389"/>
        <w:gridCol w:w="779"/>
        <w:gridCol w:w="780"/>
        <w:gridCol w:w="1169"/>
        <w:gridCol w:w="1169"/>
        <w:gridCol w:w="1561"/>
        <w:gridCol w:w="1559"/>
        <w:gridCol w:w="1947"/>
      </w:tblGrid>
      <w:tr>
        <w:trPr>
          <w:trHeight w:val="433" w:hRule="atLeast"/>
        </w:trPr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п/п</w:t>
            </w:r>
          </w:p>
        </w:tc>
        <w:tc>
          <w:tcPr>
            <w:tcW w:w="2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1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Обоснование изменений сметной стоимости</w:t>
            </w:r>
          </w:p>
        </w:tc>
      </w:tr>
      <w:tr>
        <w:trPr/>
        <w:tc>
          <w:tcPr>
            <w:tcW w:w="3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шифр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позиции сметного расчета (сметы) в ССР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подлежащая включению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подлежащая исключению</w:t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</w:r>
          </w:p>
        </w:tc>
        <w:tc>
          <w:tcPr>
            <w:tcW w:w="19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spacing w:before="0" w:after="24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240"/>
        <w:ind w:firstLine="720" w:left="357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>Приложение №1.4</w:t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 xml:space="preserve">к Требованиям к оформлению и составлению </w:t>
      </w:r>
    </w:p>
    <w:p>
      <w:pPr>
        <w:pStyle w:val="Normal"/>
        <w:widowControl w:val="false"/>
        <w:ind w:left="5811"/>
        <w:rPr>
          <w:rFonts w:cs="Arial"/>
          <w:szCs w:val="24"/>
        </w:rPr>
      </w:pPr>
      <w:r>
        <w:rPr>
          <w:rFonts w:cs="Arial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Normal"/>
        <w:widowControl w:val="false"/>
        <w:ind w:firstLine="720" w:left="5811"/>
        <w:jc w:val="right"/>
        <w:rPr>
          <w:rFonts w:cs="Arial"/>
          <w:szCs w:val="24"/>
        </w:rPr>
      </w:pPr>
      <w:r>
        <w:rPr>
          <w:rFonts w:cs="Arial"/>
          <w:szCs w:val="24"/>
        </w:rPr>
      </w:r>
    </w:p>
    <w:p>
      <w:pPr>
        <w:pStyle w:val="Normal"/>
        <w:widowControl w:val="false"/>
        <w:ind w:firstLine="720" w:left="5811"/>
        <w:jc w:val="right"/>
        <w:rPr>
          <w:rFonts w:cs="Arial"/>
          <w:szCs w:val="24"/>
        </w:rPr>
      </w:pPr>
      <w:r>
        <w:rPr>
          <w:rFonts w:cs="Arial"/>
          <w:szCs w:val="24"/>
        </w:rPr>
        <w:t>Приложение №___</w:t>
      </w:r>
    </w:p>
    <w:p>
      <w:pPr>
        <w:pStyle w:val="Normal"/>
        <w:widowControl w:val="false"/>
        <w:ind w:firstLine="720" w:left="5811"/>
        <w:jc w:val="right"/>
        <w:rPr>
          <w:rFonts w:cs="Arial"/>
          <w:szCs w:val="24"/>
        </w:rPr>
      </w:pPr>
      <w:r>
        <w:rPr>
          <w:rFonts w:cs="Arial"/>
          <w:szCs w:val="24"/>
        </w:rPr>
        <w:t>к дополнительному соглашению от ___ № ___</w:t>
      </w:r>
    </w:p>
    <w:p>
      <w:pPr>
        <w:pStyle w:val="Normal"/>
        <w:widowControl w:val="false"/>
        <w:ind w:firstLine="720" w:left="5811"/>
        <w:jc w:val="center"/>
        <w:rPr>
          <w:rFonts w:cs="Arial"/>
          <w:szCs w:val="24"/>
        </w:rPr>
      </w:pPr>
      <w:r>
        <w:rPr>
          <w:rFonts w:cs="Arial"/>
          <w:szCs w:val="24"/>
        </w:rPr>
        <w:t xml:space="preserve">к договору от_______№_____ </w:t>
      </w:r>
    </w:p>
    <w:p>
      <w:pPr>
        <w:pStyle w:val="Normal"/>
        <w:spacing w:before="0" w:after="240"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240"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240"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240"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240"/>
        <w:rPr>
          <w:szCs w:val="24"/>
        </w:rPr>
      </w:pPr>
      <w:r>
        <w:rPr>
          <w:szCs w:val="24"/>
        </w:rPr>
      </w:r>
    </w:p>
    <w:p>
      <w:pPr>
        <w:pStyle w:val="Normal"/>
        <w:widowControl w:val="false"/>
        <w:ind w:firstLine="720"/>
        <w:jc w:val="center"/>
        <w:rPr>
          <w:b/>
          <w:szCs w:val="24"/>
        </w:rPr>
      </w:pPr>
      <w:r>
        <w:rPr>
          <w:b/>
          <w:szCs w:val="24"/>
        </w:rPr>
        <w:t>Сопоставительная ведомость объемов работ</w:t>
      </w:r>
    </w:p>
    <w:p>
      <w:pPr>
        <w:pStyle w:val="Normal"/>
        <w:widowControl w:val="false"/>
        <w:ind w:firstLine="720"/>
        <w:rPr>
          <w:rFonts w:ascii="Arial" w:hAnsi="Arial" w:cs="Arial"/>
          <w:b/>
          <w:szCs w:val="24"/>
        </w:rPr>
      </w:pPr>
      <w:r>
        <w:rPr>
          <w:rFonts w:cs="Arial" w:ascii="Arial" w:hAnsi="Arial"/>
          <w:b/>
          <w:szCs w:val="24"/>
        </w:rPr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352"/>
        <w:gridCol w:w="423"/>
        <w:gridCol w:w="987"/>
        <w:gridCol w:w="799"/>
        <w:gridCol w:w="797"/>
        <w:gridCol w:w="1043"/>
        <w:gridCol w:w="389"/>
        <w:gridCol w:w="798"/>
        <w:gridCol w:w="798"/>
        <w:gridCol w:w="424"/>
        <w:gridCol w:w="733"/>
        <w:gridCol w:w="956"/>
        <w:gridCol w:w="854"/>
      </w:tblGrid>
      <w:tr>
        <w:trPr>
          <w:trHeight w:val="622" w:hRule="atLeast"/>
        </w:trPr>
        <w:tc>
          <w:tcPr>
            <w:tcW w:w="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№№ </w:t>
            </w:r>
            <w:r>
              <w:rPr>
                <w:sz w:val="18"/>
                <w:szCs w:val="18"/>
              </w:rPr>
              <w:t>пп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изм.</w:t>
            </w:r>
          </w:p>
        </w:tc>
        <w:tc>
          <w:tcPr>
            <w:tcW w:w="15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1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объемов работ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Обоснование изменений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16" w:left="136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Примечание</w:t>
            </w:r>
          </w:p>
        </w:tc>
      </w:tr>
      <w:tr>
        <w:trPr>
          <w:trHeight w:val="297" w:hRule="atLeast"/>
        </w:trPr>
        <w:tc>
          <w:tcPr>
            <w:tcW w:w="3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 w:left="-79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шифр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позиции в сметном расчете</w:t>
            </w:r>
          </w:p>
        </w:tc>
        <w:tc>
          <w:tcPr>
            <w:tcW w:w="1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9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5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518" w:hRule="atLeast"/>
        </w:trPr>
        <w:tc>
          <w:tcPr>
            <w:tcW w:w="3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изменений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учетом изменений</w:t>
            </w:r>
          </w:p>
        </w:tc>
        <w:tc>
          <w:tcPr>
            <w:tcW w:w="10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изменений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учетом изменений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 w:left="-8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</w:t>
            </w:r>
          </w:p>
          <w:p>
            <w:pPr>
              <w:pStyle w:val="Normal"/>
              <w:widowControl w:val="false"/>
              <w:ind w:firstLine="720" w:left="-8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чение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</w:t>
            </w:r>
          </w:p>
        </w:tc>
        <w:tc>
          <w:tcPr>
            <w:tcW w:w="9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32" w:hRule="atLeast"/>
        </w:trPr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sectPr>
          <w:headerReference w:type="default" r:id="rId17"/>
          <w:headerReference w:type="first" r:id="rId18"/>
          <w:footerReference w:type="default" r:id="rId19"/>
          <w:footerReference w:type="first" r:id="rId20"/>
          <w:footnotePr>
            <w:numFmt w:val="decimal"/>
            <w:numRestart w:val="eachPage"/>
          </w:footnotePr>
          <w:type w:val="nextPage"/>
          <w:pgSz w:w="11906" w:h="16838"/>
          <w:pgMar w:left="1418" w:right="1134" w:gutter="0" w:header="709" w:top="1134" w:footer="709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widowControl w:val="false"/>
        <w:spacing w:before="0" w:after="240"/>
        <w:ind w:firstLine="720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widowControl w:val="false"/>
        <w:ind w:left="10490"/>
        <w:rPr>
          <w:rFonts w:cs="Arial"/>
          <w:szCs w:val="24"/>
        </w:rPr>
      </w:pPr>
      <w:r>
        <w:rPr>
          <w:rFonts w:cs="Arial"/>
          <w:szCs w:val="24"/>
        </w:rPr>
        <w:t>Приложение №1.5</w:t>
      </w:r>
    </w:p>
    <w:p>
      <w:pPr>
        <w:pStyle w:val="Normal"/>
        <w:widowControl w:val="false"/>
        <w:ind w:left="10490"/>
        <w:rPr>
          <w:rFonts w:cs="Arial"/>
          <w:szCs w:val="24"/>
        </w:rPr>
      </w:pPr>
      <w:r>
        <w:rPr>
          <w:rFonts w:cs="Arial"/>
          <w:szCs w:val="24"/>
        </w:rPr>
        <w:t xml:space="preserve">к Требованиям к оформлению и составлению </w:t>
      </w:r>
    </w:p>
    <w:p>
      <w:pPr>
        <w:pStyle w:val="Normal"/>
        <w:widowControl w:val="false"/>
        <w:ind w:left="10490"/>
        <w:rPr>
          <w:rFonts w:cs="Arial"/>
          <w:szCs w:val="24"/>
        </w:rPr>
      </w:pPr>
      <w:r>
        <w:rPr>
          <w:rFonts w:cs="Arial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Normal"/>
        <w:spacing w:before="0" w:after="24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ОБРАЗЕЦ</w:t>
      </w:r>
    </w:p>
    <w:p>
      <w:pPr>
        <w:pStyle w:val="Normal"/>
        <w:spacing w:before="0" w:after="2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W w:w="50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7"/>
        <w:gridCol w:w="1228"/>
        <w:gridCol w:w="1069"/>
        <w:gridCol w:w="1039"/>
        <w:gridCol w:w="1387"/>
        <w:gridCol w:w="1145"/>
        <w:gridCol w:w="999"/>
        <w:gridCol w:w="1030"/>
        <w:gridCol w:w="1193"/>
        <w:gridCol w:w="999"/>
        <w:gridCol w:w="1031"/>
        <w:gridCol w:w="1192"/>
        <w:gridCol w:w="1067"/>
        <w:gridCol w:w="1387"/>
      </w:tblGrid>
      <w:tr>
        <w:trPr>
          <w:trHeight w:val="285" w:hRule="atLeast"/>
        </w:trPr>
        <w:tc>
          <w:tcPr>
            <w:tcW w:w="3364" w:type="dxa"/>
            <w:gridSpan w:val="3"/>
            <w:tcBorders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1039" w:type="dxa"/>
            <w:tcBorders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677" w:type="dxa"/>
            <w:gridSpan w:val="4"/>
            <w:tcBorders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>
        <w:trPr>
          <w:trHeight w:val="225" w:hRule="exact"/>
        </w:trPr>
        <w:tc>
          <w:tcPr>
            <w:tcW w:w="4403" w:type="dxa"/>
            <w:gridSpan w:val="4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76" w:type="dxa"/>
            <w:gridSpan w:val="5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45" w:hRule="atLeast"/>
        </w:trPr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6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330" w:hRule="atLeast"/>
        </w:trPr>
        <w:tc>
          <w:tcPr>
            <w:tcW w:w="2295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_____________2021 г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9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________2021 г</w:t>
            </w:r>
          </w:p>
        </w:tc>
      </w:tr>
      <w:tr>
        <w:trPr>
          <w:trHeight w:val="225" w:hRule="atLeast"/>
        </w:trPr>
        <w:tc>
          <w:tcPr>
            <w:tcW w:w="3364" w:type="dxa"/>
            <w:gridSpan w:val="3"/>
            <w:tcBorders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редакции сметных нормативов</w:t>
            </w:r>
          </w:p>
        </w:tc>
        <w:tc>
          <w:tcPr>
            <w:tcW w:w="12469" w:type="dxa"/>
            <w:gridSpan w:val="11"/>
            <w:tcBorders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300" w:hRule="atLeast"/>
        </w:trPr>
        <w:tc>
          <w:tcPr>
            <w:tcW w:w="3364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2426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ПК "ГРАНД-Смета 2021"</w:t>
            </w:r>
          </w:p>
        </w:tc>
        <w:tc>
          <w:tcPr>
            <w:tcW w:w="114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0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9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9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6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165" w:hRule="exac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228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5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>
        <w:trPr>
          <w:trHeight w:val="225" w:hRule="exact"/>
        </w:trPr>
        <w:tc>
          <w:tcPr>
            <w:tcW w:w="15833" w:type="dxa"/>
            <w:gridSpan w:val="14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>
        <w:trPr>
          <w:trHeight w:val="480" w:hRule="atLeast"/>
        </w:trPr>
        <w:tc>
          <w:tcPr>
            <w:tcW w:w="15833" w:type="dxa"/>
            <w:gridSpan w:val="14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Cs w:val="24"/>
              </w:rPr>
              <w:t>ЛОКАЛЬНЫЙ СМЕТНЫЙ РАСЧЕТ (СМЕТА) №</w:t>
            </w:r>
          </w:p>
        </w:tc>
      </w:tr>
      <w:tr>
        <w:trPr>
          <w:trHeight w:val="165" w:hRule="exac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Cs w:val="24"/>
              </w:rPr>
            </w:r>
          </w:p>
        </w:tc>
        <w:tc>
          <w:tcPr>
            <w:tcW w:w="1228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270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конструктивного решения)</w:t>
            </w:r>
          </w:p>
        </w:tc>
      </w:tr>
      <w:tr>
        <w:trPr>
          <w:trHeight w:val="300" w:hRule="atLeas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Составлен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базисно-индексным</w:t>
            </w:r>
          </w:p>
        </w:tc>
        <w:tc>
          <w:tcPr>
            <w:tcW w:w="106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103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Основание</w:t>
            </w:r>
          </w:p>
        </w:tc>
        <w:tc>
          <w:tcPr>
            <w:tcW w:w="5868" w:type="dxa"/>
            <w:gridSpan w:val="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68" w:type="dxa"/>
            <w:gridSpan w:val="5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3364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Составлен(а) в текущем (базисном) уровне цен</w:t>
            </w: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соответствующих периоду выполнения работ по договору</w:t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2295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Сметная стоимость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  <w:vAlign w:val="center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28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06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</w:tcPr>
          <w:p>
            <w:pPr>
              <w:pStyle w:val="Normal"/>
              <w:widowControl w:val="false"/>
              <w:spacing w:before="0" w:after="2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28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строительных работ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4221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</w:tr>
      <w:tr>
        <w:trPr>
          <w:trHeight w:val="255" w:hRule="atLeas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228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монтажных работ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4221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228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оборудования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4221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228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прочих затрат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252" w:type="dxa"/>
            <w:gridSpan w:val="5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Расчетный измеритель конструктивного решения</w:t>
            </w:r>
          </w:p>
        </w:tc>
        <w:tc>
          <w:tcPr>
            <w:tcW w:w="225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195" w:hRule="exact"/>
        </w:trPr>
        <w:tc>
          <w:tcPr>
            <w:tcW w:w="1067" w:type="dxa"/>
            <w:tcBorders/>
            <w:vAlign w:val="center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28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5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0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3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1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92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6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/>
            <w:vAlign w:val="bottom"/>
          </w:tcPr>
          <w:p>
            <w:pPr>
              <w:pStyle w:val="Normal"/>
              <w:widowControl w:val="false"/>
              <w:spacing w:before="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20" w:hRule="atLeast"/>
        </w:trPr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№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34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32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32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Сметная стоимость в базисном уровне цен (в текущем уровне цен (гр. 8) для ресурсов, отсутствующих в СНБ), руб.</w:t>
            </w: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Индексы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Сметная стоимость в текущем уровне цен, руб.</w:t>
            </w:r>
          </w:p>
        </w:tc>
      </w:tr>
      <w:tr>
        <w:trPr>
          <w:trHeight w:val="735" w:hRule="atLeast"/>
        </w:trPr>
        <w:tc>
          <w:tcPr>
            <w:tcW w:w="1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2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49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22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22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900" w:hRule="atLeast"/>
        </w:trPr>
        <w:tc>
          <w:tcPr>
            <w:tcW w:w="1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2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49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1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1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225" w:hRule="atLeast"/>
        </w:trPr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</w:tr>
    </w:tbl>
    <w:p>
      <w:pPr>
        <w:sectPr>
          <w:headerReference w:type="default" r:id="rId21"/>
          <w:headerReference w:type="first" r:id="rId22"/>
          <w:footerReference w:type="default" r:id="rId23"/>
          <w:footerReference w:type="first" r:id="rId24"/>
          <w:footnotePr>
            <w:numFmt w:val="decimal"/>
            <w:numRestart w:val="eachPage"/>
          </w:footnotePr>
          <w:type w:val="nextPage"/>
          <w:pgSz w:orient="landscape" w:w="16838" w:h="11906"/>
          <w:pgMar w:left="720" w:right="284" w:gutter="0" w:header="709" w:top="766" w:footer="709" w:bottom="92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right"/>
        <w:rPr>
          <w:rFonts w:eastAsia="Calibri"/>
          <w:sz w:val="20"/>
        </w:rPr>
      </w:pPr>
      <w:r>
        <w:rPr>
          <w:sz w:val="20"/>
        </w:rPr>
        <w:t>Приложение № 3</w:t>
      </w:r>
    </w:p>
    <w:p>
      <w:pPr>
        <w:pStyle w:val="Normal"/>
        <w:jc w:val="right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</w:t>
      </w:r>
    </w:p>
    <w:p>
      <w:pPr>
        <w:pStyle w:val="Normal"/>
        <w:shd w:val="clear" w:color="auto" w:fill="FFFFFF"/>
        <w:rPr>
          <w:b/>
          <w:szCs w:val="24"/>
        </w:rPr>
      </w:pPr>
      <w:r>
        <w:rPr>
          <w:b/>
          <w:szCs w:val="24"/>
        </w:rPr>
        <w:t>Образец № 3п</w:t>
      </w:r>
    </w:p>
    <w:tbl>
      <w:tblPr>
        <w:tblW w:w="99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89"/>
      </w:tblGrid>
      <w:tr>
        <w:trPr/>
        <w:tc>
          <w:tcPr>
            <w:tcW w:w="9989" w:type="dxa"/>
            <w:tcBorders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 </w:t>
            </w:r>
            <w:r>
              <w:rPr>
                <w:sz w:val="20"/>
                <w:szCs w:val="20"/>
              </w:rPr>
              <w:t>Приложение №_____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 договору от ______№_______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(дополнительному соглашению)</w:t>
            </w:r>
          </w:p>
          <w:tbl>
            <w:tblPr>
              <w:tblW w:w="956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3907"/>
              <w:gridCol w:w="5656"/>
            </w:tblGrid>
            <w:tr>
              <w:trPr>
                <w:trHeight w:val="446" w:hRule="atLeast"/>
              </w:trPr>
              <w:tc>
                <w:tcPr>
                  <w:tcW w:w="3907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________________(Подрядчик)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 Ф.И.О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5656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rPr>
                      <w:bCs/>
                      <w:szCs w:val="24"/>
                    </w:rPr>
                  </w:pPr>
                  <w:r>
                    <w:rPr>
                      <w:bCs/>
                      <w:szCs w:val="24"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_________________Ф.И.О.</w:t>
                  </w:r>
                </w:p>
                <w:p>
                  <w:pPr>
                    <w:pStyle w:val="Normal"/>
                    <w:widowControl w:val="false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Смета № </w:t>
              <w:br/>
              <w:t>на шеф - монтажные работы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Наименование предприятия, здания, сооружения, вида шеф-монтажных работ_____________________________________________________________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Наименование монтажной организации 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Наименование организации заказчика 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b/>
                <w:szCs w:val="24"/>
              </w:rPr>
              <w:t>1. Расчет заработной платы</w:t>
            </w:r>
            <w:r>
              <w:rPr>
                <w:szCs w:val="24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9649" w:type="dxa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555"/>
              <w:gridCol w:w="2194"/>
              <w:gridCol w:w="1212"/>
              <w:gridCol w:w="1172"/>
              <w:gridCol w:w="1400"/>
              <w:gridCol w:w="1393"/>
              <w:gridCol w:w="1722"/>
            </w:tblGrid>
            <w:tr>
              <w:trPr>
                <w:tblHeader w:val="true"/>
              </w:trPr>
              <w:tc>
                <w:tcPr>
                  <w:tcW w:w="55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№ </w:t>
                  </w:r>
                  <w:r>
                    <w:rPr>
                      <w:szCs w:val="24"/>
                    </w:rPr>
                    <w:t>п</w:t>
                  </w:r>
                  <w:r>
                    <w:rPr>
                      <w:szCs w:val="24"/>
                      <w:lang w:val="en-US"/>
                    </w:rPr>
                    <w:t>/</w:t>
                  </w:r>
                  <w:r>
                    <w:rPr>
                      <w:szCs w:val="24"/>
                    </w:rPr>
                    <w:t>п.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2384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Исполнители</w:t>
                  </w:r>
                </w:p>
              </w:tc>
              <w:tc>
                <w:tcPr>
                  <w:tcW w:w="140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139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за 1 день</w:t>
                  </w:r>
                </w:p>
              </w:tc>
              <w:tc>
                <w:tcPr>
                  <w:tcW w:w="1722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555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194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21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количество</w:t>
                  </w:r>
                </w:p>
              </w:tc>
              <w:tc>
                <w:tcPr>
                  <w:tcW w:w="117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должность</w:t>
                  </w:r>
                </w:p>
              </w:tc>
              <w:tc>
                <w:tcPr>
                  <w:tcW w:w="1400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93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722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2194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21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17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40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13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6</w:t>
                  </w:r>
                </w:p>
              </w:tc>
              <w:tc>
                <w:tcPr>
                  <w:tcW w:w="172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7</w:t>
                  </w:r>
                </w:p>
              </w:tc>
            </w:tr>
            <w:tr>
              <w:trPr/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19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21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17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40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93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72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5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19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21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17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40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93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72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Итого заработной платы, в руб. 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2.1 Накладные расходы, %__________________________________________________________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2.2 Себестоимость работ 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2.3 Уровень рентабельности, % 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Итого </w:t>
            </w:r>
            <w:r>
              <w:rPr>
                <w:szCs w:val="24"/>
              </w:rPr>
              <w:t>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3. Командировочные расходы (по расчету)_________________________________________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b/>
                <w:szCs w:val="24"/>
              </w:rPr>
              <w:t>Всего (руб.)</w:t>
            </w:r>
            <w:r>
              <w:rPr>
                <w:szCs w:val="24"/>
              </w:rPr>
              <w:t xml:space="preserve"> 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Составил:________/должность,организация/_______/подпись/___________/расшифровка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Normal"/>
        <w:spacing w:before="0" w:after="240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2.1</w:t>
      </w:r>
    </w:p>
    <w:p>
      <w:pPr>
        <w:pStyle w:val="Normal"/>
        <w:spacing w:before="0" w:after="240"/>
        <w:ind w:left="5811"/>
        <w:jc w:val="right"/>
        <w:rPr>
          <w:sz w:val="20"/>
          <w:szCs w:val="24"/>
        </w:rPr>
      </w:pPr>
      <w:r>
        <w:rPr>
          <w:sz w:val="20"/>
          <w:szCs w:val="24"/>
        </w:rPr>
        <w:t>к Требованиям к оформлению и</w:t>
      </w:r>
    </w:p>
    <w:p>
      <w:pPr>
        <w:pStyle w:val="Normal"/>
        <w:spacing w:before="0" w:after="240"/>
        <w:ind w:firstLine="857" w:left="5811"/>
        <w:jc w:val="right"/>
        <w:rPr>
          <w:color w:val="000000"/>
          <w:sz w:val="20"/>
          <w:szCs w:val="24"/>
        </w:rPr>
      </w:pPr>
      <w:r>
        <w:rPr>
          <w:sz w:val="20"/>
          <w:szCs w:val="24"/>
        </w:rPr>
        <w:t xml:space="preserve">составлению сметной документации </w:t>
      </w:r>
      <w:r>
        <w:rPr>
          <w:color w:val="000000"/>
          <w:sz w:val="20"/>
          <w:szCs w:val="24"/>
        </w:rPr>
        <w:t>на выполнение строительно-монтажных работ по программе ремонтов, реконструкции и техническому перевооружению</w:t>
      </w:r>
    </w:p>
    <w:p>
      <w:pPr>
        <w:pStyle w:val="Normal"/>
        <w:spacing w:before="0" w:after="240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240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2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ПОЯСНИТЕЛЬНАЯ ЗАПИСКА </w:t>
      </w:r>
    </w:p>
    <w:p>
      <w:pPr>
        <w:pStyle w:val="Normal"/>
        <w:spacing w:before="0" w:after="2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заполнению формы №3п</w:t>
      </w:r>
    </w:p>
    <w:p>
      <w:pPr>
        <w:pStyle w:val="Normal"/>
        <w:spacing w:before="0" w:after="2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при составлении смет на шеф-монтажные, шеф-наладочные работы </w:t>
      </w:r>
    </w:p>
    <w:p>
      <w:pPr>
        <w:pStyle w:val="Normal"/>
        <w:tabs>
          <w:tab w:val="clear" w:pos="708"/>
          <w:tab w:val="left" w:pos="1080" w:leader="none"/>
        </w:tabs>
        <w:spacing w:before="0" w:after="240"/>
        <w:ind w:firstLine="54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993" w:leader="none"/>
        </w:tabs>
        <w:spacing w:before="0" w:after="240"/>
        <w:ind w:firstLine="709" w:left="0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 w:left="0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 w:left="0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Форма сметы для определения затрат по себестоимости и уровню рентабельности (форма №3п) приведена в образце 3П Приложения 2.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 w:left="0"/>
        <w:contextualSpacing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Результаты вычислений и итоговые данные по разделам расчета </w:t>
      </w:r>
      <w:r>
        <w:rPr>
          <w:sz w:val="22"/>
          <w:szCs w:val="22"/>
          <w:u w:val="single"/>
        </w:rPr>
        <w:t>округлять до целых рублей.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 w:left="0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Особенности заполнения формы 3п.</w:t>
      </w:r>
    </w:p>
    <w:p>
      <w:pPr>
        <w:pStyle w:val="Normal"/>
        <w:tabs>
          <w:tab w:val="clear" w:pos="708"/>
          <w:tab w:val="left" w:pos="993" w:leader="none"/>
        </w:tabs>
        <w:spacing w:before="0" w:after="24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Раздел 1. Расчет заработной платы: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1 приводится нумерация выполняемых работ;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2 приводится наименование выполняемых работ;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3 указывается количество привлекаемых работников;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графе 7 указывается заработная плата в рублях (</w:t>
      </w:r>
      <w:r>
        <w:rPr>
          <w:rFonts w:eastAsia="Calibri"/>
          <w:b/>
          <w:sz w:val="22"/>
          <w:szCs w:val="22"/>
          <w:u w:val="single"/>
        </w:rPr>
        <w:t>результат перемножения граф 5 и 6</w:t>
      </w:r>
      <w:r>
        <w:rPr>
          <w:rFonts w:eastAsia="Calibri"/>
          <w:sz w:val="22"/>
          <w:szCs w:val="22"/>
        </w:rPr>
        <w:t>);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spacing w:before="0" w:after="24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spacing w:before="0" w:after="24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Раздел 2. Расчет стоимости выполнения работ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уровень рентабельности по отношению к себестоимости может составлять до 15%.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spacing w:before="0" w:after="240"/>
        <w:rPr>
          <w:sz w:val="22"/>
          <w:szCs w:val="22"/>
        </w:rPr>
      </w:pPr>
      <w:r>
        <w:rPr>
          <w:sz w:val="22"/>
          <w:szCs w:val="22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spacing w:before="0" w:after="24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Раздел 3. Расчет командировочных расходов.</w:t>
      </w:r>
    </w:p>
    <w:p>
      <w:pPr>
        <w:pStyle w:val="Normal"/>
        <w:tabs>
          <w:tab w:val="clear" w:pos="708"/>
          <w:tab w:val="left" w:pos="993" w:leader="none"/>
        </w:tabs>
        <w:spacing w:before="0" w:after="240"/>
        <w:rPr>
          <w:sz w:val="22"/>
          <w:szCs w:val="22"/>
        </w:rPr>
      </w:pPr>
      <w:r>
        <w:rPr>
          <w:sz w:val="22"/>
          <w:szCs w:val="22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2) с расшифровкой затрат на проезд, проживание, суточные расходы. </w:t>
      </w:r>
    </w:p>
    <w:p>
      <w:pPr>
        <w:pStyle w:val="Normal"/>
        <w:tabs>
          <w:tab w:val="clear" w:pos="708"/>
          <w:tab w:val="left" w:pos="993" w:leader="none"/>
        </w:tabs>
        <w:spacing w:before="0" w:after="240"/>
        <w:rPr>
          <w:sz w:val="22"/>
          <w:szCs w:val="22"/>
        </w:rPr>
      </w:pPr>
      <w:r>
        <w:rPr>
          <w:sz w:val="22"/>
          <w:szCs w:val="22"/>
        </w:rPr>
        <w:t>Стоимость проезда необходимо указать по каждому виду транспорта отдельно туда и отдельно обратно.</w:t>
      </w:r>
    </w:p>
    <w:p>
      <w:pPr>
        <w:pStyle w:val="Normal"/>
        <w:tabs>
          <w:tab w:val="clear" w:pos="708"/>
          <w:tab w:val="left" w:pos="993" w:leader="none"/>
        </w:tabs>
        <w:spacing w:before="0" w:after="240"/>
        <w:rPr>
          <w:sz w:val="22"/>
          <w:szCs w:val="22"/>
        </w:rPr>
      </w:pPr>
      <w:r>
        <w:rPr>
          <w:sz w:val="22"/>
          <w:szCs w:val="22"/>
        </w:rPr>
        <w:t>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spacing w:before="0" w:after="240"/>
        <w:rPr>
          <w:sz w:val="22"/>
          <w:szCs w:val="22"/>
        </w:rPr>
      </w:pPr>
      <w:r>
        <w:rPr>
          <w:sz w:val="22"/>
          <w:szCs w:val="22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организации–Подрядчика,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spacing w:before="0" w:after="240"/>
        <w:rPr>
          <w:sz w:val="22"/>
          <w:szCs w:val="22"/>
        </w:rPr>
      </w:pPr>
      <w:r>
        <w:rPr>
          <w:sz w:val="22"/>
          <w:szCs w:val="22"/>
        </w:rPr>
        <w:t>Лимиты командировочных расходов: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суточные - 700 руб./сутки;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проживание - до 5000 руб./сутки;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24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проезд: поезд (купе) или самолет (</w:t>
      </w:r>
      <w:r>
        <w:rPr>
          <w:color w:val="000000"/>
          <w:sz w:val="22"/>
          <w:szCs w:val="22"/>
        </w:rPr>
        <w:t>класс–эконом с багажом до 20 (двадцати) кг, ручная кладь до 10 (десяти) кг</w:t>
      </w:r>
      <w:r>
        <w:rPr>
          <w:rFonts w:eastAsia="Calibri"/>
          <w:sz w:val="22"/>
          <w:szCs w:val="22"/>
        </w:rPr>
        <w:t>).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spacing w:before="0" w:after="240"/>
        <w:rPr>
          <w:b/>
          <w:i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>
      <w:pPr>
        <w:pStyle w:val="Normal"/>
        <w:tabs>
          <w:tab w:val="clear" w:pos="708"/>
          <w:tab w:val="left" w:pos="567" w:leader="none"/>
        </w:tabs>
        <w:spacing w:before="0" w:after="24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При учете командировочных расходов стоимость проезда (авиа-, ж/д, …) и проживания определяется </w:t>
      </w:r>
      <w:r>
        <w:rPr>
          <w:sz w:val="22"/>
          <w:szCs w:val="22"/>
        </w:rPr>
        <w:t>Методом анализа ТКП в соответствии с Методикой ПЦ</w:t>
      </w:r>
      <w:r>
        <w:rPr>
          <w:rFonts w:eastAsia="Calibri"/>
          <w:sz w:val="22"/>
          <w:szCs w:val="22"/>
        </w:rPr>
        <w:t>.</w:t>
      </w:r>
    </w:p>
    <w:p>
      <w:pPr>
        <w:sectPr>
          <w:headerReference w:type="default" r:id="rId25"/>
          <w:headerReference w:type="first" r:id="rId26"/>
          <w:footerReference w:type="default" r:id="rId27"/>
          <w:footerReference w:type="first" r:id="rId28"/>
          <w:footnotePr>
            <w:numFmt w:val="decimal"/>
            <w:numRestart w:val="eachPage"/>
          </w:footnotePr>
          <w:type w:val="nextPage"/>
          <w:pgSz w:w="11906" w:h="16838"/>
          <w:pgMar w:left="993" w:right="924" w:gutter="0" w:header="709" w:top="766" w:footer="709" w:bottom="766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8"/>
          <w:tab w:val="left" w:pos="567" w:leader="none"/>
        </w:tabs>
        <w:spacing w:before="0" w:after="24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before="0" w:after="240"/>
        <w:ind w:left="5811"/>
        <w:jc w:val="right"/>
        <w:rPr>
          <w:sz w:val="20"/>
          <w:szCs w:val="24"/>
        </w:rPr>
      </w:pPr>
      <w:r>
        <w:rPr>
          <w:sz w:val="20"/>
          <w:szCs w:val="24"/>
        </w:rPr>
        <w:t>Приложение №1</w:t>
      </w:r>
    </w:p>
    <w:p>
      <w:pPr>
        <w:pStyle w:val="Normal"/>
        <w:spacing w:before="0" w:after="240"/>
        <w:ind w:left="5811"/>
        <w:jc w:val="right"/>
        <w:rPr>
          <w:sz w:val="20"/>
          <w:szCs w:val="24"/>
        </w:rPr>
      </w:pPr>
      <w:r>
        <w:rPr>
          <w:sz w:val="20"/>
          <w:szCs w:val="24"/>
        </w:rPr>
        <w:t>к пояснительной записке</w:t>
      </w:r>
    </w:p>
    <w:p>
      <w:pPr>
        <w:pStyle w:val="Normal"/>
        <w:spacing w:before="0" w:after="240"/>
        <w:ind w:left="5811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 </w:t>
      </w:r>
      <w:r>
        <w:rPr>
          <w:sz w:val="20"/>
          <w:szCs w:val="24"/>
        </w:rPr>
        <w:t>по заполнению формы 3П</w:t>
      </w:r>
    </w:p>
    <w:p>
      <w:pPr>
        <w:pStyle w:val="Normal"/>
        <w:spacing w:before="0" w:after="240"/>
        <w:ind w:left="5811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spacing w:before="0" w:after="240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  <w:t>СПРАВКА от__________ (указать дату составления справки) (Образец)</w:t>
      </w:r>
    </w:p>
    <w:p>
      <w:pPr>
        <w:pStyle w:val="Normal"/>
        <w:rPr>
          <w:szCs w:val="24"/>
        </w:rPr>
      </w:pPr>
      <w:r>
        <w:rPr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rPr>
          <w:szCs w:val="24"/>
        </w:rPr>
      </w:pPr>
      <w:r>
        <w:rPr>
          <w:szCs w:val="24"/>
        </w:rPr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70"/>
        <w:gridCol w:w="4445"/>
        <w:gridCol w:w="3506"/>
      </w:tblGrid>
      <w:tr>
        <w:trPr>
          <w:trHeight w:val="325" w:hRule="atLeast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№ </w:t>
            </w:r>
            <w:r>
              <w:rPr>
                <w:color w:val="000000"/>
                <w:szCs w:val="24"/>
              </w:rPr>
              <w:t>п/п</w:t>
            </w:r>
          </w:p>
        </w:tc>
        <w:tc>
          <w:tcPr>
            <w:tcW w:w="4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Должность специалиста</w:t>
            </w:r>
          </w:p>
        </w:tc>
        <w:tc>
          <w:tcPr>
            <w:tcW w:w="3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44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(указать должность)</w:t>
            </w:r>
          </w:p>
        </w:tc>
        <w:tc>
          <w:tcPr>
            <w:tcW w:w="35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44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(указать должность)</w:t>
            </w:r>
          </w:p>
        </w:tc>
        <w:tc>
          <w:tcPr>
            <w:tcW w:w="35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44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(указать должность)</w:t>
            </w:r>
          </w:p>
        </w:tc>
        <w:tc>
          <w:tcPr>
            <w:tcW w:w="35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</w:tr>
    </w:tbl>
    <w:p>
      <w:pPr>
        <w:pStyle w:val="Normal"/>
        <w:rPr>
          <w:szCs w:val="24"/>
        </w:rPr>
      </w:pPr>
      <w:r>
        <w:rPr>
          <w:szCs w:val="24"/>
        </w:rPr>
        <w:tab/>
      </w:r>
    </w:p>
    <w:p>
      <w:pPr>
        <w:pStyle w:val="Normal"/>
        <w:rPr>
          <w:szCs w:val="24"/>
        </w:rPr>
      </w:pPr>
      <w:r>
        <w:rPr>
          <w:szCs w:val="24"/>
        </w:rPr>
        <w:t>Накладные расходы _______(%)</w:t>
        <w:tab/>
        <w:tab/>
        <w:tab/>
        <w:tab/>
        <w:tab/>
        <w:tab/>
      </w:r>
    </w:p>
    <w:p>
      <w:pPr>
        <w:pStyle w:val="Normal"/>
        <w:rPr>
          <w:szCs w:val="24"/>
        </w:rPr>
      </w:pPr>
      <w:r>
        <w:rPr>
          <w:szCs w:val="24"/>
        </w:rPr>
        <w:t>Рентабельность предприятия_________(%)</w:t>
        <w:tab/>
        <w:tab/>
        <w:tab/>
        <w:tab/>
        <w:tab/>
        <w:tab/>
        <w:t xml:space="preserve"> 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  <w:t>Дата</w:t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rPr>
          <w:szCs w:val="24"/>
        </w:rPr>
      </w:pPr>
      <w:r>
        <w:rPr>
          <w:szCs w:val="24"/>
        </w:rPr>
        <w:t>(краткое/полное наименование организации) ________________ (ФИО)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  <w:t>м.п.</w:t>
      </w:r>
    </w:p>
    <w:p>
      <w:pPr>
        <w:pStyle w:val="Normal"/>
        <w:rPr>
          <w:szCs w:val="24"/>
        </w:rPr>
      </w:pPr>
      <w:r>
        <w:rPr>
          <w:szCs w:val="24"/>
        </w:rPr>
        <w:t>(Главный бухгалтер)</w:t>
      </w:r>
      <w:r>
        <w:rPr>
          <w:rStyle w:val="FootnoteReference"/>
          <w:szCs w:val="24"/>
        </w:rPr>
        <w:footnoteReference w:id="8"/>
      </w:r>
      <w:r>
        <w:rPr>
          <w:szCs w:val="24"/>
        </w:rPr>
        <w:tab/>
        <w:tab/>
      </w:r>
    </w:p>
    <w:p>
      <w:pPr>
        <w:pStyle w:val="Normal"/>
        <w:rPr>
          <w:szCs w:val="24"/>
        </w:rPr>
      </w:pPr>
      <w:r>
        <w:rPr>
          <w:szCs w:val="24"/>
        </w:rPr>
        <w:t>(краткое/полное наименование организации контрагента/подрядчика) _________ (ФИО)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  <w:t>м.п.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Normal"/>
        <w:spacing w:before="0" w:after="240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>
      <w:pPr>
        <w:pStyle w:val="Normal"/>
        <w:spacing w:before="0" w:after="240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>к пояснительной записке</w:t>
      </w:r>
    </w:p>
    <w:p>
      <w:pPr>
        <w:pStyle w:val="Normal"/>
        <w:spacing w:before="0" w:after="240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по заполнению формы 3П</w:t>
      </w:r>
    </w:p>
    <w:p>
      <w:pPr>
        <w:pStyle w:val="Normal"/>
        <w:spacing w:before="0" w:after="240"/>
        <w:ind w:left="58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240"/>
        <w:rPr>
          <w:color w:val="FF0000"/>
          <w:szCs w:val="24"/>
        </w:rPr>
      </w:pPr>
      <w:r>
        <w:rPr>
          <w:color w:val="FF0000"/>
          <w:szCs w:val="24"/>
        </w:rPr>
      </w:r>
    </w:p>
    <w:p>
      <w:pPr>
        <w:pStyle w:val="Normal"/>
        <w:spacing w:before="0" w:after="240"/>
        <w:jc w:val="center"/>
        <w:rPr>
          <w:b/>
          <w:szCs w:val="24"/>
        </w:rPr>
      </w:pPr>
      <w:r>
        <w:rPr>
          <w:b/>
          <w:szCs w:val="24"/>
        </w:rPr>
        <w:t>Образец расчета командировочных расходов</w:t>
      </w:r>
    </w:p>
    <w:p>
      <w:pPr>
        <w:pStyle w:val="Normal"/>
        <w:spacing w:before="0" w:after="240"/>
        <w:ind w:hanging="567"/>
        <w:jc w:val="right"/>
        <w:rPr>
          <w:szCs w:val="24"/>
        </w:rPr>
      </w:pPr>
      <w:r>
        <w:rPr>
          <w:szCs w:val="24"/>
        </w:rPr>
        <w:t>Приложение № __ к смете № __</w:t>
      </w:r>
    </w:p>
    <w:p>
      <w:pPr>
        <w:pStyle w:val="Normal"/>
        <w:spacing w:before="0" w:after="240"/>
        <w:ind w:hanging="567"/>
        <w:jc w:val="center"/>
        <w:rPr>
          <w:b/>
          <w:szCs w:val="24"/>
        </w:rPr>
      </w:pPr>
      <w:r>
        <w:rPr>
          <w:b/>
          <w:szCs w:val="24"/>
        </w:rPr>
        <w:t>Расчет командировочных расходов</w:t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0"/>
        <w:gridCol w:w="905"/>
        <w:gridCol w:w="803"/>
        <w:gridCol w:w="1169"/>
        <w:gridCol w:w="659"/>
        <w:gridCol w:w="1300"/>
        <w:gridCol w:w="1200"/>
        <w:gridCol w:w="851"/>
        <w:gridCol w:w="1037"/>
        <w:gridCol w:w="1426"/>
      </w:tblGrid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>
              <w:rPr>
                <w:szCs w:val="24"/>
              </w:rPr>
              <w:t>п</w:t>
            </w:r>
            <w:r>
              <w:rPr>
                <w:szCs w:val="24"/>
                <w:lang w:val="en-US"/>
              </w:rPr>
              <w:t>/</w:t>
            </w:r>
            <w:r>
              <w:rPr>
                <w:szCs w:val="24"/>
              </w:rPr>
              <w:t>п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назначения </w:t>
              <w:br/>
              <w:t>(туда / обратно)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транспорта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дней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суточных, руб./сут. </w:t>
              <w:br/>
              <w:t>(без НДС)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проживания, руб./сут.. </w:t>
              <w:br/>
              <w:t>(без НДС)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командированных человек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стоимость командировочных расходов, руб. </w:t>
              <w:br/>
              <w:t>(без НДС)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5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5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1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4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before="0" w:after="240"/>
        <w:ind w:left="637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240"/>
        <w:ind w:left="637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240"/>
        <w:ind w:left="6373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spacing w:before="0" w:after="240"/>
        <w:ind w:left="58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Приложение 3 </w:t>
      </w:r>
    </w:p>
    <w:p>
      <w:pPr>
        <w:pStyle w:val="Normal"/>
        <w:spacing w:before="0" w:after="240"/>
        <w:ind w:left="5811"/>
        <w:rPr>
          <w:color w:val="000000"/>
          <w:sz w:val="20"/>
          <w:szCs w:val="20"/>
        </w:rPr>
      </w:pPr>
      <w:r>
        <w:rPr>
          <w:color w:val="000000"/>
          <w:sz w:val="20"/>
          <w:szCs w:val="24"/>
        </w:rPr>
        <w:t xml:space="preserve">к Требованиям к оформлению и составлению сметной документации </w:t>
      </w:r>
    </w:p>
    <w:p>
      <w:pPr>
        <w:pStyle w:val="Normal"/>
        <w:spacing w:before="0" w:after="240"/>
        <w:ind w:left="5811"/>
        <w:rPr>
          <w:color w:val="000000"/>
          <w:sz w:val="20"/>
          <w:szCs w:val="24"/>
          <w:u w:val="single"/>
        </w:rPr>
      </w:pPr>
      <w:r>
        <w:rPr>
          <w:color w:val="000000"/>
          <w:sz w:val="20"/>
          <w:szCs w:val="24"/>
          <w:u w:val="single"/>
        </w:rPr>
        <w:t>на выполнение работ по программе ремонтов, реконструкции и техническому перевооружению</w:t>
      </w:r>
    </w:p>
    <w:p>
      <w:pPr>
        <w:pStyle w:val="Normal"/>
        <w:spacing w:before="0" w:after="240"/>
        <w:ind w:left="637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2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Метод анализа ТКП</w:t>
      </w:r>
    </w:p>
    <w:p>
      <w:pPr>
        <w:pStyle w:val="Normal"/>
        <w:spacing w:before="0" w:after="2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 формировании цен на материальные ресурсы и оборудование</w:t>
      </w:r>
    </w:p>
    <w:p>
      <w:pPr>
        <w:pStyle w:val="Normal"/>
        <w:spacing w:before="0" w:after="240"/>
        <w:ind w:firstLine="7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spacing w:before="0" w:after="240"/>
        <w:ind w:firstLine="720"/>
        <w:rPr>
          <w:sz w:val="22"/>
          <w:szCs w:val="22"/>
        </w:rPr>
      </w:pPr>
      <w:r>
        <w:rPr>
          <w:rFonts w:eastAsia="Calibri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отсутствии </w:t>
      </w:r>
      <w:r>
        <w:rPr>
          <w:sz w:val="22"/>
          <w:szCs w:val="22"/>
        </w:rPr>
        <w:t>информации о сметных ценах в ФГИС ЦС и ФССЦ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РусГидро. Образец заполнения формы приведен ниже:</w:t>
      </w:r>
      <w:bookmarkStart w:id="104" w:name="_MON_1766935975"/>
      <w:bookmarkEnd w:id="104"/>
    </w:p>
    <w:p>
      <w:pPr>
        <w:pStyle w:val="Normal"/>
        <w:tabs>
          <w:tab w:val="clear" w:pos="708"/>
          <w:tab w:val="left" w:pos="993" w:leader="none"/>
        </w:tabs>
        <w:spacing w:before="0" w:after="240"/>
        <w:ind w:firstLine="720"/>
        <w:jc w:val="center"/>
        <w:rPr>
          <w:sz w:val="20"/>
          <w:szCs w:val="20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3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Прямоугольник 1"/>
                        <wps:cNvSpPr/>
                      </wps:nvSpPr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4" name="Прямоугольник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" name="Прямоугольник 3"/>
                        <wps:cNvSpPr/>
                      </wps:nvSpPr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635" distR="0" simplePos="0" locked="0" layoutInCell="0" allowOverlap="1" relativeHeight="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5" name="_x0000_tole_rId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9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114300" distR="0" simplePos="0" locked="0" layoutInCell="0" allowOverlap="1" relativeHeight="6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29" coordsize="21600,21600" o:spt="ole_rId29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9" type="_x0000_tole_rId29" style="width:78.6pt;height:54pt;mso-wrap-distance-right:0pt;mso-wrap-distance-bottom:12pt" filled="f" o:ole="">
            <v:imagedata r:id="rId30" o:title=""/>
          </v:shape>
          <o:OLEObject Type="Embed" ProgID="Excel.Sheet.12" ShapeID="ole_rId29" DrawAspect="Icon" ObjectID="_142122587" r:id="rId29"/>
        </w:object>
      </w:r>
    </w:p>
    <w:p>
      <w:pPr>
        <w:pStyle w:val="Normal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  <w:r>
        <w:br w:type="page"/>
      </w:r>
    </w:p>
    <w:p>
      <w:pPr>
        <w:pStyle w:val="Normal"/>
        <w:numPr>
          <w:ilvl w:val="0"/>
          <w:numId w:val="0"/>
        </w:numPr>
        <w:suppressAutoHyphens w:val="false"/>
        <w:spacing w:before="0" w:after="240"/>
        <w:ind w:left="360"/>
        <w:contextualSpacing/>
        <w:jc w:val="right"/>
        <w:outlineLvl w:val="0"/>
        <w:rPr>
          <w:b/>
          <w:bCs/>
          <w:kern w:val="2"/>
          <w:sz w:val="24"/>
          <w:szCs w:val="24"/>
          <w:lang w:eastAsia="en-US"/>
        </w:rPr>
      </w:pPr>
      <w:bookmarkStart w:id="105" w:name="_Toc240977135"/>
      <w:bookmarkStart w:id="106" w:name="_Toc190270329"/>
      <w:r>
        <w:rPr>
          <w:b/>
          <w:bCs/>
          <w:kern w:val="2"/>
          <w:sz w:val="24"/>
          <w:szCs w:val="24"/>
          <w:lang w:eastAsia="en-US"/>
        </w:rPr>
        <w:t xml:space="preserve">Приложение № </w:t>
      </w:r>
      <w:bookmarkEnd w:id="106"/>
      <w:r>
        <w:rPr>
          <w:b/>
          <w:bCs/>
          <w:kern w:val="2"/>
          <w:sz w:val="24"/>
          <w:szCs w:val="24"/>
          <w:lang w:eastAsia="en-US"/>
        </w:rPr>
        <w:t>3</w:t>
      </w:r>
      <w:bookmarkEnd w:id="105"/>
      <w:r>
        <w:rPr>
          <w:b/>
          <w:bCs/>
          <w:kern w:val="2"/>
          <w:sz w:val="24"/>
          <w:szCs w:val="24"/>
          <w:lang w:eastAsia="en-US"/>
        </w:rPr>
        <w:t xml:space="preserve"> </w:t>
      </w:r>
    </w:p>
    <w:p>
      <w:pPr>
        <w:pStyle w:val="Normal"/>
        <w:suppressAutoHyphens w:val="false"/>
        <w:spacing w:before="0" w:after="240"/>
        <w:contextualSpacing/>
        <w:jc w:val="center"/>
        <w:rPr>
          <w:b/>
          <w:kern w:val="2"/>
          <w:sz w:val="24"/>
          <w:szCs w:val="24"/>
          <w:lang w:eastAsia="en-US"/>
        </w:rPr>
      </w:pPr>
      <w:r>
        <w:rPr>
          <w:b/>
          <w:kern w:val="2"/>
          <w:sz w:val="24"/>
          <w:szCs w:val="24"/>
          <w:lang w:eastAsia="en-US"/>
        </w:rPr>
        <w:t xml:space="preserve">Технические требования к </w:t>
      </w:r>
      <w:r>
        <w:rPr>
          <w:b/>
          <w:kern w:val="2"/>
          <w:sz w:val="24"/>
          <w:szCs w:val="24"/>
          <w:lang w:val="en-US" w:eastAsia="en-US"/>
        </w:rPr>
        <w:t>NAC</w:t>
      </w:r>
      <w:r>
        <w:rPr>
          <w:b/>
          <w:kern w:val="2"/>
          <w:sz w:val="24"/>
          <w:szCs w:val="24"/>
          <w:lang w:eastAsia="en-US"/>
        </w:rPr>
        <w:t>-системе</w:t>
      </w:r>
    </w:p>
    <w:p>
      <w:pPr>
        <w:pStyle w:val="Normal"/>
        <w:suppressAutoHyphens w:val="false"/>
        <w:spacing w:before="0" w:after="240"/>
        <w:contextualSpacing/>
        <w:jc w:val="center"/>
        <w:rPr>
          <w:b/>
          <w:kern w:val="2"/>
          <w:sz w:val="24"/>
          <w:szCs w:val="24"/>
          <w:lang w:eastAsia="en-US"/>
        </w:rPr>
      </w:pPr>
      <w:r>
        <w:rPr>
          <w:b/>
          <w:kern w:val="2"/>
          <w:sz w:val="24"/>
          <w:szCs w:val="24"/>
          <w:lang w:eastAsia="en-US"/>
        </w:rPr>
      </w:r>
    </w:p>
    <w:tbl>
      <w:tblPr>
        <w:tblStyle w:val="GR2"/>
        <w:tblW w:w="10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8"/>
        <w:gridCol w:w="3145"/>
        <w:gridCol w:w="6350"/>
      </w:tblGrid>
      <w:tr>
        <w:trPr>
          <w:tblHeader w:val="true"/>
          <w:trHeight w:val="230" w:hRule="atLeast"/>
        </w:trPr>
        <w:tc>
          <w:tcPr>
            <w:tcW w:w="678" w:type="dxa"/>
            <w:vMerge w:val="restart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2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Times New Roman" w:cs="Times New Roman"/>
                <w:b/>
                <w:kern w:val="2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3145" w:type="dxa"/>
            <w:vMerge w:val="restart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2"/>
                <w:sz w:val="20"/>
                <w:szCs w:val="20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6350" w:type="dxa"/>
            <w:vMerge w:val="restart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2"/>
                <w:sz w:val="20"/>
                <w:szCs w:val="20"/>
                <w:lang w:val="ru-RU" w:eastAsia="en-US" w:bidi="ar-SA"/>
              </w:rPr>
              <w:t>Требование Заказчика</w:t>
            </w:r>
          </w:p>
        </w:tc>
      </w:tr>
      <w:tr>
        <w:trPr>
          <w:tblHeader w:val="true"/>
          <w:trHeight w:val="230" w:hRule="atLeast"/>
        </w:trPr>
        <w:tc>
          <w:tcPr>
            <w:tcW w:w="678" w:type="dxa"/>
            <w:vMerge w:val="continue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vMerge w:val="continue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</w:tr>
      <w:tr>
        <w:trPr/>
        <w:tc>
          <w:tcPr>
            <w:tcW w:w="67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3145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6350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3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1.</w:t>
            </w:r>
          </w:p>
        </w:tc>
        <w:tc>
          <w:tcPr>
            <w:tcW w:w="314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Поддерживаемые протоколы аутентификации</w:t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MAB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 (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MAC-Authentication Bypass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)</w:t>
            </w:r>
          </w:p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PEAP (Protected Extensible Authentication Protocol)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2.</w:t>
            </w:r>
          </w:p>
        </w:tc>
        <w:tc>
          <w:tcPr>
            <w:tcW w:w="314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Поддерживаемые методы проверки подлинности</w:t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Ваучер (одноразовый код доступа)</w:t>
            </w:r>
          </w:p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MS-CHAPv2 (Microsoft Challenge Handshake Authentication Protocol v2)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3.</w:t>
            </w:r>
          </w:p>
        </w:tc>
        <w:tc>
          <w:tcPr>
            <w:tcW w:w="314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Общие требования к системе управления доступом</w:t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Система управления доступом должна поддерживать создание политик аутентификации и авторизации, которые определяют правило перенаправления трафика вновь подключающихся не аутентифицированных гостевых абонентов.</w:t>
            </w:r>
          </w:p>
          <w:p>
            <w:pPr>
              <w:pStyle w:val="Normal"/>
              <w:widowControl/>
              <w:tabs>
                <w:tab w:val="clear" w:pos="708"/>
                <w:tab w:val="left" w:pos="466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Система управления доступом должна поддерживать возможность наложения ограничений на пользовательский трафик до того, как пользователь пройдет аутентификацию.</w:t>
            </w:r>
          </w:p>
        </w:tc>
      </w:tr>
      <w:tr>
        <w:trPr>
          <w:trHeight w:val="500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Система управления доступом должна иметь возможность реализации политики аутентификации и авторизации, разрешающей подключения к гостевой беспроводной сети только после активации гостевой сессии путем корректной аутентификации заданным способом.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Система управления доступом должна иметь возможность задания длительности гостевой сессии.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Система управления доступом должна поддерживать возможность наложения ограничений на пользовательский трафик после того, как пользователь пройдет аутентификацию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Интерфейс управления системой должен давать возможность убедиться, что аутентифицированный клиент успешно подключен к сети и для него активирована гостевая сессия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Система управления доступом должна поддерживать двухфакторную аутентификацию при помощи Единой системы идентификации и аутентификации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Система управления доступом должна поддерживать создание политик аутентификации и авторизации, разрешающих подключения к беспроводной сети передачи данных пользователям из локализованной группы 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MS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AD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/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ALD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.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Pro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 только после прохождения успешной аутентификации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Система управления доступом должна иметь возможность назначения карантинного 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VLAN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 по результатам успешной аутентификации, а также возможность создания правил перенаправления трафика для ввода 2-го фактора вновь подключающихся не аутентифицированных 2-м фактором абонентов.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66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Система управления доступом должна разрешать подключение к БЛВС только после активации 2-го фактора путем корректной аутентификации.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66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Система управления доступом должна иметь возможность проводить процесс аутентификации при помощи подключения к защищенному 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SSID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 пользователя из локализованной группы 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MS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AD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/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ALD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.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Pro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 при помощи ввода на клиенте корректных логина и пароля пользователя.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66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Система управления доступом должна регистрировать обмен 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RADIUS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-пакетами во время процесса аутентификации в 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RADIUS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-журнале, а также фиксировать проверку политик аутентификации.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252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Система управления доступом должна иметь возможность подключения внешних каталогов пользователей (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MS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AD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/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ALD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.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en-US" w:eastAsia="en-US" w:bidi="ar-SA"/>
              </w:rPr>
              <w:t>Pro</w:t>
            </w: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 xml:space="preserve"> )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4.</w:t>
            </w:r>
          </w:p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Требования к аутентификации и авторизации на сетевом оборудовании</w:t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Поддержка протоколов TACACS и (или) RADIUS.</w:t>
            </w:r>
          </w:p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Поддержка протокола PEAP.</w:t>
            </w:r>
          </w:p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Поддержка двухфакторной авторизации.</w:t>
            </w:r>
          </w:p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Централизованное управление политиками безопасности.</w:t>
            </w:r>
          </w:p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Поддержка user-based политик безопасности к доменным и не доменным пользователям.</w:t>
            </w:r>
          </w:p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Классификация сетевых устройств и пользователей, поддержка профилей.</w:t>
            </w:r>
          </w:p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Мониторинг и управление оконечных устройств.</w:t>
            </w:r>
          </w:p>
        </w:tc>
      </w:tr>
      <w:tr>
        <w:trPr>
          <w:trHeight w:val="797" w:hRule="atLeast"/>
        </w:trPr>
        <w:tc>
          <w:tcPr>
            <w:tcW w:w="6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firstLine="709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350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924" w:leader="none"/>
              </w:tabs>
              <w:suppressAutoHyphens w:val="false"/>
              <w:spacing w:before="0" w:after="0"/>
              <w:ind w:hanging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2"/>
                <w:sz w:val="20"/>
                <w:szCs w:val="20"/>
                <w:lang w:val="ru-RU" w:eastAsia="en-US" w:bidi="ar-SA"/>
              </w:rPr>
              <w:t>Ведение журналов событий учетных записей сетевых устройств, а также пользователей БЛВС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sectPr>
      <w:headerReference w:type="default" r:id="rId31"/>
      <w:headerReference w:type="first" r:id="rId32"/>
      <w:footerReference w:type="default" r:id="rId33"/>
      <w:footerReference w:type="first" r:id="rId34"/>
      <w:footnotePr>
        <w:numFmt w:val="decimal"/>
        <w:numRestart w:val="eachPage"/>
      </w:footnotePr>
      <w:type w:val="nextPage"/>
      <w:pgSz w:w="11906" w:h="16838"/>
      <w:pgMar w:left="1134" w:right="851" w:gutter="0" w:header="680" w:top="1134" w:footer="737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NewRomanPSMT">
    <w:charset w:val="01"/>
    <w:family w:val="roman"/>
    <w:pitch w:val="variable"/>
  </w:font>
  <w:font w:name="Segoe UI">
    <w:charset w:val="01"/>
    <w:family w:val="roman"/>
    <w:pitch w:val="variable"/>
  </w:font>
  <w:font w:name="Calibri Light">
    <w:charset w:val="01"/>
    <w:family w:val="roman"/>
    <w:pitch w:val="variable"/>
  </w:font>
  <w:font w:name="PT Sans"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Arial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Verdan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Федеральный закон от 27.07.2006 №149-ФЗ «Об информации, информационных технологиях и о защите информации» (ст. 2).</w:t>
      </w:r>
    </w:p>
  </w:footnote>
  <w:footnote w:id="3">
    <w:p>
      <w:pPr>
        <w:pStyle w:val="FootnoteText"/>
        <w:rPr/>
      </w:pPr>
      <w:r>
        <w:rPr>
          <w:rStyle w:val="Style"/>
        </w:rPr>
        <w:footnoteRef/>
      </w:r>
      <w:r>
        <w:rPr/>
        <w:t xml:space="preserve"> </w:t>
      </w:r>
      <w:r>
        <w:rPr>
          <w:spacing w:val="-4"/>
        </w:rPr>
        <w:t>Здесь и далее: дата заключения Договора</w:t>
      </w:r>
      <w:r>
        <w:rPr/>
        <w:t>.</w:t>
      </w:r>
    </w:p>
  </w:footnote>
  <w:footnote w:id="4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В ходе проведения работ электронный формат предоставления документов может быть изменен/уточнен при наличии технических возможностей и по взаимному согласованию Заказчика и Подрядчика.</w:t>
      </w:r>
    </w:p>
  </w:footnote>
  <w:footnote w:id="5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 xml:space="preserve"> </w:t>
      </w:r>
      <w:r>
        <w:rPr>
          <w:spacing w:val="-4"/>
        </w:rPr>
        <w:t xml:space="preserve">Пункт </w:t>
      </w:r>
      <w:r>
        <w:rPr>
          <w:spacing w:val="-4"/>
        </w:rPr>
        <w:fldChar w:fldCharType="begin"/>
      </w:r>
      <w:r>
        <w:rPr>
          <w:spacing w:val="-4"/>
        </w:rPr>
        <w:instrText xml:space="preserve"> REF _Ref19086149 \r \h </w:instrText>
      </w:r>
      <w:r>
        <w:rPr>
          <w:spacing w:val="-4"/>
        </w:rPr>
        <w:fldChar w:fldCharType="separate"/>
      </w:r>
      <w:r>
        <w:rPr>
          <w:spacing w:val="-4"/>
        </w:rPr>
        <w:t>Ошибка: источник перекрёстной ссылки не найден</w:t>
      </w:r>
      <w:r>
        <w:rPr>
          <w:spacing w:val="-4"/>
        </w:rPr>
        <w:fldChar w:fldCharType="end"/>
      </w:r>
      <w:r>
        <w:rPr>
          <w:spacing w:val="-4"/>
        </w:rPr>
        <w:t xml:space="preserve"> учитывается при указании соответствующих услуг, предоставляемых ПАО «РусГидро» подрядным организациям в разделе технических требований «Иные условия поставки товаров, выполнения работ, оказания услуг».</w:t>
      </w:r>
    </w:p>
  </w:footnote>
  <w:footnote w:id="6">
    <w:p>
      <w:pPr>
        <w:pStyle w:val="Normal"/>
        <w:widowControl w:val="false"/>
        <w:rPr>
          <w:rFonts w:eastAsia="Calibri"/>
          <w:sz w:val="20"/>
          <w:szCs w:val="20"/>
        </w:rPr>
      </w:pPr>
      <w:r>
        <w:rPr>
          <w:rStyle w:val="Style"/>
        </w:rPr>
        <w:footnoteRef/>
      </w:r>
      <w:r>
        <w:rPr/>
        <w:t xml:space="preserve"> </w:t>
      </w:r>
      <w:r>
        <w:rPr>
          <w:rFonts w:eastAsia="Calibri"/>
          <w:sz w:val="20"/>
          <w:szCs w:val="20"/>
        </w:rPr>
        <w:t>Размер коэффициента корректируется в соответствии с перечнем предоставляемых услуг, указанным в разделе Технических требований «Иные условия поставки товаров, выполнения работ, оказания услуг». Образец расчета приведен в приложении к приказу от 17.06.2019 № 498.</w:t>
      </w:r>
    </w:p>
  </w:footnote>
  <w:footnote w:id="7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Если в организации функции главного бухгалтера выполняет генеральный директор–ставится только его виза.</w:t>
      </w:r>
    </w:p>
    <w:p>
      <w:pPr>
        <w:pStyle w:val="FootnoteText"/>
        <w:widowControl w:val="false"/>
        <w:rPr/>
      </w:pPr>
      <w:r>
        <w:rPr/>
        <w:t>Возможно предоставление иной формы справки в соответствии с внутренним документооборотом организации.</w:t>
      </w:r>
    </w:p>
  </w:footnote>
  <w:footnote w:id="8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В ходе проведения работ электронный формат предоставления документов может быть изменен/уточнен при наличии технических возможностей и по взаимному согласованию Заказчика и Подрядчика.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1.15pt;height:1.15pt;mso-wrap-distance-left:0pt;mso-wrap-distance-right:0pt;mso-wrap-distance-top:0pt;mso-wrap-distance-bottom:0pt;margin-top:0.05pt;mso-position-vertical-relative:text;margin-left:0.05pt;mso-position-horizontal:center;mso-position-horizontal-relative:margin">
              <v:textbox inset="0in,0in,0in,0in"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3926573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23</w:t>
        </w:r>
        <w:r>
          <w:rPr/>
          <w:fldChar w:fldCharType="end"/>
        </w:r>
      </w:p>
    </w:sdtContent>
  </w:sdt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149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51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000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 w:val="false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hanging="0"/>
      </w:pPr>
      <w:rPr>
        <w:b w:val="false"/>
        <w:bCs w:val="fals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284" w:hanging="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12"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454" w:hanging="17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14">
    <w:lvl w:ilvl="0">
      <w:numFmt w:val="bullet"/>
      <w:lvlText w:val=""/>
      <w:lvlJc w:val="left"/>
      <w:pPr>
        <w:tabs>
          <w:tab w:val="num" w:pos="1298"/>
        </w:tabs>
        <w:ind w:left="907" w:hanging="346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i w:val="false"/>
        <w:b w:val="false"/>
        <w:szCs w:val="22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sz w:val="22"/>
        <w:b w:val="false"/>
        <w:szCs w:val="22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3338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Verdana" w:hAnsi="Verdana" w:cs="Verdana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lvlText w:val="-"/>
      <w:lvlJc w:val="left"/>
      <w:pPr>
        <w:tabs>
          <w:tab w:val="num" w:pos="0"/>
        </w:tabs>
        <w:ind w:left="3338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lvl w:ilvl="0">
      <w:start w:val="1"/>
      <w:numFmt w:val="bullet"/>
      <w:lvlText w:val="-"/>
      <w:lvlJc w:val="left"/>
      <w:pPr>
        <w:tabs>
          <w:tab w:val="num" w:pos="0"/>
        </w:tabs>
        <w:ind w:left="3338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bullet"/>
      <w:lvlText w:val="-"/>
      <w:lvlJc w:val="left"/>
      <w:pPr>
        <w:tabs>
          <w:tab w:val="num" w:pos="0"/>
        </w:tabs>
        <w:ind w:left="3338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3">
    <w:lvl w:ilvl="0">
      <w:start w:val="3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3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"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"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w="http://schemas.openxmlformats.org/wordprocessingml/2006/main">
  <w:zoom w:percent="101"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uiPriority="9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 w:qFormat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uiPriority="99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uiPriority="20" w:qFormat="1"/>
    <w:lsdException w:name="Document Map" w:uiPriority="99" w:semiHidden="1" w:unhideWhenUsed="1" w:qFormat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uiPriority w:val="9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uiPriority w:val="9"/>
    <w:qFormat/>
    <w:rsid w:val="00b476b3"/>
    <w:pPr>
      <w:keepNext w:val="true"/>
      <w:numPr>
        <w:ilvl w:val="2"/>
        <w:numId w:val="3"/>
      </w:numPr>
      <w:spacing w:before="240" w:after="60"/>
      <w:ind w:hanging="556" w:left="127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uiPriority w:val="9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sid w:val="006601c8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uiPriority w:val="9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uiPriority w:val="9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uiPriority w:val="9"/>
    <w:qFormat/>
    <w:rsid w:val="00b476b3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uiPriority w:val="9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19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6"/>
    <w:qFormat/>
    <w:locked/>
    <w:rsid w:val="00d22f6d"/>
    <w:rPr>
      <w:sz w:val="28"/>
    </w:rPr>
  </w:style>
  <w:style w:type="character" w:styleId="Style5" w:customStyle="1">
    <w:name w:val="Текст сноски Знак"/>
    <w:link w:val="Footnote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44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8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20226c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9"/>
    <w:qFormat/>
    <w:rsid w:val="00de52bc"/>
    <w:rPr>
      <w:b/>
      <w:sz w:val="28"/>
    </w:rPr>
  </w:style>
  <w:style w:type="character" w:styleId="12" w:customStyle="1">
    <w:name w:val="УРОВЕНЬ_1. Знак"/>
    <w:link w:val="123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Lst" w:customStyle="1">
    <w:name w:val="lst Знак"/>
    <w:basedOn w:val="DefaultParagraphFont"/>
    <w:link w:val="Lst1"/>
    <w:qFormat/>
    <w:rsid w:val="00b37a09"/>
    <w:rPr>
      <w:rFonts w:eastAsia="Calibri"/>
      <w:sz w:val="24"/>
      <w:szCs w:val="22"/>
      <w:lang w:eastAsia="en-US"/>
    </w:rPr>
  </w:style>
  <w:style w:type="character" w:styleId="Rtext" w:customStyle="1">
    <w:name w:val="r_text Знак"/>
    <w:basedOn w:val="DefaultParagraphFont"/>
    <w:link w:val="Rtext1"/>
    <w:qFormat/>
    <w:rsid w:val="00b37a09"/>
    <w:rPr>
      <w:color w:val="000000"/>
      <w:sz w:val="24"/>
      <w:szCs w:val="26"/>
    </w:rPr>
  </w:style>
  <w:style w:type="character" w:styleId="Tn" w:customStyle="1">
    <w:name w:val="t_n Знак"/>
    <w:basedOn w:val="DefaultParagraphFont"/>
    <w:link w:val="Tn1"/>
    <w:qFormat/>
    <w:rsid w:val="00730823"/>
    <w:rPr>
      <w:sz w:val="24"/>
      <w:szCs w:val="28"/>
    </w:rPr>
  </w:style>
  <w:style w:type="character" w:styleId="T3" w:customStyle="1">
    <w:name w:val="t3 Знак"/>
    <w:link w:val="T31"/>
    <w:qFormat/>
    <w:rsid w:val="00730823"/>
    <w:rPr>
      <w:rFonts w:eastAsia="Calibri"/>
      <w:color w:val="000000"/>
      <w:sz w:val="24"/>
      <w:szCs w:val="24"/>
    </w:rPr>
  </w:style>
  <w:style w:type="character" w:styleId="Style14" w:customStyle="1">
    <w:name w:val="Таблица (текст) Знак"/>
    <w:basedOn w:val="DefaultParagraphFont"/>
    <w:link w:val="Style48"/>
    <w:qFormat/>
    <w:rsid w:val="0020226c"/>
    <w:rPr/>
  </w:style>
  <w:style w:type="character" w:styleId="Style15" w:customStyle="1">
    <w:name w:val="Таблица (заголовок) Знак"/>
    <w:basedOn w:val="DefaultParagraphFont"/>
    <w:link w:val="Style49"/>
    <w:qFormat/>
    <w:rsid w:val="0020226c"/>
    <w:rPr/>
  </w:style>
  <w:style w:type="character" w:styleId="Style16" w:customStyle="1">
    <w:name w:val="Рисунок Знак"/>
    <w:basedOn w:val="DefaultParagraphFont"/>
    <w:link w:val="124"/>
    <w:qFormat/>
    <w:rsid w:val="0020226c"/>
    <w:rPr/>
  </w:style>
  <w:style w:type="character" w:styleId="Style17" w:customStyle="1">
    <w:name w:val="Заголовок документа Знак"/>
    <w:basedOn w:val="DefaultParagraphFont"/>
    <w:link w:val="Style50"/>
    <w:qFormat/>
    <w:rsid w:val="0020226c"/>
    <w:rPr>
      <w:bCs/>
      <w:sz w:val="28"/>
    </w:rPr>
  </w:style>
  <w:style w:type="character" w:styleId="Style18" w:customStyle="1">
    <w:name w:val="Заголовок Знак"/>
    <w:basedOn w:val="DefaultParagraphFont"/>
    <w:qFormat/>
    <w:rsid w:val="0020226c"/>
    <w:rPr>
      <w:rFonts w:eastAsia="" w:cs="" w:cstheme="majorBidi" w:eastAsiaTheme="majorEastAsia"/>
      <w:b/>
      <w:szCs w:val="32"/>
    </w:rPr>
  </w:style>
  <w:style w:type="character" w:styleId="Style19" w:customStyle="1">
    <w:name w:val="Тема примечания Знак"/>
    <w:basedOn w:val="Style11"/>
    <w:link w:val="Annotationsubject"/>
    <w:semiHidden/>
    <w:qFormat/>
    <w:rsid w:val="0020226c"/>
    <w:rPr>
      <w:b/>
      <w:bCs/>
    </w:rPr>
  </w:style>
  <w:style w:type="character" w:styleId="Style20" w:customStyle="1">
    <w:name w:val="Приложение Знак"/>
    <w:basedOn w:val="Style17"/>
    <w:link w:val="125"/>
    <w:qFormat/>
    <w:rsid w:val="0020226c"/>
    <w:rPr>
      <w:bCs/>
      <w:sz w:val="28"/>
    </w:rPr>
  </w:style>
  <w:style w:type="character" w:styleId="14" w:customStyle="1">
    <w:name w:val="Таблица 1. Знак"/>
    <w:basedOn w:val="Style14"/>
    <w:link w:val="126"/>
    <w:qFormat/>
    <w:rsid w:val="0020226c"/>
    <w:rPr>
      <w:b/>
    </w:rPr>
  </w:style>
  <w:style w:type="character" w:styleId="111" w:customStyle="1">
    <w:name w:val="Таблица 1.1. Знак"/>
    <w:basedOn w:val="Style14"/>
    <w:link w:val="1110"/>
    <w:qFormat/>
    <w:rsid w:val="0020226c"/>
    <w:rPr>
      <w:b/>
    </w:rPr>
  </w:style>
  <w:style w:type="character" w:styleId="1111" w:customStyle="1">
    <w:name w:val="Таблица 1.1.1. Знак"/>
    <w:basedOn w:val="111"/>
    <w:link w:val="1112"/>
    <w:qFormat/>
    <w:rsid w:val="0020226c"/>
    <w:rPr>
      <w:b/>
    </w:rPr>
  </w:style>
  <w:style w:type="character" w:styleId="Style21" w:customStyle="1">
    <w:name w:val="Заголовок приложения Знак"/>
    <w:basedOn w:val="Style17"/>
    <w:link w:val="Style51"/>
    <w:qFormat/>
    <w:rsid w:val="0020226c"/>
    <w:rPr>
      <w:bCs/>
      <w:sz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20226c"/>
    <w:rPr>
      <w:color w:val="954F72" w:themeColor="followedHyperlink"/>
      <w:u w:val="single"/>
    </w:rPr>
  </w:style>
  <w:style w:type="character" w:styleId="Style22" w:customStyle="1">
    <w:name w:val="Нижний колонтитул Знак"/>
    <w:basedOn w:val="DefaultParagraphFont"/>
    <w:uiPriority w:val="99"/>
    <w:qFormat/>
    <w:rsid w:val="0020226c"/>
    <w:rPr>
      <w:sz w:val="28"/>
      <w:szCs w:val="28"/>
    </w:rPr>
  </w:style>
  <w:style w:type="character" w:styleId="Tlst" w:customStyle="1">
    <w:name w:val="t_lst Знак"/>
    <w:basedOn w:val="Style7"/>
    <w:link w:val="Tlst1"/>
    <w:qFormat/>
    <w:rsid w:val="0020226c"/>
    <w:rPr>
      <w:rFonts w:eastAsia="Calibri"/>
      <w:b/>
      <w:sz w:val="24"/>
      <w:szCs w:val="24"/>
    </w:rPr>
  </w:style>
  <w:style w:type="character" w:styleId="15" w:customStyle="1">
    <w:name w:val="Таблица список 1 Знак"/>
    <w:basedOn w:val="Style14"/>
    <w:link w:val="127"/>
    <w:qFormat/>
    <w:rsid w:val="0020226c"/>
    <w:rPr>
      <w:b/>
    </w:rPr>
  </w:style>
  <w:style w:type="character" w:styleId="Style23" w:customStyle="1">
    <w:name w:val="Название объекта Знак"/>
    <w:basedOn w:val="DefaultParagraphFont"/>
    <w:link w:val="Caption111111"/>
    <w:uiPriority w:val="35"/>
    <w:qFormat/>
    <w:rsid w:val="0020226c"/>
    <w:rPr>
      <w:b/>
      <w:bCs/>
      <w:iCs/>
      <w:szCs w:val="18"/>
    </w:rPr>
  </w:style>
  <w:style w:type="character" w:styleId="Style24" w:customStyle="1">
    <w:name w:val="Рисунок подпись Знак"/>
    <w:basedOn w:val="Style23"/>
    <w:link w:val="Style52"/>
    <w:qFormat/>
    <w:rsid w:val="0020226c"/>
    <w:rPr>
      <w:b/>
      <w:bCs/>
      <w:iCs/>
      <w:szCs w:val="18"/>
    </w:rPr>
  </w:style>
  <w:style w:type="character" w:styleId="Style25" w:customStyle="1">
    <w:name w:val="Текст выноски Знак"/>
    <w:basedOn w:val="DefaultParagraphFont"/>
    <w:link w:val="BalloonText"/>
    <w:semiHidden/>
    <w:qFormat/>
    <w:rsid w:val="0020226c"/>
    <w:rPr>
      <w:rFonts w:ascii="Tahoma" w:hAnsi="Tahoma" w:cs="Tahoma"/>
      <w:sz w:val="16"/>
      <w:szCs w:val="16"/>
    </w:rPr>
  </w:style>
  <w:style w:type="character" w:styleId="23" w:customStyle="1">
    <w:name w:val="Неразрешенное упоминание2"/>
    <w:basedOn w:val="DefaultParagraphFont"/>
    <w:uiPriority w:val="99"/>
    <w:semiHidden/>
    <w:unhideWhenUsed/>
    <w:qFormat/>
    <w:rsid w:val="0020226c"/>
    <w:rPr>
      <w:color w:val="605E5C"/>
      <w:shd w:fill="E1DFDD" w:val="clear"/>
    </w:rPr>
  </w:style>
  <w:style w:type="character" w:styleId="Style26" w:customStyle="1">
    <w:name w:val="Ссылка указателя"/>
    <w:qFormat/>
    <w:rsid w:val="0020226c"/>
    <w:rPr/>
  </w:style>
  <w:style w:type="character" w:styleId="Linenumber1" w:customStyle="1">
    <w:name w:val="line number1"/>
    <w:uiPriority w:val="99"/>
    <w:qFormat/>
    <w:rsid w:val="0020226c"/>
    <w:rPr/>
  </w:style>
  <w:style w:type="character" w:styleId="Linenumber2" w:customStyle="1">
    <w:name w:val="line number2"/>
    <w:qFormat/>
    <w:rsid w:val="0020226c"/>
    <w:rPr/>
  </w:style>
  <w:style w:type="character" w:styleId="33" w:customStyle="1">
    <w:name w:val="Неразрешенное упоминание3"/>
    <w:basedOn w:val="DefaultParagraphFont"/>
    <w:uiPriority w:val="99"/>
    <w:semiHidden/>
    <w:unhideWhenUsed/>
    <w:qFormat/>
    <w:rsid w:val="0020226c"/>
    <w:rPr>
      <w:color w:val="605E5C"/>
      <w:shd w:fill="E1DFDD" w:val="clear"/>
    </w:rPr>
  </w:style>
  <w:style w:type="character" w:styleId="Tl" w:customStyle="1">
    <w:name w:val="t_l Знак"/>
    <w:basedOn w:val="DefaultParagraphFont"/>
    <w:link w:val="Tl1"/>
    <w:qFormat/>
    <w:rsid w:val="0020226c"/>
    <w:rPr>
      <w:b/>
      <w:szCs w:val="24"/>
    </w:rPr>
  </w:style>
  <w:style w:type="character" w:styleId="Th" w:customStyle="1">
    <w:name w:val="t_h Знак"/>
    <w:basedOn w:val="Tl"/>
    <w:link w:val="Th1"/>
    <w:qFormat/>
    <w:rsid w:val="0020226c"/>
    <w:rPr>
      <w:b w:val="false"/>
      <w:bCs/>
      <w:szCs w:val="24"/>
    </w:rPr>
  </w:style>
  <w:style w:type="character" w:styleId="-1" w:customStyle="1">
    <w:name w:val="Таблица - список 1 Знак"/>
    <w:basedOn w:val="DefaultParagraphFont"/>
    <w:link w:val="-11"/>
    <w:qFormat/>
    <w:rsid w:val="0020226c"/>
    <w:rPr>
      <w:rFonts w:eastAsia="Calibri"/>
      <w:b/>
    </w:rPr>
  </w:style>
  <w:style w:type="character" w:styleId="-2" w:customStyle="1">
    <w:name w:val="Таблица - список 2 Знак"/>
    <w:basedOn w:val="-1"/>
    <w:link w:val="-21"/>
    <w:qFormat/>
    <w:rsid w:val="0020226c"/>
    <w:rPr>
      <w:rFonts w:eastAsia="Calibri"/>
      <w:b/>
    </w:rPr>
  </w:style>
  <w:style w:type="character" w:styleId="24" w:customStyle="1">
    <w:name w:val="Основной текст 2 Знак"/>
    <w:basedOn w:val="DefaultParagraphFont"/>
    <w:link w:val="BodyText2"/>
    <w:qFormat/>
    <w:rsid w:val="0020226c"/>
    <w:rPr>
      <w:sz w:val="28"/>
      <w:szCs w:val="28"/>
    </w:rPr>
  </w:style>
  <w:style w:type="character" w:styleId="-3" w:customStyle="1">
    <w:name w:val="Таблица - список 3 Знак"/>
    <w:basedOn w:val="-2"/>
    <w:link w:val="-31"/>
    <w:qFormat/>
    <w:rsid w:val="0020226c"/>
    <w:rPr>
      <w:rFonts w:eastAsia="Calibri"/>
      <w:b/>
    </w:rPr>
  </w:style>
  <w:style w:type="character" w:styleId="-" w:customStyle="1">
    <w:name w:val="Таблица - список Знак"/>
    <w:basedOn w:val="Tl"/>
    <w:link w:val="-6"/>
    <w:qFormat/>
    <w:rsid w:val="0020226c"/>
    <w:rPr>
      <w:rFonts w:ascii="Calibri" w:hAnsi="Calibri" w:cs="" w:asciiTheme="minorHAnsi" w:cstheme="minorBidi" w:hAnsiTheme="minorHAnsi"/>
      <w:b/>
      <w:szCs w:val="24"/>
    </w:rPr>
  </w:style>
  <w:style w:type="character" w:styleId="Txt" w:customStyle="1">
    <w:name w:val="txt Знак"/>
    <w:basedOn w:val="DefaultParagraphFont"/>
    <w:link w:val="Txt1"/>
    <w:qFormat/>
    <w:locked/>
    <w:rsid w:val="0020226c"/>
    <w:rPr/>
  </w:style>
  <w:style w:type="character" w:styleId="16" w:customStyle="1">
    <w:name w:val="Таблица (список маркерованный 1) Знак"/>
    <w:basedOn w:val="Tl"/>
    <w:link w:val="128"/>
    <w:qFormat/>
    <w:rsid w:val="0020226c"/>
    <w:rPr>
      <w:rFonts w:ascii="Calibri" w:hAnsi="Calibri" w:cs="" w:asciiTheme="minorHAnsi" w:cstheme="minorBidi" w:hAnsiTheme="minorHAnsi"/>
      <w:b/>
      <w:szCs w:val="24"/>
    </w:rPr>
  </w:style>
  <w:style w:type="character" w:styleId="25" w:customStyle="1">
    <w:name w:val="Таблица (список маркированный 2 Знак"/>
    <w:basedOn w:val="16"/>
    <w:link w:val="215"/>
    <w:qFormat/>
    <w:rsid w:val="0020226c"/>
    <w:rPr>
      <w:rFonts w:ascii="Calibri" w:hAnsi="Calibri" w:cs="" w:asciiTheme="minorHAnsi" w:cstheme="minorBidi" w:hAnsiTheme="minorHAnsi"/>
      <w:b/>
      <w:szCs w:val="24"/>
    </w:rPr>
  </w:style>
  <w:style w:type="character" w:styleId="Fontstyle01" w:customStyle="1">
    <w:name w:val="fontstyle01"/>
    <w:basedOn w:val="DefaultParagraphFont"/>
    <w:qFormat/>
    <w:rsid w:val="0020226c"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Tc" w:customStyle="1">
    <w:name w:val="t_c Знак"/>
    <w:basedOn w:val="Tl"/>
    <w:link w:val="Tc1"/>
    <w:qFormat/>
    <w:rsid w:val="0020226c"/>
    <w:rPr>
      <w:rFonts w:ascii="Calibri" w:hAnsi="Calibri" w:cs="" w:asciiTheme="minorHAnsi" w:cstheme="minorBidi" w:hAnsiTheme="minorHAnsi"/>
      <w:b/>
      <w:szCs w:val="24"/>
    </w:rPr>
  </w:style>
  <w:style w:type="character" w:styleId="17" w:customStyle="1">
    <w:name w:val="Знак сноски1"/>
    <w:qFormat/>
    <w:rsid w:val="0020226c"/>
    <w:rPr>
      <w:vertAlign w:val="superscript"/>
    </w:rPr>
  </w:style>
  <w:style w:type="character" w:styleId="-lst" w:customStyle="1">
    <w:name w:val="-lst Знак"/>
    <w:basedOn w:val="DefaultParagraphFont"/>
    <w:link w:val="-lst1"/>
    <w:qFormat/>
    <w:rsid w:val="0020226c"/>
    <w:rPr>
      <w:rFonts w:eastAsia="Calibri"/>
      <w:b/>
      <w:bCs/>
    </w:rPr>
  </w:style>
  <w:style w:type="character" w:styleId="Apple-style-span" w:customStyle="1">
    <w:name w:val="apple-style-span"/>
    <w:basedOn w:val="DefaultParagraphFont"/>
    <w:qFormat/>
    <w:rsid w:val="0020226c"/>
    <w:rPr/>
  </w:style>
  <w:style w:type="character" w:styleId="Apple-converted-space" w:customStyle="1">
    <w:name w:val="apple-converted-space"/>
    <w:basedOn w:val="DefaultParagraphFont"/>
    <w:qFormat/>
    <w:rsid w:val="0020226c"/>
    <w:rPr/>
  </w:style>
  <w:style w:type="character" w:styleId="Style27" w:customStyle="1">
    <w:name w:val="Схема документа Знак"/>
    <w:basedOn w:val="DefaultParagraphFont"/>
    <w:link w:val="DocumentMap"/>
    <w:uiPriority w:val="99"/>
    <w:semiHidden/>
    <w:qFormat/>
    <w:rsid w:val="0020226c"/>
    <w:rPr>
      <w:rFonts w:ascii="Tahoma" w:hAnsi="Tahoma" w:cs="Tahoma"/>
      <w:sz w:val="16"/>
      <w:szCs w:val="16"/>
    </w:rPr>
  </w:style>
  <w:style w:type="character" w:styleId="Style28" w:customStyle="1">
    <w:name w:val="Основной текст с отступом Знак"/>
    <w:qFormat/>
    <w:rsid w:val="0020226c"/>
    <w:rPr>
      <w:sz w:val="24"/>
      <w:szCs w:val="24"/>
    </w:rPr>
  </w:style>
  <w:style w:type="character" w:styleId="61" w:customStyle="1">
    <w:name w:val="Основной текст (6)_"/>
    <w:basedOn w:val="DefaultParagraphFont"/>
    <w:link w:val="62"/>
    <w:qFormat/>
    <w:rsid w:val="0020226c"/>
    <w:rPr>
      <w:shd w:fill="FFFFFF" w:val="clear"/>
    </w:rPr>
  </w:style>
  <w:style w:type="character" w:styleId="Style29" w:customStyle="1">
    <w:name w:val="Колонтитул_"/>
    <w:basedOn w:val="DefaultParagraphFont"/>
    <w:link w:val="Style35"/>
    <w:qFormat/>
    <w:rsid w:val="0020226c"/>
    <w:rPr>
      <w:b/>
    </w:rPr>
  </w:style>
  <w:style w:type="character" w:styleId="ConsPlusNormal" w:customStyle="1">
    <w:name w:val="ConsPlusNormal Знак"/>
    <w:link w:val="ConsPlusNormal1"/>
    <w:qFormat/>
    <w:rsid w:val="0020226c"/>
    <w:rPr>
      <w:rFonts w:ascii="Arial" w:hAnsi="Arial" w:cs="Arial"/>
    </w:rPr>
  </w:style>
  <w:style w:type="character" w:styleId="18" w:customStyle="1">
    <w:name w:val="Абзац списка Знак1"/>
    <w:basedOn w:val="DefaultParagraphFont"/>
    <w:uiPriority w:val="34"/>
    <w:qFormat/>
    <w:rsid w:val="0020226c"/>
    <w:rPr>
      <w:rFonts w:ascii="Calibri" w:hAnsi="Calibri"/>
      <w:sz w:val="22"/>
    </w:rPr>
  </w:style>
  <w:style w:type="character" w:styleId="19" w:customStyle="1">
    <w:name w:val="Основной текст Знак1"/>
    <w:basedOn w:val="DefaultParagraphFont"/>
    <w:uiPriority w:val="99"/>
    <w:semiHidden/>
    <w:qFormat/>
    <w:rsid w:val="0020226c"/>
    <w:rPr/>
  </w:style>
  <w:style w:type="character" w:styleId="110" w:customStyle="1">
    <w:name w:val="Основной текст с отступом Знак1"/>
    <w:basedOn w:val="DefaultParagraphFont"/>
    <w:uiPriority w:val="99"/>
    <w:semiHidden/>
    <w:qFormat/>
    <w:rsid w:val="0020226c"/>
    <w:rPr>
      <w:b/>
    </w:rPr>
  </w:style>
  <w:style w:type="character" w:styleId="26" w:customStyle="1">
    <w:name w:val="Основной текст с отступом 2 Знак"/>
    <w:basedOn w:val="DefaultParagraphFont"/>
    <w:link w:val="BodyTextIndent2"/>
    <w:qFormat/>
    <w:rsid w:val="0020226c"/>
    <w:rPr>
      <w:sz w:val="28"/>
      <w:szCs w:val="28"/>
    </w:rPr>
  </w:style>
  <w:style w:type="character" w:styleId="34" w:customStyle="1">
    <w:name w:val="Основной текст 3 Знак"/>
    <w:basedOn w:val="DefaultParagraphFont"/>
    <w:link w:val="BodyText3"/>
    <w:qFormat/>
    <w:rsid w:val="0020226c"/>
    <w:rPr>
      <w:sz w:val="16"/>
      <w:szCs w:val="16"/>
    </w:rPr>
  </w:style>
  <w:style w:type="character" w:styleId="112" w:customStyle="1">
    <w:name w:val="Подзаголовок Знак1"/>
    <w:basedOn w:val="DefaultParagraphFont"/>
    <w:uiPriority w:val="11"/>
    <w:qFormat/>
    <w:rsid w:val="0020226c"/>
    <w:rPr>
      <w:rFonts w:eastAsia="Times New Roman"/>
      <w:color w:val="5A5A5A"/>
      <w:spacing w:val="15"/>
      <w:sz w:val="22"/>
      <w:szCs w:val="22"/>
    </w:rPr>
  </w:style>
  <w:style w:type="character" w:styleId="211" w:customStyle="1">
    <w:name w:val="Цитата 2 Знак1"/>
    <w:basedOn w:val="DefaultParagraphFont"/>
    <w:uiPriority w:val="29"/>
    <w:qFormat/>
    <w:rsid w:val="0020226c"/>
    <w:rPr>
      <w:i/>
      <w:iCs/>
      <w:color w:val="404040"/>
    </w:rPr>
  </w:style>
  <w:style w:type="character" w:styleId="113" w:customStyle="1">
    <w:name w:val="Выделенная цитата Знак1"/>
    <w:basedOn w:val="DefaultParagraphFont"/>
    <w:uiPriority w:val="30"/>
    <w:qFormat/>
    <w:rsid w:val="0020226c"/>
    <w:rPr>
      <w:i/>
      <w:iCs/>
      <w:color w:val="4472C4"/>
    </w:rPr>
  </w:style>
  <w:style w:type="character" w:styleId="114" w:customStyle="1">
    <w:name w:val="Электронная подпись Знак1"/>
    <w:basedOn w:val="DefaultParagraphFont"/>
    <w:uiPriority w:val="99"/>
    <w:semiHidden/>
    <w:qFormat/>
    <w:rsid w:val="0020226c"/>
    <w:rPr>
      <w:b/>
    </w:rPr>
  </w:style>
  <w:style w:type="character" w:styleId="115" w:customStyle="1">
    <w:name w:val="Текст концевой сноски Знак1"/>
    <w:basedOn w:val="DefaultParagraphFont"/>
    <w:uiPriority w:val="99"/>
    <w:semiHidden/>
    <w:qFormat/>
    <w:rsid w:val="0020226c"/>
    <w:rPr>
      <w:b/>
      <w:sz w:val="20"/>
      <w:szCs w:val="20"/>
    </w:rPr>
  </w:style>
  <w:style w:type="character" w:styleId="116" w:customStyle="1">
    <w:name w:val="Схема документа Знак1"/>
    <w:basedOn w:val="DefaultParagraphFont"/>
    <w:uiPriority w:val="99"/>
    <w:semiHidden/>
    <w:qFormat/>
    <w:rsid w:val="0020226c"/>
    <w:rPr>
      <w:rFonts w:ascii="Segoe UI" w:hAnsi="Segoe UI" w:cs="Segoe UI"/>
      <w:b/>
      <w:sz w:val="16"/>
      <w:szCs w:val="16"/>
    </w:rPr>
  </w:style>
  <w:style w:type="character" w:styleId="--" w:customStyle="1">
    <w:name w:val="Таблица список -- Знак"/>
    <w:basedOn w:val="Tlst"/>
    <w:link w:val="--1"/>
    <w:qFormat/>
    <w:rsid w:val="0020226c"/>
    <w:rPr>
      <w:rFonts w:eastAsia="Calibri"/>
      <w:b/>
      <w:sz w:val="24"/>
      <w:szCs w:val="24"/>
    </w:rPr>
  </w:style>
  <w:style w:type="character" w:styleId="Linenumber3" w:customStyle="1">
    <w:name w:val="line number3"/>
    <w:qFormat/>
    <w:rsid w:val="0020226c"/>
    <w:rPr/>
  </w:style>
  <w:style w:type="character" w:styleId="117" w:customStyle="1">
    <w:name w:val="Заголовок Знак1"/>
    <w:basedOn w:val="DefaultParagraphFont"/>
    <w:uiPriority w:val="10"/>
    <w:qFormat/>
    <w:rsid w:val="0020226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27" w:customStyle="1">
    <w:name w:val="Схема документа Знак2"/>
    <w:basedOn w:val="DefaultParagraphFont"/>
    <w:semiHidden/>
    <w:qFormat/>
    <w:rsid w:val="0020226c"/>
    <w:rPr>
      <w:rFonts w:ascii="Segoe UI" w:hAnsi="Segoe UI" w:cs="Segoe UI"/>
      <w:sz w:val="16"/>
      <w:szCs w:val="16"/>
    </w:rPr>
  </w:style>
  <w:style w:type="character" w:styleId="Tlst2" w:customStyle="1">
    <w:name w:val="t_lst2 Знак"/>
    <w:basedOn w:val="Tlst"/>
    <w:link w:val="Tlst21"/>
    <w:qFormat/>
    <w:rsid w:val="0020226c"/>
    <w:rPr>
      <w:rFonts w:eastAsia="Aptos"/>
      <w:b/>
      <w:sz w:val="24"/>
      <w:szCs w:val="24"/>
    </w:rPr>
  </w:style>
  <w:style w:type="character" w:styleId="WW8Num7z0" w:customStyle="1">
    <w:name w:val="WW8Num7z0"/>
    <w:qFormat/>
    <w:rsid w:val="00f446cd"/>
    <w:rPr/>
  </w:style>
  <w:style w:type="character" w:styleId="Linenumber">
    <w:name w:val="line number"/>
    <w:qFormat/>
    <w:rPr/>
  </w:style>
  <w:style w:type="paragraph" w:styleId="Style3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rsid w:val="0020226c"/>
    <w:pPr>
      <w:spacing w:lineRule="auto" w:line="276" w:before="0" w:after="140"/>
      <w:ind w:firstLine="709"/>
      <w:jc w:val="both"/>
    </w:pPr>
    <w:rPr>
      <w:rFonts w:eastAsia="Calibri" w:cs="Arial Unicode MS" w:eastAsiaTheme="minorHAnsi"/>
      <w:kern w:val="2"/>
      <w:sz w:val="24"/>
      <w:szCs w:val="32"/>
      <w:lang w:eastAsia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3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Heading1"/>
    <w:next w:val="BodyText"/>
    <w:link w:val="Style18"/>
    <w:autoRedefine/>
    <w:qFormat/>
    <w:rsid w:val="0020226c"/>
    <w:pPr>
      <w:keepLines/>
      <w:numPr>
        <w:ilvl w:val="0"/>
        <w:numId w:val="0"/>
      </w:numPr>
      <w:spacing w:before="0" w:after="240"/>
      <w:ind w:firstLine="709" w:left="1276"/>
      <w:contextualSpacing/>
    </w:pPr>
    <w:rPr>
      <w:rFonts w:eastAsia="" w:cs="" w:cstheme="majorBidi" w:eastAsiaTheme="majorEastAsia"/>
      <w:sz w:val="20"/>
      <w:szCs w:val="32"/>
      <w:lang w:val="ru-RU" w:eastAsia="ru-RU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32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3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4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uiPriority w:val="99"/>
    <w:rsid w:val="00d561d9"/>
    <w:pPr/>
    <w:rPr>
      <w:sz w:val="20"/>
      <w:szCs w:val="20"/>
    </w:rPr>
  </w:style>
  <w:style w:type="paragraph" w:styleId="118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8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5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9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5" w:customStyle="1">
    <w:name w:val="Колонтитул"/>
    <w:basedOn w:val="Normal"/>
    <w:link w:val="Style29"/>
    <w:qFormat/>
    <w:rsid w:val="0020226c"/>
    <w:pPr>
      <w:spacing w:before="0" w:after="0"/>
      <w:ind w:firstLine="709"/>
      <w:contextualSpacing/>
      <w:jc w:val="both"/>
    </w:pPr>
    <w:rPr>
      <w:b/>
      <w:sz w:val="20"/>
      <w:szCs w:val="20"/>
    </w:rPr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28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22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6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link w:val="34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link w:val="24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36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9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37" w:customStyle="1">
    <w:name w:val="Раздел регламента"/>
    <w:basedOn w:val="Normal"/>
    <w:qFormat/>
    <w:rsid w:val="00e228fa"/>
    <w:pPr/>
    <w:rPr/>
  </w:style>
  <w:style w:type="paragraph" w:styleId="Style38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25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9"/>
    <w:semiHidden/>
    <w:qFormat/>
    <w:rsid w:val="00b714b0"/>
    <w:pPr/>
    <w:rPr>
      <w:b/>
      <w:bCs/>
    </w:rPr>
  </w:style>
  <w:style w:type="paragraph" w:styleId="120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10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9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30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0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20226c"/>
    <w:pPr>
      <w:numPr>
        <w:ilvl w:val="0"/>
        <w:numId w:val="2"/>
      </w:numPr>
      <w:tabs>
        <w:tab w:val="clear" w:pos="708"/>
        <w:tab w:val="left" w:pos="0" w:leader="none"/>
      </w:tabs>
      <w:spacing w:before="120" w:after="0"/>
      <w:jc w:val="both"/>
    </w:pPr>
    <w:rPr>
      <w:rFonts w:ascii="Garamond" w:hAnsi="Garamond"/>
      <w:sz w:val="24"/>
      <w:szCs w:val="20"/>
    </w:rPr>
  </w:style>
  <w:style w:type="paragraph" w:styleId="212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1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21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42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3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44" w:customStyle="1">
    <w:name w:val="Подподпункт"/>
    <w:basedOn w:val="Style36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5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4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13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6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22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4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7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23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Lst1" w:customStyle="1">
    <w:name w:val="lst"/>
    <w:basedOn w:val="ListParagraph"/>
    <w:link w:val="Lst"/>
    <w:qFormat/>
    <w:rsid w:val="00b37a09"/>
    <w:pPr>
      <w:numPr>
        <w:ilvl w:val="0"/>
        <w:numId w:val="7"/>
      </w:numPr>
      <w:tabs>
        <w:tab w:val="clear" w:pos="708"/>
        <w:tab w:val="left" w:pos="851" w:leader="none"/>
      </w:tabs>
      <w:jc w:val="both"/>
    </w:pPr>
    <w:rPr>
      <w:szCs w:val="22"/>
      <w:lang w:eastAsia="en-US"/>
    </w:rPr>
  </w:style>
  <w:style w:type="paragraph" w:styleId="Rtext1" w:customStyle="1">
    <w:name w:val="r_text"/>
    <w:basedOn w:val="Normal"/>
    <w:link w:val="Rtext"/>
    <w:qFormat/>
    <w:rsid w:val="00b37a09"/>
    <w:pPr>
      <w:spacing w:lineRule="auto" w:line="276"/>
      <w:ind w:firstLine="567"/>
      <w:jc w:val="both"/>
    </w:pPr>
    <w:rPr>
      <w:color w:val="000000"/>
      <w:sz w:val="24"/>
      <w:szCs w:val="26"/>
      <w:shd w:fill="FFFFFF" w:val="clear"/>
    </w:rPr>
  </w:style>
  <w:style w:type="paragraph" w:styleId="Tn1" w:customStyle="1">
    <w:name w:val="t_n"/>
    <w:basedOn w:val="Normal"/>
    <w:link w:val="Tn"/>
    <w:qFormat/>
    <w:rsid w:val="00730823"/>
    <w:pPr>
      <w:keepNext w:val="true"/>
      <w:spacing w:before="240" w:after="240"/>
      <w:jc w:val="right"/>
    </w:pPr>
    <w:rPr>
      <w:sz w:val="24"/>
    </w:rPr>
  </w:style>
  <w:style w:type="paragraph" w:styleId="T31" w:customStyle="1">
    <w:name w:val="t3"/>
    <w:basedOn w:val="Normal"/>
    <w:link w:val="T3"/>
    <w:qFormat/>
    <w:rsid w:val="00730823"/>
    <w:pPr>
      <w:spacing w:lineRule="auto" w:line="276"/>
      <w:ind w:hanging="504" w:left="1224"/>
      <w:jc w:val="both"/>
    </w:pPr>
    <w:rPr>
      <w:rFonts w:eastAsia="Calibri"/>
      <w:color w:val="000000"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20226c"/>
    <w:pPr>
      <w:ind w:hanging="280" w:left="280"/>
    </w:pPr>
    <w:rPr/>
  </w:style>
  <w:style w:type="paragraph" w:styleId="Indexheading111" w:customStyle="1">
    <w:name w:val="index heading111"/>
    <w:basedOn w:val="Title"/>
    <w:qFormat/>
    <w:rsid w:val="0020226c"/>
    <w:pPr/>
    <w:rPr/>
  </w:style>
  <w:style w:type="paragraph" w:styleId="Caption1111" w:customStyle="1">
    <w:name w:val="caption1111"/>
    <w:basedOn w:val="Normal"/>
    <w:qFormat/>
    <w:rsid w:val="0020226c"/>
    <w:pPr>
      <w:suppressLineNumbers/>
      <w:spacing w:before="120" w:after="120"/>
      <w:ind w:firstLine="709"/>
      <w:jc w:val="both"/>
    </w:pPr>
    <w:rPr>
      <w:rFonts w:eastAsia="Calibri" w:cs="Arial Unicode MS" w:eastAsiaTheme="minorHAnsi"/>
      <w:i/>
      <w:iCs/>
      <w:kern w:val="2"/>
      <w:sz w:val="24"/>
      <w:szCs w:val="24"/>
      <w:lang w:eastAsia="en-US"/>
    </w:rPr>
  </w:style>
  <w:style w:type="paragraph" w:styleId="Indexheading1111" w:customStyle="1">
    <w:name w:val="index heading1111"/>
    <w:basedOn w:val="Title"/>
    <w:qFormat/>
    <w:rsid w:val="0020226c"/>
    <w:pPr/>
    <w:rPr/>
  </w:style>
  <w:style w:type="paragraph" w:styleId="Caption11111" w:customStyle="1">
    <w:name w:val="caption11111"/>
    <w:basedOn w:val="Normal"/>
    <w:uiPriority w:val="35"/>
    <w:qFormat/>
    <w:rsid w:val="0020226c"/>
    <w:pPr>
      <w:suppressLineNumbers/>
      <w:spacing w:before="120" w:after="120"/>
      <w:ind w:firstLine="709"/>
      <w:jc w:val="both"/>
    </w:pPr>
    <w:rPr>
      <w:rFonts w:eastAsia="Calibri" w:cs="Arial Unicode MS" w:eastAsiaTheme="minorHAnsi"/>
      <w:i/>
      <w:iCs/>
      <w:kern w:val="2"/>
      <w:sz w:val="24"/>
      <w:szCs w:val="24"/>
      <w:lang w:eastAsia="en-US"/>
    </w:rPr>
  </w:style>
  <w:style w:type="paragraph" w:styleId="Indexheading11111" w:customStyle="1">
    <w:name w:val="index heading11111"/>
    <w:basedOn w:val="Title"/>
    <w:qFormat/>
    <w:rsid w:val="0020226c"/>
    <w:pPr/>
    <w:rPr/>
  </w:style>
  <w:style w:type="paragraph" w:styleId="Caption111111" w:customStyle="1">
    <w:name w:val="caption111111"/>
    <w:basedOn w:val="Normal"/>
    <w:next w:val="Normal"/>
    <w:link w:val="Style23"/>
    <w:autoRedefine/>
    <w:uiPriority w:val="35"/>
    <w:unhideWhenUsed/>
    <w:qFormat/>
    <w:rsid w:val="0020226c"/>
    <w:pPr>
      <w:spacing w:before="0" w:after="200"/>
      <w:contextualSpacing/>
      <w:jc w:val="right"/>
    </w:pPr>
    <w:rPr>
      <w:b/>
      <w:bCs/>
      <w:iCs/>
      <w:sz w:val="20"/>
      <w:szCs w:val="18"/>
    </w:rPr>
  </w:style>
  <w:style w:type="paragraph" w:styleId="Style48" w:customStyle="1">
    <w:name w:val="Таблица (текст)"/>
    <w:basedOn w:val="Normal"/>
    <w:link w:val="Style14"/>
    <w:qFormat/>
    <w:rsid w:val="0020226c"/>
    <w:pPr>
      <w:spacing w:before="0" w:after="0"/>
      <w:contextualSpacing/>
    </w:pPr>
    <w:rPr>
      <w:sz w:val="20"/>
      <w:szCs w:val="20"/>
    </w:rPr>
  </w:style>
  <w:style w:type="paragraph" w:styleId="Style49" w:customStyle="1">
    <w:name w:val="Таблица (заголовок)"/>
    <w:basedOn w:val="Normal"/>
    <w:link w:val="Style15"/>
    <w:qFormat/>
    <w:rsid w:val="0020226c"/>
    <w:pPr>
      <w:spacing w:before="0" w:after="0"/>
      <w:contextualSpacing/>
      <w:jc w:val="center"/>
    </w:pPr>
    <w:rPr>
      <w:sz w:val="20"/>
      <w:szCs w:val="20"/>
    </w:rPr>
  </w:style>
  <w:style w:type="paragraph" w:styleId="124" w:customStyle="1">
    <w:name w:val="Перечень рисунков1"/>
    <w:basedOn w:val="Normal"/>
    <w:link w:val="Style16"/>
    <w:qFormat/>
    <w:rsid w:val="0020226c"/>
    <w:pPr>
      <w:keepNext w:val="true"/>
      <w:spacing w:before="240" w:after="0"/>
      <w:contextualSpacing/>
      <w:jc w:val="center"/>
    </w:pPr>
    <w:rPr>
      <w:sz w:val="20"/>
      <w:szCs w:val="20"/>
    </w:rPr>
  </w:style>
  <w:style w:type="paragraph" w:styleId="Style50" w:customStyle="1">
    <w:name w:val="Заголовок документа"/>
    <w:basedOn w:val="Normal"/>
    <w:link w:val="Style17"/>
    <w:qFormat/>
    <w:rsid w:val="0020226c"/>
    <w:pPr>
      <w:spacing w:before="0" w:after="240"/>
      <w:contextualSpacing/>
      <w:jc w:val="center"/>
    </w:pPr>
    <w:rPr>
      <w:bCs/>
      <w:szCs w:val="20"/>
    </w:rPr>
  </w:style>
  <w:style w:type="paragraph" w:styleId="125" w:customStyle="1">
    <w:name w:val="Прощание1"/>
    <w:basedOn w:val="Style50"/>
    <w:link w:val="Style20"/>
    <w:qFormat/>
    <w:rsid w:val="0020226c"/>
    <w:pPr>
      <w:jc w:val="right"/>
      <w:outlineLvl w:val="0"/>
    </w:pPr>
    <w:rPr/>
  </w:style>
  <w:style w:type="paragraph" w:styleId="126" w:customStyle="1">
    <w:name w:val="Таблица 1."/>
    <w:basedOn w:val="Style48"/>
    <w:link w:val="14"/>
    <w:qFormat/>
    <w:rsid w:val="0020226c"/>
    <w:pPr>
      <w:numPr>
        <w:ilvl w:val="0"/>
        <w:numId w:val="11"/>
      </w:numPr>
    </w:pPr>
    <w:rPr>
      <w:b/>
    </w:rPr>
  </w:style>
  <w:style w:type="paragraph" w:styleId="1110" w:customStyle="1">
    <w:name w:val="Таблица 1.1."/>
    <w:basedOn w:val="Style48"/>
    <w:link w:val="111"/>
    <w:qFormat/>
    <w:rsid w:val="0020226c"/>
    <w:pPr>
      <w:numPr>
        <w:ilvl w:val="1"/>
        <w:numId w:val="11"/>
      </w:numPr>
    </w:pPr>
    <w:rPr>
      <w:b/>
    </w:rPr>
  </w:style>
  <w:style w:type="paragraph" w:styleId="1112" w:customStyle="1">
    <w:name w:val="Таблица 1.1.1."/>
    <w:basedOn w:val="1110"/>
    <w:link w:val="1111"/>
    <w:qFormat/>
    <w:rsid w:val="0020226c"/>
    <w:pPr>
      <w:numPr>
        <w:ilvl w:val="2"/>
      </w:numPr>
      <w:ind w:left="0"/>
    </w:pPr>
    <w:rPr/>
  </w:style>
  <w:style w:type="paragraph" w:styleId="Style51" w:customStyle="1">
    <w:name w:val="Заголовок приложения"/>
    <w:basedOn w:val="Style50"/>
    <w:link w:val="Style21"/>
    <w:qFormat/>
    <w:rsid w:val="0020226c"/>
    <w:pPr/>
    <w:rPr/>
  </w:style>
  <w:style w:type="paragraph" w:styleId="-11" w:customStyle="1">
    <w:name w:val="Таблица - список 1"/>
    <w:basedOn w:val="ListParagraph"/>
    <w:link w:val="-1"/>
    <w:qFormat/>
    <w:rsid w:val="0020226c"/>
    <w:pPr>
      <w:numPr>
        <w:ilvl w:val="0"/>
        <w:numId w:val="9"/>
      </w:numPr>
      <w:spacing w:before="0" w:after="240"/>
      <w:contextualSpacing/>
      <w:jc w:val="both"/>
    </w:pPr>
    <w:rPr>
      <w:b/>
      <w:sz w:val="20"/>
      <w:szCs w:val="20"/>
    </w:rPr>
  </w:style>
  <w:style w:type="paragraph" w:styleId="-21" w:customStyle="1">
    <w:name w:val="Таблица - список 2"/>
    <w:basedOn w:val="-11"/>
    <w:link w:val="-2"/>
    <w:qFormat/>
    <w:rsid w:val="0020226c"/>
    <w:pPr>
      <w:numPr>
        <w:ilvl w:val="1"/>
      </w:numPr>
    </w:pPr>
    <w:rPr/>
  </w:style>
  <w:style w:type="paragraph" w:styleId="-31" w:customStyle="1">
    <w:name w:val="Таблица - список 3"/>
    <w:basedOn w:val="-21"/>
    <w:link w:val="-3"/>
    <w:qFormat/>
    <w:rsid w:val="0020226c"/>
    <w:pPr>
      <w:numPr>
        <w:ilvl w:val="2"/>
      </w:numPr>
      <w:ind w:hanging="142" w:left="1224"/>
    </w:pPr>
    <w:rPr/>
  </w:style>
  <w:style w:type="paragraph" w:styleId="Tlst1" w:customStyle="1">
    <w:name w:val="t_lst"/>
    <w:basedOn w:val="ListParagraph"/>
    <w:link w:val="Tlst"/>
    <w:qFormat/>
    <w:rsid w:val="0020226c"/>
    <w:pPr>
      <w:tabs>
        <w:tab w:val="clear" w:pos="708"/>
        <w:tab w:val="left" w:pos="0" w:leader="none"/>
      </w:tabs>
      <w:ind w:hanging="142" w:left="318"/>
      <w:jc w:val="both"/>
    </w:pPr>
    <w:rPr>
      <w:rFonts w:eastAsia="Times New Roman"/>
      <w:b/>
      <w:sz w:val="20"/>
      <w:szCs w:val="20"/>
    </w:rPr>
  </w:style>
  <w:style w:type="paragraph" w:styleId="127" w:customStyle="1">
    <w:name w:val="Таблица список 1"/>
    <w:basedOn w:val="Style48"/>
    <w:link w:val="15"/>
    <w:qFormat/>
    <w:rsid w:val="0020226c"/>
    <w:pPr>
      <w:numPr>
        <w:ilvl w:val="0"/>
        <w:numId w:val="10"/>
      </w:numPr>
    </w:pPr>
    <w:rPr>
      <w:b/>
    </w:rPr>
  </w:style>
  <w:style w:type="paragraph" w:styleId="Style52" w:customStyle="1">
    <w:name w:val="Рисунок подпись"/>
    <w:basedOn w:val="Caption111111"/>
    <w:link w:val="Style24"/>
    <w:autoRedefine/>
    <w:qFormat/>
    <w:rsid w:val="0020226c"/>
    <w:pPr>
      <w:jc w:val="center"/>
    </w:pPr>
    <w:rPr/>
  </w:style>
  <w:style w:type="paragraph" w:styleId="-5" w:customStyle="1">
    <w:name w:val="Таблица - текст"/>
    <w:basedOn w:val="Normal"/>
    <w:qFormat/>
    <w:rsid w:val="0020226c"/>
    <w:pPr/>
    <w:rPr>
      <w:rFonts w:eastAsia="Courier New"/>
      <w:kern w:val="2"/>
      <w:sz w:val="20"/>
      <w:szCs w:val="24"/>
      <w:lang w:eastAsia="en-US"/>
    </w:rPr>
  </w:style>
  <w:style w:type="paragraph" w:styleId="Footnote" w:customStyle="1">
    <w:name w:val="Footnote"/>
    <w:basedOn w:val="Normal"/>
    <w:link w:val="Style5"/>
    <w:qFormat/>
    <w:rsid w:val="0020226c"/>
    <w:pPr>
      <w:jc w:val="both"/>
    </w:pPr>
    <w:rPr>
      <w:rFonts w:eastAsia="Courier New"/>
      <w:kern w:val="2"/>
      <w:sz w:val="20"/>
      <w:szCs w:val="20"/>
      <w:lang w:eastAsia="en-US"/>
    </w:rPr>
  </w:style>
  <w:style w:type="paragraph" w:styleId="Xl105" w:customStyle="1">
    <w:name w:val="xl105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center"/>
      <w:textAlignment w:val="center"/>
    </w:pPr>
    <w:rPr>
      <w:rFonts w:eastAsia="Courier New"/>
      <w:kern w:val="2"/>
      <w:sz w:val="24"/>
      <w:szCs w:val="24"/>
    </w:rPr>
  </w:style>
  <w:style w:type="paragraph" w:styleId="Tl1" w:customStyle="1">
    <w:name w:val="t_l"/>
    <w:basedOn w:val="Normal"/>
    <w:link w:val="Tl"/>
    <w:qFormat/>
    <w:rsid w:val="0020226c"/>
    <w:pPr>
      <w:spacing w:before="0" w:after="0"/>
      <w:contextualSpacing/>
    </w:pPr>
    <w:rPr>
      <w:b/>
      <w:sz w:val="20"/>
      <w:szCs w:val="24"/>
    </w:rPr>
  </w:style>
  <w:style w:type="paragraph" w:styleId="Th1" w:customStyle="1">
    <w:name w:val="t_h"/>
    <w:basedOn w:val="Tl1"/>
    <w:link w:val="Th"/>
    <w:qFormat/>
    <w:rsid w:val="0020226c"/>
    <w:pPr>
      <w:jc w:val="center"/>
    </w:pPr>
    <w:rPr>
      <w:b w:val="false"/>
      <w:bCs/>
    </w:rPr>
  </w:style>
  <w:style w:type="paragraph" w:styleId="-6" w:customStyle="1">
    <w:name w:val="Таблица - список"/>
    <w:basedOn w:val="Tl1"/>
    <w:link w:val="-"/>
    <w:qFormat/>
    <w:rsid w:val="0020226c"/>
    <w:pPr>
      <w:numPr>
        <w:ilvl w:val="0"/>
        <w:numId w:val="12"/>
      </w:numPr>
      <w:ind w:hanging="0" w:left="0"/>
    </w:pPr>
    <w:rPr>
      <w:rFonts w:ascii="Calibri" w:hAnsi="Calibri" w:cs="" w:asciiTheme="minorHAnsi" w:cstheme="minorBidi" w:hAnsiTheme="minorHAnsi"/>
    </w:rPr>
  </w:style>
  <w:style w:type="paragraph" w:styleId="Msonormal" w:customStyle="1">
    <w:name w:val="msonormal"/>
    <w:basedOn w:val="Normal"/>
    <w:qFormat/>
    <w:rsid w:val="0020226c"/>
    <w:pPr>
      <w:spacing w:beforeAutospacing="1" w:afterAutospacing="1"/>
    </w:pPr>
    <w:rPr>
      <w:sz w:val="24"/>
      <w:szCs w:val="24"/>
    </w:rPr>
  </w:style>
  <w:style w:type="paragraph" w:styleId="Xl74" w:customStyle="1">
    <w:name w:val="xl74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75" w:customStyle="1">
    <w:name w:val="xl75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76" w:customStyle="1">
    <w:name w:val="xl76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77" w:customStyle="1">
    <w:name w:val="xl77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78" w:customStyle="1">
    <w:name w:val="xl78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24"/>
      <w:szCs w:val="24"/>
    </w:rPr>
  </w:style>
  <w:style w:type="paragraph" w:styleId="Xl79" w:customStyle="1">
    <w:name w:val="xl79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24"/>
      <w:szCs w:val="24"/>
    </w:rPr>
  </w:style>
  <w:style w:type="paragraph" w:styleId="Xl80" w:customStyle="1">
    <w:name w:val="xl80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81" w:customStyle="1">
    <w:name w:val="xl81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82" w:customStyle="1">
    <w:name w:val="xl82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83" w:customStyle="1">
    <w:name w:val="xl83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84" w:customStyle="1">
    <w:name w:val="xl84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85" w:customStyle="1">
    <w:name w:val="xl85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86" w:customStyle="1">
    <w:name w:val="xl86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87" w:customStyle="1">
    <w:name w:val="xl87"/>
    <w:basedOn w:val="Normal"/>
    <w:qFormat/>
    <w:rsid w:val="0020226c"/>
    <w:pPr>
      <w:spacing w:beforeAutospacing="1" w:afterAutospacing="1"/>
      <w:jc w:val="center"/>
      <w:textAlignment w:val="center"/>
    </w:pPr>
    <w:rPr>
      <w:sz w:val="20"/>
      <w:szCs w:val="20"/>
    </w:rPr>
  </w:style>
  <w:style w:type="paragraph" w:styleId="Xl88" w:customStyle="1">
    <w:name w:val="xl88"/>
    <w:basedOn w:val="Normal"/>
    <w:qFormat/>
    <w:rsid w:val="0020226c"/>
    <w:pPr>
      <w:spacing w:beforeAutospacing="1" w:afterAutospacing="1"/>
    </w:pPr>
    <w:rPr>
      <w:sz w:val="20"/>
      <w:szCs w:val="20"/>
    </w:rPr>
  </w:style>
  <w:style w:type="paragraph" w:styleId="Xl89" w:customStyle="1">
    <w:name w:val="xl89"/>
    <w:basedOn w:val="Normal"/>
    <w:qFormat/>
    <w:rsid w:val="0020226c"/>
    <w:pPr>
      <w:spacing w:beforeAutospacing="1" w:afterAutospacing="1"/>
    </w:pPr>
    <w:rPr>
      <w:sz w:val="20"/>
      <w:szCs w:val="20"/>
    </w:rPr>
  </w:style>
  <w:style w:type="paragraph" w:styleId="Xl90" w:customStyle="1">
    <w:name w:val="xl90"/>
    <w:basedOn w:val="Normal"/>
    <w:qFormat/>
    <w:rsid w:val="0020226c"/>
    <w:pPr>
      <w:spacing w:beforeAutospacing="1" w:afterAutospacing="1"/>
    </w:pPr>
    <w:rPr>
      <w:rFonts w:ascii="Arial CYR" w:hAnsi="Arial CYR"/>
      <w:sz w:val="20"/>
      <w:szCs w:val="20"/>
    </w:rPr>
  </w:style>
  <w:style w:type="paragraph" w:styleId="Xl91" w:customStyle="1">
    <w:name w:val="xl91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styleId="Xl92" w:customStyle="1">
    <w:name w:val="xl92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93" w:customStyle="1">
    <w:name w:val="xl93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94" w:customStyle="1">
    <w:name w:val="xl94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95" w:customStyle="1">
    <w:name w:val="xl95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96" w:customStyle="1">
    <w:name w:val="xl96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97" w:customStyle="1">
    <w:name w:val="xl97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98" w:customStyle="1">
    <w:name w:val="xl98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99" w:customStyle="1">
    <w:name w:val="xl99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100" w:customStyle="1">
    <w:name w:val="xl100"/>
    <w:basedOn w:val="Normal"/>
    <w:qFormat/>
    <w:rsid w:val="0020226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1" w:customStyle="1">
    <w:name w:val="xl101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2" w:customStyle="1">
    <w:name w:val="xl102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styleId="Xl103" w:customStyle="1">
    <w:name w:val="xl103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i/>
      <w:iCs/>
      <w:sz w:val="24"/>
      <w:szCs w:val="24"/>
    </w:rPr>
  </w:style>
  <w:style w:type="paragraph" w:styleId="Xl104" w:customStyle="1">
    <w:name w:val="xl104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  <w:textAlignment w:val="center"/>
    </w:pPr>
    <w:rPr>
      <w:sz w:val="24"/>
      <w:szCs w:val="24"/>
    </w:rPr>
  </w:style>
  <w:style w:type="paragraph" w:styleId="Xl106" w:customStyle="1">
    <w:name w:val="xl106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7" w:customStyle="1">
    <w:name w:val="xl107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108" w:customStyle="1">
    <w:name w:val="xl108"/>
    <w:basedOn w:val="Normal"/>
    <w:qFormat/>
    <w:rsid w:val="0020226c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i/>
      <w:iCs/>
      <w:sz w:val="24"/>
      <w:szCs w:val="24"/>
    </w:rPr>
  </w:style>
  <w:style w:type="paragraph" w:styleId="Xl109" w:customStyle="1">
    <w:name w:val="xl109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 CYR" w:hAnsi="Arial CYR"/>
      <w:sz w:val="24"/>
      <w:szCs w:val="24"/>
    </w:rPr>
  </w:style>
  <w:style w:type="paragraph" w:styleId="Xl110" w:customStyle="1">
    <w:name w:val="xl110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 CYR" w:hAnsi="Arial CYR"/>
      <w:sz w:val="24"/>
      <w:szCs w:val="24"/>
    </w:rPr>
  </w:style>
  <w:style w:type="paragraph" w:styleId="Xl111" w:customStyle="1">
    <w:name w:val="xl111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112" w:customStyle="1">
    <w:name w:val="xl112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Xl113" w:customStyle="1">
    <w:name w:val="xl113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Calibri" w:hAnsi="Calibri" w:cs="Calibri"/>
      <w:i/>
      <w:iCs/>
      <w:sz w:val="24"/>
      <w:szCs w:val="24"/>
    </w:rPr>
  </w:style>
  <w:style w:type="paragraph" w:styleId="Xl114" w:customStyle="1">
    <w:name w:val="xl114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Calibri" w:hAnsi="Calibri" w:cs="Calibri"/>
      <w:i/>
      <w:iCs/>
      <w:sz w:val="24"/>
      <w:szCs w:val="24"/>
    </w:rPr>
  </w:style>
  <w:style w:type="paragraph" w:styleId="Xl115" w:customStyle="1">
    <w:name w:val="xl115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</w:pPr>
    <w:rPr>
      <w:rFonts w:ascii="Arial CYR" w:hAnsi="Arial CYR"/>
      <w:sz w:val="24"/>
      <w:szCs w:val="24"/>
    </w:rPr>
  </w:style>
  <w:style w:type="paragraph" w:styleId="Xl116" w:customStyle="1">
    <w:name w:val="xl116"/>
    <w:basedOn w:val="Normal"/>
    <w:qFormat/>
    <w:rsid w:val="0020226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7" w:customStyle="1">
    <w:name w:val="xl117"/>
    <w:basedOn w:val="Normal"/>
    <w:qFormat/>
    <w:rsid w:val="0020226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 CYR" w:hAnsi="Arial CYR"/>
      <w:sz w:val="24"/>
      <w:szCs w:val="24"/>
    </w:rPr>
  </w:style>
  <w:style w:type="paragraph" w:styleId="Xl118" w:customStyle="1">
    <w:name w:val="xl118"/>
    <w:basedOn w:val="Normal"/>
    <w:qFormat/>
    <w:rsid w:val="0020226c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 CYR" w:hAnsi="Arial CYR"/>
      <w:sz w:val="24"/>
      <w:szCs w:val="24"/>
    </w:rPr>
  </w:style>
  <w:style w:type="paragraph" w:styleId="Xl119" w:customStyle="1">
    <w:name w:val="xl119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120" w:customStyle="1">
    <w:name w:val="xl120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styleId="Xl121" w:customStyle="1">
    <w:name w:val="xl121"/>
    <w:basedOn w:val="Normal"/>
    <w:qFormat/>
    <w:rsid w:val="0020226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Calibri" w:hAnsi="Calibri" w:cs="Calibri"/>
      <w:i/>
      <w:iCs/>
      <w:sz w:val="24"/>
      <w:szCs w:val="24"/>
    </w:rPr>
  </w:style>
  <w:style w:type="paragraph" w:styleId="Xl122" w:customStyle="1">
    <w:name w:val="xl122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styleId="Xl123" w:customStyle="1">
    <w:name w:val="xl123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Calibri" w:hAnsi="Calibri" w:cs="Calibri"/>
      <w:color w:val="000000"/>
      <w:sz w:val="24"/>
      <w:szCs w:val="24"/>
    </w:rPr>
  </w:style>
  <w:style w:type="paragraph" w:styleId="Xl124" w:customStyle="1">
    <w:name w:val="xl124"/>
    <w:basedOn w:val="Normal"/>
    <w:qFormat/>
    <w:rsid w:val="0020226c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 CYR" w:hAnsi="Arial CYR"/>
      <w:sz w:val="24"/>
      <w:szCs w:val="24"/>
    </w:rPr>
  </w:style>
  <w:style w:type="paragraph" w:styleId="Xl125" w:customStyle="1">
    <w:name w:val="xl125"/>
    <w:basedOn w:val="Normal"/>
    <w:qFormat/>
    <w:rsid w:val="0020226c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D6DCE4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26" w:customStyle="1">
    <w:name w:val="xl126"/>
    <w:basedOn w:val="Normal"/>
    <w:qFormat/>
    <w:rsid w:val="0020226c"/>
    <w:pPr>
      <w:pBdr>
        <w:top w:val="single" w:sz="4" w:space="0" w:color="000000"/>
        <w:bottom w:val="single" w:sz="4" w:space="0" w:color="000000"/>
      </w:pBdr>
      <w:shd w:val="clear" w:color="000000" w:fill="D6DCE4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27" w:customStyle="1">
    <w:name w:val="xl127"/>
    <w:basedOn w:val="Normal"/>
    <w:qFormat/>
    <w:rsid w:val="0020226c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D6DCE4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28" w:customStyle="1">
    <w:name w:val="xl128"/>
    <w:basedOn w:val="Normal"/>
    <w:qFormat/>
    <w:rsid w:val="0020226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9" w:customStyle="1">
    <w:name w:val="xl129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0" w:customStyle="1">
    <w:name w:val="xl130"/>
    <w:basedOn w:val="Normal"/>
    <w:qFormat/>
    <w:rsid w:val="0020226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6DCE4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31" w:customStyle="1">
    <w:name w:val="xl131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CE4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32" w:customStyle="1">
    <w:name w:val="xl132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6DCE4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33" w:customStyle="1">
    <w:name w:val="xl133"/>
    <w:basedOn w:val="Normal"/>
    <w:qFormat/>
    <w:rsid w:val="0020226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4" w:customStyle="1">
    <w:name w:val="xl134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5" w:customStyle="1">
    <w:name w:val="xl135"/>
    <w:basedOn w:val="Normal"/>
    <w:qFormat/>
    <w:rsid w:val="0020226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CE4D6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6" w:customStyle="1">
    <w:name w:val="xl136"/>
    <w:basedOn w:val="Normal"/>
    <w:qFormat/>
    <w:rsid w:val="002022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CE4D6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7" w:customStyle="1">
    <w:name w:val="xl137"/>
    <w:basedOn w:val="Normal"/>
    <w:qFormat/>
    <w:rsid w:val="0020226c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8" w:customStyle="1">
    <w:name w:val="xl138"/>
    <w:basedOn w:val="Normal"/>
    <w:qFormat/>
    <w:rsid w:val="0020226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Txt1" w:customStyle="1">
    <w:name w:val="txt"/>
    <w:basedOn w:val="Normal"/>
    <w:link w:val="Txt"/>
    <w:qFormat/>
    <w:rsid w:val="0020226c"/>
    <w:pPr>
      <w:spacing w:before="0" w:after="0"/>
      <w:ind w:firstLine="709"/>
      <w:contextualSpacing/>
      <w:jc w:val="both"/>
    </w:pPr>
    <w:rPr>
      <w:sz w:val="20"/>
      <w:szCs w:val="20"/>
    </w:rPr>
  </w:style>
  <w:style w:type="paragraph" w:styleId="128" w:customStyle="1">
    <w:name w:val="Таблица (список маркерованный 1)"/>
    <w:basedOn w:val="Tl1"/>
    <w:link w:val="16"/>
    <w:qFormat/>
    <w:rsid w:val="0020226c"/>
    <w:pPr>
      <w:numPr>
        <w:ilvl w:val="0"/>
        <w:numId w:val="13"/>
      </w:numPr>
      <w:ind w:hanging="0" w:left="0"/>
    </w:pPr>
    <w:rPr>
      <w:rFonts w:ascii="Calibri" w:hAnsi="Calibri" w:cs="" w:asciiTheme="minorHAnsi" w:cstheme="minorBidi" w:hAnsiTheme="minorHAnsi"/>
    </w:rPr>
  </w:style>
  <w:style w:type="paragraph" w:styleId="215" w:customStyle="1">
    <w:name w:val="Таблица (список маркированный 2"/>
    <w:basedOn w:val="128"/>
    <w:link w:val="25"/>
    <w:qFormat/>
    <w:rsid w:val="0020226c"/>
    <w:pPr>
      <w:numPr>
        <w:ilvl w:val="1"/>
      </w:numPr>
      <w:ind w:hanging="0" w:left="0"/>
    </w:pPr>
    <w:rPr/>
  </w:style>
  <w:style w:type="paragraph" w:styleId="Tc1" w:customStyle="1">
    <w:name w:val="t_c"/>
    <w:basedOn w:val="Tl1"/>
    <w:link w:val="Tc"/>
    <w:qFormat/>
    <w:rsid w:val="0020226c"/>
    <w:pPr>
      <w:jc w:val="center"/>
    </w:pPr>
    <w:rPr>
      <w:rFonts w:ascii="Calibri" w:hAnsi="Calibri" w:cs="" w:asciiTheme="minorHAnsi" w:cstheme="minorBidi" w:hAnsiTheme="minorHAnsi"/>
    </w:rPr>
  </w:style>
  <w:style w:type="paragraph" w:styleId="ListBullet">
    <w:name w:val="List Bullet"/>
    <w:basedOn w:val="ListParagraph"/>
    <w:uiPriority w:val="99"/>
    <w:qFormat/>
    <w:rsid w:val="0020226c"/>
    <w:pPr>
      <w:numPr>
        <w:ilvl w:val="0"/>
        <w:numId w:val="14"/>
      </w:numPr>
      <w:spacing w:lineRule="auto" w:line="276"/>
      <w:ind w:hanging="0" w:left="0"/>
      <w:jc w:val="both"/>
    </w:pPr>
    <w:rPr>
      <w:szCs w:val="22"/>
      <w:lang w:eastAsia="en-US"/>
    </w:rPr>
  </w:style>
  <w:style w:type="paragraph" w:styleId="S1" w:customStyle="1">
    <w:name w:val="S_ЗаголовкиТаблицы1"/>
    <w:basedOn w:val="Normal"/>
    <w:qFormat/>
    <w:rsid w:val="0020226c"/>
    <w:pPr>
      <w:keepNext w:val="true"/>
      <w:widowControl w:val="false"/>
      <w:jc w:val="center"/>
    </w:pPr>
    <w:rPr>
      <w:rFonts w:ascii="Arial" w:hAnsi="Arial"/>
      <w:b/>
      <w:caps/>
      <w:sz w:val="16"/>
      <w:szCs w:val="16"/>
    </w:rPr>
  </w:style>
  <w:style w:type="paragraph" w:styleId="-lst1" w:customStyle="1">
    <w:name w:val="-lst"/>
    <w:basedOn w:val="ListParagraph"/>
    <w:link w:val="-lst"/>
    <w:qFormat/>
    <w:rsid w:val="0020226c"/>
    <w:pPr>
      <w:numPr>
        <w:ilvl w:val="0"/>
        <w:numId w:val="17"/>
      </w:numPr>
      <w:spacing w:lineRule="auto" w:line="276"/>
      <w:ind w:hanging="284" w:left="851"/>
      <w:jc w:val="both"/>
    </w:pPr>
    <w:rPr>
      <w:b/>
      <w:bCs/>
      <w:sz w:val="20"/>
      <w:szCs w:val="20"/>
    </w:rPr>
  </w:style>
  <w:style w:type="paragraph" w:styleId="Style53" w:customStyle="1">
    <w:name w:val="Обычный+ без отступа"/>
    <w:basedOn w:val="Normal"/>
    <w:qFormat/>
    <w:rsid w:val="0020226c"/>
    <w:pPr>
      <w:spacing w:lineRule="auto" w:line="360" w:before="120" w:after="0"/>
      <w:jc w:val="both"/>
    </w:pPr>
    <w:rPr>
      <w:rFonts w:eastAsia="MS Mincho"/>
    </w:rPr>
  </w:style>
  <w:style w:type="paragraph" w:styleId="Style54" w:customStyle="1">
    <w:name w:val="Текст таблицы"/>
    <w:basedOn w:val="Normal"/>
    <w:qFormat/>
    <w:rsid w:val="0020226c"/>
    <w:pPr>
      <w:spacing w:before="40" w:after="40"/>
      <w:ind w:left="57" w:right="57"/>
    </w:pPr>
    <w:rPr>
      <w:sz w:val="24"/>
      <w:szCs w:val="24"/>
    </w:rPr>
  </w:style>
  <w:style w:type="paragraph" w:styleId="Style55" w:customStyle="1">
    <w:name w:val="Пункт Знак"/>
    <w:basedOn w:val="Normal"/>
    <w:qFormat/>
    <w:rsid w:val="0020226c"/>
    <w:pPr>
      <w:tabs>
        <w:tab w:val="clear" w:pos="708"/>
        <w:tab w:val="left" w:pos="851" w:leader="none"/>
        <w:tab w:val="left" w:pos="1134" w:leader="none"/>
        <w:tab w:val="left" w:pos="1844" w:leader="none"/>
      </w:tabs>
      <w:spacing w:lineRule="auto" w:line="360"/>
      <w:ind w:hanging="567" w:left="1844"/>
      <w:jc w:val="both"/>
    </w:pPr>
    <w:rPr>
      <w:b/>
      <w:szCs w:val="20"/>
    </w:rPr>
  </w:style>
  <w:style w:type="paragraph" w:styleId="Style56" w:customStyle="1">
    <w:name w:val="Подподподпункт"/>
    <w:basedOn w:val="Normal"/>
    <w:qFormat/>
    <w:rsid w:val="0020226c"/>
    <w:pPr>
      <w:tabs>
        <w:tab w:val="clear" w:pos="708"/>
        <w:tab w:val="left" w:pos="1134" w:leader="none"/>
        <w:tab w:val="left" w:pos="1701" w:leader="none"/>
      </w:tabs>
      <w:spacing w:lineRule="auto" w:line="360"/>
      <w:ind w:hanging="1008" w:left="1718"/>
      <w:jc w:val="both"/>
    </w:pPr>
    <w:rPr>
      <w:szCs w:val="20"/>
    </w:rPr>
  </w:style>
  <w:style w:type="paragraph" w:styleId="129" w:customStyle="1">
    <w:name w:val="Пункт1"/>
    <w:basedOn w:val="Normal"/>
    <w:qFormat/>
    <w:rsid w:val="0020226c"/>
    <w:pPr>
      <w:tabs>
        <w:tab w:val="clear" w:pos="708"/>
        <w:tab w:val="left" w:pos="567" w:leader="none"/>
      </w:tabs>
      <w:spacing w:lineRule="auto" w:line="360" w:before="240" w:after="0"/>
      <w:ind w:hanging="279" w:left="567"/>
      <w:jc w:val="center"/>
    </w:pPr>
    <w:rPr>
      <w:rFonts w:ascii="Arial" w:hAnsi="Arial"/>
      <w:b/>
    </w:rPr>
  </w:style>
  <w:style w:type="paragraph" w:styleId="39" w:customStyle="1">
    <w:name w:val="Пункт_3"/>
    <w:basedOn w:val="Normal"/>
    <w:uiPriority w:val="99"/>
    <w:qFormat/>
    <w:rsid w:val="0020226c"/>
    <w:pPr>
      <w:tabs>
        <w:tab w:val="clear" w:pos="708"/>
        <w:tab w:val="left" w:pos="1134" w:leader="none"/>
      </w:tabs>
      <w:spacing w:lineRule="auto" w:line="360"/>
      <w:ind w:hanging="1133" w:left="1134"/>
      <w:jc w:val="both"/>
    </w:pPr>
    <w:rPr>
      <w:szCs w:val="20"/>
    </w:rPr>
  </w:style>
  <w:style w:type="paragraph" w:styleId="DocumentMap">
    <w:name w:val="Document Map"/>
    <w:basedOn w:val="Normal"/>
    <w:link w:val="Style27"/>
    <w:uiPriority w:val="99"/>
    <w:semiHidden/>
    <w:unhideWhenUsed/>
    <w:qFormat/>
    <w:rsid w:val="0020226c"/>
    <w:pPr/>
    <w:rPr>
      <w:rFonts w:ascii="Tahoma" w:hAnsi="Tahoma" w:cs="Tahoma"/>
      <w:sz w:val="16"/>
      <w:szCs w:val="16"/>
    </w:rPr>
  </w:style>
  <w:style w:type="paragraph" w:styleId="Style57" w:customStyle="1">
    <w:name w:val="Знак Знак"/>
    <w:basedOn w:val="Normal"/>
    <w:qFormat/>
    <w:rsid w:val="0020226c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62" w:customStyle="1">
    <w:name w:val="Основной текст (6)"/>
    <w:basedOn w:val="Normal"/>
    <w:link w:val="61"/>
    <w:qFormat/>
    <w:rsid w:val="0020226c"/>
    <w:pPr>
      <w:widowControl w:val="false"/>
      <w:shd w:val="clear" w:color="auto" w:fill="FFFFFF"/>
      <w:ind w:firstLine="720"/>
      <w:jc w:val="both"/>
    </w:pPr>
    <w:rPr>
      <w:sz w:val="20"/>
      <w:szCs w:val="20"/>
    </w:rPr>
  </w:style>
  <w:style w:type="paragraph" w:styleId="TableListParagraph" w:customStyle="1">
    <w:name w:val="Table List Paragraph"/>
    <w:basedOn w:val="Normal"/>
    <w:qFormat/>
    <w:rsid w:val="0020226c"/>
    <w:pPr>
      <w:numPr>
        <w:ilvl w:val="0"/>
        <w:numId w:val="25"/>
      </w:numPr>
      <w:tabs>
        <w:tab w:val="clear" w:pos="708"/>
        <w:tab w:val="left" w:pos="360" w:leader="none"/>
      </w:tabs>
      <w:ind w:hanging="0" w:left="0"/>
      <w:jc w:val="both"/>
    </w:pPr>
    <w:rPr>
      <w:sz w:val="24"/>
      <w:szCs w:val="24"/>
    </w:rPr>
  </w:style>
  <w:style w:type="paragraph" w:styleId="Style58" w:customStyle="1">
    <w:name w:val="Содержимое врезки"/>
    <w:basedOn w:val="Normal"/>
    <w:qFormat/>
    <w:rsid w:val="0020226c"/>
    <w:pPr/>
    <w:rPr/>
  </w:style>
  <w:style w:type="paragraph" w:styleId="-7" w:customStyle="1">
    <w:name w:val="Таблица - заголовки"/>
    <w:basedOn w:val="-5"/>
    <w:qFormat/>
    <w:rsid w:val="0020226c"/>
    <w:pPr>
      <w:spacing w:before="0" w:after="0"/>
      <w:contextualSpacing/>
      <w:jc w:val="center"/>
    </w:pPr>
    <w:rPr>
      <w:rFonts w:eastAsia="Times New Roman"/>
      <w:b/>
      <w:bCs/>
      <w:kern w:val="0"/>
      <w:szCs w:val="28"/>
      <w:lang w:eastAsia="ru-RU"/>
    </w:rPr>
  </w:style>
  <w:style w:type="paragraph" w:styleId="--1" w:customStyle="1">
    <w:name w:val="Таблица список --"/>
    <w:basedOn w:val="Tlst1"/>
    <w:link w:val="--"/>
    <w:qFormat/>
    <w:rsid w:val="0020226c"/>
    <w:pPr>
      <w:ind w:hanging="360" w:left="1440"/>
    </w:pPr>
    <w:rPr/>
  </w:style>
  <w:style w:type="paragraph" w:styleId="Tlst21" w:customStyle="1">
    <w:name w:val="t_lst2"/>
    <w:basedOn w:val="--1"/>
    <w:link w:val="Tlst2"/>
    <w:qFormat/>
    <w:rsid w:val="0020226c"/>
    <w:pPr>
      <w:numPr>
        <w:ilvl w:val="1"/>
        <w:numId w:val="26"/>
      </w:numPr>
      <w:ind w:hanging="142" w:left="485"/>
    </w:pPr>
    <w:rPr>
      <w:rFonts w:eastAsia="Aptos"/>
      <w:sz w:val="24"/>
      <w:szCs w:val="24"/>
    </w:rPr>
  </w:style>
  <w:style w:type="paragraph" w:styleId="310" w:customStyle="1">
    <w:name w:val="Абзац списка3"/>
    <w:basedOn w:val="Normal"/>
    <w:qFormat/>
    <w:rsid w:val="008b5379"/>
    <w:pPr>
      <w:spacing w:before="0" w:after="0"/>
      <w:ind w:left="720"/>
      <w:contextualSpacing/>
    </w:pPr>
    <w:rPr>
      <w:rFonts w:eastAsia="Calibri"/>
      <w:color w:val="00000A"/>
      <w:kern w:val="2"/>
      <w:sz w:val="24"/>
      <w:szCs w:val="24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numbering" w:styleId="130" w:customStyle="1">
    <w:name w:val="Стиль1"/>
    <w:uiPriority w:val="99"/>
    <w:qFormat/>
    <w:rsid w:val="00f001e4"/>
  </w:style>
  <w:style w:type="numbering" w:styleId="216" w:customStyle="1">
    <w:name w:val="Стиль2"/>
    <w:uiPriority w:val="99"/>
    <w:qFormat/>
    <w:rsid w:val="006629c9"/>
  </w:style>
  <w:style w:type="numbering" w:styleId="16420509021" w:customStyle="1">
    <w:name w:val="16420509021"/>
    <w:qFormat/>
    <w:rsid w:val="0020226c"/>
  </w:style>
  <w:style w:type="numbering" w:styleId="131" w:customStyle="1">
    <w:name w:val="Нет списка1"/>
    <w:uiPriority w:val="99"/>
    <w:semiHidden/>
    <w:unhideWhenUsed/>
    <w:qFormat/>
    <w:rsid w:val="0020226c"/>
  </w:style>
  <w:style w:type="numbering" w:styleId="1113" w:customStyle="1">
    <w:name w:val="Нет списка11"/>
    <w:uiPriority w:val="99"/>
    <w:semiHidden/>
    <w:unhideWhenUsed/>
    <w:qFormat/>
    <w:rsid w:val="0020226c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2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f2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4">
    <w:name w:val="Сетка таблицы2"/>
    <w:basedOn w:val="a6"/>
    <w:uiPriority w:val="39"/>
    <w:rsid w:val="0020226c"/>
    <w:pPr>
      <w:jc w:val="both"/>
    </w:pPr>
    <w:rPr>
      <w:rFonts w:eastAsiaTheme="minorHAnsi" w:cstheme="maj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f">
    <w:name w:val="Сетка таблицы3"/>
    <w:basedOn w:val="a6"/>
    <w:uiPriority w:val="39"/>
    <w:rsid w:val="0020226c"/>
    <w:pPr>
      <w:jc w:val="both"/>
    </w:pPr>
    <w:rPr>
      <w:rFonts w:eastAsiaTheme="minorHAnsi" w:cstheme="maj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">
    <w:name w:val="Сетка таблицы11"/>
    <w:basedOn w:val="a6"/>
    <w:uiPriority w:val="39"/>
    <w:rsid w:val="0020226c"/>
    <w:rPr>
      <w:rFonts w:eastAsiaTheme="minorHAnsi" w:cstheme="maj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1">
    <w:name w:val="Сетка таблицы GR1"/>
    <w:basedOn w:val="a6"/>
    <w:uiPriority w:val="59"/>
    <w:rsid w:val="0020226c"/>
    <w:rPr>
      <w:rFonts w:eastAsiaTheme="minorHAnsi" w:cstheme="maj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2">
    <w:name w:val="Сетка таблицы GR2"/>
    <w:basedOn w:val="a6"/>
    <w:uiPriority w:val="39"/>
    <w:rsid w:val="00d72e17"/>
    <w:pPr>
      <w:jc w:val="both"/>
    </w:pPr>
    <w:rPr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image" Target="media/image1.jpeg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footer" Target="footer1.xml"/><Relationship Id="rId13" Type="http://schemas.openxmlformats.org/officeDocument/2006/relationships/header" Target="header10.xml"/><Relationship Id="rId14" Type="http://schemas.openxmlformats.org/officeDocument/2006/relationships/header" Target="header11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header" Target="header12.xml"/><Relationship Id="rId18" Type="http://schemas.openxmlformats.org/officeDocument/2006/relationships/header" Target="header13.xml"/><Relationship Id="rId19" Type="http://schemas.openxmlformats.org/officeDocument/2006/relationships/footer" Target="footer4.xml"/><Relationship Id="rId20" Type="http://schemas.openxmlformats.org/officeDocument/2006/relationships/footer" Target="footer5.xml"/><Relationship Id="rId21" Type="http://schemas.openxmlformats.org/officeDocument/2006/relationships/header" Target="header14.xml"/><Relationship Id="rId22" Type="http://schemas.openxmlformats.org/officeDocument/2006/relationships/header" Target="header15.xml"/><Relationship Id="rId23" Type="http://schemas.openxmlformats.org/officeDocument/2006/relationships/footer" Target="footer6.xml"/><Relationship Id="rId24" Type="http://schemas.openxmlformats.org/officeDocument/2006/relationships/footer" Target="footer7.xml"/><Relationship Id="rId25" Type="http://schemas.openxmlformats.org/officeDocument/2006/relationships/header" Target="header16.xml"/><Relationship Id="rId26" Type="http://schemas.openxmlformats.org/officeDocument/2006/relationships/header" Target="header17.xml"/><Relationship Id="rId27" Type="http://schemas.openxmlformats.org/officeDocument/2006/relationships/footer" Target="footer8.xml"/><Relationship Id="rId28" Type="http://schemas.openxmlformats.org/officeDocument/2006/relationships/footer" Target="footer9.xml"/><Relationship Id="rId29" Type="http://schemas.openxmlformats.org/officeDocument/2006/relationships/package" Target="embeddings/oleObject1.xlsx"/><Relationship Id="rId30" Type="http://schemas.openxmlformats.org/officeDocument/2006/relationships/image" Target="media/image2.wmf"/><Relationship Id="rId31" Type="http://schemas.openxmlformats.org/officeDocument/2006/relationships/header" Target="header18.xml"/><Relationship Id="rId32" Type="http://schemas.openxmlformats.org/officeDocument/2006/relationships/header" Target="header19.xml"/><Relationship Id="rId33" Type="http://schemas.openxmlformats.org/officeDocument/2006/relationships/footer" Target="footer10.xml"/><Relationship Id="rId34" Type="http://schemas.openxmlformats.org/officeDocument/2006/relationships/footer" Target="footer11.xml"/><Relationship Id="rId35" Type="http://schemas.openxmlformats.org/officeDocument/2006/relationships/footnotes" Target="footnotes.xml"/><Relationship Id="rId36" Type="http://schemas.openxmlformats.org/officeDocument/2006/relationships/numbering" Target="numbering.xml"/><Relationship Id="rId37" Type="http://schemas.openxmlformats.org/officeDocument/2006/relationships/fontTable" Target="fontTable.xml"/><Relationship Id="rId38" Type="http://schemas.openxmlformats.org/officeDocument/2006/relationships/settings" Target="settings.xml"/><Relationship Id="rId39" Type="http://schemas.openxmlformats.org/officeDocument/2006/relationships/theme" Target="theme/theme1.xml"/><Relationship Id="rId40" Type="http://schemas.openxmlformats.org/officeDocument/2006/relationships/customXml" Target="../customXml/item1.xml"/><Relationship Id="rId41" Type="http://schemas.openxmlformats.org/officeDocument/2006/relationships/customXml" Target="../customXml/item2.xml"/><Relationship Id="rId42" Type="http://schemas.openxmlformats.org/officeDocument/2006/relationships/customXml" Target="../customXml/item3.xml"/><Relationship Id="rId43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8F9136-B1C9-4231-96E0-B0162B1545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F9353D-3171-446B-BCF3-5DAA501FB0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724F11-2A8E-470B-9F23-700BD0E7C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33FCA3-90E9-4CA2-A3E7-0A2E2A5B6B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2106</TotalTime>
  <Application>AlterOffice/2026.2.0.0$Linux_X86_64 LibreOffice_project/bc4ef1adf80b36c7a6365f8ed6cbf29021361edd</Application>
  <AppVersion>15.0000</AppVersion>
  <Pages>48</Pages>
  <Words>8327</Words>
  <Characters>57962</Characters>
  <CharactersWithSpaces>65480</CharactersWithSpaces>
  <Paragraphs>1140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2026-08-27T13:40:00Z</dcterms:created>
  <dc:creator>Быстров Олег Геннадьевич</dc:creator>
  <dc:description/>
  <dc:language>ru-RU</dc:language>
  <cp:lastModifiedBy>Анна Хлыстова</cp:lastModifiedBy>
  <cp:lastPrinted>2006-07-26T14:04:00Z</cp:lastPrinted>
  <dcterms:modified xsi:type="dcterms:W3CDTF">2026-10-08T06:02:00Z</dcterms:modified>
  <cp:revision>31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