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 w:themeFill="background1"/>
        <w:ind w:firstLine="708" w:left="4248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«УТВЕРЖДАЮ»</w:t>
      </w:r>
    </w:p>
    <w:p>
      <w:pPr>
        <w:pStyle w:val="Normal"/>
        <w:shd w:val="clear" w:color="auto" w:fill="FFFFFF" w:themeFill="background1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Первый заместитель директора –</w:t>
      </w:r>
    </w:p>
    <w:p>
      <w:pPr>
        <w:pStyle w:val="Normal"/>
        <w:shd w:val="clear" w:color="auto" w:fill="FFFFFF" w:themeFill="background1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главный инженер Филиала</w:t>
      </w:r>
    </w:p>
    <w:p>
      <w:pPr>
        <w:pStyle w:val="Normal"/>
        <w:shd w:val="clear" w:color="auto" w:fill="FFFFFF" w:themeFill="background1"/>
        <w:spacing w:lineRule="auto" w:line="276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ПАО «РусГидро» - «Дагестанский филиал»  </w:t>
      </w:r>
    </w:p>
    <w:p>
      <w:pPr>
        <w:pStyle w:val="Normal"/>
        <w:shd w:val="clear" w:color="auto" w:fill="FFFFFF" w:themeFill="background1"/>
        <w:spacing w:lineRule="auto" w:line="36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________________ М.Ш. Магомедов</w:t>
      </w:r>
    </w:p>
    <w:p>
      <w:pPr>
        <w:pStyle w:val="Normal"/>
        <w:keepNext w:val="true"/>
        <w:keepLines/>
        <w:shd w:val="clear" w:color="auto" w:fill="FFFFFF" w:themeFill="background1"/>
        <w:jc w:val="right"/>
        <w:rPr>
          <w:rFonts w:eastAsia="Calibri"/>
          <w:b/>
          <w:bCs/>
          <w:sz w:val="24"/>
          <w:szCs w:val="24"/>
        </w:rPr>
      </w:pPr>
      <w:r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«____» ____________2026 г.</w:t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b/>
          <w:bCs/>
          <w:sz w:val="24"/>
          <w:szCs w:val="24"/>
        </w:rPr>
      </w:pPr>
      <w:r>
        <w:rPr>
          <w:rFonts w:eastAsia="Calibri"/>
          <w:b/>
          <w:sz w:val="26"/>
          <w:szCs w:val="26"/>
        </w:rPr>
        <w:t>«Проведение испытаний на нагревание гидрогенератор</w:t>
      </w:r>
      <w:r>
        <w:rPr>
          <w:rFonts w:eastAsia="Calibri"/>
          <w:b/>
          <w:sz w:val="26"/>
          <w:szCs w:val="26"/>
        </w:rPr>
        <w:t>ов</w:t>
      </w:r>
      <w:r>
        <w:rPr>
          <w:rFonts w:eastAsia="Calibri"/>
          <w:b/>
          <w:sz w:val="26"/>
          <w:szCs w:val="26"/>
        </w:rPr>
        <w:t xml:space="preserve"> №№1и2 Ирганайской ГЭС»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210563577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_Toc210563577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10563578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_Toc210563578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10563579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_Toc210563579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10563580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Цель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_Toc210563580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10563581">
            <w:r>
              <w:rPr>
                <w:webHidden/>
                <w:rStyle w:val="Style14"/>
                <w:iCs/>
                <w:vanish w:val="false"/>
              </w:rPr>
              <w:t>1.4.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Существующее положение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_Toc210563581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10563582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_Toc210563582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1. Перечень объектов заказчика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10563583">
            <w:r>
              <w:rPr>
                <w:webHidden/>
                <w:rStyle w:val="Style14"/>
                <w:iCs/>
                <w:vanish w:val="false"/>
              </w:rPr>
              <w:t>1.5.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_Toc210563583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10563584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_Toc210563584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10563585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объемам и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_Toc210563585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10563586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перечню и объему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_Toc210563586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10563587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_Toc210563587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2. Перечень и объем оказываемых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10563588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_Toc210563588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1056358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_Toc210563589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3. Требования к срокам оказания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10563590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_Toc210563590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10563591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_Toc210563591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 4. Требования к качеству услуг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10563592">
            <w:r>
              <w:rPr>
                <w:webHidden/>
                <w:rStyle w:val="Style14"/>
                <w:vanish w:val="false"/>
              </w:rPr>
              <w:t>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документации по ценообразованию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_Toc210563592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10563593">
            <w:r>
              <w:rPr>
                <w:webHidden/>
                <w:rStyle w:val="Style14"/>
                <w:vanish w:val="false"/>
              </w:rPr>
              <w:t>4.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iCs/>
              </w:rPr>
              <w:t>Приложения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_Toc210563593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10563594">
            <w:r>
              <w:rPr>
                <w:webHidden/>
                <w:rStyle w:val="Style14"/>
                <w:iCs/>
                <w:vanish w:val="false"/>
              </w:rPr>
              <w:t>4.1.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 xml:space="preserve">Паспорт на </w:t>
            </w:r>
            <w:r>
              <w:rPr>
                <w:rStyle w:val="Style14"/>
                <w:lang w:val="en-US"/>
              </w:rPr>
              <w:t>гидрогенератор</w:t>
            </w:r>
            <w:r>
              <w:rPr>
                <w:rStyle w:val="Style14"/>
              </w:rPr>
              <w:t>;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_Toc210563594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10563595">
            <w:r>
              <w:rPr>
                <w:webHidden/>
                <w:rStyle w:val="Style14"/>
                <w:iCs/>
                <w:vanish w:val="false"/>
              </w:rPr>
              <w:t>4.2.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Инструкция по монтажу и эксплуатации гидрогенератора;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_Toc210563595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14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Heading2"/>
        <w:numPr>
          <w:ilvl w:val="0"/>
          <w:numId w:val="0"/>
        </w:numPr>
        <w:ind w:hanging="0" w:left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  <w:lang w:val="ru-RU"/>
        </w:rPr>
      </w:pPr>
      <w:bookmarkStart w:id="0" w:name="_Toc125709831"/>
      <w:bookmarkStart w:id="1" w:name="_Toc210563577"/>
      <w:r>
        <w:rPr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/>
      </w:pPr>
      <w:bookmarkStart w:id="2" w:name="_Toc46743505"/>
      <w:bookmarkStart w:id="3" w:name="_Toc125709832"/>
      <w:bookmarkStart w:id="4" w:name="_Toc210563578"/>
      <w:r>
        <w:rPr/>
        <w:t>Обозначения и сокращения</w:t>
      </w:r>
      <w:bookmarkEnd w:id="2"/>
      <w:bookmarkEnd w:id="3"/>
      <w:bookmarkEnd w:id="4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Технические требования 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ПАО 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Публичное акционерное общество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НТД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Нормативно-техническая документация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НПА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Нормативно-правовой акт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ФНП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Федеральные нормы и правила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5" w:name="_Toc46743506"/>
      <w:bookmarkStart w:id="6" w:name="_Toc210563579"/>
      <w:r>
        <w:rPr/>
        <w:t>Наименование закупаемой продукции</w:t>
      </w:r>
      <w:bookmarkEnd w:id="5"/>
      <w:bookmarkEnd w:id="6"/>
    </w:p>
    <w:p>
      <w:pPr>
        <w:pStyle w:val="Normal"/>
        <w:suppressAutoHyphens w:val="true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испытаний на нагревание гидрогенератор</w:t>
      </w:r>
      <w:r>
        <w:rPr>
          <w:sz w:val="24"/>
          <w:szCs w:val="24"/>
        </w:rPr>
        <w:t>ов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ст №1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и №2</w:t>
      </w:r>
      <w:r>
        <w:rPr>
          <w:sz w:val="24"/>
          <w:szCs w:val="24"/>
        </w:rPr>
        <w:t xml:space="preserve"> Ирганайской ГЭС Филиала ПАО «РусГидро» - «Дагестанский филиал».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/>
      </w:pPr>
      <w:bookmarkStart w:id="7" w:name="_Toc210563580"/>
      <w:bookmarkStart w:id="8" w:name="_Toc46743507"/>
      <w:r>
        <w:rPr/>
        <w:t xml:space="preserve">Цель </w:t>
      </w:r>
      <w:bookmarkEnd w:id="8"/>
      <w:r>
        <w:rPr>
          <w:lang w:val="ru-RU"/>
        </w:rPr>
        <w:t>оказания услуг</w:t>
      </w:r>
      <w:bookmarkEnd w:id="7"/>
      <w:r>
        <w:rPr/>
        <w:t xml:space="preserve"> </w:t>
      </w:r>
    </w:p>
    <w:p>
      <w:pPr>
        <w:pStyle w:val="Normal"/>
        <w:spacing w:before="0" w:after="12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Испытание на нагревание проводится с целью определения существующего технического состояния гидрогенератора с выдачей рекомендаций по улучшению технического состояния и заключения.</w:t>
      </w:r>
    </w:p>
    <w:p>
      <w:pPr>
        <w:pStyle w:val="Heading4"/>
        <w:numPr>
          <w:ilvl w:val="1"/>
          <w:numId w:val="3"/>
        </w:numPr>
        <w:rPr/>
      </w:pPr>
      <w:bookmarkStart w:id="9" w:name="_Toc210563581"/>
      <w:bookmarkStart w:id="10" w:name="_Toc46743508"/>
      <w:r>
        <w:rPr/>
        <w:t>Существующее положение</w:t>
      </w:r>
      <w:bookmarkEnd w:id="9"/>
      <w:bookmarkEnd w:id="10"/>
      <w:r>
        <w:rPr>
          <w:lang w:val="ru-RU"/>
        </w:rPr>
        <w:t xml:space="preserve"> </w:t>
      </w:r>
    </w:p>
    <w:p>
      <w:pPr>
        <w:pStyle w:val="ListParagraph"/>
        <w:ind w:firstLine="708" w:left="0"/>
        <w:jc w:val="both"/>
        <w:rPr>
          <w:rFonts w:eastAsia="Times New Roman"/>
        </w:rPr>
      </w:pPr>
      <w:r>
        <w:rPr>
          <w:rFonts w:eastAsia="Times New Roman"/>
        </w:rPr>
        <w:t>На Ирганайской ГЭС эксплуатируются гидрогенераторы типа СВ-865/232-28 УХЛ4 с диспетчерскими наименованиями Г-1 и Г-2, изготовленные на заводе АО НПО «ЭлСиб».</w:t>
      </w:r>
    </w:p>
    <w:p>
      <w:pPr>
        <w:pStyle w:val="ListParagraph"/>
        <w:ind w:firstLine="708" w:left="0"/>
        <w:jc w:val="both"/>
        <w:rPr>
          <w:rFonts w:eastAsia="Times New Roman"/>
        </w:rPr>
      </w:pPr>
      <w:r>
        <w:rPr>
          <w:rFonts w:eastAsia="Times New Roman"/>
        </w:rPr>
        <w:t xml:space="preserve">Год ввода в эксплуатацию </w:t>
      </w:r>
      <w:r>
        <w:rPr>
          <w:rFonts w:eastAsia="Times New Roman"/>
        </w:rPr>
        <w:t>Г-1</w:t>
      </w:r>
      <w:r>
        <w:rPr>
          <w:rFonts w:eastAsia="Times New Roman"/>
        </w:rPr>
        <w:t xml:space="preserve"> – 1998</w:t>
      </w:r>
      <w:r>
        <w:rPr>
          <w:rFonts w:eastAsia="Times New Roman"/>
        </w:rPr>
        <w:t>г</w:t>
      </w:r>
      <w:r>
        <w:rPr>
          <w:rFonts w:eastAsia="Times New Roman"/>
        </w:rPr>
        <w:t xml:space="preserve">, </w:t>
      </w:r>
      <w:r>
        <w:rPr>
          <w:rFonts w:eastAsia="Times New Roman"/>
        </w:rPr>
        <w:t>Г-2 – 2001г</w:t>
      </w:r>
    </w:p>
    <w:p>
      <w:pPr>
        <w:pStyle w:val="ListParagraph"/>
        <w:ind w:firstLine="708" w:left="0"/>
        <w:jc w:val="both"/>
        <w:rPr>
          <w:rFonts w:eastAsia="Times New Roman"/>
        </w:rPr>
      </w:pPr>
      <w:r>
        <w:rPr>
          <w:rFonts w:eastAsia="Times New Roman"/>
        </w:rPr>
        <w:t>Капитальный ремонт гидрогенератор</w:t>
      </w:r>
      <w:r>
        <w:rPr>
          <w:rFonts w:eastAsia="Times New Roman"/>
        </w:rPr>
        <w:t>ов</w:t>
      </w:r>
      <w:r>
        <w:rPr>
          <w:rFonts w:eastAsia="Times New Roman"/>
        </w:rPr>
        <w:t xml:space="preserve"> выполняется 1 раз в 5 лет;</w:t>
      </w:r>
    </w:p>
    <w:p>
      <w:pPr>
        <w:pStyle w:val="ListParagraph"/>
        <w:ind w:firstLine="708" w:left="0"/>
        <w:jc w:val="both"/>
        <w:rPr>
          <w:rFonts w:eastAsia="Times New Roman"/>
        </w:rPr>
      </w:pPr>
      <w:r>
        <w:rPr>
          <w:rFonts w:eastAsia="Times New Roman"/>
        </w:rPr>
        <w:t xml:space="preserve">Текущий ремонт выполняется ежегодно; </w:t>
      </w:r>
    </w:p>
    <w:p>
      <w:pPr>
        <w:pStyle w:val="ListParagraph"/>
        <w:ind w:firstLine="708" w:left="0"/>
        <w:jc w:val="both"/>
        <w:rPr>
          <w:highlight w:val="none"/>
          <w:shd w:fill="auto" w:val="clear"/>
        </w:rPr>
      </w:pPr>
      <w:r>
        <w:rPr>
          <w:rFonts w:eastAsia="Times New Roman"/>
          <w:shd w:fill="auto" w:val="clear"/>
        </w:rPr>
        <w:t xml:space="preserve">Испытание на нагревание </w:t>
      </w:r>
      <w:r>
        <w:rPr>
          <w:rFonts w:eastAsia="Times New Roman"/>
          <w:shd w:fill="auto" w:val="clear"/>
        </w:rPr>
        <w:t xml:space="preserve">Г-1 </w:t>
      </w:r>
      <w:r>
        <w:rPr>
          <w:rFonts w:eastAsia="Times New Roman"/>
          <w:shd w:fill="auto" w:val="clear"/>
        </w:rPr>
        <w:t>проводится повторно</w:t>
      </w:r>
      <w:r>
        <w:rPr>
          <w:shd w:fill="auto" w:val="clear"/>
        </w:rPr>
        <w:t>;</w:t>
      </w:r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11" w:name="_Toc210563582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11"/>
    </w:p>
    <w:tbl>
      <w:tblPr>
        <w:tblW w:w="100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14"/>
        <w:gridCol w:w="2725"/>
        <w:gridCol w:w="2265"/>
        <w:gridCol w:w="2693"/>
        <w:gridCol w:w="1563"/>
      </w:tblGrid>
      <w:tr>
        <w:trPr/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1417" w:hRule="atLeast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i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Испытание на нагревание гидрогенератор</w:t>
            </w:r>
            <w:r>
              <w:rPr>
                <w:bCs/>
                <w:sz w:val="24"/>
                <w:szCs w:val="24"/>
              </w:rPr>
              <w:t>ов</w:t>
            </w:r>
            <w:r>
              <w:rPr>
                <w:bCs/>
                <w:sz w:val="24"/>
                <w:szCs w:val="24"/>
              </w:rPr>
              <w:t xml:space="preserve"> Ирганайской ГЭС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Ирганайская ГЭС</w:t>
            </w:r>
          </w:p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 xml:space="preserve">Филиал ПАО </w:t>
            </w:r>
            <w:r>
              <w:rPr>
                <w:bCs/>
                <w:sz w:val="24"/>
                <w:szCs w:val="24"/>
              </w:rPr>
              <w:t>«РусГидро» - «Дагестанский филиал»</w:t>
            </w:r>
            <w:r>
              <w:rPr>
                <w:rFonts w:eastAsia="Calibri"/>
                <w:i/>
                <w:sz w:val="24"/>
                <w:szCs w:val="24"/>
                <w:lang w:eastAsia="x-none"/>
              </w:rPr>
              <w:t>.</w:t>
            </w:r>
            <w:r>
              <w:rPr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Гидрогенератор синхронный вертикальн</w:t>
            </w:r>
            <w:r>
              <w:rPr>
                <w:rFonts w:eastAsia="Calibri"/>
                <w:sz w:val="24"/>
                <w:szCs w:val="24"/>
                <w:lang w:eastAsia="x-none"/>
              </w:rPr>
              <w:t>ый</w:t>
            </w:r>
            <w:r>
              <w:rPr>
                <w:rFonts w:eastAsia="Calibri"/>
                <w:sz w:val="24"/>
                <w:szCs w:val="24"/>
                <w:lang w:eastAsia="x-none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x-none"/>
              </w:rPr>
              <w:t>СВ-865/232-28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</w:tbl>
    <w:p>
      <w:pPr>
        <w:pStyle w:val="Heading4"/>
        <w:numPr>
          <w:ilvl w:val="1"/>
          <w:numId w:val="3"/>
        </w:numPr>
        <w:rPr/>
      </w:pPr>
      <w:bookmarkStart w:id="12" w:name="_Hlk49857604"/>
      <w:bookmarkStart w:id="13" w:name="_Toc210563583"/>
      <w:bookmarkStart w:id="14" w:name="_Toc46743509"/>
      <w:r>
        <w:rPr/>
        <w:t xml:space="preserve">Информация в отношении исполнения договора, </w:t>
      </w:r>
      <w:bookmarkStart w:id="15" w:name="_Hlk46492347"/>
      <w:r>
        <w:rPr/>
        <w:t xml:space="preserve">которая должна быть учтена при подготовке заявки </w:t>
      </w:r>
      <w:bookmarkEnd w:id="15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12"/>
      <w:bookmarkEnd w:id="13"/>
      <w:bookmarkEnd w:id="14"/>
      <w:r>
        <w:rPr>
          <w:lang w:val="ru-RU"/>
        </w:rPr>
        <w:t xml:space="preserve">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426"/>
        <w:jc w:val="both"/>
        <w:rPr>
          <w:rFonts w:eastAsia="Calibri"/>
          <w:sz w:val="24"/>
          <w:szCs w:val="24"/>
          <w:lang w:eastAsia="x-none"/>
        </w:rPr>
      </w:pPr>
      <w:bookmarkStart w:id="16" w:name="_Hlk48209761"/>
      <w:bookmarkEnd w:id="16"/>
      <w:r>
        <w:rPr>
          <w:rFonts w:eastAsia="Calibri"/>
          <w:sz w:val="24"/>
          <w:szCs w:val="24"/>
          <w:lang w:eastAsia="x-none"/>
        </w:rPr>
        <w:t xml:space="preserve">Заказчик предоставляет подрядчику: </w:t>
      </w:r>
    </w:p>
    <w:p>
      <w:pPr>
        <w:pStyle w:val="ListParagraph"/>
        <w:numPr>
          <w:ilvl w:val="0"/>
          <w:numId w:val="11"/>
        </w:numPr>
        <w:jc w:val="both"/>
        <w:rPr>
          <w:bCs/>
          <w:lang w:val="en-US"/>
        </w:rPr>
      </w:pPr>
      <w:r>
        <w:rPr>
          <w:bCs/>
          <w:lang w:val="en-US"/>
        </w:rPr>
        <w:t>Паспорт</w:t>
      </w:r>
      <w:r>
        <w:rPr>
          <w:bCs/>
          <w:lang w:val="en-US"/>
        </w:rPr>
        <w:t>а</w:t>
      </w:r>
      <w:r>
        <w:rPr>
          <w:bCs/>
          <w:lang w:val="en-US"/>
        </w:rPr>
        <w:t xml:space="preserve"> на гидрогенератор</w:t>
      </w:r>
      <w:r>
        <w:rPr>
          <w:bCs/>
          <w:lang w:val="en-US"/>
        </w:rPr>
        <w:t>ы</w:t>
      </w:r>
      <w:r>
        <w:rPr>
          <w:bCs/>
          <w:lang w:val="en-US"/>
        </w:rPr>
        <w:t>;</w:t>
      </w:r>
    </w:p>
    <w:p>
      <w:pPr>
        <w:pStyle w:val="ListParagraph"/>
        <w:numPr>
          <w:ilvl w:val="0"/>
          <w:numId w:val="11"/>
        </w:numPr>
        <w:jc w:val="both"/>
        <w:rPr>
          <w:bCs/>
        </w:rPr>
      </w:pPr>
      <w:r>
        <w:rPr>
          <w:bCs/>
        </w:rPr>
        <w:t>Инструкция по монтажу и эксплуатации гидрогенератора</w:t>
      </w:r>
      <w:r>
        <w:rPr>
          <w:lang w:eastAsia="x-none"/>
        </w:rPr>
        <w:t>;</w:t>
      </w:r>
    </w:p>
    <w:p>
      <w:pPr>
        <w:pStyle w:val="Normal"/>
        <w:spacing w:before="0" w:after="0"/>
        <w:ind w:firstLine="709"/>
        <w:contextualSpacing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  <w:lang w:val="ru-RU"/>
        </w:rPr>
      </w:pPr>
      <w:bookmarkStart w:id="17" w:name="_Toc46743510"/>
      <w:bookmarkStart w:id="18" w:name="_Toc210563584"/>
      <w:bookmarkStart w:id="19" w:name="_Toc51339693"/>
      <w:bookmarkStart w:id="20" w:name="_Hlk48209761_Копия_1"/>
      <w:bookmarkStart w:id="21" w:name="_Toc50125126"/>
      <w:bookmarkEnd w:id="20"/>
      <w:bookmarkEnd w:id="21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18"/>
      <w:bookmarkEnd w:id="19"/>
    </w:p>
    <w:p>
      <w:pPr>
        <w:pStyle w:val="Heading4"/>
        <w:numPr>
          <w:ilvl w:val="1"/>
          <w:numId w:val="3"/>
        </w:numPr>
        <w:rPr/>
      </w:pPr>
      <w:bookmarkStart w:id="22" w:name="_Toc210563585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22"/>
    </w:p>
    <w:p>
      <w:pPr>
        <w:pStyle w:val="Heading3"/>
        <w:numPr>
          <w:ilvl w:val="2"/>
          <w:numId w:val="3"/>
        </w:numPr>
        <w:rPr/>
      </w:pPr>
      <w:bookmarkStart w:id="23" w:name="_Toc210563586"/>
      <w:r>
        <w:rPr>
          <w:lang w:val="ru-RU"/>
        </w:rPr>
        <w:t>Требования к перечню и объему услуг</w:t>
      </w:r>
      <w:bookmarkEnd w:id="23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24" w:name="_Toc210563587"/>
      <w:bookmarkStart w:id="25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5"/>
      <w:r>
        <w:rPr>
          <w:sz w:val="24"/>
          <w:szCs w:val="24"/>
          <w:lang w:val="ru-RU"/>
        </w:rPr>
        <w:t>и объем оказываемых услуг</w:t>
      </w:r>
      <w:bookmarkEnd w:id="24"/>
    </w:p>
    <w:tbl>
      <w:tblPr>
        <w:tblW w:w="98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9"/>
        <w:gridCol w:w="4849"/>
        <w:gridCol w:w="1988"/>
        <w:gridCol w:w="2123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8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9"/>
              </w:numPr>
              <w:suppressAutoHyphens w:val="true"/>
              <w:rPr/>
            </w:pPr>
            <w:r>
              <w:rPr/>
            </w:r>
          </w:p>
        </w:tc>
        <w:tc>
          <w:tcPr>
            <w:tcW w:w="8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i/>
                <w:i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Испытание на нагревание гидрогенератора №1 Ирганайской ГЭС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color w:val="000000" w:themeColor="text1"/>
                <w:sz w:val="24"/>
                <w:szCs w:val="24"/>
              </w:rPr>
              <w:t xml:space="preserve">Разработка и утверждение рабочей программы проведения испытаний </w:t>
            </w:r>
            <w:r>
              <w:rPr>
                <w:sz w:val="24"/>
                <w:szCs w:val="24"/>
              </w:rPr>
              <w:t xml:space="preserve">в соответствии с требованиями приложения Б </w:t>
            </w:r>
            <w:r>
              <w:rPr>
                <w:rFonts w:eastAsia="TimesNewRoman,Bold"/>
                <w:bCs/>
                <w:sz w:val="24"/>
                <w:szCs w:val="24"/>
              </w:rPr>
              <w:t>ГОСТ Р 55260.2.2-2023 Гидроэлектростанции. Часть 2-2. Гидрогенераторы. Методики оценки технического</w:t>
            </w:r>
            <w:r>
              <w:rPr>
                <w:sz w:val="24"/>
                <w:szCs w:val="24"/>
              </w:rPr>
              <w:t xml:space="preserve"> состояния</w:t>
            </w:r>
          </w:p>
        </w:tc>
        <w:tc>
          <w:tcPr>
            <w:tcW w:w="41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рабочей программой проведения испытаний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.2.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/>
            </w:pPr>
            <w:r>
              <w:rPr>
                <w:color w:val="000000" w:themeColor="text1"/>
                <w:sz w:val="24"/>
                <w:szCs w:val="24"/>
              </w:rPr>
              <w:t>Анализ технической документации на гидрогенератор</w:t>
            </w:r>
          </w:p>
        </w:tc>
        <w:tc>
          <w:tcPr>
            <w:tcW w:w="4111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1.3.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 сопротивления обмотки ротора и заложенных термопреобразователей сопротивления в холодном состоянии.</w:t>
            </w:r>
          </w:p>
        </w:tc>
        <w:tc>
          <w:tcPr>
            <w:tcW w:w="4111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четырех опытов на нагревание с нагрузками порядка 60, 75, 90, 100% номинальной мощности при номинальном или близком к нему коэффициенте мощности.</w:t>
            </w:r>
          </w:p>
        </w:tc>
        <w:tc>
          <w:tcPr>
            <w:tcW w:w="4111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60" w:leader="none"/>
              </w:tabs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 регулировочной характеристики, номинального и наибольшего токов возбуждения при номинальных условиях и при отклонении напряжения и тока статора на +/-5% номинальных значений.</w:t>
            </w:r>
          </w:p>
        </w:tc>
        <w:tc>
          <w:tcPr>
            <w:tcW w:w="4111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15" w:hRule="atLeast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1.6.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 технического отчета</w:t>
            </w:r>
          </w:p>
        </w:tc>
        <w:tc>
          <w:tcPr>
            <w:tcW w:w="4111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26" w:name="_Toc210563588"/>
      <w:bookmarkStart w:id="27" w:name="_Toc51339696"/>
      <w:r>
        <w:rPr>
          <w:lang w:val="ru-RU"/>
        </w:rPr>
        <w:t xml:space="preserve">Требования </w:t>
      </w:r>
      <w:bookmarkEnd w:id="27"/>
      <w:r>
        <w:rPr>
          <w:lang w:val="ru-RU"/>
        </w:rPr>
        <w:t>к срокам оказания услуг</w:t>
      </w:r>
      <w:bookmarkEnd w:id="26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28" w:name="_Toc210563589"/>
      <w:bookmarkStart w:id="29" w:name="_Toc51339697"/>
      <w:bookmarkStart w:id="30" w:name="_Toc50125127"/>
      <w:bookmarkStart w:id="31" w:name="_Toc50125126_Копия_1"/>
      <w:bookmarkEnd w:id="31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32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29"/>
      <w:bookmarkEnd w:id="30"/>
      <w:bookmarkEnd w:id="32"/>
      <w:r>
        <w:rPr>
          <w:sz w:val="24"/>
          <w:szCs w:val="24"/>
          <w:lang w:val="ru-RU"/>
        </w:rPr>
        <w:t>оказания услуг</w:t>
      </w:r>
      <w:bookmarkEnd w:id="28"/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29"/>
        <w:gridCol w:w="3402"/>
        <w:gridCol w:w="2127"/>
        <w:gridCol w:w="3117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numPr>
                <w:ilvl w:val="0"/>
                <w:numId w:val="10"/>
              </w:numPr>
              <w:suppressAutoHyphens w:val="true"/>
              <w:rPr/>
            </w:pPr>
            <w:r>
              <w:rPr/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left"/>
              <w:rPr>
                <w:b w:val="false"/>
                <w:bCs w:val="false"/>
              </w:rPr>
            </w:pPr>
            <w:r>
              <w:rPr>
                <w:rFonts w:eastAsia="Calibri"/>
                <w:b w:val="false"/>
                <w:bCs w:val="false"/>
                <w:sz w:val="26"/>
                <w:szCs w:val="26"/>
                <w:lang w:eastAsia="x-none"/>
              </w:rPr>
              <w:t>Проведение испытаний на нагревание гидрогенератор</w:t>
            </w:r>
            <w:r>
              <w:rPr>
                <w:rFonts w:eastAsia="Calibri"/>
                <w:b w:val="false"/>
                <w:bCs w:val="false"/>
                <w:sz w:val="26"/>
                <w:szCs w:val="26"/>
                <w:lang w:eastAsia="x-none"/>
              </w:rPr>
              <w:t>ов</w:t>
            </w:r>
            <w:r>
              <w:rPr>
                <w:rFonts w:eastAsia="Calibri"/>
                <w:b w:val="false"/>
                <w:bCs w:val="false"/>
                <w:sz w:val="26"/>
                <w:szCs w:val="26"/>
                <w:lang w:eastAsia="x-none"/>
              </w:rPr>
              <w:t xml:space="preserve"> №№1и2 Ирганайской ГЭС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течении </w:t>
            </w:r>
            <w:r>
              <w:rPr>
                <w:sz w:val="24"/>
                <w:szCs w:val="24"/>
                <w:lang w:val="en-US"/>
              </w:rPr>
              <w:t xml:space="preserve">9 </w:t>
            </w:r>
            <w:r>
              <w:rPr>
                <w:sz w:val="24"/>
                <w:szCs w:val="24"/>
              </w:rPr>
              <w:t>месяцев</w:t>
            </w:r>
            <w:bookmarkEnd w:id="17"/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33" w:name="_Toc51339698"/>
      <w:bookmarkStart w:id="34" w:name="_Toc210563590"/>
      <w:bookmarkStart w:id="35" w:name="_Toc46743511"/>
      <w:r>
        <w:rPr/>
        <w:t xml:space="preserve">Требования к </w:t>
      </w:r>
      <w:bookmarkEnd w:id="35"/>
      <w:r>
        <w:rPr>
          <w:lang w:val="ru-RU"/>
        </w:rPr>
        <w:t>качеству услуг</w:t>
      </w:r>
      <w:bookmarkEnd w:id="34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</w:rPr>
      </w:pPr>
      <w:bookmarkStart w:id="36" w:name="_Toc210563591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33"/>
      <w:r>
        <w:rPr>
          <w:sz w:val="24"/>
          <w:szCs w:val="24"/>
          <w:lang w:val="ru-RU"/>
        </w:rPr>
        <w:t>качеству услуг</w:t>
      </w:r>
      <w:bookmarkEnd w:id="36"/>
      <w:r>
        <w:rPr>
          <w:sz w:val="24"/>
          <w:szCs w:val="24"/>
        </w:rPr>
        <w:t xml:space="preserve"> </w:t>
      </w:r>
    </w:p>
    <w:tbl>
      <w:tblPr>
        <w:tblStyle w:val="af"/>
        <w:tblW w:w="1488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1"/>
        <w:gridCol w:w="2267"/>
        <w:gridCol w:w="3403"/>
        <w:gridCol w:w="2692"/>
        <w:gridCol w:w="2927"/>
        <w:gridCol w:w="2744"/>
      </w:tblGrid>
      <w:tr>
        <w:trPr/>
        <w:tc>
          <w:tcPr>
            <w:tcW w:w="851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67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403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5619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744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67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403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9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744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37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37"/>
          </w:p>
        </w:tc>
        <w:tc>
          <w:tcPr>
            <w:tcW w:w="226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40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92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74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70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</w:r>
          </w:p>
        </w:tc>
        <w:tc>
          <w:tcPr>
            <w:tcW w:w="2692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7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4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670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Общие требования к оказанию услуг </w:t>
            </w:r>
          </w:p>
        </w:tc>
        <w:tc>
          <w:tcPr>
            <w:tcW w:w="2692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7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4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Соблюдение при выполнении работ норм и правил нормативно-технических документов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3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При выполнении работ подрядчик должен руководствоваться следующими национальными, отраслевыми и корпоративными нормативно-техническими документами (НТД):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firstLine="11" w:left="16"/>
              <w:contextualSpacing/>
              <w:jc w:val="both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 xml:space="preserve">Правилами технической эксплуатации электрических станций и сетей Российской Федерации. (утв. приказом Минэнерго Российской Федерации от </w:t>
            </w:r>
            <w:r>
              <w:rPr>
                <w:rFonts w:eastAsia="Times New Roman" w:cs="Times New Roman"/>
                <w:iCs/>
                <w:kern w:val="0"/>
                <w:lang w:val="en-US" w:eastAsia="ru-RU" w:bidi="ar-SA"/>
              </w:rPr>
              <w:t>04</w:t>
            </w: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.</w:t>
            </w:r>
            <w:r>
              <w:rPr>
                <w:rFonts w:eastAsia="Times New Roman" w:cs="Times New Roman"/>
                <w:iCs/>
                <w:kern w:val="0"/>
                <w:lang w:val="en-US" w:eastAsia="ru-RU" w:bidi="ar-SA"/>
              </w:rPr>
              <w:t>1</w:t>
            </w: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0.20</w:t>
            </w:r>
            <w:r>
              <w:rPr>
                <w:rFonts w:eastAsia="Times New Roman" w:cs="Times New Roman"/>
                <w:iCs/>
                <w:kern w:val="0"/>
                <w:lang w:val="en-US" w:eastAsia="ru-RU" w:bidi="ar-SA"/>
              </w:rPr>
              <w:t>22</w:t>
            </w: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 xml:space="preserve"> №</w:t>
            </w:r>
            <w:r>
              <w:rPr>
                <w:rFonts w:eastAsia="Times New Roman" w:cs="Times New Roman"/>
                <w:iCs/>
                <w:kern w:val="0"/>
                <w:lang w:val="en-US" w:eastAsia="ru-RU" w:bidi="ar-SA"/>
              </w:rPr>
              <w:t>1070</w:t>
            </w: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)</w:t>
            </w:r>
            <w:r>
              <w:rPr>
                <w:rFonts w:eastAsia="Times New Roman" w:cs="Times New Roman"/>
                <w:iCs/>
                <w:kern w:val="0"/>
                <w:lang w:val="en-US" w:eastAsia="ru-RU" w:bidi="ar-SA"/>
              </w:rPr>
              <w:t>;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firstLine="11" w:left="16"/>
              <w:contextualSpacing/>
              <w:jc w:val="both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 xml:space="preserve">Правила по охране труда при размещении, монтаже, техническом обслуживании и ремонте технологического оборудования утв. приказом Министерства труда и социальной защиты РФ от 27.11.2020 г. № 833н;   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firstLine="142" w:left="16"/>
              <w:contextualSpacing/>
              <w:jc w:val="both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 xml:space="preserve">Правила по охране труда при погрузочно-разгрузочных работах и размещении грузов утв. приказом Министерства труда и социальной защиты РФ от 28.10.2020 г. № 753н;  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firstLine="142" w:left="16"/>
              <w:contextualSpacing/>
              <w:jc w:val="both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 xml:space="preserve">Правила по охране труда при работе с инструментом и приспособлениями утв. приказом Министерства труда и социальной защиты РФ от 27.11.2020 г. № 835н; 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firstLine="142" w:left="16"/>
              <w:contextualSpacing/>
              <w:jc w:val="both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Правила по охране труда при эксплуатации электроустановок утв. приказом Министерства труда и социальной защиты РФ от 15.12.2020 г. № 903н.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firstLine="142" w:left="16"/>
              <w:contextualSpacing/>
              <w:jc w:val="both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Правила по охране труда при работе на высоте утв. приказом Министерства труда и социальной защиты РФ от 16.11.2020 г. № 782н.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firstLine="142" w:left="16"/>
              <w:contextualSpacing/>
              <w:jc w:val="both"/>
              <w:rPr>
                <w:rFonts w:eastAsia="Times New Roman"/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Правила противопожарного режима в РФ утв. постановлением Правительства РФ от 16.09.2020 № 1479.</w:t>
            </w:r>
          </w:p>
        </w:tc>
        <w:tc>
          <w:tcPr>
            <w:tcW w:w="269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Style27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4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7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способам оказания услуг</w:t>
            </w:r>
          </w:p>
        </w:tc>
        <w:tc>
          <w:tcPr>
            <w:tcW w:w="2692" w:type="dxa"/>
            <w:tcBorders/>
            <w:shd w:color="auto" w:fill="auto" w:val="clear"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4" w:type="dxa"/>
            <w:tcBorders/>
            <w:shd w:color="auto" w:fill="auto" w:val="clear"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Требование к способам оказания услуг охраны</w:t>
            </w:r>
          </w:p>
        </w:tc>
        <w:tc>
          <w:tcPr>
            <w:tcW w:w="3403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Применять досмотровые технические средства охраны (переносные и стационарные), имеющиеся на охраняемом Объекте, с целью недопущения проноса (провоза) на охраняемый Объект вооружения, взрывчатых веществ и самодельных взрывных устройств и их элементов, а также других запрещенных предметов</w:t>
            </w:r>
          </w:p>
        </w:tc>
        <w:tc>
          <w:tcPr>
            <w:tcW w:w="269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4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70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0"/>
              <w:jc w:val="left"/>
              <w:rPr>
                <w:b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  <w:tc>
          <w:tcPr>
            <w:tcW w:w="2692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7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4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Организационно-технические мероприятия по допуску персонала подрядчика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iCs/>
                <w:sz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lang w:val="ru-RU" w:eastAsia="ru-RU" w:bidi="ar-SA"/>
              </w:rPr>
              <w:t>Допуск персонала подрядчика для выполнения работ должен осуществляться в соответствии с приказом ПАО «РусГидро» от 28.04.2023 № 300 «Об утверждении Регламента процесса «Допуск персонала подрядных организаций на объекты ПАО «РусГидро» с обязательным оформлением необходимых нарядов-допусков.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lang w:val="ru-RU" w:eastAsia="ru-RU" w:bidi="ar-SA"/>
              </w:rPr>
              <w:t>Подготовку рабочих мест и допуск к выполнению работ выполняет персонал заказчика.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27" w:type="dxa"/>
            <w:tcBorders/>
          </w:tcPr>
          <w:p>
            <w:pPr>
              <w:pStyle w:val="Style27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70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692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7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4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используемым запасным частям и материалам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Запасные части и материалы, необходимые для оказания услуг, приобретаются исполнителем самостоятельно.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Все поставляемые и применяемые запасные части и материалы должны быть новыми и не использованными ранее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2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</w:p>
        </w:tc>
        <w:tc>
          <w:tcPr>
            <w:tcW w:w="27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7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2692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7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4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Квалификация персонала исполнителя, привлекаемого к оказанию услуг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340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в штате у Подрядчика собственного или привлеченного персонала (по трудовым либо по гражданско-правовым договорам) не менее:</w:t>
            </w:r>
          </w:p>
          <w:p>
            <w:pPr>
              <w:pStyle w:val="Normal"/>
              <w:widowControl/>
              <w:numPr>
                <w:ilvl w:val="0"/>
                <w:numId w:val="12"/>
              </w:numPr>
              <w:tabs>
                <w:tab w:val="clear" w:pos="708"/>
                <w:tab w:val="left" w:pos="317" w:leader="none"/>
              </w:tabs>
              <w:suppressAutoHyphens w:val="true"/>
              <w:spacing w:before="0" w:after="0"/>
              <w:ind w:hanging="0" w:left="34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 руководителя работ с группой по электробезопасности не менее 5;</w:t>
            </w:r>
          </w:p>
          <w:p>
            <w:pPr>
              <w:pStyle w:val="Normal"/>
              <w:widowControl/>
              <w:numPr>
                <w:ilvl w:val="0"/>
                <w:numId w:val="12"/>
              </w:numPr>
              <w:tabs>
                <w:tab w:val="clear" w:pos="708"/>
                <w:tab w:val="left" w:pos="317" w:leader="none"/>
              </w:tabs>
              <w:suppressAutoHyphens w:val="true"/>
              <w:spacing w:before="0" w:after="0"/>
              <w:ind w:hanging="0" w:left="34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 специалистов для выполнения электромонтажных работ с группой по электробезопасности не менее 4;</w:t>
            </w:r>
          </w:p>
          <w:p>
            <w:pPr>
              <w:pStyle w:val="Normal"/>
              <w:widowControl/>
              <w:tabs>
                <w:tab w:val="clear" w:pos="708"/>
                <w:tab w:val="left" w:pos="317" w:leader="none"/>
              </w:tabs>
              <w:suppressAutoHyphens w:val="true"/>
              <w:spacing w:before="0" w:after="0"/>
              <w:ind w:left="34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До начала проведения работ в рамках исполнения договора после его заключения подрядчик предоставляет список персонала с указанием сведений  о квалификации персонала, разряде и группе по электробезопасности  с приложением копий  удостоверений на производство специальных видов работ 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2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7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70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2692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7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4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70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Оформление результатов испытаний, выдача рекомендаций и предложений </w:t>
            </w:r>
          </w:p>
        </w:tc>
        <w:tc>
          <w:tcPr>
            <w:tcW w:w="2692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7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4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Результат оказания услуг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340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lang w:val="ru-RU" w:eastAsia="ru-RU" w:bidi="ar-SA"/>
              </w:rPr>
              <w:t xml:space="preserve">По результатам работ выдается </w:t>
            </w:r>
            <w:r>
              <w:rPr>
                <w:rFonts w:eastAsia="Times New Roman" w:cs="Times New Roman"/>
                <w:bCs/>
                <w:color w:val="000000"/>
                <w:kern w:val="0"/>
                <w:sz w:val="24"/>
                <w:lang w:val="ru-RU" w:eastAsia="ru-RU" w:bidi="ar-SA"/>
              </w:rPr>
              <w:t xml:space="preserve">технический отчёт </w:t>
            </w:r>
            <w:r>
              <w:rPr>
                <w:rFonts w:eastAsia="Times New Roman" w:cs="Times New Roman"/>
                <w:color w:val="000000"/>
                <w:kern w:val="0"/>
                <w:sz w:val="24"/>
                <w:lang w:val="ru-RU" w:eastAsia="ru-RU" w:bidi="ar-SA"/>
              </w:rPr>
              <w:t>с выводами и рекомендациями по дальнейшей  эксплуатации гидрогенератора №1  Гунибской ГЭС.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27" w:type="dxa"/>
            <w:tcBorders/>
          </w:tcPr>
          <w:p>
            <w:pPr>
              <w:pStyle w:val="Style27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70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692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7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4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Документы, передаваемые заказчику по результатам оказанных услуг</w:t>
            </w:r>
          </w:p>
        </w:tc>
        <w:tc>
          <w:tcPr>
            <w:tcW w:w="340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По результатам работы Подрядчик оформляет технический отчет о проведенной работе (раздели отчета) на бумажном носителе в количестве 3 экземпляров и на электронном носителе в формате *doc, *xls.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27" w:type="dxa"/>
            <w:tcBorders/>
          </w:tcPr>
          <w:p>
            <w:pPr>
              <w:pStyle w:val="Style27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lang w:val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44" w:type="dxa"/>
            <w:tcBorders/>
          </w:tcPr>
          <w:p>
            <w:pPr>
              <w:pStyle w:val="Style27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70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4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2692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7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4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337" w:hRule="atLeast"/>
        </w:trPr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Соблюдение при выполнении работ норм и правил нормативно-технических документов: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  <w:p>
            <w:pPr>
              <w:pStyle w:val="Style27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40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Услуги должны осуществляться в соответствии с национальными, отраслевыми и корпоративными (ПАО «РусГидро») нормативно-техническими документами (НТД) и нормативно-правовыми актами (НПА):</w:t>
            </w:r>
          </w:p>
          <w:p>
            <w:pPr>
              <w:pStyle w:val="Normal"/>
              <w:widowControl/>
              <w:numPr>
                <w:ilvl w:val="0"/>
                <w:numId w:val="13"/>
              </w:numPr>
              <w:tabs>
                <w:tab w:val="clear" w:pos="708"/>
                <w:tab w:val="left" w:pos="316" w:leader="none"/>
                <w:tab w:val="left" w:pos="884" w:leader="none"/>
              </w:tabs>
              <w:suppressAutoHyphens w:val="true"/>
              <w:spacing w:before="0" w:after="0"/>
              <w:ind w:firstLine="360" w:lef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Правила по охране труда при эксплуатации электроустановок (действующее издание);</w:t>
            </w:r>
          </w:p>
          <w:p>
            <w:pPr>
              <w:pStyle w:val="ListParagraph"/>
              <w:widowControl/>
              <w:numPr>
                <w:ilvl w:val="0"/>
                <w:numId w:val="13"/>
              </w:numPr>
              <w:tabs>
                <w:tab w:val="clear" w:pos="708"/>
                <w:tab w:val="left" w:pos="-53" w:leader="none"/>
              </w:tabs>
              <w:suppressAutoHyphens w:val="true"/>
              <w:spacing w:before="0" w:after="0"/>
              <w:ind w:firstLine="360" w:left="0"/>
              <w:contextualSpacing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ФНП в области промышленной безопасности «Правила безопасности ОПО, на которых используются подъемные сооружения» (действующее издание);</w:t>
            </w:r>
          </w:p>
          <w:p>
            <w:pPr>
              <w:pStyle w:val="Normal"/>
              <w:widowControl/>
              <w:numPr>
                <w:ilvl w:val="0"/>
                <w:numId w:val="13"/>
              </w:numPr>
              <w:tabs>
                <w:tab w:val="clear" w:pos="708"/>
                <w:tab w:val="left" w:pos="316" w:leader="none"/>
                <w:tab w:val="left" w:pos="742" w:leader="none"/>
                <w:tab w:val="left" w:pos="884" w:leader="none"/>
              </w:tabs>
              <w:suppressAutoHyphens w:val="true"/>
              <w:spacing w:before="0" w:after="0"/>
              <w:ind w:firstLine="360" w:lef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СНиП 12-03-2001 «Безопасность труда в строительстве» ч.1,2.</w:t>
            </w:r>
          </w:p>
          <w:p>
            <w:pPr>
              <w:pStyle w:val="Normal"/>
              <w:widowControl/>
              <w:numPr>
                <w:ilvl w:val="0"/>
                <w:numId w:val="13"/>
              </w:numPr>
              <w:tabs>
                <w:tab w:val="clear" w:pos="708"/>
                <w:tab w:val="left" w:pos="316" w:leader="none"/>
                <w:tab w:val="left" w:pos="742" w:leader="none"/>
                <w:tab w:val="left" w:pos="884" w:leader="none"/>
              </w:tabs>
              <w:suppressAutoHyphens w:val="true"/>
              <w:spacing w:before="0" w:after="0"/>
              <w:ind w:firstLine="360" w:lef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Правила по охране труда при работе на высоте (действующее издание).</w:t>
            </w:r>
          </w:p>
          <w:p>
            <w:pPr>
              <w:pStyle w:val="Normal"/>
              <w:widowControl/>
              <w:numPr>
                <w:ilvl w:val="0"/>
                <w:numId w:val="13"/>
              </w:numPr>
              <w:tabs>
                <w:tab w:val="clear" w:pos="708"/>
                <w:tab w:val="left" w:pos="316" w:leader="none"/>
                <w:tab w:val="left" w:pos="742" w:leader="none"/>
                <w:tab w:val="left" w:pos="884" w:leader="none"/>
              </w:tabs>
              <w:suppressAutoHyphens w:val="true"/>
              <w:spacing w:before="0" w:after="0"/>
              <w:ind w:firstLine="360" w:lef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РД 34.03.204 «Правила безопасности при работе с инструментом и приспособлениями».</w:t>
            </w:r>
          </w:p>
          <w:p>
            <w:pPr>
              <w:pStyle w:val="Normal"/>
              <w:widowControl/>
              <w:numPr>
                <w:ilvl w:val="0"/>
                <w:numId w:val="13"/>
              </w:numPr>
              <w:tabs>
                <w:tab w:val="clear" w:pos="708"/>
                <w:tab w:val="left" w:pos="316" w:leader="none"/>
                <w:tab w:val="left" w:pos="742" w:leader="none"/>
                <w:tab w:val="left" w:pos="884" w:leader="none"/>
              </w:tabs>
              <w:suppressAutoHyphens w:val="true"/>
              <w:spacing w:before="0" w:after="0"/>
              <w:ind w:firstLine="360" w:lef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РД 153-34.0-03.301-00 (ВППБ 01-02-95) «Правила пожарной безопасности для энергетических предприятий».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27" w:type="dxa"/>
            <w:tcBorders/>
          </w:tcPr>
          <w:p>
            <w:pPr>
              <w:pStyle w:val="Style27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lang w:val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44" w:type="dxa"/>
            <w:tcBorders/>
          </w:tcPr>
          <w:p>
            <w:pPr>
              <w:pStyle w:val="Style27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70" w:type="dxa"/>
            <w:gridSpan w:val="2"/>
            <w:tcBorders/>
            <w:vAlign w:val="center"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2692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7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4" w:type="dxa"/>
            <w:tcBorders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соисполнителям, привлекаемым к оказанию услуг</w:t>
            </w:r>
          </w:p>
        </w:tc>
        <w:tc>
          <w:tcPr>
            <w:tcW w:w="340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В случае привлечения к оказанию услуг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соисполнителей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 исполнитель обязан представить заказчику на момент согласования договора документы, подтверждающие соответствие их квалификационного уровня, а также готовность и возможность оказания ими услуг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27" w:type="dxa"/>
            <w:tcBorders/>
          </w:tcPr>
          <w:p>
            <w:pPr>
              <w:pStyle w:val="Style27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lang w:val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744" w:type="dxa"/>
            <w:tcBorders/>
          </w:tcPr>
          <w:p>
            <w:pPr>
              <w:pStyle w:val="Style27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lang w:val="ru-RU"/>
        </w:rPr>
      </w:pPr>
      <w:bookmarkStart w:id="38" w:name="_Toc210563592"/>
      <w:bookmarkStart w:id="39" w:name="_Toc125709846"/>
      <w:bookmarkStart w:id="40" w:name="_Toc53395937"/>
      <w:bookmarkStart w:id="41" w:name="_Toc53393312"/>
      <w:bookmarkStart w:id="42" w:name="_Toc51339699"/>
      <w:bookmarkStart w:id="43" w:name="_Toc46743519"/>
      <w:bookmarkEnd w:id="42"/>
      <w:bookmarkEnd w:id="43"/>
      <w:r>
        <w:rPr>
          <w:lang w:val="ru-RU"/>
        </w:rPr>
        <w:t>Требования к документации по ценообразованию</w:t>
      </w:r>
      <w:bookmarkEnd w:id="38"/>
      <w:bookmarkEnd w:id="39"/>
      <w:bookmarkEnd w:id="40"/>
      <w:bookmarkEnd w:id="41"/>
    </w:p>
    <w:p>
      <w:pPr>
        <w:pStyle w:val="ConsPlusNormal1"/>
        <w:spacing w:before="0" w:after="0"/>
        <w:ind w:firstLine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 определении стоимости работ (услуг) и оформлению сметной документации применять в обязательном порядке «Требования к оформлению и составлению сметной документации», указанные в Приложениях №№ 1 Технических требований.</w:t>
      </w:r>
    </w:p>
    <w:p>
      <w:pPr>
        <w:pStyle w:val="Heading1"/>
        <w:keepLines/>
        <w:numPr>
          <w:ilvl w:val="0"/>
          <w:numId w:val="0"/>
        </w:numPr>
        <w:ind w:hanging="0" w:left="357"/>
        <w:rPr>
          <w:iCs/>
          <w:caps/>
          <w:lang w:val="ru-RU"/>
        </w:rPr>
      </w:pPr>
      <w:r>
        <w:rPr>
          <w:iCs/>
          <w:caps/>
          <w:lang w:val="ru-RU"/>
        </w:rPr>
      </w:r>
    </w:p>
    <w:p>
      <w:pPr>
        <w:pStyle w:val="Normal"/>
        <w:rPr>
          <w:iCs/>
          <w:caps/>
        </w:rPr>
      </w:pPr>
      <w:r>
        <w:rPr>
          <w:iCs/>
          <w:caps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</w:rPr>
      </w:pPr>
      <w:bookmarkStart w:id="44" w:name="_Toc210563593"/>
      <w:bookmarkStart w:id="45" w:name="_Toc125709847"/>
      <w:r>
        <w:rPr>
          <w:iCs/>
          <w:lang w:val="ru-RU"/>
        </w:rPr>
        <w:t>Приложения</w:t>
      </w:r>
      <w:bookmarkEnd w:id="44"/>
      <w:bookmarkEnd w:id="45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p>
      <w:pPr>
        <w:pStyle w:val="Heading4"/>
        <w:numPr>
          <w:ilvl w:val="1"/>
          <w:numId w:val="3"/>
        </w:numPr>
        <w:rPr>
          <w:b w:val="false"/>
        </w:rPr>
      </w:pPr>
      <w:bookmarkStart w:id="46" w:name="_Toc210563594"/>
      <w:r>
        <w:rPr>
          <w:b w:val="false"/>
        </w:rPr>
        <w:t xml:space="preserve">Паспорт на </w:t>
      </w:r>
      <w:r>
        <w:rPr>
          <w:b w:val="false"/>
          <w:lang w:val="en-US"/>
        </w:rPr>
        <w:t>гидрогенератор</w:t>
      </w:r>
      <w:r>
        <w:rPr>
          <w:b w:val="false"/>
        </w:rPr>
        <w:t>;</w:t>
      </w:r>
      <w:bookmarkEnd w:id="46"/>
    </w:p>
    <w:p>
      <w:pPr>
        <w:pStyle w:val="Heading4"/>
        <w:numPr>
          <w:ilvl w:val="1"/>
          <w:numId w:val="3"/>
        </w:numPr>
        <w:rPr>
          <w:b w:val="false"/>
        </w:rPr>
      </w:pPr>
      <w:bookmarkStart w:id="47" w:name="_Toc210563595"/>
      <w:r>
        <w:rPr>
          <w:b w:val="false"/>
        </w:rPr>
        <w:t xml:space="preserve">Инструкция </w:t>
      </w:r>
      <w:r>
        <w:rPr>
          <w:b w:val="false"/>
          <w:lang w:val="ru-RU"/>
        </w:rPr>
        <w:t xml:space="preserve">по монтажу и </w:t>
      </w:r>
      <w:r>
        <w:rPr>
          <w:b w:val="false"/>
        </w:rPr>
        <w:t xml:space="preserve">эксплуатации </w:t>
      </w:r>
      <w:r>
        <w:rPr>
          <w:b w:val="false"/>
          <w:lang w:val="ru-RU"/>
        </w:rPr>
        <w:t>гидрогенератора</w:t>
      </w:r>
      <w:r>
        <w:rPr>
          <w:b w:val="false"/>
        </w:rPr>
        <w:t>;</w:t>
      </w:r>
      <w:bookmarkEnd w:id="47"/>
    </w:p>
    <w:p>
      <w:pPr>
        <w:pStyle w:val="Heading1"/>
        <w:keepLines/>
        <w:numPr>
          <w:ilvl w:val="0"/>
          <w:numId w:val="0"/>
        </w:numPr>
        <w:ind w:hanging="0" w:left="357"/>
        <w:rPr>
          <w:iCs/>
        </w:rPr>
      </w:pPr>
      <w:r>
        <w:rPr>
          <w:iCs/>
        </w:rPr>
      </w:r>
    </w:p>
    <w:p>
      <w:pPr>
        <w:pStyle w:val="Normal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  <w:bookmarkStart w:id="48" w:name="_Toc51339699_Копия_1"/>
      <w:bookmarkStart w:id="49" w:name="_Toc46743519_Копия_1"/>
      <w:bookmarkStart w:id="50" w:name="_Toc51339699_Копия_1"/>
      <w:bookmarkStart w:id="51" w:name="_Toc46743519_Копия_1"/>
      <w:bookmarkEnd w:id="50"/>
      <w:bookmarkEnd w:id="51"/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12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14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abstractNum w:abstractNumId="12"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i w:val="fals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ConsPlusNormal" w:customStyle="1">
    <w:name w:val="ConsPlusNormal Знак"/>
    <w:link w:val="ConsPlusNormal1"/>
    <w:qFormat/>
    <w:rsid w:val="00e5263a"/>
    <w:rPr>
      <w:rFonts w:ascii="Arial" w:hAnsi="Arial" w:cs="Arial"/>
    </w:rPr>
  </w:style>
  <w:style w:type="character" w:styleId="Extended-textshort" w:customStyle="1">
    <w:name w:val="extended-text__short"/>
    <w:basedOn w:val="DefaultParagraphFont"/>
    <w:qFormat/>
    <w:rsid w:val="007b2b49"/>
    <w:rPr/>
  </w:style>
  <w:style w:type="character" w:styleId="Style14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 Unicode MS"/>
    </w:rPr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1" w:customStyle="1">
    <w:name w:val="ConsPlusNormal"/>
    <w:link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7AA679-1B7B-41C8-A5B6-DEF82D952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Application>AlterOffice/2026.2.0.0$Linux_X86_64 LibreOffice_project/bc4ef1adf80b36c7a6365f8ed6cbf29021361edd</Application>
  <AppVersion>15.0000</AppVersion>
  <Pages>14</Pages>
  <Words>1379</Words>
  <Characters>9156</Characters>
  <CharactersWithSpaces>10298</CharactersWithSpaces>
  <Paragraphs>239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2024-02-05T12:24:00Z</dcterms:created>
  <dc:creator>Быстров Олег Геннадьевич</dc:creator>
  <dc:description/>
  <dc:language>ru-RU</dc:language>
  <cp:lastModifiedBy>magomedovgz@corp.gidroogk.com</cp:lastModifiedBy>
  <cp:lastPrinted>2025-10-04T15:27:00Z</cp:lastPrinted>
  <dcterms:modified xsi:type="dcterms:W3CDTF">2026-10-08T15:01:36Z</dcterms:modified>
  <cp:revision>16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