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u w:val="none"/>
        </w:rPr>
      </w:pPr>
      <w:r>
        <w:rPr>
          <w:rFonts w:ascii="Times New Roman" w:hAnsi="Times New Roman"/>
          <w:b/>
          <w:sz w:val="24"/>
          <w:szCs w:val="24"/>
          <w:u w:val="none"/>
          <w:shd w:fill="auto" w:val="clear"/>
        </w:rPr>
        <w:t>Техническое задание</w:t>
      </w:r>
    </w:p>
    <w:p>
      <w:pPr>
        <w:pStyle w:val="Normal"/>
        <w:spacing w:lineRule="auto" w:line="240" w:before="0" w:after="0"/>
        <w:jc w:val="center"/>
        <w:rPr>
          <w:shd w:fill="auto" w:val="clear"/>
        </w:rPr>
      </w:pPr>
      <w:r>
        <w:rPr>
          <w:shd w:fill="auto" w:val="clear"/>
        </w:rPr>
      </w:r>
    </w:p>
    <w:p>
      <w:pPr>
        <w:pStyle w:val="Normal"/>
        <w:spacing w:lineRule="auto" w:line="240" w:before="0" w:after="0"/>
        <w:jc w:val="center"/>
        <w:rPr>
          <w:b w:val="false"/>
          <w:bCs w:val="false"/>
        </w:rPr>
      </w:pPr>
      <w:r>
        <w:rPr>
          <w:rFonts w:ascii="Times New Roman" w:hAnsi="Times New Roman"/>
          <w:b w:val="false"/>
          <w:bCs w:val="false"/>
          <w:sz w:val="24"/>
          <w:szCs w:val="24"/>
          <w:shd w:fill="auto" w:val="clear"/>
        </w:rPr>
        <w:t>на поставку сертификатов технической поддержки, передачу неисключительных прав на программное обеспечение для обеспечения бесперебойной работы системы обеспечения вызова экстренных оперативных служб по единому номеру «112», включая региональную систему оповещения населения, созданную на ее платформе, на территории Оренбургской области</w:t>
      </w:r>
    </w:p>
    <w:p>
      <w:pPr>
        <w:pStyle w:val="Normal"/>
        <w:spacing w:lineRule="auto" w:line="240" w:before="0" w:after="0"/>
        <w:jc w:val="center"/>
        <w:rPr>
          <w:b w:val="false"/>
          <w:bCs w:val="false"/>
          <w:sz w:val="24"/>
          <w:szCs w:val="24"/>
          <w:u w:val="single"/>
          <w:shd w:fill="auto" w:val="clear"/>
        </w:rPr>
      </w:pPr>
      <w:r>
        <w:rPr>
          <w:b w:val="false"/>
          <w:bCs w:val="false"/>
          <w:sz w:val="24"/>
          <w:szCs w:val="24"/>
          <w:u w:val="single"/>
          <w:shd w:fill="auto" w:val="clear"/>
        </w:rPr>
      </w:r>
    </w:p>
    <w:p>
      <w:pPr>
        <w:pStyle w:val="Normal"/>
        <w:numPr>
          <w:ilvl w:val="0"/>
          <w:numId w:val="20"/>
        </w:numPr>
        <w:spacing w:lineRule="auto" w:line="240" w:before="0" w:after="0"/>
        <w:ind w:hanging="0" w:start="0"/>
        <w:jc w:val="both"/>
        <w:rPr/>
      </w:pPr>
      <w:r>
        <w:rPr>
          <w:rStyle w:val="2"/>
          <w:b/>
          <w:bCs/>
          <w:sz w:val="24"/>
          <w:szCs w:val="24"/>
          <w:u w:val="none"/>
          <w:shd w:fill="auto" w:val="clear"/>
        </w:rPr>
        <w:t>Предмет закупки:</w:t>
      </w:r>
      <w:r>
        <w:rPr>
          <w:rStyle w:val="2"/>
          <w:b w:val="false"/>
          <w:bCs w:val="false"/>
          <w:sz w:val="24"/>
          <w:szCs w:val="24"/>
          <w:u w:val="none"/>
        </w:rPr>
        <w:t xml:space="preserve"> П</w:t>
      </w:r>
      <w:r>
        <w:rPr>
          <w:rStyle w:val="2"/>
          <w:rFonts w:eastAsia="Times New Roman" w:ascii="Times New Roman" w:hAnsi="Times New Roman"/>
          <w:b w:val="false"/>
          <w:bCs w:val="false"/>
          <w:sz w:val="24"/>
          <w:szCs w:val="24"/>
          <w:u w:val="none"/>
          <w:shd w:fill="auto" w:val="clear"/>
        </w:rPr>
        <w:t>оставка сертификатов технической поддержки, передачу неисключительных прав на программное обеспечение для обеспечения бесперебойной работы системы обеспечения вызова экстренных оперативных служб по единому номеру «112», включая региональную систему оповещения населения, созданную на ее платформе, на территории Оренбургской области.</w:t>
      </w:r>
    </w:p>
    <w:p>
      <w:pPr>
        <w:pStyle w:val="Normal"/>
        <w:numPr>
          <w:ilvl w:val="0"/>
          <w:numId w:val="20"/>
        </w:numPr>
        <w:spacing w:lineRule="auto" w:line="240" w:before="0" w:after="0"/>
        <w:ind w:hanging="0" w:start="0"/>
        <w:jc w:val="both"/>
        <w:rPr/>
      </w:pPr>
      <w:r>
        <w:rPr>
          <w:rStyle w:val="2"/>
          <w:sz w:val="24"/>
          <w:szCs w:val="24"/>
          <w:u w:val="none"/>
        </w:rPr>
        <w:t xml:space="preserve">Покупатель: </w:t>
      </w:r>
      <w:r>
        <w:rPr>
          <w:rStyle w:val="2"/>
          <w:b w:val="false"/>
          <w:sz w:val="24"/>
          <w:szCs w:val="24"/>
          <w:u w:val="none"/>
        </w:rPr>
        <w:t xml:space="preserve">Оренбургский филиал </w:t>
      </w:r>
      <w:r>
        <w:rPr>
          <w:rFonts w:ascii="Times New Roman" w:hAnsi="Times New Roman"/>
          <w:bCs/>
          <w:sz w:val="24"/>
          <w:szCs w:val="24"/>
          <w:u w:val="none"/>
        </w:rPr>
        <w:t>ПАО «Ростелеком».</w:t>
      </w:r>
    </w:p>
    <w:p>
      <w:pPr>
        <w:pStyle w:val="Normal"/>
        <w:numPr>
          <w:ilvl w:val="0"/>
          <w:numId w:val="20"/>
        </w:numPr>
        <w:spacing w:lineRule="auto" w:line="240" w:before="0" w:after="0"/>
        <w:ind w:hanging="0" w:start="0"/>
        <w:jc w:val="both"/>
        <w:rPr/>
      </w:pPr>
      <w:r>
        <w:rPr>
          <w:rStyle w:val="2"/>
          <w:sz w:val="24"/>
          <w:szCs w:val="24"/>
          <w:u w:val="none"/>
        </w:rPr>
        <w:t xml:space="preserve">Место доставки: </w:t>
      </w:r>
      <w:r>
        <w:rPr>
          <w:rStyle w:val="2"/>
          <w:b w:val="false"/>
          <w:bCs w:val="false"/>
          <w:sz w:val="24"/>
          <w:szCs w:val="24"/>
          <w:u w:val="none"/>
        </w:rPr>
        <w:t xml:space="preserve">Оренбургская область, Оренбургский район, </w:t>
      </w:r>
      <w:r>
        <w:rPr>
          <w:rFonts w:eastAsia="Times New Roman" w:cs="Times New Roman" w:ascii="Times New Roman" w:hAnsi="Times New Roman"/>
          <w:b w:val="false"/>
          <w:bCs w:val="false"/>
          <w:color w:val="000000"/>
          <w:kern w:val="2"/>
          <w:sz w:val="24"/>
          <w:szCs w:val="24"/>
          <w:u w:val="none"/>
          <w:lang w:eastAsia="en-US"/>
        </w:rPr>
        <w:t>п. Пригородны</w:t>
      </w:r>
      <w:r>
        <w:rPr>
          <w:rFonts w:eastAsia="Times New Roman" w:cs="Times New Roman" w:ascii="Times New Roman" w:hAnsi="Times New Roman"/>
          <w:color w:val="000000"/>
          <w:kern w:val="2"/>
          <w:sz w:val="24"/>
          <w:szCs w:val="24"/>
          <w:u w:val="none"/>
          <w:lang w:eastAsia="en-US"/>
        </w:rPr>
        <w:t>й, пр. Южный, 3А.</w:t>
      </w:r>
    </w:p>
    <w:p>
      <w:pPr>
        <w:pStyle w:val="Normal"/>
        <w:numPr>
          <w:ilvl w:val="0"/>
          <w:numId w:val="20"/>
        </w:numPr>
        <w:spacing w:lineRule="auto" w:line="240" w:before="0" w:after="0"/>
        <w:ind w:hanging="0" w:start="0"/>
        <w:jc w:val="both"/>
        <w:rPr/>
      </w:pPr>
      <w:r>
        <w:rPr>
          <w:rStyle w:val="2"/>
          <w:sz w:val="24"/>
          <w:szCs w:val="24"/>
          <w:u w:val="none"/>
        </w:rPr>
        <w:t>У</w:t>
      </w:r>
      <w:r>
        <w:rPr>
          <w:rStyle w:val="2"/>
          <w:sz w:val="24"/>
          <w:szCs w:val="24"/>
          <w:u w:val="none"/>
        </w:rPr>
        <w:t>словия оплаты:</w:t>
      </w:r>
      <w:r>
        <w:rPr>
          <w:rFonts w:ascii="Times New Roman" w:hAnsi="Times New Roman"/>
          <w:sz w:val="24"/>
          <w:szCs w:val="24"/>
          <w:u w:val="none"/>
        </w:rPr>
        <w:t xml:space="preserve"> Форма оплаты - безналичный расчет. Аванс не предусмотрен. </w:t>
      </w:r>
    </w:p>
    <w:p>
      <w:pPr>
        <w:pStyle w:val="Normal"/>
        <w:numPr>
          <w:ilvl w:val="0"/>
          <w:numId w:val="0"/>
        </w:numPr>
        <w:spacing w:lineRule="auto" w:line="240" w:before="0" w:after="0"/>
        <w:ind w:hanging="0" w:start="0"/>
        <w:jc w:val="both"/>
        <w:rPr/>
      </w:pPr>
      <w:r>
        <w:rPr>
          <w:rFonts w:ascii="Times New Roman" w:hAnsi="Times New Roman"/>
          <w:sz w:val="24"/>
          <w:szCs w:val="24"/>
          <w:u w:val="none"/>
        </w:rPr>
        <w:t>Р</w:t>
      </w:r>
      <w:r>
        <w:rPr>
          <w:rFonts w:eastAsia="Times New Roman" w:ascii="Times New Roman" w:hAnsi="Times New Roman"/>
          <w:color w:val="000000"/>
          <w:kern w:val="2"/>
          <w:sz w:val="24"/>
          <w:szCs w:val="24"/>
          <w:u w:val="none"/>
        </w:rPr>
        <w:t>асчеты осуществляются по факту поставки товара в течение 45 (сорока пяти) календарных дней с даты подписания Сторонами Товарной накладной по форме ТОРГ-12 (для субъектов малого предпринимательства – в течение 7 (семи) рабочих дней) путем перечисления денежных средств на расчётный счёт Поставщика.</w:t>
      </w:r>
    </w:p>
    <w:p>
      <w:pPr>
        <w:pStyle w:val="Normal"/>
        <w:numPr>
          <w:ilvl w:val="0"/>
          <w:numId w:val="0"/>
        </w:numPr>
        <w:spacing w:lineRule="auto" w:line="240" w:before="0" w:after="0"/>
        <w:ind w:hanging="0" w:start="0"/>
        <w:jc w:val="both"/>
        <w:rPr>
          <w:rFonts w:ascii="Times New Roman" w:hAnsi="Times New Roman" w:eastAsia="Times New Roman"/>
          <w:color w:val="000000"/>
          <w:kern w:val="2"/>
          <w:sz w:val="24"/>
          <w:szCs w:val="24"/>
          <w:u w:val="none"/>
        </w:rPr>
      </w:pPr>
      <w:r>
        <w:rPr>
          <w:rFonts w:eastAsia="Times New Roman" w:ascii="Times New Roman" w:hAnsi="Times New Roman"/>
          <w:color w:val="000000"/>
          <w:kern w:val="2"/>
          <w:sz w:val="24"/>
          <w:szCs w:val="24"/>
          <w:u w:val="none"/>
        </w:rPr>
        <w:t>Расчеты з</w:t>
      </w:r>
      <w:r>
        <w:rPr>
          <w:rFonts w:eastAsia="Times New Roman" w:ascii="Times New Roman" w:hAnsi="Times New Roman"/>
          <w:color w:val="000000"/>
          <w:kern w:val="2"/>
          <w:sz w:val="24"/>
          <w:szCs w:val="24"/>
          <w:u w:val="none"/>
        </w:rPr>
        <w:t xml:space="preserve">а предоставление неисключительных прав на программное обеспечение </w:t>
      </w:r>
      <w:r>
        <w:rPr>
          <w:rFonts w:eastAsia="Times New Roman" w:ascii="Times New Roman" w:hAnsi="Times New Roman"/>
          <w:color w:val="000000"/>
          <w:kern w:val="2"/>
          <w:sz w:val="24"/>
          <w:szCs w:val="24"/>
          <w:u w:val="none"/>
        </w:rPr>
        <w:t>р</w:t>
      </w:r>
      <w:r>
        <w:rPr>
          <w:rFonts w:eastAsia="Times New Roman" w:ascii="Times New Roman" w:hAnsi="Times New Roman"/>
          <w:color w:val="000000"/>
          <w:kern w:val="2"/>
          <w:sz w:val="24"/>
          <w:szCs w:val="24"/>
          <w:u w:val="none"/>
        </w:rPr>
        <w:t>асчет в течение 30 к.д. путем безналичного перечисления денежных средств на расчетный счет Поставщика с момента подписания сторонами Акта приема-передачи лицензии. В случае, если договор будет заключен с субъектом малого (среднего) предпринимательства: с момента подписания Расчет в течение 7 р.д. дней путем безналичного перечисления денежных средств на расчетный счет Поставщика с момента подписания сторонами Акта приема-передачи лицензии.</w:t>
      </w:r>
    </w:p>
    <w:p>
      <w:pPr>
        <w:pStyle w:val="Normal"/>
        <w:numPr>
          <w:ilvl w:val="0"/>
          <w:numId w:val="20"/>
        </w:numPr>
        <w:spacing w:lineRule="auto" w:line="240" w:before="0" w:after="0"/>
        <w:ind w:hanging="0" w:start="0"/>
        <w:jc w:val="both"/>
        <w:rPr/>
      </w:pPr>
      <w:r>
        <w:rPr>
          <w:rStyle w:val="3"/>
          <w:bCs w:val="false"/>
          <w:color w:val="auto"/>
          <w:sz w:val="24"/>
          <w:szCs w:val="24"/>
          <w:u w:val="none"/>
        </w:rPr>
        <w:t>Срок поставки</w:t>
      </w:r>
      <w:r>
        <w:rPr>
          <w:rStyle w:val="3"/>
          <w:b w:val="false"/>
          <w:bCs w:val="false"/>
          <w:color w:val="auto"/>
          <w:sz w:val="24"/>
          <w:szCs w:val="24"/>
          <w:u w:val="none"/>
        </w:rPr>
        <w:t xml:space="preserve">: </w:t>
      </w:r>
      <w:r>
        <w:rPr>
          <w:rFonts w:ascii="Times New Roman" w:hAnsi="Times New Roman"/>
          <w:sz w:val="24"/>
          <w:szCs w:val="24"/>
          <w:u w:val="none"/>
        </w:rPr>
        <w:t>не по</w:t>
      </w:r>
      <w:r>
        <w:rPr>
          <w:rFonts w:ascii="Times New Roman" w:hAnsi="Times New Roman"/>
          <w:sz w:val="24"/>
          <w:szCs w:val="24"/>
          <w:u w:val="none"/>
          <w:shd w:fill="auto" w:val="clear"/>
        </w:rPr>
        <w:t>зднее 30.06.2027</w:t>
      </w:r>
      <w:r>
        <w:rPr>
          <w:rStyle w:val="3"/>
          <w:b w:val="false"/>
          <w:bCs w:val="false"/>
          <w:color w:val="auto"/>
          <w:sz w:val="24"/>
          <w:szCs w:val="24"/>
          <w:u w:val="none"/>
          <w:shd w:fill="auto" w:val="clear"/>
        </w:rPr>
        <w:t>.</w:t>
      </w:r>
    </w:p>
    <w:p>
      <w:pPr>
        <w:pStyle w:val="Normal"/>
        <w:numPr>
          <w:ilvl w:val="0"/>
          <w:numId w:val="20"/>
        </w:numPr>
        <w:spacing w:lineRule="auto" w:line="240" w:before="0" w:after="0"/>
        <w:ind w:hanging="0" w:start="0"/>
        <w:jc w:val="both"/>
        <w:rPr/>
      </w:pPr>
      <w:r>
        <w:rPr>
          <w:rFonts w:ascii="Times New Roman" w:hAnsi="Times New Roman"/>
          <w:b/>
          <w:bCs/>
          <w:sz w:val="24"/>
          <w:szCs w:val="24"/>
          <w:u w:val="none"/>
        </w:rPr>
        <w:t xml:space="preserve">Характеристики поставляемых сертификатов технической поддержки и лицензий: </w:t>
      </w:r>
      <w:r>
        <w:rPr>
          <w:rFonts w:ascii="Times New Roman" w:hAnsi="Times New Roman"/>
          <w:sz w:val="24"/>
          <w:szCs w:val="24"/>
          <w:u w:val="none"/>
        </w:rPr>
        <w:t>В соответствии с Приложением №1 к  Техническому заданию.</w:t>
      </w:r>
    </w:p>
    <w:p>
      <w:pPr>
        <w:pStyle w:val="Normal"/>
        <w:spacing w:lineRule="auto" w:line="240" w:before="0" w:after="0"/>
        <w:jc w:val="both"/>
        <w:rPr>
          <w:rFonts w:ascii="Times New Roman" w:hAnsi="Times New Roman"/>
          <w:b/>
          <w:sz w:val="20"/>
          <w:szCs w:val="20"/>
          <w:u w:val="single"/>
        </w:rPr>
      </w:pPr>
      <w:r>
        <w:rPr>
          <w:rFonts w:ascii="Times New Roman" w:hAnsi="Times New Roman"/>
          <w:b/>
          <w:sz w:val="20"/>
          <w:szCs w:val="20"/>
          <w:u w:val="single"/>
        </w:rPr>
      </w:r>
    </w:p>
    <w:p>
      <w:pPr>
        <w:pStyle w:val="Normal"/>
        <w:spacing w:lineRule="auto" w:line="240" w:before="0" w:after="0"/>
        <w:jc w:val="both"/>
        <w:rPr>
          <w:rFonts w:ascii="Times New Roman" w:hAnsi="Times New Roman"/>
          <w:b/>
          <w:sz w:val="20"/>
          <w:szCs w:val="20"/>
          <w:u w:val="single"/>
        </w:rPr>
      </w:pPr>
      <w:r>
        <w:rPr>
          <w:rFonts w:ascii="Times New Roman" w:hAnsi="Times New Roman"/>
          <w:b/>
          <w:sz w:val="20"/>
          <w:szCs w:val="20"/>
          <w:u w:val="single"/>
        </w:rPr>
      </w:r>
      <w:r>
        <w:br w:type="page"/>
      </w:r>
    </w:p>
    <w:p>
      <w:pPr>
        <w:pStyle w:val="Normal"/>
        <w:spacing w:lineRule="auto" w:line="240" w:before="0" w:after="0"/>
        <w:jc w:val="both"/>
        <w:rPr>
          <w:rFonts w:ascii="Times New Roman" w:hAnsi="Times New Roman"/>
          <w:b/>
          <w:sz w:val="20"/>
          <w:szCs w:val="20"/>
          <w:u w:val="single"/>
        </w:rPr>
      </w:pPr>
      <w:r>
        <w:rPr>
          <w:rFonts w:ascii="Times New Roman" w:hAnsi="Times New Roman"/>
          <w:b/>
          <w:sz w:val="20"/>
          <w:szCs w:val="20"/>
          <w:u w:val="single"/>
        </w:rPr>
      </w:r>
    </w:p>
    <w:p>
      <w:pPr>
        <w:pStyle w:val="Normal"/>
        <w:spacing w:lineRule="auto" w:line="240" w:before="0" w:after="0"/>
        <w:jc w:val="end"/>
        <w:rPr>
          <w:b/>
          <w:bCs/>
          <w:u w:val="none"/>
        </w:rPr>
      </w:pPr>
      <w:r>
        <w:rPr>
          <w:rFonts w:ascii="Times New Roman" w:hAnsi="Times New Roman"/>
          <w:b/>
          <w:bCs/>
          <w:sz w:val="24"/>
          <w:szCs w:val="24"/>
          <w:u w:val="none"/>
        </w:rPr>
        <w:t>Приложение №1</w:t>
      </w:r>
    </w:p>
    <w:p>
      <w:pPr>
        <w:pStyle w:val="Normal"/>
        <w:spacing w:lineRule="auto" w:line="240" w:before="0" w:after="0"/>
        <w:jc w:val="end"/>
        <w:rPr>
          <w:rFonts w:ascii="Times New Roman" w:hAnsi="Times New Roman"/>
          <w:b/>
          <w:sz w:val="24"/>
          <w:szCs w:val="24"/>
          <w:u w:val="single"/>
        </w:rPr>
      </w:pPr>
      <w:r>
        <w:rPr>
          <w:rFonts w:ascii="Times New Roman" w:hAnsi="Times New Roman"/>
          <w:b/>
          <w:sz w:val="24"/>
          <w:szCs w:val="24"/>
          <w:u w:val="single"/>
        </w:rPr>
      </w:r>
    </w:p>
    <w:p>
      <w:pPr>
        <w:pStyle w:val="19"/>
        <w:spacing w:lineRule="auto" w:line="240" w:before="0" w:after="0"/>
        <w:ind w:hanging="0"/>
        <w:jc w:val="center"/>
        <w:rPr>
          <w:b/>
          <w:color w:val="auto"/>
          <w:szCs w:val="24"/>
        </w:rPr>
      </w:pPr>
      <w:r>
        <w:rPr>
          <w:b/>
          <w:color w:val="auto"/>
          <w:szCs w:val="24"/>
        </w:rPr>
        <w:t>Таблица 1. Перечень необходимых к приобретению лицензий и сертификатов активации технической поддержки средств защиты информации</w:t>
      </w:r>
    </w:p>
    <w:p>
      <w:pPr>
        <w:pStyle w:val="19"/>
        <w:spacing w:lineRule="auto" w:line="240" w:before="0" w:after="0"/>
        <w:ind w:hanging="0"/>
        <w:jc w:val="start"/>
        <w:rPr>
          <w:b/>
          <w:color w:val="auto"/>
          <w:szCs w:val="24"/>
        </w:rPr>
      </w:pPr>
      <w:r>
        <w:rPr>
          <w:b/>
          <w:color w:val="auto"/>
          <w:szCs w:val="24"/>
        </w:rPr>
      </w:r>
    </w:p>
    <w:tbl>
      <w:tblPr>
        <w:tblStyle w:val="aff6"/>
        <w:tblW w:w="10227" w:type="dxa"/>
        <w:jc w:val="start"/>
        <w:tblInd w:w="-5" w:type="dxa"/>
        <w:tblLayout w:type="fixed"/>
        <w:tblCellMar>
          <w:top w:w="0" w:type="dxa"/>
          <w:start w:w="5" w:type="dxa"/>
          <w:bottom w:w="0" w:type="dxa"/>
          <w:end w:w="5" w:type="dxa"/>
        </w:tblCellMar>
        <w:tblLook w:val="04a0" w:noHBand="0" w:noVBand="1" w:firstColumn="1" w:lastRow="0" w:lastColumn="0" w:firstRow="1"/>
      </w:tblPr>
      <w:tblGrid>
        <w:gridCol w:w="564"/>
        <w:gridCol w:w="7516"/>
        <w:gridCol w:w="709"/>
        <w:gridCol w:w="1426"/>
        <w:gridCol w:w="12"/>
      </w:tblGrid>
      <w:tr>
        <w:trPr/>
        <w:tc>
          <w:tcPr>
            <w:tcW w:w="564" w:type="dxa"/>
            <w:tcBorders/>
          </w:tcPr>
          <w:p>
            <w:pPr>
              <w:pStyle w:val="19"/>
              <w:widowControl/>
              <w:spacing w:lineRule="auto" w:line="240" w:before="0" w:after="0"/>
              <w:ind w:hanging="0"/>
              <w:jc w:val="center"/>
              <w:rPr>
                <w:b/>
                <w:color w:val="auto"/>
                <w:szCs w:val="24"/>
              </w:rPr>
            </w:pPr>
            <w:r>
              <w:rPr>
                <w:rFonts w:cs="Times New Roman"/>
                <w:b/>
                <w:color w:val="auto"/>
                <w:kern w:val="0"/>
                <w:lang w:val="ru-RU" w:bidi="ar-SA"/>
              </w:rPr>
              <w:t xml:space="preserve">№ </w:t>
            </w:r>
            <w:r>
              <w:rPr>
                <w:rFonts w:cs="Times New Roman"/>
                <w:b/>
                <w:color w:val="auto"/>
                <w:kern w:val="0"/>
                <w:lang w:val="ru-RU" w:bidi="ar-SA"/>
              </w:rPr>
              <w:t>п/п</w:t>
            </w:r>
          </w:p>
        </w:tc>
        <w:tc>
          <w:tcPr>
            <w:tcW w:w="7516" w:type="dxa"/>
            <w:tcBorders/>
          </w:tcPr>
          <w:p>
            <w:pPr>
              <w:pStyle w:val="19"/>
              <w:widowControl/>
              <w:spacing w:lineRule="auto" w:line="240" w:before="0" w:after="0"/>
              <w:ind w:hanging="0"/>
              <w:jc w:val="center"/>
              <w:rPr>
                <w:b/>
                <w:color w:val="auto"/>
                <w:szCs w:val="24"/>
              </w:rPr>
            </w:pPr>
            <w:r>
              <w:rPr>
                <w:rFonts w:cs="Times New Roman"/>
                <w:b/>
                <w:color w:val="auto"/>
                <w:kern w:val="0"/>
                <w:lang w:val="ru-RU" w:bidi="ar-SA"/>
              </w:rPr>
              <w:t>Наименование</w:t>
            </w:r>
          </w:p>
        </w:tc>
        <w:tc>
          <w:tcPr>
            <w:tcW w:w="709" w:type="dxa"/>
            <w:tcBorders/>
          </w:tcPr>
          <w:p>
            <w:pPr>
              <w:pStyle w:val="19"/>
              <w:widowControl/>
              <w:spacing w:lineRule="auto" w:line="240" w:before="0" w:after="0"/>
              <w:ind w:hanging="0"/>
              <w:jc w:val="center"/>
              <w:rPr>
                <w:b/>
                <w:color w:val="auto"/>
                <w:szCs w:val="24"/>
              </w:rPr>
            </w:pPr>
            <w:r>
              <w:rPr>
                <w:rFonts w:cs="Times New Roman"/>
                <w:b/>
                <w:color w:val="auto"/>
                <w:kern w:val="0"/>
                <w:lang w:val="ru-RU" w:bidi="ar-SA"/>
              </w:rPr>
              <w:t>Кол-во</w:t>
            </w:r>
          </w:p>
        </w:tc>
        <w:tc>
          <w:tcPr>
            <w:tcW w:w="1426" w:type="dxa"/>
            <w:tcBorders/>
          </w:tcPr>
          <w:p>
            <w:pPr>
              <w:pStyle w:val="19"/>
              <w:widowControl/>
              <w:spacing w:lineRule="auto" w:line="240" w:before="0" w:after="0"/>
              <w:ind w:hanging="0"/>
              <w:jc w:val="center"/>
              <w:rPr>
                <w:b/>
                <w:color w:val="auto"/>
                <w:szCs w:val="24"/>
              </w:rPr>
            </w:pPr>
            <w:r>
              <w:rPr>
                <w:rFonts w:cs="Times New Roman"/>
                <w:b/>
                <w:color w:val="auto"/>
                <w:kern w:val="0"/>
                <w:lang w:val="ru-RU" w:bidi="ar-SA"/>
              </w:rPr>
              <w:t>Номер реестровой записи</w:t>
            </w:r>
          </w:p>
        </w:tc>
        <w:tc>
          <w:tcPr>
            <w:tcW w:w="12" w:type="dxa"/>
            <w:tcBorders/>
          </w:tcPr>
          <w:p>
            <w:pPr>
              <w:pStyle w:val="Normal"/>
              <w:widowControl/>
              <w:spacing w:lineRule="atLeast" w:line="0" w:before="0" w:after="0"/>
              <w:jc w:val="start"/>
              <w:rPr>
                <w:sz w:val="2"/>
              </w:rPr>
            </w:pPr>
            <w:r>
              <w:rPr>
                <w:sz w:val="2"/>
              </w:rPr>
            </w:r>
          </w:p>
        </w:tc>
      </w:tr>
      <w:tr>
        <w:trPr/>
        <w:tc>
          <w:tcPr>
            <w:tcW w:w="10227" w:type="dxa"/>
            <w:gridSpan w:val="5"/>
            <w:tcBorders/>
          </w:tcPr>
          <w:p>
            <w:pPr>
              <w:pStyle w:val="19"/>
              <w:widowControl/>
              <w:tabs>
                <w:tab w:val="clear" w:pos="708"/>
                <w:tab w:val="left" w:pos="3975" w:leader="none"/>
              </w:tabs>
              <w:spacing w:lineRule="auto" w:line="240" w:before="0" w:after="0"/>
              <w:ind w:hanging="0"/>
              <w:jc w:val="start"/>
              <w:rPr>
                <w:b/>
                <w:color w:val="auto"/>
                <w:szCs w:val="24"/>
              </w:rPr>
            </w:pPr>
            <w:r>
              <w:rPr>
                <w:rFonts w:cs="Times New Roman"/>
                <w:b/>
                <w:color w:val="auto"/>
                <w:kern w:val="0"/>
                <w:szCs w:val="24"/>
                <w:lang w:val="ru-RU" w:bidi="ar-SA"/>
              </w:rPr>
              <w:tab/>
            </w:r>
            <w:r>
              <w:rPr>
                <w:rFonts w:cs="Times New Roman"/>
                <w:b/>
                <w:bCs/>
                <w:color w:val="auto"/>
                <w:kern w:val="0"/>
                <w:szCs w:val="24"/>
                <w:lang w:val="ru-RU" w:bidi="ar-SA"/>
              </w:rPr>
              <w:t>Система-112</w:t>
            </w:r>
          </w:p>
        </w:tc>
      </w:tr>
      <w:tr>
        <w:trPr>
          <w:trHeight w:val="776" w:hRule="atLeast"/>
        </w:trPr>
        <w:tc>
          <w:tcPr>
            <w:tcW w:w="564" w:type="dxa"/>
            <w:tcBorders/>
            <w:vAlign w:val="center"/>
          </w:tcPr>
          <w:p>
            <w:pPr>
              <w:pStyle w:val="19"/>
              <w:widowControl/>
              <w:spacing w:lineRule="auto" w:line="240" w:before="0" w:after="0"/>
              <w:ind w:hanging="0" w:end="138"/>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Продление лицензии на использование программы Средство анализа защищенности RedCheck, в редакции Professional на 1 IP-адрес на 1 год</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137</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765</w:t>
            </w:r>
          </w:p>
        </w:tc>
        <w:tc>
          <w:tcPr>
            <w:tcW w:w="12" w:type="dxa"/>
            <w:tcBorders/>
          </w:tcPr>
          <w:p>
            <w:pPr>
              <w:pStyle w:val="Normal"/>
              <w:widowControl/>
              <w:spacing w:lineRule="atLeast" w:line="0" w:before="0" w:after="0"/>
              <w:jc w:val="start"/>
              <w:rPr>
                <w:sz w:val="2"/>
              </w:rPr>
            </w:pPr>
            <w:r>
              <w:rPr>
                <w:sz w:val="2"/>
              </w:rPr>
            </w:r>
          </w:p>
        </w:tc>
      </w:tr>
      <w:tr>
        <w:trPr>
          <w:trHeight w:val="1090" w:hRule="atLeast"/>
        </w:trPr>
        <w:tc>
          <w:tcPr>
            <w:tcW w:w="564" w:type="dxa"/>
            <w:tcBorders/>
            <w:vAlign w:val="center"/>
          </w:tcPr>
          <w:p>
            <w:pPr>
              <w:pStyle w:val="19"/>
              <w:widowControl/>
              <w:spacing w:lineRule="auto" w:line="240" w:before="0" w:after="0"/>
              <w:ind w:hanging="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Программное</w:t>
            </w:r>
            <w:r>
              <w:rPr>
                <w:rFonts w:cs="Times New Roman"/>
                <w:color w:val="000000"/>
                <w:kern w:val="0"/>
                <w:sz w:val="22"/>
                <w:szCs w:val="22"/>
                <w:lang w:val="en-US" w:eastAsia="ru-RU" w:bidi="ar-SA"/>
              </w:rPr>
              <w:t xml:space="preserve"> </w:t>
            </w:r>
            <w:r>
              <w:rPr>
                <w:rFonts w:cs="Times New Roman"/>
                <w:color w:val="000000"/>
                <w:kern w:val="0"/>
                <w:sz w:val="22"/>
                <w:szCs w:val="22"/>
                <w:lang w:val="ru-RU" w:eastAsia="ru-RU" w:bidi="ar-SA"/>
              </w:rPr>
              <w:t>обеспечение</w:t>
            </w:r>
            <w:r>
              <w:rPr>
                <w:rFonts w:cs="Times New Roman"/>
                <w:color w:val="000000"/>
                <w:kern w:val="0"/>
                <w:sz w:val="22"/>
                <w:szCs w:val="22"/>
                <w:lang w:val="en-US" w:eastAsia="ru-RU" w:bidi="ar-SA"/>
              </w:rPr>
              <w:t xml:space="preserve"> Positive Technologies Application Firewall PRO. </w:t>
            </w:r>
            <w:r>
              <w:rPr>
                <w:rFonts w:cs="Times New Roman"/>
                <w:color w:val="000000"/>
                <w:kern w:val="0"/>
                <w:sz w:val="22"/>
                <w:szCs w:val="22"/>
                <w:lang w:val="ru-RU" w:eastAsia="ru-RU" w:bidi="ar-SA"/>
              </w:rPr>
              <w:t>Основная лицензия на 1 000 RPS (полоса пропускания не более 100 Мбит/с), один узел управления и обработки трафика, без ограничения числа внешних агентов, обновления в течение 12 (двенадцати) месяцев</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1141</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Normal"/>
              <w:widowControl/>
              <w:tabs>
                <w:tab w:val="clear" w:pos="708"/>
                <w:tab w:val="left" w:pos="254" w:leader="none"/>
              </w:tabs>
              <w:spacing w:before="0" w:after="0"/>
              <w:ind w:end="129"/>
              <w:jc w:val="end"/>
              <w:rPr>
                <w:rFonts w:ascii="Times New Roman" w:hAnsi="Times New Roman" w:cs="Times New Roman"/>
                <w:kern w:val="0"/>
                <w:sz w:val="22"/>
                <w:szCs w:val="22"/>
                <w:lang w:val="ru-RU" w:eastAsia="ru-RU" w:bidi="ar-SA"/>
              </w:rPr>
            </w:pPr>
            <w:r>
              <w:rPr>
                <w:rFonts w:cs="Times New Roman" w:ascii="Times New Roman" w:hAnsi="Times New Roman"/>
                <w:kern w:val="0"/>
                <w:sz w:val="22"/>
                <w:szCs w:val="22"/>
                <w:lang w:val="ru-RU" w:eastAsia="ja-JP" w:bidi="ar-SA"/>
              </w:rPr>
              <w:t>3.</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Передача права на использование ПО ViPNet PKI Client 2.x Базовая лицензия</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3601</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Normal"/>
              <w:widowControl/>
              <w:tabs>
                <w:tab w:val="clear" w:pos="708"/>
                <w:tab w:val="left" w:pos="254" w:leader="none"/>
              </w:tabs>
              <w:spacing w:before="0" w:after="0"/>
              <w:ind w:end="129"/>
              <w:jc w:val="end"/>
              <w:rPr>
                <w:rFonts w:ascii="Times New Roman" w:hAnsi="Times New Roman" w:cs="Times New Roman"/>
                <w:kern w:val="0"/>
                <w:sz w:val="22"/>
                <w:szCs w:val="22"/>
                <w:lang w:val="ru-RU" w:eastAsia="ru-RU" w:bidi="ar-SA"/>
              </w:rPr>
            </w:pPr>
            <w:r>
              <w:rPr>
                <w:rFonts w:cs="Times New Roman" w:ascii="Times New Roman" w:hAnsi="Times New Roman"/>
                <w:kern w:val="0"/>
                <w:sz w:val="22"/>
                <w:szCs w:val="22"/>
                <w:lang w:val="ru-RU" w:eastAsia="ja-JP" w:bidi="ar-SA"/>
              </w:rPr>
              <w:t>4.</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Передача права на расширение функционала ПО ViPNet Prime. </w:t>
            </w:r>
            <w:r>
              <w:rPr>
                <w:rFonts w:cs="Times New Roman"/>
                <w:color w:val="000000"/>
                <w:kern w:val="0"/>
                <w:sz w:val="22"/>
                <w:szCs w:val="22"/>
                <w:lang w:val="en-US" w:eastAsia="ru-RU" w:bidi="ar-SA"/>
              </w:rPr>
              <w:t>(</w:t>
            </w:r>
            <w:r>
              <w:rPr>
                <w:rFonts w:cs="Times New Roman"/>
                <w:color w:val="000000"/>
                <w:kern w:val="0"/>
                <w:sz w:val="22"/>
                <w:szCs w:val="22"/>
                <w:lang w:val="ru-RU" w:eastAsia="ru-RU" w:bidi="ar-SA"/>
              </w:rPr>
              <w:t>Лицензия</w:t>
            </w:r>
            <w:r>
              <w:rPr>
                <w:rFonts w:cs="Times New Roman"/>
                <w:color w:val="000000"/>
                <w:kern w:val="0"/>
                <w:sz w:val="22"/>
                <w:szCs w:val="22"/>
                <w:lang w:val="en-US" w:eastAsia="ru-RU" w:bidi="ar-SA"/>
              </w:rPr>
              <w:t xml:space="preserve"> </w:t>
            </w:r>
            <w:r>
              <w:rPr>
                <w:rFonts w:cs="Times New Roman"/>
                <w:color w:val="000000"/>
                <w:kern w:val="0"/>
                <w:sz w:val="22"/>
                <w:szCs w:val="22"/>
                <w:lang w:val="ru-RU" w:eastAsia="ru-RU" w:bidi="ar-SA"/>
              </w:rPr>
              <w:t>на</w:t>
            </w:r>
            <w:r>
              <w:rPr>
                <w:rFonts w:cs="Times New Roman"/>
                <w:color w:val="000000"/>
                <w:kern w:val="0"/>
                <w:sz w:val="22"/>
                <w:szCs w:val="22"/>
                <w:lang w:val="en-US" w:eastAsia="ru-RU" w:bidi="ar-SA"/>
              </w:rPr>
              <w:t xml:space="preserve"> </w:t>
            </w:r>
            <w:r>
              <w:rPr>
                <w:rFonts w:cs="Times New Roman"/>
                <w:color w:val="000000"/>
                <w:kern w:val="0"/>
                <w:sz w:val="22"/>
                <w:szCs w:val="22"/>
                <w:lang w:val="ru-RU" w:eastAsia="ru-RU" w:bidi="ar-SA"/>
              </w:rPr>
              <w:t>модуль</w:t>
            </w:r>
            <w:r>
              <w:rPr>
                <w:rFonts w:cs="Times New Roman"/>
                <w:color w:val="000000"/>
                <w:kern w:val="0"/>
                <w:sz w:val="22"/>
                <w:szCs w:val="22"/>
                <w:lang w:val="en-US" w:eastAsia="ru-RU" w:bidi="ar-SA"/>
              </w:rPr>
              <w:t xml:space="preserve"> Network Visibility System) (Update StateWatcher)</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17449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79" w:leader="none"/>
                <w:tab w:val="left" w:pos="254" w:leader="none"/>
              </w:tabs>
              <w:spacing w:lineRule="auto" w:line="240" w:before="0" w:after="0"/>
              <w:ind w:hanging="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5.</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Передача права на расширение функционала ПО ViPNet Prime. (Лицензия на 1 узел мониторинга для модуля NVS)</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35</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17449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79" w:leader="none"/>
                <w:tab w:val="left" w:pos="254" w:leader="none"/>
              </w:tabs>
              <w:spacing w:lineRule="auto" w:line="240" w:before="0" w:after="0"/>
              <w:ind w:hanging="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6.</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Передача права на расширение функционала ПАК ViPNet Coordinator HW 5 Исполнение HW1000 (UPD Advanced. АП HW1000 Q7)</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4</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24659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79" w:leader="none"/>
                <w:tab w:val="left" w:pos="254" w:leader="none"/>
              </w:tabs>
              <w:spacing w:lineRule="auto" w:line="240" w:before="0" w:after="0"/>
              <w:ind w:hanging="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7.</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Сертификат активации сервиса совместной технической поддержки ПАК ViPNet Coordinator HW 5 Исполнение HW1000 (Advanced, АП HW1000 Q7) на срок 1 год (09.08.2026-08.08.2027), уровень – Расширенный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6</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10507942</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79" w:leader="none"/>
                <w:tab w:val="left" w:pos="254" w:leader="none"/>
              </w:tabs>
              <w:spacing w:lineRule="auto" w:line="240" w:before="0" w:after="0"/>
              <w:ind w:hanging="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8.</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Комплект обновления ПАК ViPNet Coordinator HW 5 Исполнение HW1000 (Advanced, АП HW1000 Q7) включая платформу (upgrade hw1000)</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2</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10507942</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79" w:leader="none"/>
                <w:tab w:val="left" w:pos="254" w:leader="none"/>
              </w:tabs>
              <w:spacing w:lineRule="auto" w:line="240" w:before="0" w:after="0"/>
              <w:ind w:hanging="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9.</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Комплект обновления ПАК ViPNet Coordinator HW 5 Исполнение HW50 (Base, АП HW50 A1) включая платформу (upgrade hw50)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41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10878889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s>
              <w:spacing w:lineRule="auto" w:line="240" w:before="0" w:after="0"/>
              <w:ind w:hanging="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10.</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Сертификат активации сервиса совместной технической поддержки ПАК ViPNet Coordinator HW 5 Исполнение HW50 (Base, АП HW50 A1) на срок 1 год (09.08.2026-08.08.2027), уровень – Расширенный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41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10878889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60" w:leader="none"/>
              </w:tabs>
              <w:spacing w:lineRule="auto" w:line="240" w:before="0" w:after="0"/>
              <w:ind w:hanging="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11.</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Сертификат активации сервиса совместной технической поддержки ПО ViPNet Prime на срок 1 год, уровень – Расширенный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17449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12.</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Сертификат активации сервиса совместной технической поддержки ПО ViPNet Client 5 for Linux на срок 1 год, уровень – Расширенный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42</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4319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13.</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 </w:t>
            </w:r>
            <w:r>
              <w:rPr>
                <w:rFonts w:cs="Times New Roman"/>
                <w:color w:val="000000"/>
                <w:kern w:val="0"/>
                <w:sz w:val="22"/>
                <w:szCs w:val="22"/>
                <w:lang w:val="ru-RU" w:eastAsia="ru-RU" w:bidi="ar-SA"/>
              </w:rPr>
              <w:t xml:space="preserve">Ключ активации сервиса совместной технической поддержки уровня "Расширенный" для СЗИ Secret Net Studio на срок 12 месяцев (10.08.2026-10.08.2027)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130</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3855</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60"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14.</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 </w:t>
            </w:r>
            <w:r>
              <w:rPr>
                <w:rFonts w:cs="Times New Roman"/>
                <w:color w:val="000000"/>
                <w:kern w:val="0"/>
                <w:sz w:val="22"/>
                <w:szCs w:val="22"/>
                <w:lang w:val="ru-RU" w:eastAsia="ru-RU" w:bidi="ar-SA"/>
              </w:rPr>
              <w:t xml:space="preserve">Ключ активации сервиса совместной технической поддержки уровня "Расширенный" для ПАК "Соболь" на срок 12 месяцев (10.08.2026-10.08.2027)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131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10260514</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15.</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Дистрибутив ПО ViPNet Prime</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17449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60"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16.</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Сертификат активации сервиса совместной технической поддержки ПО ViPNet EndPoint Protection - Base.  (Базовая лицензия, Server for Linux) на срок 1 год, уровень – Расширенный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8640</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60"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17.</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Сертификат активации сервиса совместной технической поддержки ПО ViPNet EndPoint Protection - Base (. Расширение лицензии) на срок 1 год, уровень – Расширенный</w:t>
            </w:r>
            <w:r>
              <w:rPr>
                <w:rFonts w:cs="Times New Roman"/>
                <w:color w:val="000000"/>
                <w:kern w:val="0"/>
                <w:sz w:val="22"/>
                <w:szCs w:val="22"/>
                <w:lang w:val="en-US" w:eastAsia="ru-RU" w:bidi="ar-SA"/>
              </w:rPr>
              <w:t xml:space="preserve">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93</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8640</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60"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18.</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Сертификат активации сервиса обновления баз решающих правил для модуля СОВ и модуля Контроль приложений в составе ViPNet EndPoint Protection на срок 1 год</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103</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8640</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19.</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Компакт-диск с ПО ViPNet PKI Client 2.x</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3601</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60"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20.</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Сертификат активации сервиса совместной технической поддержки ПО ViPNet PKI Client 2.x на срок 1 год, уровень – Расширенный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3601</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60"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21.</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Сертификат активации сервиса совместной технической поддержки ПО ViPNet Prime. (Лицензия на модуль Network Visibility System) на срок 1 год, уровень – Расширенный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17449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23"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22.</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 xml:space="preserve">Сертификат активации сервиса совместной технической поддержки ПО ViPNet Prime. (Лицензия на 1 узел мониторинга для модуля NVS) на срок 1 год, уровень – Расширенный </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35</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17449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23"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23.</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Программно-аппаратный комплекс "Соболь". Версия 4, PCIe, A7, сертификаты ФСБ+ФСТЭК России</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10260514</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323" w:start="36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24.</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Рутокен Lite 1010, серт. ФСТЭК</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2</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21926</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25.</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Комплект документации на Рутокен Lite 1010, серт. ФСТЭК</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21926</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26.</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Дистрибутив ПО для обновления ViPNet EPP</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8640</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27.</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Дистрибутив ПО для обновления ViPNet Client 5</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4319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28.</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Компакт-диск с ПО для обновления ПАК ViPNet Coordinator HW1000</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4</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10507942</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29.</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Сертификат технической поддержки с включенными консультациями по использованию программ для ЭВМ на Программный комплекс "ALD Pro" на 1 контроллер домена, на 8 управляемых устройств и операционную систему специального назначения «Astra Linux Special Edition» для 64-х разрядной платформы на базе процессорной архитектуры x86-64 РУСБ.10015-01 (ФСТЭК) для 8 серверов, тип «Стандарт», на 12 мес.</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12159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30.</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Сертификат технической поддержки с включенными консультациями по использованию программы для ЭВМ на Программный комплекс "ALD Pro" на 1 управляемое устройство, тип «Стандарт», на 12 мес.</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137</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12159</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42" w:leader="none"/>
                <w:tab w:val="left" w:pos="284" w:leader="none"/>
                <w:tab w:val="left" w:pos="350" w:leader="none"/>
              </w:tabs>
              <w:spacing w:lineRule="auto" w:line="240" w:before="0" w:after="0"/>
              <w:ind w:hanging="720" w:start="720" w:end="129"/>
              <w:jc w:val="end"/>
              <w:rPr>
                <w:rFonts w:ascii="Times New Roman" w:hAnsi="Times New Roman" w:cs="Times New Roman"/>
                <w:kern w:val="0"/>
                <w:sz w:val="22"/>
                <w:szCs w:val="22"/>
                <w:lang w:val="ru-RU" w:bidi="ar-SA"/>
              </w:rPr>
            </w:pPr>
            <w:r>
              <w:rPr>
                <w:rFonts w:cs="Times New Roman"/>
                <w:color w:val="auto"/>
                <w:kern w:val="0"/>
                <w:sz w:val="22"/>
                <w:szCs w:val="22"/>
                <w:lang w:val="ru-RU" w:bidi="ar-SA"/>
              </w:rPr>
              <w:t>31.</w:t>
            </w:r>
          </w:p>
        </w:tc>
        <w:tc>
          <w:tcPr>
            <w:tcW w:w="7516" w:type="dxa"/>
            <w:tcBorders/>
            <w:vAlign w:val="center"/>
          </w:tcPr>
          <w:p>
            <w:pPr>
              <w:pStyle w:val="19"/>
              <w:widowControl/>
              <w:spacing w:lineRule="auto" w:line="240" w:before="0" w:after="0"/>
              <w:ind w:hanging="0" w:start="140" w:end="138"/>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Сертификат технической поддержки с включенными консультациями по использованию программы для ЭВМ на операционную систему специального назначения «Astra Linux Special Edition» для 64-х разрядной платформы на базе процессорной архитектуры x86-64, уровень защищенности «Максимальный» («Смоленск»), для рабочей станции, тип "Стандарт", на 12 мес.</w:t>
            </w:r>
          </w:p>
        </w:tc>
        <w:tc>
          <w:tcPr>
            <w:tcW w:w="709"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2</w:t>
            </w:r>
          </w:p>
        </w:tc>
        <w:tc>
          <w:tcPr>
            <w:tcW w:w="1426" w:type="dxa"/>
            <w:tcBorders/>
            <w:vAlign w:val="center"/>
          </w:tcPr>
          <w:p>
            <w:pPr>
              <w:pStyle w:val="19"/>
              <w:widowControl/>
              <w:spacing w:lineRule="auto" w:line="240" w:before="0" w:after="0"/>
              <w:ind w:hanging="0"/>
              <w:jc w:val="center"/>
              <w:rPr>
                <w:rFonts w:ascii="Times New Roman" w:hAnsi="Times New Roman" w:cs="Times New Roman"/>
                <w:kern w:val="0"/>
                <w:sz w:val="22"/>
                <w:szCs w:val="22"/>
                <w:lang w:val="ru-RU" w:bidi="ar-SA"/>
              </w:rPr>
            </w:pPr>
            <w:r>
              <w:rPr>
                <w:rFonts w:cs="Times New Roman"/>
                <w:color w:val="000000"/>
                <w:kern w:val="0"/>
                <w:sz w:val="22"/>
                <w:szCs w:val="22"/>
                <w:lang w:val="ru-RU" w:eastAsia="ru-RU" w:bidi="ar-SA"/>
              </w:rPr>
              <w:t>369</w:t>
            </w:r>
          </w:p>
        </w:tc>
        <w:tc>
          <w:tcPr>
            <w:tcW w:w="12" w:type="dxa"/>
            <w:tcBorders/>
          </w:tcPr>
          <w:p>
            <w:pPr>
              <w:pStyle w:val="Normal"/>
              <w:widowControl/>
              <w:spacing w:lineRule="atLeast" w:line="0" w:before="0" w:after="0"/>
              <w:jc w:val="start"/>
              <w:rPr>
                <w:sz w:val="2"/>
              </w:rPr>
            </w:pPr>
            <w:r>
              <w:rPr>
                <w:sz w:val="2"/>
              </w:rPr>
            </w:r>
          </w:p>
        </w:tc>
      </w:tr>
      <w:tr>
        <w:trPr/>
        <w:tc>
          <w:tcPr>
            <w:tcW w:w="10227" w:type="dxa"/>
            <w:gridSpan w:val="5"/>
            <w:tcBorders/>
          </w:tcPr>
          <w:p>
            <w:pPr>
              <w:pStyle w:val="19"/>
              <w:widowControl/>
              <w:spacing w:lineRule="auto" w:line="240" w:before="0" w:after="0"/>
              <w:ind w:hanging="0"/>
              <w:jc w:val="center"/>
              <w:rPr>
                <w:b/>
                <w:color w:val="auto"/>
                <w:szCs w:val="24"/>
              </w:rPr>
            </w:pPr>
            <w:r>
              <w:rPr>
                <w:rFonts w:cs="Times New Roman"/>
                <w:b/>
                <w:color w:val="auto"/>
                <w:kern w:val="0"/>
                <w:szCs w:val="24"/>
                <w:lang w:val="ru-RU" w:bidi="ar-SA"/>
              </w:rPr>
              <w:t>РСОН</w:t>
            </w:r>
          </w:p>
        </w:tc>
      </w:tr>
      <w:tr>
        <w:trPr>
          <w:trHeight w:val="979"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Продление лицензии на использование программы Средство анализа защищенности RedCheck, в редакции Professional на 1 IP-адрес на 1 год</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64</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765</w:t>
            </w:r>
          </w:p>
        </w:tc>
        <w:tc>
          <w:tcPr>
            <w:tcW w:w="12" w:type="dxa"/>
            <w:tcBorders/>
          </w:tcPr>
          <w:p>
            <w:pPr>
              <w:pStyle w:val="Normal"/>
              <w:widowControl/>
              <w:spacing w:lineRule="atLeast" w:line="0" w:before="0" w:after="0"/>
              <w:jc w:val="start"/>
              <w:rPr>
                <w:sz w:val="2"/>
              </w:rPr>
            </w:pPr>
            <w:r>
              <w:rPr>
                <w:sz w:val="2"/>
              </w:rPr>
            </w:r>
          </w:p>
        </w:tc>
      </w:tr>
      <w:tr>
        <w:trPr>
          <w:trHeight w:val="695"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2.</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Передача права на использование ПО ViPNet PKI Client 2.x Базовая лицензия</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2" w:type="dxa"/>
            <w:tcBorders/>
          </w:tcPr>
          <w:p>
            <w:pPr>
              <w:pStyle w:val="Normal"/>
              <w:widowControl/>
              <w:spacing w:lineRule="atLeast" w:line="0" w:before="0" w:after="0"/>
              <w:jc w:val="start"/>
              <w:rPr>
                <w:sz w:val="2"/>
              </w:rPr>
            </w:pPr>
            <w:r>
              <w:rPr>
                <w:sz w:val="2"/>
              </w:rPr>
            </w:r>
          </w:p>
        </w:tc>
      </w:tr>
      <w:tr>
        <w:trPr>
          <w:trHeight w:val="988"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3.</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Client 5 for Linux на срок 1 год, уровень – Расширенный </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41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4319</w:t>
            </w:r>
          </w:p>
        </w:tc>
        <w:tc>
          <w:tcPr>
            <w:tcW w:w="12" w:type="dxa"/>
            <w:tcBorders/>
          </w:tcPr>
          <w:p>
            <w:pPr>
              <w:pStyle w:val="Normal"/>
              <w:widowControl/>
              <w:spacing w:lineRule="atLeast" w:line="0" w:before="0" w:after="0"/>
              <w:jc w:val="start"/>
              <w:rPr>
                <w:sz w:val="2"/>
              </w:rPr>
            </w:pPr>
            <w:r>
              <w:rPr>
                <w:sz w:val="2"/>
              </w:rPr>
            </w:r>
          </w:p>
        </w:tc>
      </w:tr>
      <w:tr>
        <w:trPr>
          <w:trHeight w:val="974"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4.</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Prime на срок 1 год, уровень – Расширенный </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2" w:type="dxa"/>
            <w:tcBorders/>
          </w:tcPr>
          <w:p>
            <w:pPr>
              <w:pStyle w:val="Normal"/>
              <w:widowControl/>
              <w:spacing w:lineRule="atLeast" w:line="0" w:before="0" w:after="0"/>
              <w:jc w:val="start"/>
              <w:rPr>
                <w:sz w:val="2"/>
              </w:rPr>
            </w:pPr>
            <w:r>
              <w:rPr>
                <w:sz w:val="2"/>
              </w:rPr>
            </w:r>
          </w:p>
        </w:tc>
      </w:tr>
      <w:tr>
        <w:trPr>
          <w:trHeight w:val="987"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5.</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EndPoint Protection – Base. (Базовая лицензия, Server for Linux) на срок 1 год, уровень – Расширенный </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2" w:type="dxa"/>
            <w:tcBorders/>
          </w:tcPr>
          <w:p>
            <w:pPr>
              <w:pStyle w:val="Normal"/>
              <w:widowControl/>
              <w:spacing w:lineRule="atLeast" w:line="0" w:before="0" w:after="0"/>
              <w:jc w:val="start"/>
              <w:rPr>
                <w:sz w:val="2"/>
              </w:rPr>
            </w:pPr>
            <w:r>
              <w:rPr>
                <w:sz w:val="2"/>
              </w:rPr>
            </w:r>
          </w:p>
        </w:tc>
      </w:tr>
      <w:tr>
        <w:trPr>
          <w:trHeight w:val="970"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6.</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Сертификат активации сервиса совместной технической поддержки ПО ViPNet EndPoint Protection – Base. (Расширение лицензии) на срок 1 год, уровень – Расширенный</w:t>
            </w:r>
            <w:r>
              <w:rPr>
                <w:rFonts w:cs="Times New Roman"/>
                <w:color w:val="000000"/>
                <w:kern w:val="0"/>
                <w:szCs w:val="24"/>
                <w:lang w:val="en-US" w:eastAsia="ru-RU" w:bidi="ar-SA"/>
              </w:rPr>
              <w:t xml:space="preserve"> </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31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2" w:type="dxa"/>
            <w:tcBorders/>
          </w:tcPr>
          <w:p>
            <w:pPr>
              <w:pStyle w:val="Normal"/>
              <w:widowControl/>
              <w:spacing w:lineRule="atLeast" w:line="0" w:before="0" w:after="0"/>
              <w:jc w:val="start"/>
              <w:rPr>
                <w:sz w:val="2"/>
              </w:rPr>
            </w:pPr>
            <w:r>
              <w:rPr>
                <w:sz w:val="2"/>
              </w:rPr>
            </w:r>
          </w:p>
        </w:tc>
      </w:tr>
      <w:tr>
        <w:trPr>
          <w:trHeight w:val="997"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7.</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Сертификат активации сервиса обновления баз решающих правил для модуля СОВ и модуля Контроль приложений в составе ViPNet EndPoint Protection на срок 1 год</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41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2" w:type="dxa"/>
            <w:tcBorders/>
          </w:tcPr>
          <w:p>
            <w:pPr>
              <w:pStyle w:val="Normal"/>
              <w:widowControl/>
              <w:spacing w:lineRule="atLeast" w:line="0" w:before="0" w:after="0"/>
              <w:jc w:val="start"/>
              <w:rPr>
                <w:sz w:val="2"/>
              </w:rPr>
            </w:pPr>
            <w:r>
              <w:rPr>
                <w:sz w:val="2"/>
              </w:rPr>
            </w:r>
          </w:p>
        </w:tc>
      </w:tr>
      <w:tr>
        <w:trPr>
          <w:trHeight w:val="417"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8.</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Компакт-диск с ПО ViPNet PKI Client 2.x</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2" w:type="dxa"/>
            <w:tcBorders/>
          </w:tcPr>
          <w:p>
            <w:pPr>
              <w:pStyle w:val="Normal"/>
              <w:widowControl/>
              <w:spacing w:lineRule="atLeast" w:line="0" w:before="0" w:after="0"/>
              <w:jc w:val="start"/>
              <w:rPr>
                <w:sz w:val="2"/>
              </w:rPr>
            </w:pPr>
            <w:r>
              <w:rPr>
                <w:sz w:val="2"/>
              </w:rPr>
            </w:r>
          </w:p>
        </w:tc>
      </w:tr>
      <w:tr>
        <w:trPr>
          <w:trHeight w:val="706"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9.</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PKI Client 2.x на срок 1 год, уровень – Расширенный </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2" w:type="dxa"/>
            <w:tcBorders/>
          </w:tcPr>
          <w:p>
            <w:pPr>
              <w:pStyle w:val="Normal"/>
              <w:widowControl/>
              <w:spacing w:lineRule="atLeast" w:line="0" w:before="0" w:after="0"/>
              <w:jc w:val="start"/>
              <w:rPr>
                <w:sz w:val="2"/>
              </w:rPr>
            </w:pPr>
            <w:r>
              <w:rPr>
                <w:sz w:val="2"/>
              </w:rPr>
            </w:r>
          </w:p>
        </w:tc>
      </w:tr>
      <w:tr>
        <w:trPr>
          <w:trHeight w:val="1255"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10.</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ПАК ViPNet Coordinator HW 5 Исполнение HW1000 (Base, АП HW1000 Q7) на срок 1 год (15.11.2027-14.11.2028), уровень – Расширенный </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4</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10507942</w:t>
            </w:r>
          </w:p>
        </w:tc>
        <w:tc>
          <w:tcPr>
            <w:tcW w:w="12" w:type="dxa"/>
            <w:tcBorders/>
          </w:tcPr>
          <w:p>
            <w:pPr>
              <w:pStyle w:val="Normal"/>
              <w:widowControl/>
              <w:spacing w:lineRule="atLeast" w:line="0" w:before="0" w:after="0"/>
              <w:jc w:val="start"/>
              <w:rPr>
                <w:sz w:val="2"/>
              </w:rPr>
            </w:pPr>
            <w:r>
              <w:rPr>
                <w:sz w:val="2"/>
              </w:rPr>
            </w:r>
          </w:p>
        </w:tc>
      </w:tr>
      <w:tr>
        <w:trPr>
          <w:trHeight w:val="976"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11.</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ПАК ViPNet xFirewall 1000 С 5.x на срок 1 год (15.11.2027-14.11.2028), уровень – Расширенный </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10448646</w:t>
            </w:r>
          </w:p>
        </w:tc>
        <w:tc>
          <w:tcPr>
            <w:tcW w:w="12" w:type="dxa"/>
            <w:tcBorders/>
          </w:tcPr>
          <w:p>
            <w:pPr>
              <w:pStyle w:val="Normal"/>
              <w:widowControl/>
              <w:spacing w:lineRule="atLeast" w:line="0" w:before="0" w:after="0"/>
              <w:jc w:val="start"/>
              <w:rPr>
                <w:sz w:val="2"/>
              </w:rPr>
            </w:pPr>
            <w:r>
              <w:rPr>
                <w:sz w:val="2"/>
              </w:rPr>
            </w:r>
          </w:p>
        </w:tc>
      </w:tr>
      <w:tr>
        <w:trPr>
          <w:trHeight w:val="989"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12.</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Сертификат активации сервиса обновления баз решающих правил для модуля IPS ПАК ViPNet xFirewall 1000 C на срок 1 год (20.11.2027-20.11.2028)</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6" w:type="dxa"/>
            <w:tcBorders/>
            <w:vAlign w:val="center"/>
          </w:tcPr>
          <w:p>
            <w:pPr>
              <w:pStyle w:val="19"/>
              <w:widowControl/>
              <w:spacing w:lineRule="auto" w:line="240" w:before="0" w:after="0"/>
              <w:ind w:hanging="0"/>
              <w:jc w:val="center"/>
              <w:rPr>
                <w:b/>
                <w:color w:val="auto"/>
                <w:szCs w:val="24"/>
                <w:lang w:val="en-US"/>
              </w:rPr>
            </w:pPr>
            <w:r>
              <w:rPr>
                <w:rFonts w:cs="Times New Roman"/>
                <w:color w:val="000000"/>
                <w:kern w:val="0"/>
                <w:szCs w:val="24"/>
                <w:lang w:val="ru-RU" w:eastAsia="ru-RU" w:bidi="ar-SA"/>
              </w:rPr>
              <w:t>10448646</w:t>
            </w:r>
          </w:p>
        </w:tc>
        <w:tc>
          <w:tcPr>
            <w:tcW w:w="12" w:type="dxa"/>
            <w:tcBorders/>
          </w:tcPr>
          <w:p>
            <w:pPr>
              <w:pStyle w:val="Normal"/>
              <w:widowControl/>
              <w:spacing w:lineRule="atLeast" w:line="0" w:before="0" w:after="0"/>
              <w:jc w:val="start"/>
              <w:rPr>
                <w:sz w:val="2"/>
              </w:rPr>
            </w:pPr>
            <w:r>
              <w:rPr>
                <w:sz w:val="2"/>
              </w:rPr>
            </w:r>
          </w:p>
        </w:tc>
      </w:tr>
      <w:tr>
        <w:trPr>
          <w:trHeight w:val="976"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13.</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ПАК ViPNet TIAS 1000 3.x на срок 1 год (15.11.2027-14.11.2028), уровень – Расширенный </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10476468</w:t>
            </w:r>
          </w:p>
        </w:tc>
        <w:tc>
          <w:tcPr>
            <w:tcW w:w="12" w:type="dxa"/>
            <w:tcBorders/>
          </w:tcPr>
          <w:p>
            <w:pPr>
              <w:pStyle w:val="Normal"/>
              <w:widowControl/>
              <w:spacing w:lineRule="atLeast" w:line="0" w:before="0" w:after="0"/>
              <w:jc w:val="start"/>
              <w:rPr>
                <w:sz w:val="2"/>
              </w:rPr>
            </w:pPr>
            <w:r>
              <w:rPr>
                <w:sz w:val="2"/>
              </w:rPr>
            </w:r>
          </w:p>
        </w:tc>
      </w:tr>
      <w:tr>
        <w:trPr>
          <w:trHeight w:val="693"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14.</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Сертификат активации сервиса обновления экспертных данных ViPNet TIAS 1000 на срок 1 год (20.11.2027-20.11.2028)</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10476468</w:t>
            </w:r>
          </w:p>
        </w:tc>
        <w:tc>
          <w:tcPr>
            <w:tcW w:w="12" w:type="dxa"/>
            <w:tcBorders/>
          </w:tcPr>
          <w:p>
            <w:pPr>
              <w:pStyle w:val="Normal"/>
              <w:widowControl/>
              <w:spacing w:lineRule="atLeast" w:line="0" w:before="0" w:after="0"/>
              <w:jc w:val="start"/>
              <w:rPr>
                <w:sz w:val="2"/>
              </w:rPr>
            </w:pPr>
            <w:r>
              <w:rPr>
                <w:sz w:val="2"/>
              </w:rPr>
            </w:r>
          </w:p>
        </w:tc>
      </w:tr>
      <w:tr>
        <w:trPr>
          <w:trHeight w:val="716"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15.</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Программно-аппаратный комплекс "Соболь". Версия 4, PCIe, A7, сертификаты ФСБ+ФСТЭК России</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10260514</w:t>
            </w:r>
          </w:p>
        </w:tc>
        <w:tc>
          <w:tcPr>
            <w:tcW w:w="12" w:type="dxa"/>
            <w:tcBorders/>
          </w:tcPr>
          <w:p>
            <w:pPr>
              <w:pStyle w:val="Normal"/>
              <w:widowControl/>
              <w:spacing w:lineRule="atLeast" w:line="0" w:before="0" w:after="0"/>
              <w:jc w:val="start"/>
              <w:rPr>
                <w:sz w:val="2"/>
              </w:rPr>
            </w:pPr>
            <w:r>
              <w:rPr>
                <w:sz w:val="2"/>
              </w:rPr>
            </w:r>
          </w:p>
        </w:tc>
      </w:tr>
      <w:tr>
        <w:trPr>
          <w:trHeight w:val="401"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16.</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Рутокен Lite 1010, серт. ФСТЭК</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21926</w:t>
            </w:r>
          </w:p>
        </w:tc>
        <w:tc>
          <w:tcPr>
            <w:tcW w:w="12" w:type="dxa"/>
            <w:tcBorders/>
          </w:tcPr>
          <w:p>
            <w:pPr>
              <w:pStyle w:val="Normal"/>
              <w:widowControl/>
              <w:spacing w:lineRule="atLeast" w:line="0" w:before="0" w:after="0"/>
              <w:jc w:val="start"/>
              <w:rPr>
                <w:sz w:val="2"/>
              </w:rPr>
            </w:pPr>
            <w:r>
              <w:rPr>
                <w:sz w:val="2"/>
              </w:rPr>
            </w:r>
          </w:p>
        </w:tc>
      </w:tr>
      <w:tr>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17.</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Комплект документации на Рутокен Lite 1010, серт. ФСТЭК</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21926</w:t>
            </w:r>
          </w:p>
        </w:tc>
        <w:tc>
          <w:tcPr>
            <w:tcW w:w="12" w:type="dxa"/>
            <w:tcBorders/>
          </w:tcPr>
          <w:p>
            <w:pPr>
              <w:pStyle w:val="Normal"/>
              <w:widowControl/>
              <w:spacing w:lineRule="atLeast" w:line="0" w:before="0" w:after="0"/>
              <w:jc w:val="start"/>
              <w:rPr>
                <w:sz w:val="2"/>
              </w:rPr>
            </w:pPr>
            <w:r>
              <w:rPr>
                <w:sz w:val="2"/>
              </w:rPr>
            </w:r>
          </w:p>
        </w:tc>
      </w:tr>
      <w:tr>
        <w:trPr>
          <w:trHeight w:val="975"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18.</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Ключ активации сервиса совместной технической поддержки уровня "Расширенный" для ПАК "Соболь" на срок 12 месяцев (15.11.2027-15.11.2028)</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51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10260514</w:t>
            </w:r>
          </w:p>
        </w:tc>
        <w:tc>
          <w:tcPr>
            <w:tcW w:w="12" w:type="dxa"/>
            <w:tcBorders/>
          </w:tcPr>
          <w:p>
            <w:pPr>
              <w:pStyle w:val="Normal"/>
              <w:widowControl/>
              <w:spacing w:lineRule="atLeast" w:line="0" w:before="0" w:after="0"/>
              <w:jc w:val="start"/>
              <w:rPr>
                <w:sz w:val="2"/>
              </w:rPr>
            </w:pPr>
            <w:r>
              <w:rPr>
                <w:sz w:val="2"/>
              </w:rPr>
            </w:r>
          </w:p>
        </w:tc>
      </w:tr>
      <w:tr>
        <w:trPr>
          <w:trHeight w:val="407"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19.</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Дистрибутив ПО ViPNet Prime</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2" w:type="dxa"/>
            <w:tcBorders/>
          </w:tcPr>
          <w:p>
            <w:pPr>
              <w:pStyle w:val="Normal"/>
              <w:widowControl/>
              <w:spacing w:lineRule="atLeast" w:line="0" w:before="0" w:after="0"/>
              <w:jc w:val="start"/>
              <w:rPr>
                <w:sz w:val="2"/>
              </w:rPr>
            </w:pPr>
            <w:r>
              <w:rPr>
                <w:sz w:val="2"/>
              </w:rPr>
            </w:r>
          </w:p>
        </w:tc>
      </w:tr>
      <w:tr>
        <w:trPr>
          <w:trHeight w:val="427"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20.</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Дистрибутив ПО ViPNet EPP</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2" w:type="dxa"/>
            <w:tcBorders/>
          </w:tcPr>
          <w:p>
            <w:pPr>
              <w:pStyle w:val="Normal"/>
              <w:widowControl/>
              <w:spacing w:lineRule="atLeast" w:line="0" w:before="0" w:after="0"/>
              <w:jc w:val="start"/>
              <w:rPr>
                <w:sz w:val="2"/>
              </w:rPr>
            </w:pPr>
            <w:r>
              <w:rPr>
                <w:sz w:val="2"/>
              </w:rPr>
            </w:r>
          </w:p>
        </w:tc>
      </w:tr>
      <w:tr>
        <w:trPr>
          <w:trHeight w:val="405"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21.</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Дистрибутив ПО ViPNet Client 5</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4319</w:t>
            </w:r>
          </w:p>
        </w:tc>
        <w:tc>
          <w:tcPr>
            <w:tcW w:w="12" w:type="dxa"/>
            <w:tcBorders/>
          </w:tcPr>
          <w:p>
            <w:pPr>
              <w:pStyle w:val="Normal"/>
              <w:widowControl/>
              <w:spacing w:lineRule="atLeast" w:line="0" w:before="0" w:after="0"/>
              <w:jc w:val="start"/>
              <w:rPr>
                <w:sz w:val="2"/>
              </w:rPr>
            </w:pPr>
            <w:r>
              <w:rPr>
                <w:sz w:val="2"/>
              </w:rPr>
            </w:r>
          </w:p>
        </w:tc>
      </w:tr>
      <w:tr>
        <w:trPr>
          <w:trHeight w:val="501"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22.</w:t>
            </w:r>
          </w:p>
        </w:tc>
        <w:tc>
          <w:tcPr>
            <w:tcW w:w="7516" w:type="dxa"/>
            <w:tcBorders/>
            <w:vAlign w:val="center"/>
          </w:tcPr>
          <w:p>
            <w:pPr>
              <w:pStyle w:val="19"/>
              <w:widowControl/>
              <w:spacing w:lineRule="auto" w:line="240" w:before="0" w:after="0"/>
              <w:ind w:hanging="0" w:start="146" w:end="138"/>
              <w:rPr>
                <w:b/>
                <w:color w:val="auto"/>
                <w:szCs w:val="24"/>
              </w:rPr>
            </w:pPr>
            <w:r>
              <w:rPr>
                <w:rFonts w:cs="Times New Roman"/>
                <w:color w:val="000000"/>
                <w:kern w:val="0"/>
                <w:szCs w:val="24"/>
                <w:lang w:val="ru-RU" w:eastAsia="ru-RU" w:bidi="ar-SA"/>
              </w:rPr>
              <w:t>Компакт-диск с ПО для обновления ПАК ViPNet Coordinator HW1000</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4</w:t>
            </w:r>
          </w:p>
        </w:tc>
        <w:tc>
          <w:tcPr>
            <w:tcW w:w="1426" w:type="dxa"/>
            <w:tcBorders/>
            <w:vAlign w:val="center"/>
          </w:tcPr>
          <w:p>
            <w:pPr>
              <w:pStyle w:val="19"/>
              <w:widowControl/>
              <w:spacing w:lineRule="auto" w:line="240" w:before="0" w:after="0"/>
              <w:ind w:hanging="0"/>
              <w:jc w:val="center"/>
              <w:rPr>
                <w:b/>
                <w:color w:val="auto"/>
                <w:szCs w:val="24"/>
                <w:lang w:val="en-US"/>
              </w:rPr>
            </w:pPr>
            <w:r>
              <w:rPr>
                <w:rFonts w:cs="Times New Roman"/>
                <w:color w:val="000000"/>
                <w:kern w:val="0"/>
                <w:szCs w:val="24"/>
                <w:lang w:val="ru-RU" w:eastAsia="ru-RU" w:bidi="ar-SA"/>
              </w:rPr>
              <w:t>10507942</w:t>
            </w:r>
          </w:p>
        </w:tc>
        <w:tc>
          <w:tcPr>
            <w:tcW w:w="12" w:type="dxa"/>
            <w:tcBorders/>
          </w:tcPr>
          <w:p>
            <w:pPr>
              <w:pStyle w:val="Normal"/>
              <w:widowControl/>
              <w:spacing w:lineRule="atLeast" w:line="0" w:before="0" w:after="0"/>
              <w:jc w:val="start"/>
              <w:rPr>
                <w:sz w:val="2"/>
              </w:rPr>
            </w:pPr>
            <w:r>
              <w:rPr>
                <w:sz w:val="2"/>
              </w:rPr>
            </w:r>
          </w:p>
        </w:tc>
      </w:tr>
      <w:tr>
        <w:trPr>
          <w:trHeight w:val="425"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rPr>
            </w:pPr>
            <w:r>
              <w:rPr>
                <w:rFonts w:cs="Times New Roman"/>
                <w:color w:val="auto"/>
                <w:kern w:val="0"/>
                <w:szCs w:val="24"/>
                <w:lang w:val="ru-RU" w:bidi="ar-SA"/>
              </w:rPr>
              <w:t>23.</w:t>
            </w:r>
          </w:p>
        </w:tc>
        <w:tc>
          <w:tcPr>
            <w:tcW w:w="7516" w:type="dxa"/>
            <w:tcBorders/>
            <w:vAlign w:val="center"/>
          </w:tcPr>
          <w:p>
            <w:pPr>
              <w:pStyle w:val="19"/>
              <w:widowControl/>
              <w:tabs>
                <w:tab w:val="clear" w:pos="708"/>
                <w:tab w:val="left" w:pos="1170" w:leader="none"/>
              </w:tabs>
              <w:spacing w:lineRule="auto" w:line="240" w:before="0" w:after="0"/>
              <w:ind w:hanging="0" w:start="146" w:end="138"/>
              <w:rPr>
                <w:color w:val="auto"/>
                <w:szCs w:val="24"/>
              </w:rPr>
            </w:pPr>
            <w:r>
              <w:rPr>
                <w:rFonts w:cs="Times New Roman"/>
                <w:color w:val="000000"/>
                <w:kern w:val="0"/>
                <w:szCs w:val="24"/>
                <w:lang w:val="ru-RU" w:eastAsia="ru-RU" w:bidi="ar-SA"/>
              </w:rPr>
              <w:t>Компакт-диск с ПО для обновления ПАК ViPNet xFirewall 1000 С</w:t>
            </w:r>
          </w:p>
        </w:tc>
        <w:tc>
          <w:tcPr>
            <w:tcW w:w="709"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6" w:type="dxa"/>
            <w:tcBorders/>
            <w:vAlign w:val="center"/>
          </w:tcPr>
          <w:p>
            <w:pPr>
              <w:pStyle w:val="19"/>
              <w:widowControl/>
              <w:spacing w:lineRule="auto" w:line="240" w:before="0" w:after="0"/>
              <w:ind w:hanging="0"/>
              <w:jc w:val="center"/>
              <w:rPr>
                <w:b/>
                <w:color w:val="auto"/>
                <w:szCs w:val="24"/>
              </w:rPr>
            </w:pPr>
            <w:r>
              <w:rPr>
                <w:rFonts w:cs="Times New Roman"/>
                <w:color w:val="000000"/>
                <w:kern w:val="0"/>
                <w:szCs w:val="24"/>
                <w:lang w:val="ru-RU" w:eastAsia="ru-RU" w:bidi="ar-SA"/>
              </w:rPr>
              <w:t>10448646</w:t>
            </w:r>
          </w:p>
        </w:tc>
        <w:tc>
          <w:tcPr>
            <w:tcW w:w="12" w:type="dxa"/>
            <w:tcBorders/>
          </w:tcPr>
          <w:p>
            <w:pPr>
              <w:pStyle w:val="Normal"/>
              <w:widowControl/>
              <w:spacing w:lineRule="atLeast" w:line="0" w:before="0" w:after="0"/>
              <w:jc w:val="start"/>
              <w:rPr>
                <w:sz w:val="2"/>
              </w:rPr>
            </w:pPr>
            <w:r>
              <w:rPr>
                <w:sz w:val="2"/>
              </w:rPr>
            </w:r>
          </w:p>
        </w:tc>
      </w:tr>
      <w:tr>
        <w:trPr>
          <w:trHeight w:val="1880"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lang w:val="en-US"/>
              </w:rPr>
            </w:pPr>
            <w:r>
              <w:rPr>
                <w:rFonts w:cs="Times New Roman"/>
                <w:color w:val="auto"/>
                <w:kern w:val="0"/>
                <w:szCs w:val="24"/>
                <w:lang w:val="en-US" w:bidi="ar-SA"/>
              </w:rPr>
              <w:t>24.</w:t>
            </w:r>
          </w:p>
        </w:tc>
        <w:tc>
          <w:tcPr>
            <w:tcW w:w="7516" w:type="dxa"/>
            <w:tcBorders/>
            <w:vAlign w:val="center"/>
          </w:tcPr>
          <w:p>
            <w:pPr>
              <w:pStyle w:val="19"/>
              <w:widowControl/>
              <w:tabs>
                <w:tab w:val="clear" w:pos="708"/>
                <w:tab w:val="left" w:pos="1170" w:leader="none"/>
              </w:tabs>
              <w:spacing w:lineRule="auto" w:line="240" w:before="0" w:after="0"/>
              <w:ind w:hanging="0" w:start="146"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 для ЭВМ на Программный комплекс "ALD Pro" на 1 контроллер домена, на 8 управляемых устройств и операционную систему специального назначения «Astra Linux Special Edition» для 64-х разрядной платформы на базе процессорной архитектуры x86-64 РУСБ.10015-01 (ФСТЭК) для 8 серверов, тип «Стандарт», на 12 мес.</w:t>
            </w:r>
          </w:p>
        </w:tc>
        <w:tc>
          <w:tcPr>
            <w:tcW w:w="709" w:type="dxa"/>
            <w:tcBorders/>
            <w:vAlign w:val="center"/>
          </w:tcPr>
          <w:p>
            <w:pPr>
              <w:pStyle w:val="19"/>
              <w:widowControl/>
              <w:spacing w:lineRule="auto" w:line="240" w:before="0" w:after="0"/>
              <w:ind w:hanging="0"/>
              <w:jc w:val="center"/>
              <w:rPr>
                <w:color w:val="auto"/>
              </w:rPr>
            </w:pPr>
            <w:r>
              <w:rPr>
                <w:rFonts w:cs="Times New Roman"/>
                <w:color w:val="000000"/>
                <w:kern w:val="0"/>
                <w:szCs w:val="24"/>
                <w:lang w:val="ru-RU" w:eastAsia="ru-RU" w:bidi="ar-SA"/>
              </w:rPr>
              <w:t>1</w:t>
            </w:r>
          </w:p>
        </w:tc>
        <w:tc>
          <w:tcPr>
            <w:tcW w:w="1426" w:type="dxa"/>
            <w:tcBorders/>
            <w:vAlign w:val="center"/>
          </w:tcPr>
          <w:p>
            <w:pPr>
              <w:pStyle w:val="19"/>
              <w:widowControl/>
              <w:spacing w:lineRule="auto" w:line="240" w:before="0" w:after="0"/>
              <w:ind w:hanging="0"/>
              <w:jc w:val="center"/>
              <w:rPr>
                <w:color w:val="auto"/>
              </w:rPr>
            </w:pPr>
            <w:r>
              <w:rPr>
                <w:rFonts w:cs="Times New Roman"/>
                <w:color w:val="000000"/>
                <w:kern w:val="0"/>
                <w:szCs w:val="24"/>
                <w:lang w:val="ru-RU" w:eastAsia="ru-RU" w:bidi="ar-SA"/>
              </w:rPr>
              <w:t>12159</w:t>
            </w:r>
          </w:p>
        </w:tc>
        <w:tc>
          <w:tcPr>
            <w:tcW w:w="12" w:type="dxa"/>
            <w:tcBorders/>
          </w:tcPr>
          <w:p>
            <w:pPr>
              <w:pStyle w:val="Normal"/>
              <w:widowControl/>
              <w:spacing w:lineRule="atLeast" w:line="0" w:before="0" w:after="0"/>
              <w:jc w:val="start"/>
              <w:rPr>
                <w:sz w:val="2"/>
              </w:rPr>
            </w:pPr>
            <w:r>
              <w:rPr>
                <w:sz w:val="2"/>
              </w:rPr>
            </w:r>
          </w:p>
        </w:tc>
      </w:tr>
      <w:tr>
        <w:trPr>
          <w:trHeight w:val="1183"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lang w:val="en-US"/>
              </w:rPr>
            </w:pPr>
            <w:r>
              <w:rPr>
                <w:rFonts w:cs="Times New Roman"/>
                <w:color w:val="auto"/>
                <w:kern w:val="0"/>
                <w:szCs w:val="24"/>
                <w:lang w:val="en-US" w:bidi="ar-SA"/>
              </w:rPr>
              <w:t>25.</w:t>
            </w:r>
          </w:p>
        </w:tc>
        <w:tc>
          <w:tcPr>
            <w:tcW w:w="7516" w:type="dxa"/>
            <w:tcBorders/>
            <w:vAlign w:val="center"/>
          </w:tcPr>
          <w:p>
            <w:pPr>
              <w:pStyle w:val="19"/>
              <w:widowControl/>
              <w:tabs>
                <w:tab w:val="clear" w:pos="708"/>
                <w:tab w:val="left" w:pos="1170" w:leader="none"/>
              </w:tabs>
              <w:spacing w:lineRule="auto" w:line="240" w:before="0" w:after="0"/>
              <w:ind w:hanging="0" w:start="146"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программы для ЭВМ на Программный комплекс "ALD Pro" на 1 управляемое устройство, тип «Стандарт», на 12 мес.</w:t>
            </w:r>
          </w:p>
        </w:tc>
        <w:tc>
          <w:tcPr>
            <w:tcW w:w="709" w:type="dxa"/>
            <w:tcBorders/>
            <w:vAlign w:val="center"/>
          </w:tcPr>
          <w:p>
            <w:pPr>
              <w:pStyle w:val="19"/>
              <w:widowControl/>
              <w:spacing w:lineRule="auto" w:line="240" w:before="0" w:after="0"/>
              <w:ind w:hanging="0"/>
              <w:jc w:val="center"/>
              <w:rPr>
                <w:color w:val="auto"/>
              </w:rPr>
            </w:pPr>
            <w:r>
              <w:rPr>
                <w:rFonts w:cs="Times New Roman"/>
                <w:color w:val="000000"/>
                <w:kern w:val="0"/>
                <w:szCs w:val="24"/>
                <w:lang w:val="ru-RU" w:eastAsia="ru-RU" w:bidi="ar-SA"/>
              </w:rPr>
              <w:t>51</w:t>
            </w:r>
          </w:p>
        </w:tc>
        <w:tc>
          <w:tcPr>
            <w:tcW w:w="1426" w:type="dxa"/>
            <w:tcBorders/>
            <w:vAlign w:val="center"/>
          </w:tcPr>
          <w:p>
            <w:pPr>
              <w:pStyle w:val="19"/>
              <w:widowControl/>
              <w:spacing w:lineRule="auto" w:line="240" w:before="0" w:after="0"/>
              <w:ind w:hanging="0"/>
              <w:jc w:val="center"/>
              <w:rPr>
                <w:color w:val="auto"/>
              </w:rPr>
            </w:pPr>
            <w:r>
              <w:rPr>
                <w:rFonts w:cs="Times New Roman"/>
                <w:color w:val="000000"/>
                <w:kern w:val="0"/>
                <w:szCs w:val="24"/>
                <w:lang w:val="ru-RU" w:eastAsia="ru-RU" w:bidi="ar-SA"/>
              </w:rPr>
              <w:t>12159</w:t>
            </w:r>
          </w:p>
        </w:tc>
        <w:tc>
          <w:tcPr>
            <w:tcW w:w="12" w:type="dxa"/>
            <w:tcBorders/>
          </w:tcPr>
          <w:p>
            <w:pPr>
              <w:pStyle w:val="Normal"/>
              <w:widowControl/>
              <w:spacing w:lineRule="atLeast" w:line="0" w:before="0" w:after="0"/>
              <w:jc w:val="start"/>
              <w:rPr>
                <w:sz w:val="2"/>
              </w:rPr>
            </w:pPr>
            <w:r>
              <w:rPr>
                <w:sz w:val="2"/>
              </w:rPr>
            </w:r>
          </w:p>
        </w:tc>
      </w:tr>
      <w:tr>
        <w:trPr>
          <w:trHeight w:val="1650" w:hRule="atLeast"/>
        </w:trPr>
        <w:tc>
          <w:tcPr>
            <w:tcW w:w="564" w:type="dxa"/>
            <w:tcBorders/>
            <w:vAlign w:val="center"/>
          </w:tcPr>
          <w:p>
            <w:pPr>
              <w:pStyle w:val="19"/>
              <w:widowControl/>
              <w:tabs>
                <w:tab w:val="clear" w:pos="708"/>
                <w:tab w:val="left" w:pos="175" w:leader="none"/>
              </w:tabs>
              <w:spacing w:lineRule="auto" w:line="240" w:before="0" w:after="0"/>
              <w:ind w:hanging="175" w:start="175"/>
              <w:jc w:val="center"/>
              <w:rPr>
                <w:color w:val="auto"/>
                <w:szCs w:val="24"/>
                <w:lang w:val="en-US"/>
              </w:rPr>
            </w:pPr>
            <w:r>
              <w:rPr>
                <w:rFonts w:cs="Times New Roman"/>
                <w:color w:val="auto"/>
                <w:kern w:val="0"/>
                <w:szCs w:val="24"/>
                <w:lang w:val="en-US" w:bidi="ar-SA"/>
              </w:rPr>
              <w:t>26.</w:t>
            </w:r>
          </w:p>
        </w:tc>
        <w:tc>
          <w:tcPr>
            <w:tcW w:w="7516" w:type="dxa"/>
            <w:tcBorders/>
            <w:vAlign w:val="center"/>
          </w:tcPr>
          <w:p>
            <w:pPr>
              <w:pStyle w:val="19"/>
              <w:widowControl/>
              <w:tabs>
                <w:tab w:val="clear" w:pos="708"/>
                <w:tab w:val="left" w:pos="1170" w:leader="none"/>
              </w:tabs>
              <w:spacing w:lineRule="auto" w:line="240" w:before="0" w:after="0"/>
              <w:ind w:hanging="0" w:start="146"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программы для ЭВМ на операционную систему специального назначения «Astra Linux Special Edition» для 64-х разрядной платформы на базе процессорной архитектуры x86-64, уровень защищенности «Максимальный» («Смоленск»), для рабочей станции, тип "Стандарт", на 12 мес.</w:t>
            </w:r>
          </w:p>
        </w:tc>
        <w:tc>
          <w:tcPr>
            <w:tcW w:w="709" w:type="dxa"/>
            <w:tcBorders/>
            <w:vAlign w:val="center"/>
          </w:tcPr>
          <w:p>
            <w:pPr>
              <w:pStyle w:val="19"/>
              <w:widowControl/>
              <w:spacing w:lineRule="auto" w:line="240" w:before="0" w:after="0"/>
              <w:ind w:hanging="0"/>
              <w:jc w:val="center"/>
              <w:rPr>
                <w:color w:val="auto"/>
              </w:rPr>
            </w:pPr>
            <w:r>
              <w:rPr>
                <w:rFonts w:cs="Times New Roman"/>
                <w:color w:val="000000"/>
                <w:kern w:val="0"/>
                <w:szCs w:val="24"/>
                <w:lang w:val="ru-RU" w:eastAsia="ru-RU" w:bidi="ar-SA"/>
              </w:rPr>
              <w:t>2</w:t>
            </w:r>
          </w:p>
        </w:tc>
        <w:tc>
          <w:tcPr>
            <w:tcW w:w="1426" w:type="dxa"/>
            <w:tcBorders/>
            <w:vAlign w:val="center"/>
          </w:tcPr>
          <w:p>
            <w:pPr>
              <w:pStyle w:val="19"/>
              <w:widowControl/>
              <w:spacing w:lineRule="auto" w:line="240" w:before="0" w:after="0"/>
              <w:ind w:hanging="0"/>
              <w:jc w:val="center"/>
              <w:rPr>
                <w:color w:val="auto"/>
              </w:rPr>
            </w:pPr>
            <w:r>
              <w:rPr>
                <w:rFonts w:cs="Times New Roman"/>
                <w:color w:val="000000"/>
                <w:kern w:val="0"/>
                <w:szCs w:val="24"/>
                <w:lang w:val="ru-RU" w:eastAsia="ru-RU" w:bidi="ar-SA"/>
              </w:rPr>
              <w:t>369</w:t>
            </w:r>
          </w:p>
        </w:tc>
        <w:tc>
          <w:tcPr>
            <w:tcW w:w="12" w:type="dxa"/>
            <w:tcBorders/>
          </w:tcPr>
          <w:p>
            <w:pPr>
              <w:pStyle w:val="Normal"/>
              <w:widowControl/>
              <w:spacing w:lineRule="atLeast" w:line="0" w:before="0" w:after="0"/>
              <w:jc w:val="start"/>
              <w:rPr>
                <w:sz w:val="2"/>
              </w:rPr>
            </w:pPr>
            <w:r>
              <w:rPr>
                <w:sz w:val="2"/>
              </w:rPr>
            </w:r>
          </w:p>
        </w:tc>
      </w:tr>
    </w:tbl>
    <w:p>
      <w:pPr>
        <w:pStyle w:val="19"/>
        <w:spacing w:lineRule="auto" w:line="240" w:before="0" w:after="0"/>
        <w:ind w:hanging="0"/>
        <w:rPr>
          <w:rFonts w:ascii="Times New Roman" w:hAnsi="Times New Roman"/>
          <w:sz w:val="24"/>
          <w:szCs w:val="24"/>
        </w:rPr>
      </w:pPr>
      <w:r>
        <w:rPr>
          <w:sz w:val="24"/>
          <w:szCs w:val="24"/>
        </w:rPr>
      </w:r>
    </w:p>
    <w:p>
      <w:pPr>
        <w:pStyle w:val="Normal"/>
        <w:ind w:firstLine="851"/>
        <w:jc w:val="both"/>
        <w:rPr>
          <w:rFonts w:ascii="Times New Roman" w:hAnsi="Times New Roman"/>
          <w:sz w:val="24"/>
          <w:szCs w:val="24"/>
        </w:rPr>
      </w:pPr>
      <w:r>
        <w:rPr>
          <w:rFonts w:ascii="Times New Roman" w:hAnsi="Times New Roman"/>
          <w:sz w:val="24"/>
          <w:szCs w:val="24"/>
          <w:lang w:eastAsia="ja-JP"/>
        </w:rPr>
        <w:t>*В соответствии с ч.1 ст.33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bCs/>
          <w:sz w:val="24"/>
          <w:szCs w:val="24"/>
          <w:lang w:eastAsia="ja-JP"/>
        </w:rPr>
        <w:t>эквивалент не предусмотрен в связи с необходимостью обеспечения совместимости с эксплуатируемым оборудованием Заказчика</w:t>
      </w:r>
    </w:p>
    <w:p>
      <w:pPr>
        <w:pStyle w:val="Normal"/>
        <w:jc w:val="both"/>
        <w:rPr>
          <w:bCs/>
          <w:lang w:eastAsia="ja-JP"/>
        </w:rPr>
      </w:pPr>
      <w:r>
        <w:rPr>
          <w:bCs/>
          <w:lang w:eastAsia="ja-JP"/>
        </w:rPr>
      </w:r>
    </w:p>
    <w:p>
      <w:pPr>
        <w:pStyle w:val="Normal"/>
        <w:rPr>
          <w:lang w:eastAsia="ja-JP"/>
        </w:rPr>
      </w:pPr>
      <w:r>
        <w:rPr>
          <w:lang w:eastAsia="ja-JP"/>
        </w:rPr>
      </w:r>
    </w:p>
    <w:p>
      <w:pPr>
        <w:pStyle w:val="Normal"/>
        <w:rPr>
          <w:lang w:eastAsia="ja-JP"/>
        </w:rPr>
      </w:pPr>
      <w:r>
        <w:rPr>
          <w:lang w:eastAsia="ja-JP"/>
        </w:rPr>
      </w:r>
    </w:p>
    <w:p>
      <w:pPr>
        <w:pStyle w:val="Normal"/>
        <w:spacing w:before="0" w:after="200"/>
        <w:rPr>
          <w:lang w:eastAsia="ja-JP"/>
        </w:rPr>
      </w:pPr>
      <w:r>
        <w:rPr>
          <w:lang w:eastAsia="ja-JP"/>
        </w:rPr>
      </w:r>
    </w:p>
    <w:sectPr>
      <w:type w:val="nextPage"/>
      <w:pgSz w:w="12240" w:h="15840"/>
      <w:pgMar w:left="992" w:right="618" w:gutter="0" w:header="0" w:top="709" w:footer="0" w:bottom="426"/>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Cambria">
    <w:charset w:val="01" w:characterSet="utf-8"/>
    <w:family w:val="swiss"/>
    <w:pitch w:val="variable"/>
  </w:font>
  <w:font w:name="Arial">
    <w:charset w:val="01" w:characterSet="utf-8"/>
    <w:family w:val="swiss"/>
    <w:pitch w:val="variable"/>
  </w:font>
  <w:font w:name="Tahoma">
    <w:charset w:val="01" w:characterSet="utf-8"/>
    <w:family w:val="swiss"/>
    <w:pitch w:val="variable"/>
  </w:font>
  <w:font w:name="Courier New">
    <w:charset w:val="01" w:characterSet="utf-8"/>
    <w:family w:val="roman"/>
    <w:pitch w:val="variable"/>
  </w:font>
  <w:font w:name="Sylfaen">
    <w:charset w:val="01" w:characterSet="utf-8"/>
    <w:family w:val="roman"/>
    <w:pitch w:val="variable"/>
  </w:font>
  <w:font w:name="Tinos">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swiss"/>
    <w:pitch w:val="variable"/>
  </w:font>
  <w:font w:name="Verdana">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decimal"/>
      <w:suff w:val="space"/>
      <w:lvlText w:val="%1."/>
      <w:lvlJc w:val="start"/>
      <w:pPr>
        <w:tabs>
          <w:tab w:val="num" w:pos="0"/>
        </w:tabs>
        <w:ind w:start="720" w:hanging="360"/>
      </w:pPr>
      <w:rPr>
        <w:b/>
      </w:rPr>
    </w:lvl>
    <w:lvl w:ilvl="1">
      <w:start w:val="1"/>
      <w:numFmt w:val="decimal"/>
      <w:lvlText w:val="%1.%2"/>
      <w:lvlJc w:val="start"/>
      <w:pPr>
        <w:tabs>
          <w:tab w:val="num" w:pos="0"/>
        </w:tabs>
        <w:ind w:start="720" w:hanging="360"/>
      </w:pPr>
      <w:rPr>
        <w:color w:themeColor="text1" w:val="000000"/>
      </w:rPr>
    </w:lvl>
    <w:lvl w:ilvl="2">
      <w:start w:val="1"/>
      <w:numFmt w:val="decimal"/>
      <w:lvlText w:val="%1.%2.%3"/>
      <w:lvlJc w:val="start"/>
      <w:pPr>
        <w:tabs>
          <w:tab w:val="num" w:pos="0"/>
        </w:tabs>
        <w:ind w:start="1080" w:hanging="720"/>
      </w:pPr>
      <w:rPr/>
    </w:lvl>
    <w:lvl w:ilvl="3">
      <w:start w:val="1"/>
      <w:numFmt w:val="decimal"/>
      <w:lvlText w:val="%1.%2.%3.%4"/>
      <w:lvlJc w:val="start"/>
      <w:pPr>
        <w:tabs>
          <w:tab w:val="num" w:pos="0"/>
        </w:tabs>
        <w:ind w:start="1080" w:hanging="720"/>
      </w:pPr>
      <w:rPr/>
    </w:lvl>
    <w:lvl w:ilvl="4">
      <w:start w:val="1"/>
      <w:numFmt w:val="decimal"/>
      <w:lvlText w:val="%1.%2.%3.%4.%5"/>
      <w:lvlJc w:val="start"/>
      <w:pPr>
        <w:tabs>
          <w:tab w:val="num" w:pos="0"/>
        </w:tabs>
        <w:ind w:start="1440" w:hanging="1080"/>
      </w:pPr>
      <w:rPr/>
    </w:lvl>
    <w:lvl w:ilvl="5">
      <w:start w:val="1"/>
      <w:numFmt w:val="decimal"/>
      <w:lvlText w:val="%1.%2.%3.%4.%5.%6"/>
      <w:lvlJc w:val="start"/>
      <w:pPr>
        <w:tabs>
          <w:tab w:val="num" w:pos="0"/>
        </w:tabs>
        <w:ind w:start="1440" w:hanging="1080"/>
      </w:pPr>
      <w:rPr/>
    </w:lvl>
    <w:lvl w:ilvl="6">
      <w:start w:val="1"/>
      <w:numFmt w:val="decimal"/>
      <w:lvlText w:val="%1.%2.%3.%4.%5.%6.%7"/>
      <w:lvlJc w:val="start"/>
      <w:pPr>
        <w:tabs>
          <w:tab w:val="num" w:pos="0"/>
        </w:tabs>
        <w:ind w:start="1800" w:hanging="1440"/>
      </w:pPr>
      <w:rPr/>
    </w:lvl>
    <w:lvl w:ilvl="7">
      <w:start w:val="1"/>
      <w:numFmt w:val="decimal"/>
      <w:lvlText w:val="%1.%2.%3.%4.%5.%6.%7.%8"/>
      <w:lvlJc w:val="start"/>
      <w:pPr>
        <w:tabs>
          <w:tab w:val="num" w:pos="0"/>
        </w:tabs>
        <w:ind w:start="1800" w:hanging="1440"/>
      </w:pPr>
      <w:rPr/>
    </w:lvl>
    <w:lvl w:ilvl="8">
      <w:start w:val="1"/>
      <w:numFmt w:val="decimal"/>
      <w:lvlText w:val="%1.%2.%3.%4.%5.%6.%7.%8.%9"/>
      <w:lvlJc w:val="start"/>
      <w:pPr>
        <w:tabs>
          <w:tab w:val="num" w:pos="0"/>
        </w:tabs>
        <w:ind w:start="2160" w:hanging="1800"/>
      </w:pPr>
      <w:rPr/>
    </w:lvl>
  </w:abstractNum>
  <w:abstractNum w:abstractNumId="3">
    <w:lvl w:ilvl="0">
      <w:start w:val="1"/>
      <w:numFmt w:val="bullet"/>
      <w:lvlText w:val=""/>
      <w:lvlJc w:val="start"/>
      <w:pPr>
        <w:tabs>
          <w:tab w:val="num" w:pos="1211"/>
        </w:tabs>
        <w:ind w:start="0" w:firstLine="851"/>
      </w:pPr>
      <w:rPr>
        <w:rFonts w:ascii="Symbol" w:hAnsi="Symbol" w:cs="Symbol" w:hint="default"/>
        <w:color w:val="auto"/>
      </w:rPr>
    </w:lvl>
    <w:lvl w:ilvl="1">
      <w:start w:val="1"/>
      <w:numFmt w:val="bullet"/>
      <w:lvlText w:val=""/>
      <w:lvlJc w:val="start"/>
      <w:pPr>
        <w:tabs>
          <w:tab w:val="num" w:pos="2061"/>
        </w:tabs>
        <w:ind w:start="851" w:firstLine="850"/>
      </w:pPr>
      <w:rPr>
        <w:rFonts w:ascii="Symbol" w:hAnsi="Symbol" w:cs="Symbol" w:hint="default"/>
        <w:color w:val="auto"/>
      </w:rPr>
    </w:lvl>
    <w:lvl w:ilvl="2">
      <w:start w:val="1"/>
      <w:numFmt w:val="bullet"/>
      <w:lvlText w:val=""/>
      <w:lvlJc w:val="start"/>
      <w:pPr>
        <w:tabs>
          <w:tab w:val="num" w:pos="2912"/>
        </w:tabs>
        <w:ind w:start="1701" w:firstLine="851"/>
      </w:pPr>
      <w:rPr>
        <w:rFonts w:ascii="Symbol" w:hAnsi="Symbol" w:cs="Symbol" w:hint="default"/>
        <w:color w:val="auto"/>
      </w:rPr>
    </w:lvl>
    <w:lvl w:ilvl="3">
      <w:start w:val="1"/>
      <w:numFmt w:val="bullet"/>
      <w:lvlText w:val=""/>
      <w:lvlJc w:val="start"/>
      <w:pPr>
        <w:tabs>
          <w:tab w:val="num" w:pos="3762"/>
        </w:tabs>
        <w:ind w:start="2552" w:firstLine="850"/>
      </w:pPr>
      <w:rPr>
        <w:rFonts w:ascii="Symbol" w:hAnsi="Symbol" w:cs="Symbol" w:hint="default"/>
        <w:color w:val="auto"/>
      </w:rPr>
    </w:lvl>
    <w:lvl w:ilvl="4">
      <w:start w:val="1"/>
      <w:numFmt w:val="lowerLetter"/>
      <w:lvlText w:val="(%5)"/>
      <w:lvlJc w:val="start"/>
      <w:pPr>
        <w:tabs>
          <w:tab w:val="num" w:pos="1800"/>
        </w:tabs>
        <w:ind w:start="1800" w:hanging="360"/>
      </w:pPr>
      <w:rPr>
        <w:rFonts w:cs="Times New Roman"/>
      </w:rPr>
    </w:lvl>
    <w:lvl w:ilvl="5">
      <w:start w:val="1"/>
      <w:numFmt w:val="lowerRoman"/>
      <w:lvlText w:val="(%6)"/>
      <w:lvlJc w:val="start"/>
      <w:pPr>
        <w:tabs>
          <w:tab w:val="num" w:pos="2160"/>
        </w:tabs>
        <w:ind w:start="2160" w:hanging="360"/>
      </w:pPr>
      <w:rPr>
        <w:rFonts w:cs="Times New Roman"/>
      </w:rPr>
    </w:lvl>
    <w:lvl w:ilvl="6">
      <w:start w:val="1"/>
      <w:numFmt w:val="decimal"/>
      <w:lvlText w:val="%7."/>
      <w:lvlJc w:val="start"/>
      <w:pPr>
        <w:tabs>
          <w:tab w:val="num" w:pos="2520"/>
        </w:tabs>
        <w:ind w:start="2520" w:hanging="360"/>
      </w:pPr>
      <w:rPr>
        <w:rFonts w:cs="Times New Roman"/>
      </w:rPr>
    </w:lvl>
    <w:lvl w:ilvl="7">
      <w:start w:val="1"/>
      <w:numFmt w:val="lowerLetter"/>
      <w:lvlText w:val="%8."/>
      <w:lvlJc w:val="start"/>
      <w:pPr>
        <w:tabs>
          <w:tab w:val="num" w:pos="2880"/>
        </w:tabs>
        <w:ind w:start="2880" w:hanging="360"/>
      </w:pPr>
      <w:rPr>
        <w:rFonts w:cs="Times New Roman"/>
      </w:rPr>
    </w:lvl>
    <w:lvl w:ilvl="8">
      <w:start w:val="1"/>
      <w:numFmt w:val="lowerRoman"/>
      <w:lvlText w:val="%9."/>
      <w:lvlJc w:val="start"/>
      <w:pPr>
        <w:tabs>
          <w:tab w:val="num" w:pos="3240"/>
        </w:tabs>
        <w:ind w:start="3240" w:hanging="360"/>
      </w:pPr>
      <w:rPr>
        <w:rFonts w:cs="Times New Roman"/>
      </w:rPr>
    </w:lvl>
  </w:abstractNum>
  <w:abstractNum w:abstractNumId="4">
    <w:lvl w:ilvl="0">
      <w:start w:val="1"/>
      <w:numFmt w:val="decimal"/>
      <w:lvlText w:val="%1."/>
      <w:lvlJc w:val="start"/>
      <w:pPr>
        <w:tabs>
          <w:tab w:val="num" w:pos="0"/>
        </w:tabs>
        <w:ind w:start="1260" w:hanging="1260"/>
      </w:pPr>
      <w:rPr/>
    </w:lvl>
    <w:lvl w:ilvl="1">
      <w:start w:val="1"/>
      <w:numFmt w:val="decimal"/>
      <w:lvlText w:val="%1.%2."/>
      <w:lvlJc w:val="start"/>
      <w:pPr>
        <w:tabs>
          <w:tab w:val="num" w:pos="0"/>
        </w:tabs>
        <w:ind w:start="1968" w:hanging="1260"/>
      </w:pPr>
      <w:rPr/>
    </w:lvl>
    <w:lvl w:ilvl="2">
      <w:start w:val="1"/>
      <w:numFmt w:val="decimal"/>
      <w:lvlText w:val="%1.%2.%3."/>
      <w:lvlJc w:val="start"/>
      <w:pPr>
        <w:tabs>
          <w:tab w:val="num" w:pos="0"/>
        </w:tabs>
        <w:ind w:start="2700" w:hanging="1260"/>
      </w:pPr>
      <w:rPr/>
    </w:lvl>
    <w:lvl w:ilvl="3">
      <w:start w:val="1"/>
      <w:numFmt w:val="decimal"/>
      <w:lvlText w:val="%1.%2.%3.%4."/>
      <w:lvlJc w:val="start"/>
      <w:pPr>
        <w:tabs>
          <w:tab w:val="num" w:pos="0"/>
        </w:tabs>
        <w:ind w:start="3420" w:hanging="1260"/>
      </w:pPr>
      <w:rPr/>
    </w:lvl>
    <w:lvl w:ilvl="4">
      <w:start w:val="1"/>
      <w:numFmt w:val="decimal"/>
      <w:lvlText w:val="%1.%2.%3.%4.%5."/>
      <w:lvlJc w:val="start"/>
      <w:pPr>
        <w:tabs>
          <w:tab w:val="num" w:pos="0"/>
        </w:tabs>
        <w:ind w:start="4140" w:hanging="1260"/>
      </w:pPr>
      <w:rPr/>
    </w:lvl>
    <w:lvl w:ilvl="5">
      <w:start w:val="1"/>
      <w:numFmt w:val="decimal"/>
      <w:lvlText w:val="%1.%2.%3.%4.%5.%6."/>
      <w:lvlJc w:val="start"/>
      <w:pPr>
        <w:tabs>
          <w:tab w:val="num" w:pos="0"/>
        </w:tabs>
        <w:ind w:start="5040" w:hanging="1440"/>
      </w:pPr>
      <w:rPr/>
    </w:lvl>
    <w:lvl w:ilvl="6">
      <w:start w:val="1"/>
      <w:numFmt w:val="decimal"/>
      <w:lvlText w:val="%1.%2.%3.%4.%5.%6.%7."/>
      <w:lvlJc w:val="start"/>
      <w:pPr>
        <w:tabs>
          <w:tab w:val="num" w:pos="0"/>
        </w:tabs>
        <w:ind w:start="6120" w:hanging="1800"/>
      </w:pPr>
      <w:rPr/>
    </w:lvl>
    <w:lvl w:ilvl="7">
      <w:start w:val="1"/>
      <w:numFmt w:val="decimal"/>
      <w:lvlText w:val="%1.%2.%3.%4.%5.%6.%7.%8."/>
      <w:lvlJc w:val="start"/>
      <w:pPr>
        <w:tabs>
          <w:tab w:val="num" w:pos="0"/>
        </w:tabs>
        <w:ind w:start="6840" w:hanging="1800"/>
      </w:pPr>
      <w:rPr/>
    </w:lvl>
    <w:lvl w:ilvl="8">
      <w:start w:val="1"/>
      <w:numFmt w:val="decimal"/>
      <w:lvlText w:val="%1.%2.%3.%4.%5.%6.%7.%8.%9."/>
      <w:lvlJc w:val="start"/>
      <w:pPr>
        <w:tabs>
          <w:tab w:val="num" w:pos="0"/>
        </w:tabs>
        <w:ind w:start="7920" w:hanging="2160"/>
      </w:pPr>
      <w:rPr/>
    </w:lvl>
  </w:abstractNum>
  <w:abstractNum w:abstractNumId="5">
    <w:lvl w:ilvl="0">
      <w:start w:val="1"/>
      <w:numFmt w:val="decimal"/>
      <w:lvlText w:val="%1)"/>
      <w:lvlJc w:val="start"/>
      <w:pPr>
        <w:tabs>
          <w:tab w:val="num" w:pos="360"/>
        </w:tabs>
        <w:ind w:start="284" w:hanging="284"/>
      </w:pPr>
      <w:rPr>
        <w:rFonts w:cs="Times New Roman"/>
      </w:rPr>
    </w:lvl>
    <w:lvl w:ilvl="1">
      <w:start w:val="1"/>
      <w:numFmt w:val="bullet"/>
      <w:lvlText w:val=""/>
      <w:lvlJc w:val="start"/>
      <w:pPr>
        <w:tabs>
          <w:tab w:val="num" w:pos="644"/>
        </w:tabs>
        <w:ind w:start="567" w:hanging="283"/>
      </w:pPr>
      <w:rPr>
        <w:rFonts w:ascii="Wingdings" w:hAnsi="Wingdings" w:cs="Wingdings" w:hint="default"/>
        <w:color w:val="auto"/>
      </w:rPr>
    </w:lvl>
    <w:lvl w:ilvl="2">
      <w:start w:val="1"/>
      <w:numFmt w:val="bullet"/>
      <w:lvlText w:val=""/>
      <w:lvlJc w:val="start"/>
      <w:pPr>
        <w:tabs>
          <w:tab w:val="num" w:pos="927"/>
        </w:tabs>
        <w:ind w:start="851" w:hanging="284"/>
      </w:pPr>
      <w:rPr>
        <w:rFonts w:ascii="Wingdings" w:hAnsi="Wingdings" w:cs="Wingdings" w:hint="default"/>
        <w:color w:val="auto"/>
      </w:rPr>
    </w:lvl>
    <w:lvl w:ilvl="3">
      <w:start w:val="1"/>
      <w:numFmt w:val="bullet"/>
      <w:lvlText w:val=""/>
      <w:lvlJc w:val="start"/>
      <w:pPr>
        <w:tabs>
          <w:tab w:val="num" w:pos="1211"/>
        </w:tabs>
        <w:ind w:start="1134" w:hanging="283"/>
      </w:pPr>
      <w:rPr>
        <w:rFonts w:ascii="Symbol" w:hAnsi="Symbol" w:cs="Symbol" w:hint="default"/>
        <w:color w:val="auto"/>
      </w:rPr>
    </w:lvl>
    <w:lvl w:ilvl="4">
      <w:start w:val="1"/>
      <w:numFmt w:val="bullet"/>
      <w:lvlText w:val=""/>
      <w:lvlJc w:val="start"/>
      <w:pPr>
        <w:tabs>
          <w:tab w:val="num" w:pos="1267"/>
        </w:tabs>
        <w:ind w:start="1134" w:hanging="227"/>
      </w:pPr>
      <w:rPr>
        <w:rFonts w:ascii="Symbol" w:hAnsi="Symbol" w:cs="Symbol" w:hint="default"/>
        <w:color w:val="auto"/>
      </w:rPr>
    </w:lvl>
    <w:lvl w:ilvl="5">
      <w:start w:val="1"/>
      <w:numFmt w:val="lowerRoman"/>
      <w:lvlText w:val="(%6)"/>
      <w:lvlJc w:val="start"/>
      <w:pPr>
        <w:tabs>
          <w:tab w:val="num" w:pos="2160"/>
        </w:tabs>
        <w:ind w:start="2160" w:hanging="360"/>
      </w:pPr>
      <w:rPr>
        <w:rFonts w:cs="Times New Roman"/>
      </w:rPr>
    </w:lvl>
    <w:lvl w:ilvl="6">
      <w:start w:val="1"/>
      <w:numFmt w:val="decimal"/>
      <w:lvlText w:val="%7."/>
      <w:lvlJc w:val="start"/>
      <w:pPr>
        <w:tabs>
          <w:tab w:val="num" w:pos="2520"/>
        </w:tabs>
        <w:ind w:start="2520" w:hanging="360"/>
      </w:pPr>
      <w:rPr>
        <w:rFonts w:cs="Times New Roman"/>
      </w:rPr>
    </w:lvl>
    <w:lvl w:ilvl="7">
      <w:start w:val="1"/>
      <w:numFmt w:val="lowerLetter"/>
      <w:lvlText w:val="%8."/>
      <w:lvlJc w:val="start"/>
      <w:pPr>
        <w:tabs>
          <w:tab w:val="num" w:pos="2880"/>
        </w:tabs>
        <w:ind w:start="2880" w:hanging="360"/>
      </w:pPr>
      <w:rPr>
        <w:rFonts w:cs="Times New Roman"/>
      </w:rPr>
    </w:lvl>
    <w:lvl w:ilvl="8">
      <w:start w:val="1"/>
      <w:numFmt w:val="lowerRoman"/>
      <w:lvlText w:val="%9."/>
      <w:lvlJc w:val="start"/>
      <w:pPr>
        <w:tabs>
          <w:tab w:val="num" w:pos="3240"/>
        </w:tabs>
        <w:ind w:start="3240" w:hanging="360"/>
      </w:pPr>
      <w:rPr>
        <w:rFonts w:cs="Times New Roman"/>
      </w:rPr>
    </w:lvl>
  </w:abstractNum>
  <w:abstractNum w:abstractNumId="6">
    <w:lvl w:ilvl="0">
      <w:start w:val="1"/>
      <w:numFmt w:val="bullet"/>
      <w:suff w:val="space"/>
      <w:lvlText w:val=""/>
      <w:lvlJc w:val="start"/>
      <w:pPr>
        <w:tabs>
          <w:tab w:val="num" w:pos="0"/>
        </w:tabs>
        <w:ind w:start="1211"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7">
    <w:lvl w:ilvl="0">
      <w:start w:val="1"/>
      <w:numFmt w:val="decimal"/>
      <w:lvlText w:val="%1"/>
      <w:lvlJc w:val="start"/>
      <w:pPr>
        <w:tabs>
          <w:tab w:val="num" w:pos="432"/>
        </w:tabs>
        <w:ind w:start="432" w:hanging="432"/>
      </w:pPr>
      <w:rPr/>
    </w:lvl>
    <w:lvl w:ilvl="1">
      <w:start w:val="1"/>
      <w:numFmt w:val="decimal"/>
      <w:lvlText w:val="%1.%2"/>
      <w:lvlJc w:val="start"/>
      <w:pPr>
        <w:tabs>
          <w:tab w:val="num" w:pos="576"/>
        </w:tabs>
        <w:ind w:start="576" w:hanging="576"/>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864"/>
        </w:tabs>
        <w:ind w:start="864" w:hanging="864"/>
      </w:pPr>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8">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decimal"/>
      <w:lvlText w:val="%1"/>
      <w:lvlJc w:val="start"/>
      <w:pPr>
        <w:tabs>
          <w:tab w:val="num" w:pos="0"/>
        </w:tabs>
        <w:ind w:start="432" w:hanging="432"/>
      </w:pPr>
      <w:rPr/>
    </w:lvl>
    <w:lvl w:ilvl="1">
      <w:start w:val="1"/>
      <w:numFmt w:val="decimal"/>
      <w:lvlText w:val="%1.%2"/>
      <w:lvlJc w:val="start"/>
      <w:pPr>
        <w:tabs>
          <w:tab w:val="num" w:pos="0"/>
        </w:tabs>
        <w:ind w:start="576" w:hanging="576"/>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864" w:hanging="864"/>
      </w:pPr>
      <w:rPr/>
    </w:lvl>
    <w:lvl w:ilvl="4">
      <w:start w:val="1"/>
      <w:numFmt w:val="decimal"/>
      <w:lvlText w:val="%1.%2.%3.%4.%5"/>
      <w:lvlJc w:val="start"/>
      <w:pPr>
        <w:tabs>
          <w:tab w:val="num" w:pos="0"/>
        </w:tabs>
        <w:ind w:start="1008" w:hanging="1008"/>
      </w:pPr>
      <w:rPr/>
    </w:lvl>
    <w:lvl w:ilvl="5">
      <w:start w:val="1"/>
      <w:numFmt w:val="decimal"/>
      <w:lvlText w:val="%1.%2.%3.%4.%5.%6"/>
      <w:lvlJc w:val="start"/>
      <w:pPr>
        <w:tabs>
          <w:tab w:val="num" w:pos="0"/>
        </w:tabs>
        <w:ind w:start="1152" w:hanging="1152"/>
      </w:pPr>
      <w:rPr/>
    </w:lvl>
    <w:lvl w:ilvl="6">
      <w:start w:val="1"/>
      <w:numFmt w:val="decimal"/>
      <w:lvlText w:val="%1.%2.%3.%4.%5.%6.%7"/>
      <w:lvlJc w:val="start"/>
      <w:pPr>
        <w:tabs>
          <w:tab w:val="num" w:pos="0"/>
        </w:tabs>
        <w:ind w:start="1296" w:hanging="1296"/>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584" w:hanging="1584"/>
      </w:pPr>
      <w:rPr/>
    </w:lvl>
  </w:abstractNum>
  <w:abstractNum w:abstractNumId="10">
    <w:lvl w:ilvl="0">
      <w:start w:val="1"/>
      <w:numFmt w:val="decimal"/>
      <w:lvlText w:val="%1."/>
      <w:lvlJc w:val="start"/>
      <w:pPr>
        <w:tabs>
          <w:tab w:val="num" w:pos="0"/>
        </w:tabs>
        <w:ind w:start="794" w:hanging="85"/>
      </w:pPr>
      <w:rPr>
        <w:rFonts w:ascii="Times New Roman" w:hAnsi="Times New Roman"/>
        <w:b w:val="false"/>
        <w:i w:val="false"/>
        <w:sz w:val="24"/>
      </w:rPr>
    </w:lvl>
    <w:lvl w:ilvl="1">
      <w:start w:val="1"/>
      <w:numFmt w:val="decimal"/>
      <w:lvlText w:val="%1.%2."/>
      <w:lvlJc w:val="start"/>
      <w:pPr>
        <w:tabs>
          <w:tab w:val="num" w:pos="1276"/>
        </w:tabs>
        <w:ind w:start="0" w:firstLine="709"/>
      </w:pPr>
      <w:rPr>
        <w:rFonts w:ascii="Times New Roman" w:hAnsi="Times New Roman"/>
        <w:b w:val="false"/>
        <w:i w:val="false"/>
        <w:sz w:val="24"/>
      </w:rPr>
    </w:lvl>
    <w:lvl w:ilvl="2">
      <w:start w:val="1"/>
      <w:numFmt w:val="decimal"/>
      <w:lvlText w:val="%1.%2.%3."/>
      <w:lvlJc w:val="start"/>
      <w:pPr>
        <w:tabs>
          <w:tab w:val="num" w:pos="0"/>
        </w:tabs>
        <w:ind w:start="794" w:hanging="85"/>
      </w:pPr>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4"/>
        <w:u w:val="none"/>
        <w:vertAlign w:val="baseline"/>
      </w:rPr>
    </w:lvl>
    <w:lvl w:ilvl="3">
      <w:start w:val="1"/>
      <w:numFmt w:val="decimal"/>
      <w:lvlText w:val="%1.%2.%3.%4"/>
      <w:lvlJc w:val="start"/>
      <w:pPr>
        <w:tabs>
          <w:tab w:val="num" w:pos="0"/>
        </w:tabs>
        <w:ind w:start="794" w:hanging="85"/>
      </w:pPr>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2"/>
        <w:u w:val="none"/>
        <w:vertAlign w:val="baseline"/>
      </w:rPr>
    </w:lvl>
    <w:lvl w:ilvl="4">
      <w:start w:val="1"/>
      <w:numFmt w:val="decimal"/>
      <w:lvlText w:val="%1.%2.%3.%4.%5"/>
      <w:lvlJc w:val="start"/>
      <w:pPr>
        <w:tabs>
          <w:tab w:val="num" w:pos="0"/>
        </w:tabs>
        <w:ind w:start="794" w:hanging="85"/>
      </w:pPr>
      <w:rPr/>
    </w:lvl>
    <w:lvl w:ilvl="5">
      <w:start w:val="1"/>
      <w:numFmt w:val="lowerRoman"/>
      <w:lvlText w:val="%6."/>
      <w:lvlJc w:val="end"/>
      <w:pPr>
        <w:tabs>
          <w:tab w:val="num" w:pos="0"/>
        </w:tabs>
        <w:ind w:start="794" w:hanging="85"/>
      </w:pPr>
      <w:rPr/>
    </w:lvl>
    <w:lvl w:ilvl="6">
      <w:start w:val="1"/>
      <w:numFmt w:val="decimal"/>
      <w:lvlText w:val="%7."/>
      <w:lvlJc w:val="start"/>
      <w:pPr>
        <w:tabs>
          <w:tab w:val="num" w:pos="0"/>
        </w:tabs>
        <w:ind w:start="794" w:hanging="85"/>
      </w:pPr>
      <w:rPr/>
    </w:lvl>
    <w:lvl w:ilvl="7">
      <w:start w:val="1"/>
      <w:numFmt w:val="lowerLetter"/>
      <w:lvlText w:val="%8."/>
      <w:lvlJc w:val="start"/>
      <w:pPr>
        <w:tabs>
          <w:tab w:val="num" w:pos="0"/>
        </w:tabs>
        <w:ind w:start="794" w:hanging="85"/>
      </w:pPr>
      <w:rPr/>
    </w:lvl>
    <w:lvl w:ilvl="8">
      <w:start w:val="1"/>
      <w:numFmt w:val="lowerRoman"/>
      <w:lvlText w:val="%9."/>
      <w:lvlJc w:val="end"/>
      <w:pPr>
        <w:tabs>
          <w:tab w:val="num" w:pos="0"/>
        </w:tabs>
        <w:ind w:start="794" w:hanging="85"/>
      </w:pPr>
      <w:rPr/>
    </w:lvl>
  </w:abstractNum>
  <w:abstractNum w:abstractNumId="11">
    <w:lvl w:ilvl="0">
      <w:start w:val="1"/>
      <w:numFmt w:val="russianUpper"/>
      <w:suff w:val="space"/>
      <w:lvlText w:val="Приложение %1"/>
      <w:lvlJc w:val="start"/>
      <w:pPr>
        <w:tabs>
          <w:tab w:val="num" w:pos="0"/>
        </w:tabs>
        <w:ind w:start="0" w:hanging="0"/>
      </w:pPr>
      <w:rPr>
        <w:rFonts w:ascii="Times New Roman" w:hAnsi="Times New Roman"/>
        <w:b/>
        <w:i w:val="false"/>
        <w:caps w:val="false"/>
        <w:smallCaps w:val="false"/>
        <w:strike w:val="false"/>
        <w:dstrike w:val="false"/>
        <w:vanish w:val="false"/>
        <w:color w:val="auto"/>
        <w:spacing w:val="0"/>
        <w:position w:val="0"/>
        <w:sz w:val="24"/>
        <w:vertAlign w:val="baseline"/>
      </w:rPr>
    </w:lvl>
    <w:lvl w:ilvl="1">
      <w:start w:val="1"/>
      <w:numFmt w:val="decimal"/>
      <w:lvlText w:val="%1.%2"/>
      <w:lvlJc w:val="start"/>
      <w:pPr>
        <w:tabs>
          <w:tab w:val="num" w:pos="0"/>
        </w:tabs>
        <w:ind w:start="0" w:hanging="0"/>
      </w:pPr>
      <w:rPr>
        <w:rFonts w:ascii="Times New Roman" w:hAnsi="Times New Roman"/>
        <w:b w:val="false"/>
        <w:i w:val="false"/>
        <w:caps w:val="false"/>
        <w:smallCaps w:val="false"/>
        <w:strike w:val="false"/>
        <w:dstrike w:val="false"/>
        <w:vanish w:val="false"/>
        <w:position w:val="0"/>
        <w:sz w:val="24"/>
        <w:vertAlign w:val="baseline"/>
      </w:rPr>
    </w:lvl>
    <w:lvl w:ilvl="2">
      <w:start w:val="1"/>
      <w:numFmt w:val="decimal"/>
      <w:lvlText w:val="%1.%2.%3"/>
      <w:lvlJc w:val="start"/>
      <w:pPr>
        <w:tabs>
          <w:tab w:val="num" w:pos="0"/>
        </w:tabs>
        <w:ind w:start="0" w:hanging="0"/>
      </w:pPr>
      <w:rPr/>
    </w:lvl>
    <w:lvl w:ilvl="3">
      <w:start w:val="1"/>
      <w:numFmt w:val="decimal"/>
      <w:lvlText w:val="%1.%2.%3.%4"/>
      <w:lvlJc w:val="start"/>
      <w:pPr>
        <w:tabs>
          <w:tab w:val="num" w:pos="0"/>
        </w:tabs>
        <w:ind w:start="0" w:hanging="0"/>
      </w:pPr>
      <w:rPr/>
    </w:lvl>
    <w:lvl w:ilvl="4">
      <w:start w:val="1"/>
      <w:numFmt w:val="decimal"/>
      <w:lvlText w:val="%1.%2.%3.%4.%5"/>
      <w:lvlJc w:val="start"/>
      <w:pPr>
        <w:tabs>
          <w:tab w:val="num" w:pos="0"/>
        </w:tabs>
        <w:ind w:start="0" w:hanging="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3">
    <w:lvl w:ilvl="0">
      <w:start w:val="1"/>
      <w:numFmt w:val="decimal"/>
      <w:lvlText w:val="%1."/>
      <w:lvlJc w:val="start"/>
      <w:pPr>
        <w:tabs>
          <w:tab w:val="num" w:pos="1571"/>
        </w:tabs>
        <w:ind w:start="1571"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14">
    <w:lvl w:ilvl="0">
      <w:start w:val="1"/>
      <w:numFmt w:val="decimal"/>
      <w:lvlText w:val="%1."/>
      <w:lvlJc w:val="start"/>
      <w:pPr>
        <w:tabs>
          <w:tab w:val="num" w:pos="284"/>
        </w:tabs>
        <w:ind w:start="0" w:firstLine="709"/>
      </w:pPr>
      <w:rPr/>
    </w:lvl>
    <w:lvl w:ilvl="1">
      <w:start w:val="1"/>
      <w:numFmt w:val="decimal"/>
      <w:lvlText w:val="%1.%2."/>
      <w:lvlJc w:val="start"/>
      <w:pPr>
        <w:tabs>
          <w:tab w:val="num" w:pos="284"/>
        </w:tabs>
        <w:ind w:start="0" w:firstLine="709"/>
      </w:pPr>
      <w:rPr/>
    </w:lvl>
    <w:lvl w:ilvl="2">
      <w:start w:val="1"/>
      <w:numFmt w:val="decimal"/>
      <w:lvlText w:val="%1.%2.%3."/>
      <w:lvlJc w:val="start"/>
      <w:pPr>
        <w:tabs>
          <w:tab w:val="num" w:pos="284"/>
        </w:tabs>
        <w:ind w:start="0" w:firstLine="709"/>
      </w:pPr>
      <w:rPr/>
    </w:lvl>
    <w:lvl w:ilvl="3">
      <w:start w:val="1"/>
      <w:numFmt w:val="decimal"/>
      <w:lvlText w:val="%1.%2.%3.%4."/>
      <w:lvlJc w:val="start"/>
      <w:pPr>
        <w:tabs>
          <w:tab w:val="num" w:pos="284"/>
        </w:tabs>
        <w:ind w:start="0" w:firstLine="709"/>
      </w:pPr>
      <w:rPr/>
    </w:lvl>
    <w:lvl w:ilvl="4">
      <w:start w:val="1"/>
      <w:numFmt w:val="decimal"/>
      <w:lvlText w:val="%1.%2.%3.%4.%5."/>
      <w:lvlJc w:val="start"/>
      <w:pPr>
        <w:tabs>
          <w:tab w:val="num" w:pos="284"/>
        </w:tabs>
        <w:ind w:start="0" w:firstLine="709"/>
      </w:pPr>
      <w:rPr/>
    </w:lvl>
    <w:lvl w:ilvl="5">
      <w:start w:val="1"/>
      <w:numFmt w:val="decimal"/>
      <w:lvlText w:val="%1.%2.%3.%4.%5.%6"/>
      <w:lvlJc w:val="start"/>
      <w:pPr>
        <w:tabs>
          <w:tab w:val="num" w:pos="1861"/>
        </w:tabs>
        <w:ind w:start="1861" w:hanging="1152"/>
      </w:pPr>
      <w:rPr/>
    </w:lvl>
    <w:lvl w:ilvl="6">
      <w:start w:val="1"/>
      <w:numFmt w:val="decimal"/>
      <w:lvlText w:val="%1.%2.%3.%4.%5.%6.%7"/>
      <w:lvlJc w:val="start"/>
      <w:pPr>
        <w:tabs>
          <w:tab w:val="num" w:pos="2005"/>
        </w:tabs>
        <w:ind w:start="2005" w:hanging="1296"/>
      </w:pPr>
      <w:rPr/>
    </w:lvl>
    <w:lvl w:ilvl="7">
      <w:start w:val="1"/>
      <w:numFmt w:val="decimal"/>
      <w:lvlText w:val="%1.%2.%3.%4.%5.%6.%7.%8"/>
      <w:lvlJc w:val="start"/>
      <w:pPr>
        <w:tabs>
          <w:tab w:val="num" w:pos="2149"/>
        </w:tabs>
        <w:ind w:start="2149" w:hanging="1440"/>
      </w:pPr>
      <w:rPr/>
    </w:lvl>
    <w:lvl w:ilvl="8">
      <w:start w:val="1"/>
      <w:numFmt w:val="decimal"/>
      <w:lvlText w:val="%1.%2.%3.%4.%5.%6.%7.%8.%9"/>
      <w:lvlJc w:val="start"/>
      <w:pPr>
        <w:tabs>
          <w:tab w:val="num" w:pos="2293"/>
        </w:tabs>
        <w:ind w:start="2293" w:hanging="1584"/>
      </w:pPr>
      <w:rPr/>
    </w:lvl>
  </w:abstractNum>
  <w:abstractNum w:abstractNumId="15">
    <w:lvl w:ilvl="0">
      <w:start w:val="1"/>
      <w:numFmt w:val="bullet"/>
      <w:lvlText w:val=""/>
      <w:lvlJc w:val="start"/>
      <w:pPr>
        <w:tabs>
          <w:tab w:val="num" w:pos="1247"/>
        </w:tabs>
        <w:ind w:start="1247" w:hanging="396"/>
      </w:pPr>
      <w:rPr>
        <w:rFonts w:ascii="Symbol" w:hAnsi="Symbol" w:cs="Symbol" w:hint="default"/>
        <w:color w:val="auto"/>
      </w:rPr>
    </w:lvl>
    <w:lvl w:ilvl="1">
      <w:start w:val="1"/>
      <w:numFmt w:val="bullet"/>
      <w:lvlText w:val=""/>
      <w:lvlJc w:val="start"/>
      <w:pPr>
        <w:tabs>
          <w:tab w:val="num" w:pos="1644"/>
        </w:tabs>
        <w:ind w:start="1644" w:hanging="397"/>
      </w:pPr>
      <w:rPr>
        <w:rFonts w:ascii="Wingdings" w:hAnsi="Wingdings" w:cs="Wingdings" w:hint="default"/>
        <w:color w:val="auto"/>
      </w:rPr>
    </w:lvl>
    <w:lvl w:ilvl="2">
      <w:start w:val="1"/>
      <w:numFmt w:val="bullet"/>
      <w:lvlText w:val=""/>
      <w:lvlJc w:val="start"/>
      <w:pPr>
        <w:tabs>
          <w:tab w:val="num" w:pos="2041"/>
        </w:tabs>
        <w:ind w:start="2041" w:hanging="397"/>
      </w:pPr>
      <w:rPr>
        <w:rFonts w:ascii="Wingdings" w:hAnsi="Wingdings" w:cs="Wingdings" w:hint="default"/>
      </w:rPr>
    </w:lvl>
    <w:lvl w:ilvl="3">
      <w:start w:val="1"/>
      <w:numFmt w:val="bullet"/>
      <w:lvlText w:val=""/>
      <w:lvlJc w:val="start"/>
      <w:pPr>
        <w:tabs>
          <w:tab w:val="num" w:pos="2438"/>
        </w:tabs>
        <w:ind w:start="2438" w:hanging="397"/>
      </w:pPr>
      <w:rPr>
        <w:rFonts w:ascii="Symbol" w:hAnsi="Symbol" w:cs="Symbol" w:hint="default"/>
        <w:color w:val="auto"/>
      </w:rPr>
    </w:lvl>
    <w:lvl w:ilvl="4">
      <w:start w:val="1"/>
      <w:numFmt w:val="bullet"/>
      <w:lvlText w:val=""/>
      <w:lvlJc w:val="start"/>
      <w:pPr>
        <w:tabs>
          <w:tab w:val="num" w:pos="949"/>
        </w:tabs>
        <w:ind w:start="949" w:hanging="360"/>
      </w:pPr>
      <w:rPr>
        <w:rFonts w:ascii="Symbol" w:hAnsi="Symbol" w:cs="Symbol" w:hint="default"/>
      </w:rPr>
    </w:lvl>
    <w:lvl w:ilvl="5">
      <w:start w:val="1"/>
      <w:numFmt w:val="bullet"/>
      <w:lvlText w:val=""/>
      <w:lvlJc w:val="start"/>
      <w:pPr>
        <w:tabs>
          <w:tab w:val="num" w:pos="1309"/>
        </w:tabs>
        <w:ind w:start="1309" w:hanging="360"/>
      </w:pPr>
      <w:rPr>
        <w:rFonts w:ascii="Wingdings" w:hAnsi="Wingdings" w:cs="Wingdings" w:hint="default"/>
      </w:rPr>
    </w:lvl>
    <w:lvl w:ilvl="6">
      <w:start w:val="1"/>
      <w:numFmt w:val="bullet"/>
      <w:lvlText w:val=""/>
      <w:lvlJc w:val="start"/>
      <w:pPr>
        <w:tabs>
          <w:tab w:val="num" w:pos="1669"/>
        </w:tabs>
        <w:ind w:start="1669" w:hanging="360"/>
      </w:pPr>
      <w:rPr>
        <w:rFonts w:ascii="Wingdings" w:hAnsi="Wingdings" w:cs="Wingdings" w:hint="default"/>
      </w:rPr>
    </w:lvl>
    <w:lvl w:ilvl="7">
      <w:start w:val="1"/>
      <w:numFmt w:val="bullet"/>
      <w:lvlText w:val=""/>
      <w:lvlJc w:val="start"/>
      <w:pPr>
        <w:tabs>
          <w:tab w:val="num" w:pos="2029"/>
        </w:tabs>
        <w:ind w:start="2029" w:hanging="360"/>
      </w:pPr>
      <w:rPr>
        <w:rFonts w:ascii="Symbol" w:hAnsi="Symbol" w:cs="Symbol" w:hint="default"/>
      </w:rPr>
    </w:lvl>
    <w:lvl w:ilvl="8">
      <w:start w:val="1"/>
      <w:numFmt w:val="bullet"/>
      <w:lvlText w:val=""/>
      <w:lvlJc w:val="start"/>
      <w:pPr>
        <w:tabs>
          <w:tab w:val="num" w:pos="2389"/>
        </w:tabs>
        <w:ind w:start="2389" w:hanging="360"/>
      </w:pPr>
      <w:rPr>
        <w:rFonts w:ascii="Symbol" w:hAnsi="Symbol" w:cs="Symbol" w:hint="default"/>
      </w:rPr>
    </w:lvl>
  </w:abstractNum>
  <w:abstractNum w:abstractNumId="16">
    <w:lvl w:ilvl="0">
      <w:start w:val="1"/>
      <w:numFmt w:val="bullet"/>
      <w:lvlText w:val=""/>
      <w:lvlJc w:val="start"/>
      <w:pPr>
        <w:tabs>
          <w:tab w:val="num" w:pos="1134"/>
        </w:tabs>
        <w:ind w:start="1134" w:hanging="283"/>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0"/>
        </w:tabs>
        <w:ind w:start="7165" w:hanging="360"/>
      </w:pPr>
      <w:rPr>
        <w:rFonts w:ascii="Times New Roman" w:hAnsi="Times New Roman" w:cs="Times New Roman" w:hint="default"/>
      </w:rPr>
    </w:lvl>
    <w:lvl w:ilvl="1">
      <w:start w:val="1"/>
      <w:numFmt w:val="bullet"/>
      <w:lvlText w:val="o"/>
      <w:lvlJc w:val="start"/>
      <w:pPr>
        <w:tabs>
          <w:tab w:val="num" w:pos="0"/>
        </w:tabs>
        <w:ind w:start="2404" w:hanging="360"/>
      </w:pPr>
      <w:rPr>
        <w:rFonts w:ascii="Courier New" w:hAnsi="Courier New" w:cs="Courier New" w:hint="default"/>
      </w:rPr>
    </w:lvl>
    <w:lvl w:ilvl="2">
      <w:start w:val="1"/>
      <w:numFmt w:val="bullet"/>
      <w:lvlText w:val=""/>
      <w:lvlJc w:val="start"/>
      <w:pPr>
        <w:tabs>
          <w:tab w:val="num" w:pos="0"/>
        </w:tabs>
        <w:ind w:start="3124" w:hanging="360"/>
      </w:pPr>
      <w:rPr>
        <w:rFonts w:ascii="Wingdings" w:hAnsi="Wingdings" w:cs="Wingdings" w:hint="default"/>
      </w:rPr>
    </w:lvl>
    <w:lvl w:ilvl="3">
      <w:start w:val="1"/>
      <w:numFmt w:val="bullet"/>
      <w:lvlText w:val=""/>
      <w:lvlJc w:val="start"/>
      <w:pPr>
        <w:tabs>
          <w:tab w:val="num" w:pos="0"/>
        </w:tabs>
        <w:ind w:start="3844" w:hanging="360"/>
      </w:pPr>
      <w:rPr>
        <w:rFonts w:ascii="Symbol" w:hAnsi="Symbol" w:cs="Symbol" w:hint="default"/>
      </w:rPr>
    </w:lvl>
    <w:lvl w:ilvl="4">
      <w:start w:val="1"/>
      <w:numFmt w:val="bullet"/>
      <w:lvlText w:val="o"/>
      <w:lvlJc w:val="start"/>
      <w:pPr>
        <w:tabs>
          <w:tab w:val="num" w:pos="0"/>
        </w:tabs>
        <w:ind w:start="4564" w:hanging="360"/>
      </w:pPr>
      <w:rPr>
        <w:rFonts w:ascii="Courier New" w:hAnsi="Courier New" w:cs="Courier New" w:hint="default"/>
      </w:rPr>
    </w:lvl>
    <w:lvl w:ilvl="5">
      <w:start w:val="1"/>
      <w:numFmt w:val="bullet"/>
      <w:lvlText w:val=""/>
      <w:lvlJc w:val="start"/>
      <w:pPr>
        <w:tabs>
          <w:tab w:val="num" w:pos="0"/>
        </w:tabs>
        <w:ind w:start="5284" w:hanging="360"/>
      </w:pPr>
      <w:rPr>
        <w:rFonts w:ascii="Wingdings" w:hAnsi="Wingdings" w:cs="Wingdings" w:hint="default"/>
      </w:rPr>
    </w:lvl>
    <w:lvl w:ilvl="6">
      <w:start w:val="1"/>
      <w:numFmt w:val="bullet"/>
      <w:lvlText w:val=""/>
      <w:lvlJc w:val="start"/>
      <w:pPr>
        <w:tabs>
          <w:tab w:val="num" w:pos="0"/>
        </w:tabs>
        <w:ind w:start="6004" w:hanging="360"/>
      </w:pPr>
      <w:rPr>
        <w:rFonts w:ascii="Symbol" w:hAnsi="Symbol" w:cs="Symbol" w:hint="default"/>
      </w:rPr>
    </w:lvl>
    <w:lvl w:ilvl="7">
      <w:start w:val="1"/>
      <w:numFmt w:val="bullet"/>
      <w:lvlText w:val="o"/>
      <w:lvlJc w:val="start"/>
      <w:pPr>
        <w:tabs>
          <w:tab w:val="num" w:pos="0"/>
        </w:tabs>
        <w:ind w:start="6724" w:hanging="360"/>
      </w:pPr>
      <w:rPr>
        <w:rFonts w:ascii="Courier New" w:hAnsi="Courier New" w:cs="Courier New" w:hint="default"/>
      </w:rPr>
    </w:lvl>
    <w:lvl w:ilvl="8">
      <w:start w:val="1"/>
      <w:numFmt w:val="bullet"/>
      <w:lvlText w:val=""/>
      <w:lvlJc w:val="start"/>
      <w:pPr>
        <w:tabs>
          <w:tab w:val="num" w:pos="0"/>
        </w:tabs>
        <w:ind w:start="7444" w:hanging="360"/>
      </w:pPr>
      <w:rPr>
        <w:rFonts w:ascii="Wingdings" w:hAnsi="Wingdings" w:cs="Wingdings" w:hint="default"/>
      </w:rPr>
    </w:lvl>
  </w:abstractNum>
  <w:abstractNum w:abstractNumId="19">
    <w:lvl w:ilvl="0">
      <w:start w:val="1"/>
      <w:numFmt w:val="decimal"/>
      <w:suff w:val="space"/>
      <w:lvlText w:val="%1."/>
      <w:lvlJc w:val="start"/>
      <w:pPr>
        <w:tabs>
          <w:tab w:val="num" w:pos="0"/>
        </w:tabs>
        <w:ind w:start="567" w:firstLine="709"/>
      </w:pPr>
      <w:rPr>
        <w:sz w:val="24"/>
      </w:rPr>
    </w:lvl>
    <w:lvl w:ilvl="1">
      <w:start w:val="1"/>
      <w:numFmt w:val="decimal"/>
      <w:suff w:val="space"/>
      <w:lvlText w:val="%1.%2."/>
      <w:lvlJc w:val="start"/>
      <w:pPr>
        <w:tabs>
          <w:tab w:val="num" w:pos="0"/>
        </w:tabs>
        <w:ind w:start="1560" w:firstLine="709"/>
      </w:pPr>
      <w:rPr>
        <w:rFonts w:cs="Times New Roman"/>
        <w:b/>
      </w:rPr>
    </w:lvl>
    <w:lvl w:ilvl="2">
      <w:start w:val="1"/>
      <w:numFmt w:val="decimal"/>
      <w:suff w:val="space"/>
      <w:lvlText w:val="%1.%2.%3."/>
      <w:lvlJc w:val="start"/>
      <w:pPr>
        <w:tabs>
          <w:tab w:val="num" w:pos="0"/>
        </w:tabs>
        <w:ind w:start="3119" w:firstLine="709"/>
      </w:pPr>
      <w:rPr>
        <w:rFonts w:cs="Times New Roman"/>
        <w:b/>
      </w:rPr>
    </w:lvl>
    <w:lvl w:ilvl="3">
      <w:start w:val="1"/>
      <w:numFmt w:val="decimal"/>
      <w:suff w:val="space"/>
      <w:lvlText w:val="%1.%2.%3.%4."/>
      <w:lvlJc w:val="start"/>
      <w:pPr>
        <w:tabs>
          <w:tab w:val="num" w:pos="0"/>
        </w:tabs>
        <w:ind w:start="0" w:firstLine="709"/>
      </w:pPr>
      <w:rPr>
        <w:rFonts w:cs="Times New Roman"/>
      </w:rPr>
    </w:lvl>
    <w:lvl w:ilvl="4">
      <w:start w:val="1"/>
      <w:numFmt w:val="decimal"/>
      <w:lvlText w:val="%1.%2.%3.%4.%5"/>
      <w:lvlJc w:val="start"/>
      <w:pPr>
        <w:tabs>
          <w:tab w:val="num" w:pos="0"/>
        </w:tabs>
        <w:ind w:start="1" w:firstLine="709"/>
      </w:pPr>
      <w:rPr>
        <w:rFonts w:cs="Times New Roman"/>
      </w:rPr>
    </w:lvl>
    <w:lvl w:ilvl="5">
      <w:start w:val="1"/>
      <w:numFmt w:val="decimal"/>
      <w:lvlText w:val="%1.%2.%3.%4.%5.%6"/>
      <w:lvlJc w:val="start"/>
      <w:pPr>
        <w:tabs>
          <w:tab w:val="num" w:pos="0"/>
        </w:tabs>
        <w:ind w:start="0" w:firstLine="709"/>
      </w:pPr>
      <w:rPr>
        <w:rFonts w:cs="Times New Roman"/>
      </w:rPr>
    </w:lvl>
    <w:lvl w:ilvl="6">
      <w:start w:val="1"/>
      <w:numFmt w:val="decimal"/>
      <w:lvlText w:val="%1.%2.%3.%4.%5.%6.%7"/>
      <w:lvlJc w:val="start"/>
      <w:pPr>
        <w:tabs>
          <w:tab w:val="num" w:pos="0"/>
        </w:tabs>
        <w:ind w:start="0" w:firstLine="709"/>
      </w:pPr>
      <w:rPr>
        <w:rFonts w:cs="Times New Roman"/>
      </w:rPr>
    </w:lvl>
    <w:lvl w:ilvl="7">
      <w:start w:val="1"/>
      <w:numFmt w:val="decimal"/>
      <w:lvlText w:val="%1.%2.%3.%4.%5.%6.%7.%8"/>
      <w:lvlJc w:val="start"/>
      <w:pPr>
        <w:tabs>
          <w:tab w:val="num" w:pos="0"/>
        </w:tabs>
        <w:ind w:start="0" w:firstLine="709"/>
      </w:pPr>
      <w:rPr>
        <w:rFonts w:cs="Times New Roman"/>
      </w:rPr>
    </w:lvl>
    <w:lvl w:ilvl="8">
      <w:start w:val="1"/>
      <w:numFmt w:val="decimal"/>
      <w:lvlText w:val="%1.%2.%3.%4.%5.%6.%7.%8.%9"/>
      <w:lvlJc w:val="start"/>
      <w:pPr>
        <w:tabs>
          <w:tab w:val="num" w:pos="0"/>
        </w:tabs>
        <w:ind w:start="0" w:firstLine="709"/>
      </w:pPr>
      <w:rPr>
        <w:rFonts w:cs="Times New Roman"/>
      </w:rPr>
    </w:lvl>
  </w:abstractNum>
  <w:abstractNum w:abstractNumId="20">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start"/>
    </w:pPr>
    <w:rPr>
      <w:rFonts w:ascii="Calibri" w:hAnsi="Calibri" w:eastAsia="Calibri" w:cs="Times New Roman"/>
      <w:color w:val="auto"/>
      <w:kern w:val="0"/>
      <w:sz w:val="22"/>
      <w:szCs w:val="22"/>
      <w:lang w:val="ru-RU" w:eastAsia="ru-RU" w:bidi="ar-SA"/>
    </w:rPr>
  </w:style>
  <w:style w:type="paragraph" w:styleId="Heading1">
    <w:name w:val="heading 1"/>
    <w:basedOn w:val="Normal"/>
    <w:link w:val="1"/>
    <w:qFormat/>
    <w:pPr>
      <w:numPr>
        <w:ilvl w:val="0"/>
        <w:numId w:val="0"/>
      </w:numPr>
      <w:spacing w:lineRule="auto" w:line="240" w:before="280" w:after="280"/>
      <w:outlineLvl w:val="0"/>
    </w:pPr>
    <w:rPr>
      <w:rFonts w:ascii="Times New Roman" w:hAnsi="Times New Roman" w:eastAsia="Times New Roman"/>
      <w:b/>
      <w:bCs/>
      <w:kern w:val="2"/>
      <w:sz w:val="48"/>
      <w:szCs w:val="48"/>
    </w:rPr>
  </w:style>
  <w:style w:type="paragraph" w:styleId="Heading2">
    <w:name w:val="heading 2"/>
    <w:basedOn w:val="Normal"/>
    <w:next w:val="Normal"/>
    <w:link w:val="21"/>
    <w:qFormat/>
    <w:pPr>
      <w:keepNext w:val="true"/>
      <w:keepLines/>
      <w:numPr>
        <w:ilvl w:val="0"/>
        <w:numId w:val="0"/>
      </w:numPr>
      <w:spacing w:before="200" w:after="0"/>
      <w:outlineLvl w:val="1"/>
    </w:pPr>
    <w:rPr>
      <w:rFonts w:ascii="Cambria" w:hAnsi="Cambria" w:eastAsia="Calibri" w:cs="Tahoma"/>
      <w:b/>
      <w:bCs/>
      <w:color w:themeColor="accent1" w:val="4F81BD"/>
      <w:sz w:val="26"/>
      <w:szCs w:val="26"/>
    </w:rPr>
  </w:style>
  <w:style w:type="paragraph" w:styleId="Heading3">
    <w:name w:val="heading 3"/>
    <w:basedOn w:val="Normal"/>
    <w:next w:val="Normal"/>
    <w:link w:val="31"/>
    <w:qFormat/>
    <w:pPr>
      <w:keepNext w:val="true"/>
      <w:keepLines/>
      <w:numPr>
        <w:ilvl w:val="0"/>
        <w:numId w:val="0"/>
      </w:numPr>
      <w:spacing w:lineRule="auto" w:line="240" w:before="40" w:after="0"/>
      <w:ind w:hanging="720" w:start="720"/>
      <w:outlineLvl w:val="2"/>
    </w:pPr>
    <w:rPr>
      <w:rFonts w:ascii="Cambria" w:hAnsi="Cambria" w:eastAsia="Times New Roman"/>
      <w:color w:val="243F60"/>
      <w:sz w:val="24"/>
      <w:szCs w:val="24"/>
    </w:rPr>
  </w:style>
  <w:style w:type="paragraph" w:styleId="Heading4">
    <w:name w:val="heading 4"/>
    <w:basedOn w:val="Normal"/>
    <w:next w:val="Normal"/>
    <w:link w:val="4"/>
    <w:qFormat/>
    <w:pPr>
      <w:keepNext w:val="true"/>
      <w:keepLines/>
      <w:numPr>
        <w:ilvl w:val="0"/>
        <w:numId w:val="0"/>
      </w:numPr>
      <w:spacing w:lineRule="auto" w:line="240" w:before="40" w:after="0"/>
      <w:ind w:hanging="864" w:start="864"/>
      <w:outlineLvl w:val="3"/>
    </w:pPr>
    <w:rPr>
      <w:rFonts w:ascii="Cambria" w:hAnsi="Cambria" w:eastAsia="Times New Roman"/>
      <w:i/>
      <w:iCs/>
      <w:color w:val="365F91"/>
      <w:sz w:val="24"/>
      <w:szCs w:val="24"/>
    </w:rPr>
  </w:style>
  <w:style w:type="paragraph" w:styleId="Heading5">
    <w:name w:val="heading 5"/>
    <w:basedOn w:val="Normal"/>
    <w:next w:val="Normal"/>
    <w:link w:val="5"/>
    <w:qFormat/>
    <w:pPr>
      <w:keepNext w:val="true"/>
      <w:keepLines/>
      <w:numPr>
        <w:ilvl w:val="0"/>
        <w:numId w:val="0"/>
      </w:numPr>
      <w:spacing w:lineRule="auto" w:line="240" w:before="40" w:after="0"/>
      <w:ind w:hanging="1008" w:start="1008"/>
      <w:outlineLvl w:val="4"/>
    </w:pPr>
    <w:rPr>
      <w:rFonts w:ascii="Cambria" w:hAnsi="Cambria" w:eastAsia="Times New Roman"/>
      <w:color w:val="365F91"/>
      <w:sz w:val="24"/>
      <w:szCs w:val="24"/>
    </w:rPr>
  </w:style>
  <w:style w:type="paragraph" w:styleId="Heading6">
    <w:name w:val="heading 6"/>
    <w:basedOn w:val="Normal"/>
    <w:next w:val="Normal"/>
    <w:link w:val="6"/>
    <w:qFormat/>
    <w:pPr>
      <w:keepNext w:val="true"/>
      <w:keepLines/>
      <w:numPr>
        <w:ilvl w:val="0"/>
        <w:numId w:val="0"/>
      </w:numPr>
      <w:spacing w:lineRule="auto" w:line="240" w:before="40" w:after="0"/>
      <w:ind w:hanging="1152" w:start="1152"/>
      <w:outlineLvl w:val="5"/>
    </w:pPr>
    <w:rPr>
      <w:rFonts w:ascii="Cambria" w:hAnsi="Cambria" w:eastAsia="Times New Roman"/>
      <w:color w:val="243F60"/>
      <w:sz w:val="24"/>
      <w:szCs w:val="24"/>
    </w:rPr>
  </w:style>
  <w:style w:type="paragraph" w:styleId="Heading7">
    <w:name w:val="heading 7"/>
    <w:basedOn w:val="Normal"/>
    <w:next w:val="Normal"/>
    <w:link w:val="7"/>
    <w:qFormat/>
    <w:pPr>
      <w:keepNext w:val="true"/>
      <w:keepLines/>
      <w:numPr>
        <w:ilvl w:val="0"/>
        <w:numId w:val="0"/>
      </w:numPr>
      <w:spacing w:lineRule="auto" w:line="240" w:before="40" w:after="0"/>
      <w:ind w:hanging="1296" w:start="1296"/>
      <w:outlineLvl w:val="6"/>
    </w:pPr>
    <w:rPr>
      <w:rFonts w:ascii="Cambria" w:hAnsi="Cambria" w:eastAsia="Times New Roman"/>
      <w:i/>
      <w:iCs/>
      <w:color w:val="243F60"/>
      <w:sz w:val="24"/>
      <w:szCs w:val="24"/>
    </w:rPr>
  </w:style>
  <w:style w:type="paragraph" w:styleId="Heading8">
    <w:name w:val="heading 8"/>
    <w:basedOn w:val="Normal"/>
    <w:next w:val="Normal"/>
    <w:link w:val="8"/>
    <w:qFormat/>
    <w:pPr>
      <w:keepNext w:val="true"/>
      <w:keepLines/>
      <w:numPr>
        <w:ilvl w:val="0"/>
        <w:numId w:val="0"/>
      </w:numPr>
      <w:spacing w:lineRule="auto" w:line="240" w:before="40" w:after="0"/>
      <w:ind w:hanging="1440" w:start="1440"/>
      <w:outlineLvl w:val="7"/>
    </w:pPr>
    <w:rPr>
      <w:rFonts w:ascii="Cambria" w:hAnsi="Cambria" w:eastAsia="Times New Roman"/>
      <w:color w:val="272727"/>
      <w:sz w:val="21"/>
      <w:szCs w:val="21"/>
    </w:rPr>
  </w:style>
  <w:style w:type="paragraph" w:styleId="Heading9">
    <w:name w:val="heading 9"/>
    <w:basedOn w:val="Normal"/>
    <w:next w:val="Normal"/>
    <w:link w:val="9"/>
    <w:qFormat/>
    <w:pPr>
      <w:keepNext w:val="true"/>
      <w:keepLines/>
      <w:numPr>
        <w:ilvl w:val="0"/>
        <w:numId w:val="0"/>
      </w:numPr>
      <w:spacing w:lineRule="auto" w:line="240" w:before="40" w:after="0"/>
      <w:ind w:hanging="1584" w:start="1584"/>
      <w:outlineLvl w:val="8"/>
    </w:pPr>
    <w:rPr>
      <w:rFonts w:ascii="Cambria" w:hAnsi="Cambria" w:eastAsia="Times New Roman"/>
      <w:i/>
      <w:iCs/>
      <w:color w:val="272727"/>
      <w:sz w:val="21"/>
      <w:szCs w:val="21"/>
    </w:rPr>
  </w:style>
  <w:style w:type="character" w:styleId="DefaultParagraphFont">
    <w:name w:val="Default Paragraph Font"/>
    <w:qFormat/>
    <w:rPr/>
  </w:style>
  <w:style w:type="character" w:styleId="2">
    <w:name w:val="Основной текст (2) + Полужирный"/>
    <w:basedOn w:val="DefaultParagraphFont"/>
    <w:qFormat/>
    <w:rPr>
      <w:rFonts w:ascii="Times New Roman" w:hAnsi="Times New Roman" w:cs="Times New Roman"/>
      <w:b/>
      <w:bCs/>
      <w:color w:val="000000"/>
      <w:spacing w:val="0"/>
      <w:w w:val="100"/>
      <w:sz w:val="26"/>
      <w:szCs w:val="26"/>
      <w:shd w:fill="FFFFFF" w:val="clear"/>
      <w:lang w:val="ru-RU" w:eastAsia="ru-RU"/>
    </w:rPr>
  </w:style>
  <w:style w:type="character" w:styleId="3">
    <w:name w:val="Основной текст (3) + Не полужирный"/>
    <w:basedOn w:val="DefaultParagraphFont"/>
    <w:qFormat/>
    <w:rPr>
      <w:rFonts w:ascii="Times New Roman" w:hAnsi="Times New Roman" w:cs="Times New Roman"/>
      <w:b/>
      <w:bCs/>
      <w:color w:val="000000"/>
      <w:spacing w:val="0"/>
      <w:w w:val="100"/>
      <w:sz w:val="26"/>
      <w:szCs w:val="26"/>
      <w:u w:val="none"/>
      <w:lang w:val="ru-RU" w:eastAsia="ru-RU"/>
    </w:rPr>
  </w:style>
  <w:style w:type="character" w:styleId="Hyperlink">
    <w:name w:val="Hyperlink"/>
    <w:basedOn w:val="DefaultParagraphFont"/>
    <w:rPr>
      <w:rFonts w:cs="Times New Roman"/>
      <w:color w:val="2060A4"/>
      <w:u w:val="none"/>
      <w:effect w:val="none"/>
    </w:rPr>
  </w:style>
  <w:style w:type="character" w:styleId="ConsNormal">
    <w:name w:val="ConsNormal Знак"/>
    <w:basedOn w:val="DefaultParagraphFont"/>
    <w:link w:val="ConsNormal1"/>
    <w:qFormat/>
    <w:rPr>
      <w:rFonts w:ascii="Arial" w:hAnsi="Arial" w:eastAsia="Calibri" w:cs="Arial"/>
      <w:sz w:val="20"/>
      <w:szCs w:val="20"/>
      <w:lang w:eastAsia="ru-RU"/>
    </w:rPr>
  </w:style>
  <w:style w:type="character" w:styleId="Style5">
    <w:name w:val="Абзац списка Знак"/>
    <w:link w:val="ListParagraph"/>
    <w:qFormat/>
    <w:rPr>
      <w:rFonts w:eastAsia="Calibri" w:cs="Times New Roman"/>
    </w:rPr>
  </w:style>
  <w:style w:type="character" w:styleId="1">
    <w:name w:val="Заголовок 1 Знак"/>
    <w:basedOn w:val="DefaultParagraphFont"/>
    <w:qFormat/>
    <w:rPr>
      <w:rFonts w:ascii="Times New Roman" w:hAnsi="Times New Roman" w:eastAsia="Times New Roman" w:cs="Times New Roman"/>
      <w:b/>
      <w:bCs/>
      <w:kern w:val="2"/>
      <w:sz w:val="48"/>
      <w:szCs w:val="48"/>
      <w:lang w:eastAsia="ru-RU"/>
    </w:rPr>
  </w:style>
  <w:style w:type="character" w:styleId="21">
    <w:name w:val="Заголовок 2 Знак"/>
    <w:basedOn w:val="DefaultParagraphFont"/>
    <w:qFormat/>
    <w:rPr>
      <w:rFonts w:ascii="Cambria" w:hAnsi="Cambria" w:eastAsia="Calibri" w:cs="Tahoma"/>
      <w:b/>
      <w:bCs/>
      <w:color w:themeColor="accent1" w:val="4F81BD"/>
      <w:sz w:val="26"/>
      <w:szCs w:val="26"/>
      <w:lang w:eastAsia="ru-RU"/>
    </w:rPr>
  </w:style>
  <w:style w:type="character" w:styleId="Style6">
    <w:name w:val="Текст выноски Знак"/>
    <w:basedOn w:val="DefaultParagraphFont"/>
    <w:link w:val="BalloonText"/>
    <w:qFormat/>
    <w:rPr>
      <w:rFonts w:ascii="Tahoma" w:hAnsi="Tahoma" w:eastAsia="Times New Roman" w:cs="Tahoma"/>
      <w:sz w:val="16"/>
      <w:szCs w:val="16"/>
      <w:lang w:eastAsia="ru-RU"/>
    </w:rPr>
  </w:style>
  <w:style w:type="character" w:styleId="Emphasis">
    <w:name w:val="Emphasis"/>
    <w:qFormat/>
    <w:rPr>
      <w:i/>
    </w:rPr>
  </w:style>
  <w:style w:type="character" w:styleId="basictext">
    <w:name w:val="basic_text Знак"/>
    <w:link w:val="basictext1"/>
    <w:qFormat/>
    <w:rPr>
      <w:rFonts w:ascii="Times New Roman" w:hAnsi="Times New Roman" w:eastAsia="Times New Roman" w:cs="Times New Roman"/>
      <w:sz w:val="24"/>
      <w:szCs w:val="28"/>
      <w:lang w:eastAsia="ja-JP"/>
    </w:rPr>
  </w:style>
  <w:style w:type="character" w:styleId="list2">
    <w:name w:val="list_2 Знак"/>
    <w:link w:val="list21"/>
    <w:qFormat/>
    <w:rPr>
      <w:rFonts w:ascii="Times New Roman" w:hAnsi="Times New Roman" w:eastAsia="Times New Roman" w:cs="Times New Roman"/>
      <w:sz w:val="24"/>
      <w:szCs w:val="24"/>
      <w:lang w:eastAsia="ru-RU"/>
    </w:rPr>
  </w:style>
  <w:style w:type="character" w:styleId="31">
    <w:name w:val="Заголовок 3 Знак"/>
    <w:basedOn w:val="DefaultParagraphFont"/>
    <w:qFormat/>
    <w:rPr>
      <w:rFonts w:ascii="Cambria" w:hAnsi="Cambria" w:eastAsia="Times New Roman" w:cs="Times New Roman"/>
      <w:color w:val="243F60"/>
      <w:sz w:val="24"/>
      <w:szCs w:val="24"/>
      <w:lang w:eastAsia="ru-RU"/>
    </w:rPr>
  </w:style>
  <w:style w:type="character" w:styleId="4">
    <w:name w:val="Заголовок 4 Знак"/>
    <w:basedOn w:val="DefaultParagraphFont"/>
    <w:qFormat/>
    <w:rPr>
      <w:rFonts w:ascii="Cambria" w:hAnsi="Cambria" w:eastAsia="Times New Roman" w:cs="Times New Roman"/>
      <w:i/>
      <w:iCs/>
      <w:color w:val="365F91"/>
      <w:sz w:val="24"/>
      <w:szCs w:val="24"/>
      <w:lang w:eastAsia="ru-RU"/>
    </w:rPr>
  </w:style>
  <w:style w:type="character" w:styleId="5">
    <w:name w:val="Заголовок 5 Знак"/>
    <w:basedOn w:val="DefaultParagraphFont"/>
    <w:qFormat/>
    <w:rPr>
      <w:rFonts w:ascii="Cambria" w:hAnsi="Cambria" w:eastAsia="Times New Roman" w:cs="Times New Roman"/>
      <w:color w:val="365F91"/>
      <w:sz w:val="24"/>
      <w:szCs w:val="24"/>
      <w:lang w:eastAsia="ru-RU"/>
    </w:rPr>
  </w:style>
  <w:style w:type="character" w:styleId="6">
    <w:name w:val="Заголовок 6 Знак"/>
    <w:basedOn w:val="DefaultParagraphFont"/>
    <w:qFormat/>
    <w:rPr>
      <w:rFonts w:ascii="Cambria" w:hAnsi="Cambria" w:eastAsia="Times New Roman" w:cs="Times New Roman"/>
      <w:color w:val="243F60"/>
      <w:sz w:val="24"/>
      <w:szCs w:val="24"/>
      <w:lang w:eastAsia="ru-RU"/>
    </w:rPr>
  </w:style>
  <w:style w:type="character" w:styleId="7">
    <w:name w:val="Заголовок 7 Знак"/>
    <w:basedOn w:val="DefaultParagraphFont"/>
    <w:qFormat/>
    <w:rPr>
      <w:rFonts w:ascii="Cambria" w:hAnsi="Cambria" w:eastAsia="Times New Roman" w:cs="Times New Roman"/>
      <w:i/>
      <w:iCs/>
      <w:color w:val="243F60"/>
      <w:sz w:val="24"/>
      <w:szCs w:val="24"/>
      <w:lang w:eastAsia="ru-RU"/>
    </w:rPr>
  </w:style>
  <w:style w:type="character" w:styleId="8">
    <w:name w:val="Заголовок 8 Знак"/>
    <w:basedOn w:val="DefaultParagraphFont"/>
    <w:qFormat/>
    <w:rPr>
      <w:rFonts w:ascii="Cambria" w:hAnsi="Cambria" w:eastAsia="Times New Roman" w:cs="Times New Roman"/>
      <w:color w:val="272727"/>
      <w:sz w:val="21"/>
      <w:szCs w:val="21"/>
      <w:lang w:eastAsia="ru-RU"/>
    </w:rPr>
  </w:style>
  <w:style w:type="character" w:styleId="9">
    <w:name w:val="Заголовок 9 Знак"/>
    <w:basedOn w:val="DefaultParagraphFont"/>
    <w:qFormat/>
    <w:rPr>
      <w:rFonts w:ascii="Cambria" w:hAnsi="Cambria" w:eastAsia="Times New Roman" w:cs="Times New Roman"/>
      <w:i/>
      <w:iCs/>
      <w:color w:val="272727"/>
      <w:sz w:val="21"/>
      <w:szCs w:val="21"/>
      <w:lang w:eastAsia="ru-RU"/>
    </w:rPr>
  </w:style>
  <w:style w:type="character" w:styleId="FollowedHyperlink">
    <w:name w:val="FollowedHyperlink"/>
    <w:basedOn w:val="DefaultParagraphFont"/>
    <w:rPr>
      <w:color w:val="800080"/>
      <w:u w:val="single"/>
    </w:rPr>
  </w:style>
  <w:style w:type="character" w:styleId="CommentReference">
    <w:name w:val="annotation reference"/>
    <w:qFormat/>
    <w:rPr>
      <w:sz w:val="16"/>
      <w:szCs w:val="16"/>
    </w:rPr>
  </w:style>
  <w:style w:type="character" w:styleId="PageNumber">
    <w:name w:val="page number"/>
    <w:basedOn w:val="DefaultParagraphFont"/>
    <w:rPr/>
  </w:style>
  <w:style w:type="character" w:styleId="Style7">
    <w:name w:val="Текст примечания Знак"/>
    <w:basedOn w:val="DefaultParagraphFont"/>
    <w:qFormat/>
    <w:rPr>
      <w:rFonts w:ascii="Times New Roman" w:hAnsi="Times New Roman" w:eastAsia="Times New Roman" w:cs="Times New Roman"/>
      <w:sz w:val="20"/>
      <w:szCs w:val="20"/>
      <w:lang w:eastAsia="ru-RU"/>
    </w:rPr>
  </w:style>
  <w:style w:type="character" w:styleId="Style8">
    <w:name w:val="Тема примечания Знак"/>
    <w:basedOn w:val="Style7"/>
    <w:link w:val="annotationsubject"/>
    <w:qFormat/>
    <w:rPr>
      <w:rFonts w:ascii="Times New Roman" w:hAnsi="Times New Roman" w:eastAsia="Times New Roman" w:cs="Times New Roman"/>
      <w:b/>
      <w:bCs/>
      <w:sz w:val="20"/>
      <w:szCs w:val="20"/>
      <w:lang w:eastAsia="ru-RU"/>
    </w:rPr>
  </w:style>
  <w:style w:type="character" w:styleId="Style9">
    <w:name w:val="Схема документа Знак"/>
    <w:basedOn w:val="DefaultParagraphFont"/>
    <w:link w:val="DocumentMap"/>
    <w:qFormat/>
    <w:rPr>
      <w:rFonts w:ascii="Tahoma" w:hAnsi="Tahoma" w:eastAsia="Times New Roman" w:cs="Tahoma"/>
      <w:sz w:val="16"/>
      <w:szCs w:val="16"/>
      <w:lang w:eastAsia="ru-RU"/>
    </w:rPr>
  </w:style>
  <w:style w:type="character" w:styleId="Style10">
    <w:name w:val="Верхний колонтитул Знак"/>
    <w:basedOn w:val="DefaultParagraphFont"/>
    <w:qFormat/>
    <w:rPr>
      <w:rFonts w:ascii="Times New Roman" w:hAnsi="Times New Roman" w:eastAsia="MS Mincho" w:cs="Times New Roman"/>
      <w:sz w:val="18"/>
      <w:szCs w:val="20"/>
      <w:lang w:val="en-US" w:eastAsia="ja-JP"/>
    </w:rPr>
  </w:style>
  <w:style w:type="character" w:styleId="Style11">
    <w:name w:val="Основной текст Знак"/>
    <w:basedOn w:val="DefaultParagraphFont"/>
    <w:qFormat/>
    <w:rPr>
      <w:rFonts w:ascii="Times New Roman" w:hAnsi="Times New Roman" w:eastAsia="Times New Roman" w:cs="Times New Roman"/>
      <w:i/>
      <w:sz w:val="26"/>
      <w:szCs w:val="26"/>
      <w:lang w:eastAsia="ru-RU"/>
    </w:rPr>
  </w:style>
  <w:style w:type="character" w:styleId="Style12">
    <w:name w:val="Основной текст с отступом Знак"/>
    <w:basedOn w:val="DefaultParagraphFont"/>
    <w:qFormat/>
    <w:rPr>
      <w:rFonts w:ascii="Times New Roman" w:hAnsi="Times New Roman" w:eastAsia="Times New Roman" w:cs="Times New Roman"/>
      <w:sz w:val="24"/>
      <w:szCs w:val="24"/>
      <w:lang w:eastAsia="ru-RU"/>
    </w:rPr>
  </w:style>
  <w:style w:type="character" w:styleId="Style13">
    <w:name w:val="Нижний колонтитул Знак"/>
    <w:basedOn w:val="DefaultParagraphFont"/>
    <w:qFormat/>
    <w:rPr>
      <w:rFonts w:ascii="Times New Roman" w:hAnsi="Times New Roman" w:eastAsia="MS Mincho" w:cs="Times New Roman"/>
      <w:sz w:val="20"/>
      <w:szCs w:val="20"/>
      <w:lang w:eastAsia="ja-JP"/>
    </w:rPr>
  </w:style>
  <w:style w:type="character" w:styleId="22">
    <w:name w:val="Основной текст с отступом 2 Знак"/>
    <w:basedOn w:val="DefaultParagraphFont"/>
    <w:link w:val="BodyTextIndent2"/>
    <w:qFormat/>
    <w:rPr>
      <w:rFonts w:ascii="Times New Roman" w:hAnsi="Times New Roman" w:eastAsia="Times New Roman" w:cs="Times New Roman"/>
      <w:sz w:val="24"/>
      <w:szCs w:val="24"/>
      <w:lang w:eastAsia="ru-RU"/>
    </w:rPr>
  </w:style>
  <w:style w:type="character" w:styleId="HTML">
    <w:name w:val="Стандартный HTML Знак"/>
    <w:basedOn w:val="DefaultParagraphFont"/>
    <w:link w:val="HTMLPreformatted"/>
    <w:qFormat/>
    <w:rPr>
      <w:rFonts w:ascii="Courier New" w:hAnsi="Courier New" w:eastAsia="Calibri" w:cs="Courier New"/>
      <w:color w:val="000000"/>
      <w:sz w:val="20"/>
      <w:szCs w:val="20"/>
      <w:lang w:eastAsia="ru-RU"/>
    </w:rPr>
  </w:style>
  <w:style w:type="character" w:styleId="headI">
    <w:name w:val="head_I Знак"/>
    <w:link w:val="headI1"/>
    <w:qFormat/>
    <w:rPr>
      <w:rFonts w:ascii="Times New Roman" w:hAnsi="Times New Roman" w:eastAsia="Times New Roman" w:cs="Times New Roman"/>
      <w:b/>
      <w:sz w:val="28"/>
      <w:szCs w:val="24"/>
      <w:lang w:eastAsia="ru-RU"/>
    </w:rPr>
  </w:style>
  <w:style w:type="character" w:styleId="Style14">
    <w:name w:val="Без интервала Знак"/>
    <w:link w:val="NoSpacing"/>
    <w:qFormat/>
    <w:rPr>
      <w:rFonts w:ascii="Times New Roman" w:hAnsi="Times New Roman"/>
      <w:sz w:val="24"/>
    </w:rPr>
  </w:style>
  <w:style w:type="character" w:styleId="Style15">
    <w:name w:val="ГС_Основной_текст Знак"/>
    <w:link w:val="Style36"/>
    <w:qFormat/>
    <w:rPr>
      <w:rFonts w:ascii="Times New Roman" w:hAnsi="Times New Roman" w:eastAsia="Times New Roman" w:cs="Times New Roman"/>
      <w:sz w:val="24"/>
      <w:szCs w:val="24"/>
      <w:lang w:eastAsia="ru-RU"/>
    </w:rPr>
  </w:style>
  <w:style w:type="character" w:styleId="Style16">
    <w:name w:val="ГС_Список_марк Знак"/>
    <w:link w:val="Style37"/>
    <w:qFormat/>
    <w:rPr>
      <w:rFonts w:ascii="Times New Roman" w:hAnsi="Times New Roman" w:eastAsia="Times New Roman" w:cs="Times New Roman"/>
      <w:sz w:val="24"/>
      <w:lang w:eastAsia="ru-RU"/>
    </w:rPr>
  </w:style>
  <w:style w:type="character" w:styleId="basictabl">
    <w:name w:val="basic_tabl Знак"/>
    <w:link w:val="basictabl1"/>
    <w:qFormat/>
    <w:rPr/>
  </w:style>
  <w:style w:type="character" w:styleId="phnormal">
    <w:name w:val="ph_normal Знак"/>
    <w:link w:val="phnormal1"/>
    <w:qFormat/>
    <w:rPr>
      <w:rFonts w:ascii="Calibri" w:hAnsi="Calibri" w:eastAsia="Times New Roman" w:cs="Times New Roman"/>
      <w:sz w:val="24"/>
      <w:szCs w:val="20"/>
      <w:lang w:eastAsia="ru-RU"/>
    </w:rPr>
  </w:style>
  <w:style w:type="character" w:styleId="11">
    <w:name w:val="Список_1_уровня_заголовок Знак"/>
    <w:link w:val="16"/>
    <w:qFormat/>
    <w:rPr>
      <w:rFonts w:ascii="Times New Roman" w:hAnsi="Times New Roman" w:eastAsia="Times New Roman" w:cs="Times New Roman"/>
      <w:b/>
      <w:bCs/>
      <w:sz w:val="24"/>
      <w:szCs w:val="24"/>
      <w:lang w:eastAsia="ja-JP"/>
    </w:rPr>
  </w:style>
  <w:style w:type="character" w:styleId="Style17">
    <w:name w:val="ГС_МелкийТекст Знак"/>
    <w:link w:val="Style38"/>
    <w:qFormat/>
    <w:rPr>
      <w:rFonts w:ascii="Times New Roman" w:hAnsi="Times New Roman" w:eastAsia="Times New Roman" w:cs="Times New Roman"/>
      <w:lang w:eastAsia="ru-RU"/>
    </w:rPr>
  </w:style>
  <w:style w:type="character" w:styleId="Style18">
    <w:name w:val="ГС_ОснТекст_без_отступа Знак"/>
    <w:link w:val="Style40"/>
    <w:qFormat/>
    <w:rPr>
      <w:rFonts w:ascii="Times New Roman" w:hAnsi="Times New Roman" w:eastAsia="Times New Roman" w:cs="Times New Roman"/>
      <w:sz w:val="24"/>
      <w:szCs w:val="24"/>
      <w:lang w:eastAsia="ru-RU"/>
    </w:rPr>
  </w:style>
  <w:style w:type="character" w:styleId="list1">
    <w:name w:val="list_1 Знак"/>
    <w:link w:val="list11"/>
    <w:qFormat/>
    <w:rPr>
      <w:rFonts w:ascii="Times New Roman" w:hAnsi="Times New Roman" w:eastAsia="Times New Roman" w:cs="Times New Roman"/>
      <w:sz w:val="24"/>
      <w:szCs w:val="28"/>
      <w:lang w:eastAsia="ja-JP"/>
    </w:rPr>
  </w:style>
  <w:style w:type="character" w:styleId="headII">
    <w:name w:val="head_II Знак"/>
    <w:link w:val="headII1"/>
    <w:qFormat/>
    <w:rPr>
      <w:rFonts w:ascii="Times New Roman" w:hAnsi="Times New Roman" w:eastAsia="Times New Roman" w:cs="Times New Roman"/>
      <w:b/>
      <w:color w:val="365F91"/>
      <w:sz w:val="24"/>
      <w:szCs w:val="24"/>
      <w:lang w:eastAsia="ru-RU"/>
    </w:rPr>
  </w:style>
  <w:style w:type="character" w:styleId="headIII">
    <w:name w:val="head_III Знак"/>
    <w:link w:val="headIII1"/>
    <w:qFormat/>
    <w:rPr>
      <w:rFonts w:ascii="Times New Roman" w:hAnsi="Times New Roman" w:eastAsia="Times New Roman" w:cs="Times New Roman"/>
      <w:color w:val="365F91"/>
      <w:sz w:val="24"/>
      <w:szCs w:val="24"/>
      <w:lang w:eastAsia="ru-RU"/>
    </w:rPr>
  </w:style>
  <w:style w:type="character" w:styleId="list3">
    <w:name w:val="list_3 Знак"/>
    <w:link w:val="list31"/>
    <w:qFormat/>
    <w:rPr>
      <w:rFonts w:ascii="Times New Roman" w:hAnsi="Times New Roman" w:eastAsia="Times New Roman" w:cs="Times New Roman"/>
      <w:sz w:val="24"/>
      <w:szCs w:val="24"/>
      <w:lang w:eastAsia="ru-RU"/>
    </w:rPr>
  </w:style>
  <w:style w:type="character" w:styleId="list4">
    <w:name w:val="list_4 Знак"/>
    <w:link w:val="list41"/>
    <w:qFormat/>
    <w:rPr>
      <w:rFonts w:ascii="Times New Roman" w:hAnsi="Times New Roman" w:eastAsia="Times New Roman" w:cs="Times New Roman"/>
      <w:b/>
      <w:sz w:val="24"/>
      <w:szCs w:val="24"/>
      <w:lang w:eastAsia="ru-RU"/>
    </w:rPr>
  </w:style>
  <w:style w:type="character" w:styleId="fontstyle01">
    <w:name w:val="fontstyle01"/>
    <w:qFormat/>
    <w:rPr>
      <w:rFonts w:ascii="Times New Roman" w:hAnsi="Times New Roman" w:cs="Times New Roman"/>
      <w:color w:val="000000"/>
      <w:sz w:val="28"/>
      <w:szCs w:val="28"/>
    </w:rPr>
  </w:style>
  <w:style w:type="character" w:styleId="12">
    <w:name w:val="Стиль1 Знак"/>
    <w:link w:val="19"/>
    <w:qFormat/>
    <w:rPr>
      <w:rFonts w:ascii="Times New Roman" w:hAnsi="Times New Roman" w:eastAsia="Times New Roman" w:cs="Times New Roman"/>
      <w:color w:val="FF0000"/>
      <w:sz w:val="24"/>
      <w:szCs w:val="28"/>
      <w:lang w:eastAsia="ja-JP"/>
    </w:rPr>
  </w:style>
  <w:style w:type="character" w:styleId="23">
    <w:name w:val="Стиль2 Знак"/>
    <w:link w:val="26"/>
    <w:qFormat/>
    <w:rPr>
      <w:rFonts w:ascii="Times New Roman" w:hAnsi="Times New Roman" w:eastAsia="Times New Roman" w:cs="Times New Roman"/>
      <w:color w:val="365F91"/>
      <w:sz w:val="24"/>
      <w:szCs w:val="24"/>
      <w:lang w:eastAsia="ru-RU"/>
    </w:rPr>
  </w:style>
  <w:style w:type="character" w:styleId="32">
    <w:name w:val="Стиль3 Знак"/>
    <w:link w:val="34"/>
    <w:qFormat/>
    <w:rPr>
      <w:rFonts w:ascii="Times New Roman" w:hAnsi="Times New Roman" w:eastAsia="Times New Roman" w:cs="Times New Roman"/>
      <w:sz w:val="28"/>
      <w:szCs w:val="24"/>
      <w:lang w:eastAsia="ru-RU"/>
    </w:rPr>
  </w:style>
  <w:style w:type="character" w:styleId="41">
    <w:name w:val="Основной текст (4)_"/>
    <w:qFormat/>
    <w:rPr>
      <w:rFonts w:ascii="Sylfaen" w:hAnsi="Sylfaen" w:eastAsia="Sylfaen" w:cs="Sylfaen"/>
      <w:sz w:val="28"/>
      <w:szCs w:val="28"/>
      <w:shd w:fill="FFFFFF" w:val="clear"/>
    </w:rPr>
  </w:style>
  <w:style w:type="character" w:styleId="51">
    <w:name w:val="Заголовок №5_"/>
    <w:qFormat/>
    <w:rPr>
      <w:rFonts w:ascii="Times New Roman" w:hAnsi="Times New Roman" w:eastAsia="Times New Roman"/>
      <w:b/>
      <w:bCs/>
      <w:sz w:val="28"/>
      <w:szCs w:val="28"/>
      <w:shd w:fill="FFFFFF" w:val="clear"/>
    </w:rPr>
  </w:style>
  <w:style w:type="character" w:styleId="Style19">
    <w:name w:val="Подпись к таблице_"/>
    <w:link w:val="Style42"/>
    <w:qFormat/>
    <w:rPr>
      <w:rFonts w:ascii="Times New Roman" w:hAnsi="Times New Roman" w:eastAsia="Times New Roman"/>
      <w:b/>
      <w:bCs/>
      <w:spacing w:val="-10"/>
      <w:shd w:fill="FFFFFF" w:val="clear"/>
    </w:rPr>
  </w:style>
  <w:style w:type="character" w:styleId="2105pt">
    <w:name w:val="Основной текст (2) + 10;5 pt;Полужирный"/>
    <w:qFormat/>
    <w:rPr>
      <w:rFonts w:ascii="Times New Roman" w:hAnsi="Times New Roman" w:eastAsia="Times New Roman" w:cs="Times New Roman"/>
      <w:b/>
      <w:bCs/>
      <w:color w:val="000000"/>
      <w:spacing w:val="0"/>
      <w:w w:val="100"/>
      <w:sz w:val="21"/>
      <w:szCs w:val="21"/>
      <w:u w:val="none"/>
      <w:lang w:val="ru-RU" w:eastAsia="ru-RU" w:bidi="ru-RU"/>
    </w:rPr>
  </w:style>
  <w:style w:type="character" w:styleId="210pt">
    <w:name w:val="Основной текст (2) + 10 pt"/>
    <w:qFormat/>
    <w:rPr>
      <w:rFonts w:ascii="Times New Roman" w:hAnsi="Times New Roman" w:eastAsia="Times New Roman" w:cs="Times New Roman"/>
      <w:color w:val="000000"/>
      <w:spacing w:val="0"/>
      <w:w w:val="100"/>
      <w:sz w:val="20"/>
      <w:szCs w:val="20"/>
      <w:u w:val="none"/>
      <w:lang w:val="ru-RU" w:eastAsia="ru-RU" w:bidi="ru-RU"/>
    </w:rPr>
  </w:style>
  <w:style w:type="character" w:styleId="121">
    <w:name w:val="Основной текст (12)_"/>
    <w:qFormat/>
    <w:rPr>
      <w:rFonts w:cs="Calibri"/>
      <w:b/>
      <w:bCs/>
      <w:shd w:fill="FFFFFF" w:val="clear"/>
    </w:rPr>
  </w:style>
  <w:style w:type="character" w:styleId="122">
    <w:name w:val="Основной текст (12) + Курсив"/>
    <w:qFormat/>
    <w:rPr>
      <w:rFonts w:ascii="Calibri" w:hAnsi="Calibri" w:eastAsia="Calibri" w:cs="Calibri"/>
      <w:b/>
      <w:bCs/>
      <w:i/>
      <w:iCs/>
      <w:color w:val="000000"/>
      <w:spacing w:val="0"/>
      <w:w w:val="100"/>
      <w:shd w:fill="FFFFFF" w:val="clear"/>
      <w:lang w:val="en-US" w:eastAsia="en-US" w:bidi="en-US"/>
    </w:rPr>
  </w:style>
  <w:style w:type="character" w:styleId="24">
    <w:name w:val="Подпись к таблице (2)_"/>
    <w:link w:val="27"/>
    <w:qFormat/>
    <w:rPr>
      <w:rFonts w:ascii="Times New Roman" w:hAnsi="Times New Roman" w:eastAsia="Times New Roman"/>
      <w:shd w:fill="FFFFFF" w:val="clear"/>
    </w:rPr>
  </w:style>
  <w:style w:type="character" w:styleId="33">
    <w:name w:val="Подпись к таблице (3)_"/>
    <w:link w:val="35"/>
    <w:qFormat/>
    <w:rPr>
      <w:rFonts w:ascii="Times New Roman" w:hAnsi="Times New Roman" w:eastAsia="Times New Roman"/>
      <w:shd w:fill="FFFFFF" w:val="clear"/>
    </w:rPr>
  </w:style>
  <w:style w:type="character" w:styleId="13">
    <w:name w:val="Основной текст (13)_"/>
    <w:link w:val="131"/>
    <w:qFormat/>
    <w:rPr>
      <w:rFonts w:ascii="Times New Roman" w:hAnsi="Times New Roman" w:eastAsia="Times New Roman"/>
      <w:shd w:fill="FFFFFF" w:val="clear"/>
    </w:rPr>
  </w:style>
  <w:style w:type="character" w:styleId="52">
    <w:name w:val="Заголовок №5 (2)_"/>
    <w:link w:val="521"/>
    <w:qFormat/>
    <w:rPr>
      <w:rFonts w:cs="Calibri"/>
      <w:b/>
      <w:bCs/>
      <w:sz w:val="26"/>
      <w:szCs w:val="26"/>
      <w:shd w:fill="FFFFFF" w:val="clear"/>
      <w:lang w:val="en-US" w:bidi="en-US"/>
    </w:rPr>
  </w:style>
  <w:style w:type="character" w:styleId="15">
    <w:name w:val="Основной текст (15)_"/>
    <w:link w:val="151"/>
    <w:qFormat/>
    <w:rPr>
      <w:rFonts w:cs="Calibri"/>
      <w:shd w:fill="FFFFFF" w:val="clear"/>
    </w:rPr>
  </w:style>
  <w:style w:type="character" w:styleId="15TimesNewRoman0pt">
    <w:name w:val="Основной текст (15) + Times New Roman;Полужирный;Интервал 0 pt"/>
    <w:qFormat/>
    <w:rPr>
      <w:rFonts w:ascii="Times New Roman" w:hAnsi="Times New Roman" w:eastAsia="Times New Roman" w:cs="Times New Roman"/>
      <w:b/>
      <w:bCs/>
      <w:color w:val="000000"/>
      <w:spacing w:val="-10"/>
      <w:w w:val="100"/>
      <w:shd w:fill="FFFFFF" w:val="clear"/>
      <w:lang w:val="en-US" w:eastAsia="en-US" w:bidi="en-US"/>
    </w:rPr>
  </w:style>
  <w:style w:type="character" w:styleId="tdtext">
    <w:name w:val="td_text Знак"/>
    <w:link w:val="tdtext1"/>
    <w:qFormat/>
    <w:rPr>
      <w:rFonts w:ascii="Arial" w:hAnsi="Arial" w:eastAsia="Times New Roman" w:cs="Times New Roman"/>
      <w:sz w:val="24"/>
      <w:szCs w:val="24"/>
      <w:lang w:eastAsia="ru-RU"/>
    </w:rPr>
  </w:style>
  <w:style w:type="character" w:styleId="Style20">
    <w:name w:val="Список марк Знак"/>
    <w:basedOn w:val="DefaultParagraphFont"/>
    <w:link w:val="Style43"/>
    <w:qFormat/>
    <w:rPr>
      <w:rFonts w:ascii="Times New Roman" w:hAnsi="Times New Roman" w:eastAsia="Times New Roman" w:cs="Times New Roman"/>
      <w:sz w:val="24"/>
      <w:szCs w:val="24"/>
      <w:lang w:eastAsia="ru-RU"/>
    </w:rPr>
  </w:style>
  <w:style w:type="character" w:styleId="c">
    <w:name w:val="Текcт_документа Знак"/>
    <w:link w:val="c1"/>
    <w:qFormat/>
    <w:rPr>
      <w:rFonts w:ascii="Times New Roman" w:hAnsi="Times New Roman" w:eastAsia="Times New Roman" w:cs="Times New Roman"/>
      <w:sz w:val="28"/>
      <w:szCs w:val="28"/>
      <w:lang w:eastAsia="ru-RU"/>
    </w:rPr>
  </w:style>
  <w:style w:type="character" w:styleId="25">
    <w:name w:val="Цитата 2 Знак"/>
    <w:basedOn w:val="DefaultParagraphFont"/>
    <w:link w:val="Quote"/>
    <w:qFormat/>
    <w:rPr>
      <w:rFonts w:ascii="Tinos" w:hAnsi="Tinos" w:eastAsia="Droid Sans Fallback" w:cs="FreeSans"/>
      <w:i/>
      <w:iCs/>
      <w:color w:val="000000"/>
      <w:sz w:val="24"/>
      <w:szCs w:val="24"/>
      <w:lang w:eastAsia="zh-CN" w:bidi="hi-IN"/>
    </w:rPr>
  </w:style>
  <w:style w:type="character" w:styleId="Style21">
    <w:name w:val="_Обычный Знак"/>
    <w:link w:val="Style46"/>
    <w:qFormat/>
    <w:rPr>
      <w:rFonts w:ascii="Calibri" w:hAnsi="Calibri" w:eastAsia="Calibri" w:cs="Times New Roman"/>
      <w:sz w:val="24"/>
      <w:szCs w:val="24"/>
      <w:lang w:eastAsia="ru-RU"/>
    </w:rPr>
  </w:style>
  <w:style w:type="character" w:styleId="Style22">
    <w:name w:val="Комментарий шаблона Знак"/>
    <w:link w:val="Style48"/>
    <w:qFormat/>
    <w:rPr>
      <w:rFonts w:ascii="Times New Roman" w:hAnsi="Times New Roman" w:eastAsia="Times New Roman" w:cs="Times New Roman"/>
      <w:i/>
      <w:color w:val="0070C0"/>
      <w:kern w:val="2"/>
      <w:sz w:val="26"/>
      <w:szCs w:val="20"/>
      <w:lang w:eastAsia="ru-RU"/>
    </w:rPr>
  </w:style>
  <w:style w:type="character" w:styleId="Style23">
    <w:name w:val="_Список_марк Знак"/>
    <w:link w:val="Style49"/>
    <w:qFormat/>
    <w:rPr>
      <w:rFonts w:ascii="Times New Roman" w:hAnsi="Times New Roman" w:eastAsia="Times New Roman" w:cs="Times New Roman"/>
      <w:color w:val="000000"/>
      <w:spacing w:val="-1"/>
      <w:sz w:val="24"/>
      <w:szCs w:val="20"/>
      <w:lang w:eastAsia="ru-RU"/>
    </w:rPr>
  </w:style>
  <w:style w:type="character" w:styleId="Style24">
    <w:name w:val="Заголовок Знак"/>
    <w:basedOn w:val="DefaultParagraphFont"/>
    <w:qFormat/>
    <w:rPr>
      <w:rFonts w:ascii="Calibri" w:hAnsi="Calibri" w:eastAsia="Calibri" w:cs="Calibri"/>
      <w:b/>
      <w:sz w:val="72"/>
      <w:szCs w:val="72"/>
      <w:lang w:eastAsia="ru-RU"/>
    </w:rPr>
  </w:style>
  <w:style w:type="character" w:styleId="Style25">
    <w:name w:val="Подзаголовок Знак"/>
    <w:basedOn w:val="DefaultParagraphFont"/>
    <w:qFormat/>
    <w:rPr>
      <w:rFonts w:ascii="Times New Roman" w:hAnsi="Times New Roman" w:eastAsia="Times New Roman" w:cs="Times New Roman"/>
      <w:b/>
      <w:sz w:val="24"/>
      <w:szCs w:val="24"/>
      <w:lang w:eastAsia="ru-RU"/>
    </w:rPr>
  </w:style>
  <w:style w:type="character" w:styleId="a11yhidden">
    <w:name w:val="a11yhidden"/>
    <w:basedOn w:val="DefaultParagraphFont"/>
    <w:qFormat/>
    <w:rPr/>
  </w:style>
  <w:style w:type="character" w:styleId="organictitlecontentspan">
    <w:name w:val="organictitlecontentspan"/>
    <w:basedOn w:val="DefaultParagraphFont"/>
    <w:qFormat/>
    <w:rPr/>
  </w:style>
  <w:style w:type="character" w:styleId="lots-wrap-contentbodyval">
    <w:name w:val="lots-wrap-content__body__val"/>
    <w:basedOn w:val="DefaultParagraphFont"/>
    <w:qFormat/>
    <w:rPr/>
  </w:style>
  <w:style w:type="character" w:styleId="61">
    <w:name w:val="Заголовок №6_"/>
    <w:link w:val="62"/>
    <w:qFormat/>
    <w:rPr>
      <w:b/>
      <w:bCs/>
      <w:shd w:fill="FFFFFF" w:val="clear"/>
    </w:rPr>
  </w:style>
  <w:style w:type="character" w:styleId="Style26">
    <w:name w:val="Текст сноски Знак"/>
    <w:basedOn w:val="DefaultParagraphFont"/>
    <w:qFormat/>
    <w:rPr>
      <w:rFonts w:ascii="Calibri" w:hAnsi="Calibri" w:eastAsia="Calibri" w:cs="Calibri"/>
      <w:sz w:val="20"/>
      <w:szCs w:val="20"/>
      <w:lang w:eastAsia="ru-RU"/>
    </w:rPr>
  </w:style>
  <w:style w:type="character" w:styleId="Style27">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28">
    <w:name w:val="Таблица_общий Знак"/>
    <w:basedOn w:val="DefaultParagraphFont"/>
    <w:link w:val="Style50"/>
    <w:qFormat/>
    <w:rPr>
      <w:rFonts w:ascii="Times New Roman" w:hAnsi="Times New Roman" w:eastAsia="Times New Roman" w:cs="Times New Roman"/>
      <w:sz w:val="20"/>
      <w:szCs w:val="20"/>
      <w:lang w:eastAsia="ru-RU"/>
    </w:rPr>
  </w:style>
  <w:style w:type="character" w:styleId="footnotedescriptionChar">
    <w:name w:val="footnote description Char"/>
    <w:link w:val="footnotedescription"/>
    <w:qFormat/>
    <w:rPr>
      <w:rFonts w:ascii="Times New Roman" w:hAnsi="Times New Roman" w:eastAsia="Times New Roman" w:cs="Times New Roman"/>
      <w:color w:val="000000"/>
      <w:sz w:val="24"/>
      <w:lang w:eastAsia="ru-RU"/>
    </w:rPr>
  </w:style>
  <w:style w:type="character" w:styleId="CharChar">
    <w:name w:val="Обычный Char Char"/>
    <w:link w:val="110"/>
    <w:qFormat/>
    <w:rPr>
      <w:rFonts w:ascii="Times New Roman" w:hAnsi="Times New Roman" w:eastAsia="Times New Roman" w:cs="Times New Roman"/>
      <w:color w:val="00000A"/>
      <w:kern w:val="2"/>
      <w:sz w:val="24"/>
      <w:szCs w:val="24"/>
      <w:lang w:eastAsia="zh-CN"/>
    </w:rPr>
  </w:style>
  <w:style w:type="character" w:styleId="extended-textshort">
    <w:name w:val="extended-text__short"/>
    <w:basedOn w:val="DefaultParagraphFont"/>
    <w:qFormat/>
    <w:rPr/>
  </w:style>
  <w:style w:type="character" w:styleId="Style29">
    <w:name w:val="Обычный. Список. Знак"/>
    <w:link w:val="Style52"/>
    <w:qFormat/>
    <w:rPr>
      <w:rFonts w:eastAsia="Batang"/>
      <w:sz w:val="24"/>
      <w:szCs w:val="24"/>
    </w:rPr>
  </w:style>
  <w:style w:type="character" w:styleId="14">
    <w:name w:val="Текст сноски Знак1"/>
    <w:basedOn w:val="DefaultParagraphFont"/>
    <w:qFormat/>
    <w:rPr>
      <w:rFonts w:ascii="Liberation Serif;Times New Roma" w:hAnsi="Liberation Serif;Times New Roma" w:eastAsia="WenQuanYi Micro Hei" w:cs="Lohit Hindi"/>
      <w:color w:val="00000A"/>
      <w:szCs w:val="24"/>
      <w:lang w:eastAsia="zh-CN" w:bidi="hi-IN"/>
    </w:rPr>
  </w:style>
  <w:style w:type="character" w:styleId="user1">
    <w:name w:val="Маркеры (user)"/>
    <w:qFormat/>
    <w:rPr>
      <w:rFonts w:ascii="OpenSymbol" w:hAnsi="OpenSymbol" w:eastAsia="OpenSymbol" w:cs="OpenSymbol"/>
    </w:rPr>
  </w:style>
  <w:style w:type="character" w:styleId="Style30">
    <w:name w:val="Маркеры"/>
    <w:qFormat/>
    <w:rPr>
      <w:rFonts w:ascii="OpenSymbol" w:hAnsi="OpenSymbol" w:eastAsia="OpenSymbol" w:cs="OpenSymbol"/>
    </w:rPr>
  </w:style>
  <w:style w:type="character" w:styleId="Style31">
    <w:name w:val="Символ нумерации"/>
    <w:qFormat/>
    <w:rPr/>
  </w:style>
  <w:style w:type="paragraph" w:styleId="Style32">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11"/>
    <w:pPr>
      <w:spacing w:lineRule="auto" w:line="240" w:before="0" w:after="0"/>
    </w:pPr>
    <w:rPr>
      <w:rFonts w:ascii="Times New Roman" w:hAnsi="Times New Roman" w:eastAsia="Times New Roman"/>
      <w:i/>
      <w:sz w:val="26"/>
      <w:szCs w:val="26"/>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33">
    <w:name w:val="Указатель"/>
    <w:basedOn w:val="Normal"/>
    <w:qFormat/>
    <w:pPr>
      <w:suppressLineNumbers/>
    </w:pPr>
    <w:rPr>
      <w:rFonts w:cs="Noto Sans"/>
    </w:rPr>
  </w:style>
  <w:style w:type="paragraph" w:styleId="user2">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3">
    <w:name w:val="Указатель (user)"/>
    <w:basedOn w:val="Normal"/>
    <w:qFormat/>
    <w:pPr>
      <w:suppressLineNumbers/>
    </w:pPr>
    <w:rPr>
      <w:rFonts w:cs="Noto Sans"/>
    </w:rPr>
  </w:style>
  <w:style w:type="paragraph" w:styleId="Title">
    <w:name w:val="Title"/>
    <w:basedOn w:val="Normal"/>
    <w:next w:val="BodyText"/>
    <w:link w:val="Style24"/>
    <w:qFormat/>
    <w:pPr>
      <w:keepNext w:val="true"/>
      <w:keepLines/>
      <w:spacing w:before="480" w:after="120"/>
    </w:pPr>
    <w:rPr>
      <w:rFonts w:eastAsia="Calibri" w:cs="Calibri"/>
      <w:b/>
      <w:sz w:val="72"/>
      <w:szCs w:val="72"/>
    </w:rPr>
  </w:style>
  <w:style w:type="paragraph" w:styleId="IndexHeading">
    <w:name w:val="index heading"/>
    <w:basedOn w:val="Normal"/>
    <w:pPr>
      <w:suppressLineNumbers/>
    </w:pPr>
    <w:rPr>
      <w:rFonts w:cs="Noto Sans"/>
    </w:rPr>
  </w:style>
  <w:style w:type="paragraph" w:styleId="ListParagraph">
    <w:name w:val="List Paragraph"/>
    <w:basedOn w:val="Normal"/>
    <w:link w:val="Style5"/>
    <w:qFormat/>
    <w:pPr>
      <w:spacing w:before="0" w:after="200"/>
      <w:ind w:start="720"/>
      <w:contextualSpacing/>
    </w:pPr>
    <w:rPr>
      <w:lang w:eastAsia="en-US"/>
    </w:rPr>
  </w:style>
  <w:style w:type="paragraph" w:styleId="ConsNormal1">
    <w:name w:val="ConsNormal"/>
    <w:link w:val="ConsNormal"/>
    <w:qFormat/>
    <w:pPr>
      <w:widowControl/>
      <w:suppressAutoHyphens w:val="true"/>
      <w:overflowPunct w:val="false"/>
      <w:bidi w:val="0"/>
      <w:spacing w:before="0" w:after="0"/>
      <w:ind w:firstLine="720" w:end="19772"/>
      <w:jc w:val="start"/>
    </w:pPr>
    <w:rPr>
      <w:rFonts w:ascii="Arial" w:hAnsi="Arial" w:eastAsia="Calibri" w:cs="Arial"/>
      <w:color w:val="auto"/>
      <w:kern w:val="0"/>
      <w:sz w:val="20"/>
      <w:szCs w:val="20"/>
      <w:lang w:val="ru-RU" w:eastAsia="ru-RU" w:bidi="ar-SA"/>
    </w:rPr>
  </w:style>
  <w:style w:type="paragraph" w:styleId="BalloonText">
    <w:name w:val="Balloon Text"/>
    <w:basedOn w:val="Normal"/>
    <w:link w:val="Style6"/>
    <w:qFormat/>
    <w:pPr>
      <w:spacing w:lineRule="auto" w:line="240" w:before="0" w:after="0"/>
    </w:pPr>
    <w:rPr>
      <w:rFonts w:ascii="Tahoma" w:hAnsi="Tahoma" w:eastAsia="Times New Roman" w:cs="Tahoma"/>
      <w:sz w:val="16"/>
      <w:szCs w:val="16"/>
    </w:rPr>
  </w:style>
  <w:style w:type="paragraph" w:styleId="basictext1">
    <w:name w:val="basic_text"/>
    <w:basedOn w:val="Normal"/>
    <w:link w:val="basictext"/>
    <w:qFormat/>
    <w:pPr>
      <w:spacing w:lineRule="auto" w:line="360" w:before="0" w:after="120"/>
      <w:ind w:firstLine="709"/>
      <w:jc w:val="both"/>
    </w:pPr>
    <w:rPr>
      <w:rFonts w:ascii="Times New Roman" w:hAnsi="Times New Roman" w:eastAsia="Times New Roman"/>
      <w:sz w:val="24"/>
      <w:szCs w:val="28"/>
      <w:lang w:eastAsia="ja-JP"/>
    </w:rPr>
  </w:style>
  <w:style w:type="paragraph" w:styleId="list21">
    <w:name w:val="list_2"/>
    <w:basedOn w:val="ListParagraph"/>
    <w:link w:val="list2"/>
    <w:qFormat/>
    <w:pPr>
      <w:numPr>
        <w:ilvl w:val="0"/>
        <w:numId w:val="1"/>
      </w:numPr>
      <w:spacing w:lineRule="auto" w:line="360" w:before="0" w:after="120"/>
      <w:contextualSpacing w:val="false"/>
      <w:jc w:val="both"/>
    </w:pPr>
    <w:rPr>
      <w:rFonts w:ascii="Times New Roman" w:hAnsi="Times New Roman" w:eastAsia="Times New Roman"/>
      <w:sz w:val="24"/>
      <w:szCs w:val="24"/>
      <w:lang w:eastAsia="ru-RU"/>
    </w:rPr>
  </w:style>
  <w:style w:type="paragraph" w:styleId="CommentText">
    <w:name w:val="annotation text"/>
    <w:basedOn w:val="Normal"/>
    <w:link w:val="Style7"/>
    <w:pPr>
      <w:spacing w:lineRule="auto" w:line="240" w:before="0" w:after="0"/>
    </w:pPr>
    <w:rPr>
      <w:rFonts w:ascii="Times New Roman" w:hAnsi="Times New Roman" w:eastAsia="Times New Roman"/>
      <w:sz w:val="20"/>
      <w:szCs w:val="20"/>
    </w:rPr>
  </w:style>
  <w:style w:type="paragraph" w:styleId="annotationsubject">
    <w:name w:val="annotation subject"/>
    <w:basedOn w:val="CommentText"/>
    <w:next w:val="CommentText"/>
    <w:link w:val="Style8"/>
    <w:qFormat/>
    <w:pPr>
      <w:spacing w:before="0" w:after="200"/>
    </w:pPr>
    <w:rPr>
      <w:b/>
      <w:bCs/>
    </w:rPr>
  </w:style>
  <w:style w:type="paragraph" w:styleId="DocumentMap">
    <w:name w:val="Document Map"/>
    <w:basedOn w:val="Normal"/>
    <w:link w:val="Style9"/>
    <w:qFormat/>
    <w:pPr>
      <w:spacing w:lineRule="auto" w:line="240" w:before="0" w:after="0"/>
    </w:pPr>
    <w:rPr>
      <w:rFonts w:ascii="Tahoma" w:hAnsi="Tahoma" w:eastAsia="Times New Roman" w:cs="Tahoma"/>
      <w:sz w:val="16"/>
      <w:szCs w:val="16"/>
    </w:rPr>
  </w:style>
  <w:style w:type="paragraph" w:styleId="Style34">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0"/>
    <w:pPr>
      <w:tabs>
        <w:tab w:val="clear" w:pos="708"/>
        <w:tab w:val="right" w:pos="9356" w:leader="none"/>
      </w:tabs>
      <w:spacing w:lineRule="auto" w:line="240" w:before="0" w:after="0"/>
    </w:pPr>
    <w:rPr>
      <w:rFonts w:ascii="Times New Roman" w:hAnsi="Times New Roman" w:eastAsia="MS Mincho"/>
      <w:sz w:val="18"/>
      <w:szCs w:val="20"/>
      <w:lang w:val="en-US" w:eastAsia="ja-JP"/>
    </w:rPr>
  </w:style>
  <w:style w:type="paragraph" w:styleId="TOC1">
    <w:name w:val="toc 1"/>
    <w:basedOn w:val="Normal"/>
    <w:next w:val="Normal"/>
    <w:pPr>
      <w:tabs>
        <w:tab w:val="clear" w:pos="708"/>
        <w:tab w:val="left" w:pos="440" w:leader="none"/>
        <w:tab w:val="right" w:pos="9344" w:leader="dot"/>
      </w:tabs>
      <w:spacing w:before="0" w:after="100"/>
    </w:pPr>
    <w:rPr>
      <w:rFonts w:ascii="Times New Roman" w:hAnsi="Times New Roman" w:eastAsia="Calibri"/>
      <w:b/>
      <w:sz w:val="28"/>
      <w:lang w:eastAsia="en-US"/>
    </w:rPr>
  </w:style>
  <w:style w:type="paragraph" w:styleId="TOC3">
    <w:name w:val="toc 3"/>
    <w:basedOn w:val="Normal"/>
    <w:next w:val="Normal"/>
    <w:pPr>
      <w:spacing w:before="0" w:after="100"/>
      <w:ind w:start="440"/>
    </w:pPr>
    <w:rPr>
      <w:rFonts w:eastAsia="Calibri"/>
      <w:lang w:eastAsia="en-US"/>
    </w:rPr>
  </w:style>
  <w:style w:type="paragraph" w:styleId="TOC2">
    <w:name w:val="toc 2"/>
    <w:basedOn w:val="Normal"/>
    <w:next w:val="Normal"/>
    <w:pPr>
      <w:tabs>
        <w:tab w:val="clear" w:pos="708"/>
        <w:tab w:val="left" w:pos="880" w:leader="none"/>
        <w:tab w:val="left" w:pos="1320" w:leader="none"/>
        <w:tab w:val="right" w:pos="9344" w:leader="dot"/>
      </w:tabs>
      <w:spacing w:lineRule="auto" w:line="360" w:before="0" w:after="0"/>
      <w:jc w:val="both"/>
    </w:pPr>
    <w:rPr>
      <w:rFonts w:ascii="Times New Roman" w:hAnsi="Times New Roman" w:eastAsia="Calibri"/>
      <w:sz w:val="24"/>
      <w:lang w:eastAsia="en-US"/>
    </w:rPr>
  </w:style>
  <w:style w:type="paragraph" w:styleId="BodyTextIndent">
    <w:name w:val="Body Text Indent"/>
    <w:basedOn w:val="Normal"/>
    <w:link w:val="Style12"/>
    <w:pPr>
      <w:spacing w:lineRule="auto" w:line="240" w:before="0" w:after="120"/>
      <w:ind w:start="283"/>
    </w:pPr>
    <w:rPr>
      <w:rFonts w:ascii="Times New Roman" w:hAnsi="Times New Roman" w:eastAsia="Times New Roman"/>
      <w:sz w:val="24"/>
      <w:szCs w:val="24"/>
    </w:rPr>
  </w:style>
  <w:style w:type="paragraph" w:styleId="ListBullet">
    <w:name w:val="List Bullet"/>
    <w:basedOn w:val="Normal"/>
    <w:pPr>
      <w:spacing w:lineRule="auto" w:line="360" w:before="0" w:after="0"/>
      <w:contextualSpacing/>
      <w:jc w:val="both"/>
    </w:pPr>
    <w:rPr>
      <w:rFonts w:ascii="Times New Roman" w:hAnsi="Times New Roman" w:eastAsia="Calibri"/>
      <w:sz w:val="24"/>
      <w:szCs w:val="24"/>
    </w:rPr>
  </w:style>
  <w:style w:type="paragraph" w:styleId="Footer">
    <w:name w:val="footer"/>
    <w:basedOn w:val="Normal"/>
    <w:link w:val="Style13"/>
    <w:pPr>
      <w:pBdr>
        <w:top w:val="single" w:sz="12" w:space="1" w:color="000080"/>
      </w:pBdr>
      <w:tabs>
        <w:tab w:val="clear" w:pos="708"/>
        <w:tab w:val="right" w:pos="9356" w:leader="none"/>
      </w:tabs>
      <w:spacing w:lineRule="auto" w:line="240" w:before="120" w:after="120"/>
    </w:pPr>
    <w:rPr>
      <w:rFonts w:ascii="Times New Roman" w:hAnsi="Times New Roman" w:eastAsia="MS Mincho"/>
      <w:sz w:val="20"/>
      <w:szCs w:val="20"/>
      <w:lang w:eastAsia="ja-JP"/>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BodyTextIndent2">
    <w:name w:val="Body Text Indent 2"/>
    <w:basedOn w:val="Normal"/>
    <w:link w:val="22"/>
    <w:qFormat/>
    <w:pPr>
      <w:spacing w:lineRule="auto" w:line="480" w:before="0" w:after="120"/>
      <w:ind w:start="283"/>
      <w:jc w:val="both"/>
    </w:pPr>
    <w:rPr>
      <w:rFonts w:ascii="Times New Roman" w:hAnsi="Times New Roman" w:eastAsia="Times New Roman"/>
      <w:sz w:val="24"/>
      <w:szCs w:val="24"/>
    </w:rPr>
  </w:style>
  <w:style w:type="paragraph" w:styleId="HTMLPreformatted">
    <w:name w:val="HTML Preformatted"/>
    <w:basedOn w:val="Normal"/>
    <w:link w:val="HTM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alibri" w:cs="Courier New"/>
      <w:color w:val="000000"/>
      <w:sz w:val="20"/>
      <w:szCs w:val="20"/>
    </w:rPr>
  </w:style>
  <w:style w:type="paragraph" w:styleId="111">
    <w:name w:val="заголовок 11"/>
    <w:basedOn w:val="Normal"/>
    <w:next w:val="Normal"/>
    <w:qFormat/>
    <w:pPr>
      <w:keepNext w:val="true"/>
      <w:snapToGrid w:val="false"/>
      <w:spacing w:lineRule="auto" w:line="240" w:before="0" w:after="0"/>
      <w:jc w:val="center"/>
    </w:pPr>
    <w:rPr>
      <w:rFonts w:ascii="Times New Roman" w:hAnsi="Times New Roman" w:eastAsia="Times New Roman"/>
      <w:sz w:val="24"/>
      <w:szCs w:val="20"/>
    </w:rPr>
  </w:style>
  <w:style w:type="paragraph" w:styleId="headI1">
    <w:name w:val="head_I"/>
    <w:basedOn w:val="Normal"/>
    <w:link w:val="headI"/>
    <w:qFormat/>
    <w:pPr>
      <w:keepNext w:val="true"/>
      <w:keepLines/>
      <w:pageBreakBefore/>
      <w:numPr>
        <w:ilvl w:val="0"/>
        <w:numId w:val="2"/>
      </w:numPr>
      <w:spacing w:lineRule="auto" w:line="240" w:before="480" w:after="240"/>
      <w:outlineLvl w:val="0"/>
    </w:pPr>
    <w:rPr>
      <w:rFonts w:ascii="Times New Roman" w:hAnsi="Times New Roman" w:eastAsia="Times New Roman"/>
      <w:b/>
      <w:sz w:val="28"/>
      <w:szCs w:val="24"/>
    </w:rPr>
  </w:style>
  <w:style w:type="paragraph" w:styleId="TimesNewRoman">
    <w:name w:val="Обычный + Times New Roman"/>
    <w:basedOn w:val="Normal"/>
    <w:qFormat/>
    <w:pPr>
      <w:widowControl w:val="false"/>
      <w:tabs>
        <w:tab w:val="clear" w:pos="708"/>
        <w:tab w:val="left" w:pos="0" w:leader="none"/>
        <w:tab w:val="left" w:pos="900" w:leader="none"/>
      </w:tabs>
      <w:spacing w:lineRule="auto" w:line="240" w:before="0" w:after="0"/>
      <w:ind w:firstLine="540"/>
      <w:jc w:val="both"/>
    </w:pPr>
    <w:rPr>
      <w:rFonts w:ascii="Times New Roman" w:hAnsi="Times New Roman" w:eastAsia="Times New Roman"/>
      <w:sz w:val="24"/>
      <w:szCs w:val="24"/>
    </w:rPr>
  </w:style>
  <w:style w:type="paragraph" w:styleId="NoSpacing">
    <w:name w:val="No Spacing"/>
    <w:link w:val="Style14"/>
    <w:qFormat/>
    <w:pPr>
      <w:widowControl/>
      <w:suppressAutoHyphens w:val="true"/>
      <w:overflowPunct w:val="false"/>
      <w:bidi w:val="0"/>
      <w:spacing w:before="0" w:after="0"/>
      <w:jc w:val="start"/>
    </w:pPr>
    <w:rPr>
      <w:rFonts w:ascii="Times New Roman" w:hAnsi="Times New Roman" w:eastAsia="Calibri" w:cs="Tahoma"/>
      <w:color w:val="auto"/>
      <w:kern w:val="0"/>
      <w:sz w:val="24"/>
      <w:szCs w:val="22"/>
      <w:lang w:val="ru-RU" w:eastAsia="en-US" w:bidi="ar-SA"/>
    </w:rPr>
  </w:style>
  <w:style w:type="paragraph" w:styleId="Style35">
    <w:name w:val="Текст_таблицы"/>
    <w:basedOn w:val="Normal"/>
    <w:qFormat/>
    <w:pPr>
      <w:spacing w:lineRule="auto" w:line="240" w:before="0" w:after="0"/>
    </w:pPr>
    <w:rPr>
      <w:rFonts w:ascii="Times New Roman" w:hAnsi="Times New Roman" w:eastAsia="Times New Roman"/>
      <w:sz w:val="20"/>
      <w:szCs w:val="20"/>
    </w:rPr>
  </w:style>
  <w:style w:type="paragraph" w:styleId="Style36">
    <w:name w:val="ГС_Основной_текст"/>
    <w:link w:val="Style15"/>
    <w:qFormat/>
    <w:pPr>
      <w:widowControl/>
      <w:tabs>
        <w:tab w:val="clear" w:pos="708"/>
        <w:tab w:val="left" w:pos="851" w:leader="none"/>
      </w:tabs>
      <w:suppressAutoHyphens w:val="true"/>
      <w:overflowPunct w:val="false"/>
      <w:bidi w:val="0"/>
      <w:spacing w:before="60" w:after="60"/>
      <w:ind w:firstLine="851"/>
      <w:contextualSpacing/>
      <w:jc w:val="both"/>
    </w:pPr>
    <w:rPr>
      <w:rFonts w:ascii="Times New Roman" w:hAnsi="Times New Roman" w:eastAsia="Times New Roman" w:cs="Times New Roman"/>
      <w:color w:val="auto"/>
      <w:kern w:val="0"/>
      <w:sz w:val="24"/>
      <w:szCs w:val="24"/>
      <w:lang w:val="ru-RU" w:eastAsia="ru-RU" w:bidi="ar-SA"/>
    </w:rPr>
  </w:style>
  <w:style w:type="paragraph" w:styleId="Style37">
    <w:name w:val="ГС_Список_марк"/>
    <w:link w:val="Style16"/>
    <w:qFormat/>
    <w:pPr>
      <w:widowControl/>
      <w:numPr>
        <w:ilvl w:val="0"/>
        <w:numId w:val="3"/>
      </w:numPr>
      <w:suppressAutoHyphens w:val="true"/>
      <w:overflowPunct w:val="false"/>
      <w:bidi w:val="0"/>
      <w:spacing w:before="0" w:after="60"/>
      <w:contextualSpacing/>
      <w:jc w:val="both"/>
    </w:pPr>
    <w:rPr>
      <w:rFonts w:ascii="Times New Roman" w:hAnsi="Times New Roman" w:eastAsia="Times New Roman" w:cs="Times New Roman"/>
      <w:color w:val="auto"/>
      <w:kern w:val="0"/>
      <w:sz w:val="24"/>
      <w:szCs w:val="22"/>
      <w:lang w:val="ru-RU" w:eastAsia="ru-RU" w:bidi="ar-SA"/>
    </w:rPr>
  </w:style>
  <w:style w:type="paragraph" w:styleId="basictabl1">
    <w:name w:val="basic_tabl"/>
    <w:basedOn w:val="basictext1"/>
    <w:link w:val="basictabl"/>
    <w:qFormat/>
    <w:pPr>
      <w:spacing w:lineRule="auto" w:line="300" w:before="60" w:after="60"/>
      <w:ind w:hanging="0"/>
      <w:jc w:val="start"/>
    </w:pPr>
    <w:rPr>
      <w:rFonts w:ascii="Calibri" w:hAnsi="Calibri" w:eastAsia="Calibri" w:cs="Tahoma"/>
      <w:sz w:val="22"/>
      <w:szCs w:val="22"/>
      <w:lang w:eastAsia="en-US"/>
    </w:rPr>
  </w:style>
  <w:style w:type="paragraph" w:styleId="phnormal1">
    <w:name w:val="ph_normal"/>
    <w:basedOn w:val="Normal"/>
    <w:link w:val="phnormal"/>
    <w:qFormat/>
    <w:pPr>
      <w:spacing w:lineRule="exact" w:line="360" w:before="60" w:after="60"/>
      <w:ind w:firstLine="720"/>
      <w:jc w:val="both"/>
    </w:pPr>
    <w:rPr>
      <w:rFonts w:eastAsia="Times New Roman"/>
      <w:sz w:val="24"/>
      <w:szCs w:val="20"/>
    </w:rPr>
  </w:style>
  <w:style w:type="paragraph" w:styleId="16">
    <w:name w:val="Список_1_уровня_заголовок"/>
    <w:basedOn w:val="Normal"/>
    <w:link w:val="11"/>
    <w:qFormat/>
    <w:pPr>
      <w:numPr>
        <w:ilvl w:val="0"/>
        <w:numId w:val="4"/>
      </w:numPr>
      <w:spacing w:lineRule="auto" w:line="240" w:before="0" w:after="0"/>
      <w:jc w:val="center"/>
    </w:pPr>
    <w:rPr>
      <w:rFonts w:ascii="Times New Roman" w:hAnsi="Times New Roman" w:eastAsia="Times New Roman"/>
      <w:b/>
      <w:bCs/>
      <w:sz w:val="24"/>
      <w:szCs w:val="24"/>
      <w:lang w:eastAsia="ja-JP"/>
    </w:rPr>
  </w:style>
  <w:style w:type="paragraph" w:styleId="Style38">
    <w:name w:val="ГС_МелкийТекст"/>
    <w:link w:val="Style17"/>
    <w:qFormat/>
    <w:pPr>
      <w:widowControl/>
      <w:suppressAutoHyphens w:val="true"/>
      <w:overflowPunct w:val="false"/>
      <w:bidi w:val="0"/>
      <w:spacing w:before="40" w:after="40"/>
      <w:jc w:val="start"/>
    </w:pPr>
    <w:rPr>
      <w:rFonts w:ascii="Times New Roman" w:hAnsi="Times New Roman" w:eastAsia="Times New Roman" w:cs="Times New Roman"/>
      <w:color w:val="auto"/>
      <w:kern w:val="0"/>
      <w:sz w:val="22"/>
      <w:szCs w:val="22"/>
      <w:lang w:val="ru-RU" w:eastAsia="ru-RU" w:bidi="ar-SA"/>
    </w:rPr>
  </w:style>
  <w:style w:type="paragraph" w:styleId="Style39">
    <w:name w:val="ГС_НазвСтолбца"/>
    <w:basedOn w:val="Style38"/>
    <w:qFormat/>
    <w:pPr>
      <w:keepNext w:val="true"/>
      <w:jc w:val="center"/>
    </w:pPr>
    <w:rPr>
      <w:b/>
      <w:bCs/>
    </w:rPr>
  </w:style>
  <w:style w:type="paragraph" w:styleId="Style40">
    <w:name w:val="ГС_ОснТекст_без_отступа"/>
    <w:basedOn w:val="Style36"/>
    <w:next w:val="Style36"/>
    <w:link w:val="Style18"/>
    <w:qFormat/>
    <w:pPr>
      <w:ind w:hanging="0"/>
    </w:pPr>
    <w:rPr/>
  </w:style>
  <w:style w:type="paragraph" w:styleId="Style41">
    <w:name w:val="ГС_НазвИнструкции"/>
    <w:next w:val="Style36"/>
    <w:qFormat/>
    <w:pPr>
      <w:keepNext w:val="true"/>
      <w:widowControl/>
      <w:suppressAutoHyphens w:val="true"/>
      <w:overflowPunct w:val="false"/>
      <w:bidi w:val="0"/>
      <w:spacing w:before="120" w:after="120"/>
      <w:ind w:start="851"/>
      <w:jc w:val="start"/>
    </w:pPr>
    <w:rPr>
      <w:rFonts w:ascii="Times New Roman" w:hAnsi="Times New Roman" w:eastAsia="Times New Roman" w:cs="Times New Roman"/>
      <w:b/>
      <w:bCs/>
      <w:color w:val="000000"/>
      <w:spacing w:val="20"/>
      <w:kern w:val="0"/>
      <w:sz w:val="24"/>
      <w:szCs w:val="19"/>
      <w:lang w:val="ru-RU" w:eastAsia="ru-RU" w:bidi="ar-SA"/>
    </w:rPr>
  </w:style>
  <w:style w:type="paragraph" w:styleId="17">
    <w:name w:val="ГС_Заг1_БезНом"/>
    <w:basedOn w:val="Heading1"/>
    <w:qFormat/>
    <w:pPr>
      <w:keepNext w:val="true"/>
      <w:pageBreakBefore/>
      <w:tabs>
        <w:tab w:val="clear" w:pos="708"/>
        <w:tab w:val="left" w:pos="1213" w:leader="none"/>
      </w:tabs>
      <w:spacing w:before="180" w:after="180"/>
      <w:ind w:start="851"/>
    </w:pPr>
    <w:rPr>
      <w:rFonts w:ascii="Arial" w:hAnsi="Arial"/>
      <w:bCs w:val="false"/>
      <w:sz w:val="28"/>
      <w:szCs w:val="28"/>
    </w:rPr>
  </w:style>
  <w:style w:type="paragraph" w:styleId="18">
    <w:name w:val="Заголовок оглавления1"/>
    <w:basedOn w:val="Heading1"/>
    <w:next w:val="Normal"/>
    <w:qFormat/>
    <w:pPr>
      <w:keepNext w:val="true"/>
      <w:keepLines/>
      <w:spacing w:lineRule="auto" w:line="276" w:before="480" w:after="0"/>
      <w:outlineLvl w:val="9"/>
    </w:pPr>
    <w:rPr>
      <w:rFonts w:ascii="Cambria" w:hAnsi="Cambria"/>
      <w:color w:val="365F91"/>
      <w:kern w:val="0"/>
      <w:sz w:val="28"/>
      <w:szCs w:val="28"/>
    </w:rPr>
  </w:style>
  <w:style w:type="paragraph" w:styleId="123">
    <w:name w:val="ГС_СписМелк123"/>
    <w:basedOn w:val="Style38"/>
    <w:qFormat/>
    <w:pPr>
      <w:numPr>
        <w:ilvl w:val="0"/>
        <w:numId w:val="5"/>
      </w:numPr>
      <w:tabs>
        <w:tab w:val="clear" w:pos="708"/>
        <w:tab w:val="left" w:pos="284" w:leader="none"/>
        <w:tab w:val="left" w:pos="567" w:leader="none"/>
        <w:tab w:val="left" w:pos="851" w:leader="none"/>
        <w:tab w:val="left" w:pos="1134" w:leader="none"/>
      </w:tabs>
      <w:ind w:hanging="360" w:start="1145"/>
    </w:pPr>
    <w:rPr/>
  </w:style>
  <w:style w:type="paragraph" w:styleId="list11">
    <w:name w:val="list_1"/>
    <w:basedOn w:val="basictext1"/>
    <w:link w:val="list1"/>
    <w:qFormat/>
    <w:pPr>
      <w:numPr>
        <w:ilvl w:val="0"/>
        <w:numId w:val="6"/>
      </w:numPr>
    </w:pPr>
    <w:rPr/>
  </w:style>
  <w:style w:type="paragraph" w:styleId="headII1">
    <w:name w:val="head_II"/>
    <w:basedOn w:val="headI1"/>
    <w:link w:val="headII"/>
    <w:qFormat/>
    <w:pPr>
      <w:pageBreakBefore w:val="false"/>
      <w:spacing w:before="240" w:after="240"/>
      <w:outlineLvl w:val="1"/>
    </w:pPr>
    <w:rPr>
      <w:color w:val="365F91"/>
      <w:sz w:val="24"/>
    </w:rPr>
  </w:style>
  <w:style w:type="paragraph" w:styleId="Heading56">
    <w:name w:val="Heading 56"/>
    <w:basedOn w:val="Normal"/>
    <w:qFormat/>
    <w:pPr>
      <w:numPr>
        <w:ilvl w:val="3"/>
        <w:numId w:val="7"/>
      </w:numPr>
      <w:spacing w:lineRule="auto" w:line="240" w:before="0" w:after="0"/>
    </w:pPr>
    <w:rPr>
      <w:rFonts w:ascii="Times New Roman" w:hAnsi="Times New Roman" w:eastAsia="Times New Roman"/>
      <w:sz w:val="24"/>
      <w:szCs w:val="24"/>
    </w:rPr>
  </w:style>
  <w:style w:type="paragraph" w:styleId="headIII1">
    <w:name w:val="head_III"/>
    <w:basedOn w:val="headII1"/>
    <w:link w:val="headIII"/>
    <w:qFormat/>
    <w:pPr/>
    <w:rPr>
      <w:b w:val="false"/>
    </w:rPr>
  </w:style>
  <w:style w:type="paragraph" w:styleId="list31">
    <w:name w:val="list_3"/>
    <w:basedOn w:val="list21"/>
    <w:link w:val="list3"/>
    <w:qFormat/>
    <w:pPr>
      <w:numPr>
        <w:ilvl w:val="0"/>
        <w:numId w:val="8"/>
      </w:numPr>
      <w:ind w:start="1985"/>
    </w:pPr>
    <w:rPr/>
  </w:style>
  <w:style w:type="paragraph" w:styleId="list41">
    <w:name w:val="list_4"/>
    <w:basedOn w:val="ListParagraph"/>
    <w:link w:val="list4"/>
    <w:qFormat/>
    <w:pPr>
      <w:numPr>
        <w:ilvl w:val="0"/>
        <w:numId w:val="9"/>
      </w:numPr>
      <w:spacing w:lineRule="auto" w:line="240" w:before="0" w:after="120"/>
      <w:ind w:hanging="431" w:start="1134"/>
      <w:contextualSpacing/>
    </w:pPr>
    <w:rPr>
      <w:rFonts w:ascii="Times New Roman" w:hAnsi="Times New Roman" w:eastAsia="Times New Roman"/>
      <w:b/>
      <w:sz w:val="24"/>
      <w:szCs w:val="24"/>
      <w:lang w:eastAsia="ru-RU"/>
    </w:rPr>
  </w:style>
  <w:style w:type="paragraph" w:styleId="19">
    <w:name w:val="Стиль1"/>
    <w:basedOn w:val="basictext1"/>
    <w:link w:val="12"/>
    <w:qFormat/>
    <w:pPr/>
    <w:rPr>
      <w:color w:val="FF0000"/>
    </w:rPr>
  </w:style>
  <w:style w:type="paragraph" w:styleId="26">
    <w:name w:val="Стиль2"/>
    <w:basedOn w:val="headII1"/>
    <w:link w:val="23"/>
    <w:qFormat/>
    <w:pPr>
      <w:jc w:val="both"/>
    </w:pPr>
    <w:rPr>
      <w:b w:val="false"/>
    </w:rPr>
  </w:style>
  <w:style w:type="paragraph" w:styleId="34">
    <w:name w:val="Стиль3"/>
    <w:basedOn w:val="headI1"/>
    <w:link w:val="32"/>
    <w:qFormat/>
    <w:pPr>
      <w:ind w:firstLine="709" w:start="0"/>
    </w:pPr>
    <w:rPr>
      <w:b w:val="false"/>
    </w:rPr>
  </w:style>
  <w:style w:type="paragraph" w:styleId="110">
    <w:name w:val="Обычный1"/>
    <w:link w:val="CharChar"/>
    <w:qFormat/>
    <w:pPr>
      <w:widowControl w:val="false"/>
      <w:tabs>
        <w:tab w:val="clear" w:pos="708"/>
        <w:tab w:val="left" w:pos="284" w:leader="none"/>
      </w:tabs>
      <w:suppressAutoHyphens w:val="true"/>
      <w:overflowPunct w:val="false"/>
      <w:bidi w:val="0"/>
      <w:spacing w:before="0" w:after="0"/>
      <w:ind w:firstLine="720"/>
      <w:jc w:val="start"/>
    </w:pPr>
    <w:rPr>
      <w:rFonts w:ascii="Times New Roman" w:hAnsi="Times New Roman" w:eastAsia="Times New Roman" w:cs="Times New Roman"/>
      <w:color w:val="00000A"/>
      <w:kern w:val="2"/>
      <w:sz w:val="24"/>
      <w:szCs w:val="24"/>
      <w:lang w:val="ru-RU" w:eastAsia="zh-CN" w:bidi="ar-SA"/>
    </w:rPr>
  </w:style>
  <w:style w:type="paragraph" w:styleId="user5">
    <w:name w:val="Содержимое таблицы (user)"/>
    <w:basedOn w:val="Normal"/>
    <w:qFormat/>
    <w:pPr>
      <w:suppressLineNumbers/>
      <w:spacing w:lineRule="auto" w:line="240" w:before="0" w:after="0"/>
    </w:pPr>
    <w:rPr>
      <w:rFonts w:ascii="Liberation Serif;Times New Roma" w:hAnsi="Liberation Serif;Times New Roma" w:eastAsia="WenQuanYi Micro Hei;Times New R" w:cs="Lohit Devanagari;Times New Roma"/>
      <w:kern w:val="2"/>
      <w:sz w:val="24"/>
      <w:szCs w:val="24"/>
      <w:lang w:eastAsia="zh-CN" w:bidi="hi-IN"/>
    </w:rPr>
  </w:style>
  <w:style w:type="paragraph" w:styleId="112">
    <w:name w:val="Рецензия1"/>
    <w:qFormat/>
    <w:pPr>
      <w:widowControl/>
      <w:suppressAutoHyphens w:val="true"/>
      <w:overflowPunct w:val="fals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
    <w:name w:val="Сф-Обычный"/>
    <w:qFormat/>
    <w:pPr>
      <w:widowControl/>
      <w:suppressAutoHyphens w:val="true"/>
      <w:overflowPunct w:val="false"/>
      <w:bidi w:val="0"/>
      <w:spacing w:lineRule="auto" w:line="360" w:before="0" w:after="0"/>
      <w:ind w:firstLine="709"/>
      <w:jc w:val="both"/>
    </w:pPr>
    <w:rPr>
      <w:rFonts w:ascii="Times New Roman" w:hAnsi="Times New Roman" w:eastAsia="Times New Roman" w:cs="Times New Roman"/>
      <w:color w:val="auto"/>
      <w:kern w:val="0"/>
      <w:sz w:val="28"/>
      <w:szCs w:val="24"/>
      <w:lang w:val="ru-RU" w:eastAsia="ru-RU" w:bidi="ar-SA"/>
    </w:rPr>
  </w:style>
  <w:style w:type="paragraph" w:styleId="34-5">
    <w:name w:val="Сф34-Заголовок 5"/>
    <w:next w:val="-"/>
    <w:qFormat/>
    <w:pPr>
      <w:keepNext w:val="true"/>
      <w:keepLines/>
      <w:widowControl/>
      <w:tabs>
        <w:tab w:val="clear" w:pos="708"/>
        <w:tab w:val="left" w:pos="1843" w:leader="none"/>
      </w:tabs>
      <w:suppressAutoHyphens w:val="true"/>
      <w:overflowPunct w:val="false"/>
      <w:bidi w:val="0"/>
      <w:spacing w:lineRule="auto" w:line="360" w:before="0" w:after="0"/>
      <w:ind w:hanging="85" w:start="794"/>
      <w:jc w:val="both"/>
    </w:pPr>
    <w:rPr>
      <w:rFonts w:ascii="Times New Roman" w:hAnsi="Times New Roman" w:eastAsia="Times New Roman" w:cs="Times New Roman"/>
      <w:color w:val="auto"/>
      <w:kern w:val="0"/>
      <w:sz w:val="28"/>
      <w:szCs w:val="24"/>
      <w:lang w:val="ru-RU" w:eastAsia="ru-RU" w:bidi="ar-SA"/>
    </w:rPr>
  </w:style>
  <w:style w:type="paragraph" w:styleId="34-1">
    <w:name w:val="Сф34-Заголовок 1"/>
    <w:next w:val="-"/>
    <w:qFormat/>
    <w:pPr>
      <w:keepNext w:val="true"/>
      <w:keepLines/>
      <w:pageBreakBefore/>
      <w:widowControl/>
      <w:numPr>
        <w:ilvl w:val="0"/>
        <w:numId w:val="10"/>
      </w:numPr>
      <w:tabs>
        <w:tab w:val="clear" w:pos="708"/>
        <w:tab w:val="left" w:pos="1134" w:leader="none"/>
      </w:tabs>
      <w:suppressAutoHyphens w:val="true"/>
      <w:overflowPunct w:val="false"/>
      <w:bidi w:val="0"/>
      <w:spacing w:lineRule="auto" w:line="360" w:before="480" w:after="480"/>
      <w:jc w:val="both"/>
      <w:outlineLvl w:val="0"/>
    </w:pPr>
    <w:rPr>
      <w:rFonts w:ascii="Times New Roman" w:hAnsi="Times New Roman" w:eastAsia="Times New Roman" w:cs="Times New Roman"/>
      <w:color w:val="auto"/>
      <w:kern w:val="0"/>
      <w:sz w:val="32"/>
      <w:szCs w:val="24"/>
      <w:lang w:val="ru-RU" w:eastAsia="ru-RU" w:bidi="ar-SA"/>
    </w:rPr>
  </w:style>
  <w:style w:type="paragraph" w:styleId="34-2">
    <w:name w:val="Сф34-Заголовок 2"/>
    <w:next w:val="-"/>
    <w:qFormat/>
    <w:pPr>
      <w:keepNext w:val="true"/>
      <w:keepLines/>
      <w:widowControl/>
      <w:numPr>
        <w:ilvl w:val="1"/>
        <w:numId w:val="10"/>
      </w:numPr>
      <w:suppressAutoHyphens w:val="true"/>
      <w:overflowPunct w:val="false"/>
      <w:bidi w:val="0"/>
      <w:spacing w:lineRule="auto" w:line="360" w:before="240" w:after="240"/>
      <w:jc w:val="both"/>
      <w:outlineLvl w:val="1"/>
    </w:pPr>
    <w:rPr>
      <w:rFonts w:ascii="Times New Roman" w:hAnsi="Times New Roman" w:eastAsia="Times New Roman" w:cs="Times New Roman"/>
      <w:color w:val="auto"/>
      <w:kern w:val="0"/>
      <w:sz w:val="28"/>
      <w:szCs w:val="24"/>
      <w:lang w:val="ru-RU" w:eastAsia="ru-RU" w:bidi="ar-SA"/>
    </w:rPr>
  </w:style>
  <w:style w:type="paragraph" w:styleId="34-3">
    <w:name w:val="Сф34-Заголовок 3"/>
    <w:next w:val="-"/>
    <w:qFormat/>
    <w:pPr>
      <w:keepNext w:val="true"/>
      <w:keepLines/>
      <w:widowControl/>
      <w:numPr>
        <w:ilvl w:val="2"/>
        <w:numId w:val="10"/>
      </w:numPr>
      <w:tabs>
        <w:tab w:val="clear" w:pos="708"/>
        <w:tab w:val="left" w:pos="1559" w:leader="none"/>
      </w:tabs>
      <w:suppressAutoHyphens w:val="true"/>
      <w:overflowPunct w:val="false"/>
      <w:bidi w:val="0"/>
      <w:spacing w:lineRule="auto" w:line="360" w:before="240" w:after="240"/>
      <w:jc w:val="both"/>
      <w:outlineLvl w:val="2"/>
    </w:pPr>
    <w:rPr>
      <w:rFonts w:ascii="Times New Roman" w:hAnsi="Times New Roman" w:eastAsia="Times New Roman" w:cs="Times New Roman"/>
      <w:color w:val="auto"/>
      <w:kern w:val="0"/>
      <w:sz w:val="28"/>
      <w:szCs w:val="24"/>
      <w:lang w:val="ru-RU" w:eastAsia="ru-RU" w:bidi="ar-SA"/>
    </w:rPr>
  </w:style>
  <w:style w:type="paragraph" w:styleId="34-4">
    <w:name w:val="Сф34-Заголовок 4"/>
    <w:next w:val="-"/>
    <w:qFormat/>
    <w:pPr>
      <w:keepNext w:val="true"/>
      <w:keepLines/>
      <w:widowControl/>
      <w:numPr>
        <w:ilvl w:val="4"/>
        <w:numId w:val="10"/>
      </w:numPr>
      <w:tabs>
        <w:tab w:val="clear" w:pos="708"/>
        <w:tab w:val="left" w:pos="1701" w:leader="none"/>
      </w:tabs>
      <w:suppressAutoHyphens w:val="true"/>
      <w:overflowPunct w:val="false"/>
      <w:bidi w:val="0"/>
      <w:spacing w:lineRule="auto" w:line="360" w:before="0" w:after="0"/>
      <w:jc w:val="both"/>
      <w:outlineLvl w:val="3"/>
    </w:pPr>
    <w:rPr>
      <w:rFonts w:ascii="Times New Roman" w:hAnsi="Times New Roman" w:eastAsia="Times New Roman" w:cs="Times New Roman"/>
      <w:color w:val="auto"/>
      <w:kern w:val="0"/>
      <w:sz w:val="28"/>
      <w:szCs w:val="24"/>
      <w:lang w:val="ru-RU" w:eastAsia="ru-RU" w:bidi="ar-SA"/>
    </w:rPr>
  </w:style>
  <w:style w:type="paragraph" w:styleId="34-">
    <w:name w:val="Сф34-Приложение"/>
    <w:next w:val="-"/>
    <w:qFormat/>
    <w:pPr>
      <w:keepNext w:val="true"/>
      <w:keepLines/>
      <w:pageBreakBefore/>
      <w:widowControl/>
      <w:numPr>
        <w:ilvl w:val="0"/>
        <w:numId w:val="0"/>
      </w:numPr>
      <w:suppressAutoHyphens w:val="true"/>
      <w:overflowPunct w:val="false"/>
      <w:bidi w:val="0"/>
      <w:spacing w:lineRule="auto" w:line="360" w:before="480" w:after="480"/>
      <w:jc w:val="center"/>
      <w:outlineLvl w:val="0"/>
    </w:pPr>
    <w:rPr>
      <w:rFonts w:ascii="Times New Roman" w:hAnsi="Times New Roman" w:eastAsia="Times New Roman" w:cs="Times New Roman"/>
      <w:color w:val="auto"/>
      <w:kern w:val="0"/>
      <w:sz w:val="28"/>
      <w:szCs w:val="24"/>
      <w:lang w:val="ru-RU" w:eastAsia="ru-RU" w:bidi="ar-SA"/>
    </w:rPr>
  </w:style>
  <w:style w:type="paragraph" w:styleId="34---2">
    <w:name w:val="Сф34-Прил-Заг-2"/>
    <w:next w:val="-"/>
    <w:qFormat/>
    <w:pPr>
      <w:keepNext w:val="true"/>
      <w:keepLines/>
      <w:widowControl/>
      <w:numPr>
        <w:ilvl w:val="1"/>
        <w:numId w:val="11"/>
      </w:numPr>
      <w:tabs>
        <w:tab w:val="clear" w:pos="708"/>
        <w:tab w:val="left" w:pos="1418" w:leader="none"/>
      </w:tabs>
      <w:suppressAutoHyphens w:val="true"/>
      <w:overflowPunct w:val="false"/>
      <w:bidi w:val="0"/>
      <w:spacing w:lineRule="auto" w:line="360" w:before="240" w:after="240"/>
      <w:ind w:firstLine="709"/>
      <w:jc w:val="both"/>
      <w:outlineLvl w:val="1"/>
    </w:pPr>
    <w:rPr>
      <w:rFonts w:ascii="Times New Roman" w:hAnsi="Times New Roman" w:eastAsia="Times New Roman" w:cs="Times New Roman"/>
      <w:color w:val="auto"/>
      <w:kern w:val="0"/>
      <w:sz w:val="28"/>
      <w:szCs w:val="24"/>
      <w:lang w:val="ru-RU" w:eastAsia="ru-RU" w:bidi="ar-SA"/>
    </w:rPr>
  </w:style>
  <w:style w:type="paragraph" w:styleId="34---3">
    <w:name w:val="Сф34-Прил-Заг-3"/>
    <w:next w:val="-"/>
    <w:qFormat/>
    <w:pPr>
      <w:keepNext w:val="true"/>
      <w:keepLines/>
      <w:widowControl/>
      <w:numPr>
        <w:ilvl w:val="2"/>
        <w:numId w:val="11"/>
      </w:numPr>
      <w:tabs>
        <w:tab w:val="clear" w:pos="708"/>
        <w:tab w:val="left" w:pos="1701" w:leader="none"/>
      </w:tabs>
      <w:suppressAutoHyphens w:val="true"/>
      <w:overflowPunct w:val="false"/>
      <w:bidi w:val="0"/>
      <w:spacing w:lineRule="auto" w:line="360" w:before="240" w:after="240"/>
      <w:ind w:firstLine="709"/>
      <w:jc w:val="both"/>
      <w:outlineLvl w:val="2"/>
    </w:pPr>
    <w:rPr>
      <w:rFonts w:ascii="Times New Roman" w:hAnsi="Times New Roman" w:eastAsia="Times New Roman" w:cs="Times New Roman"/>
      <w:color w:val="auto"/>
      <w:kern w:val="0"/>
      <w:sz w:val="28"/>
      <w:szCs w:val="24"/>
      <w:lang w:val="ru-RU" w:eastAsia="ru-RU" w:bidi="ar-SA"/>
    </w:rPr>
  </w:style>
  <w:style w:type="paragraph" w:styleId="34---4">
    <w:name w:val="Сф34-Прил-Заг-4"/>
    <w:next w:val="-"/>
    <w:qFormat/>
    <w:pPr>
      <w:keepNext w:val="true"/>
      <w:keepLines/>
      <w:widowControl/>
      <w:numPr>
        <w:ilvl w:val="3"/>
        <w:numId w:val="11"/>
      </w:numPr>
      <w:tabs>
        <w:tab w:val="clear" w:pos="708"/>
        <w:tab w:val="left" w:pos="1985" w:leader="none"/>
      </w:tabs>
      <w:suppressAutoHyphens w:val="true"/>
      <w:overflowPunct w:val="false"/>
      <w:bidi w:val="0"/>
      <w:spacing w:lineRule="auto" w:line="360" w:before="0" w:after="0"/>
      <w:ind w:firstLine="709"/>
      <w:jc w:val="both"/>
      <w:outlineLvl w:val="3"/>
    </w:pPr>
    <w:rPr>
      <w:rFonts w:ascii="Times New Roman" w:hAnsi="Times New Roman" w:eastAsia="Times New Roman" w:cs="Times New Roman"/>
      <w:color w:val="auto"/>
      <w:kern w:val="0"/>
      <w:sz w:val="28"/>
      <w:szCs w:val="24"/>
      <w:lang w:val="ru-RU" w:eastAsia="ru-RU" w:bidi="ar-SA"/>
    </w:rPr>
  </w:style>
  <w:style w:type="paragraph" w:styleId="34---5">
    <w:name w:val="Сф34-Прил-Заг-5"/>
    <w:next w:val="-"/>
    <w:qFormat/>
    <w:pPr>
      <w:keepNext w:val="true"/>
      <w:keepLines/>
      <w:widowControl/>
      <w:numPr>
        <w:ilvl w:val="4"/>
        <w:numId w:val="11"/>
      </w:numPr>
      <w:tabs>
        <w:tab w:val="clear" w:pos="708"/>
        <w:tab w:val="left" w:pos="2268" w:leader="none"/>
      </w:tabs>
      <w:suppressAutoHyphens w:val="true"/>
      <w:overflowPunct w:val="false"/>
      <w:bidi w:val="0"/>
      <w:spacing w:lineRule="auto" w:line="360" w:before="0" w:after="0"/>
      <w:ind w:firstLine="709"/>
      <w:jc w:val="both"/>
      <w:outlineLvl w:val="4"/>
    </w:pPr>
    <w:rPr>
      <w:rFonts w:ascii="Times New Roman" w:hAnsi="Times New Roman" w:eastAsia="Times New Roman" w:cs="Times New Roman"/>
      <w:color w:val="auto"/>
      <w:kern w:val="0"/>
      <w:sz w:val="28"/>
      <w:szCs w:val="24"/>
      <w:lang w:val="ru-RU" w:eastAsia="ru-RU" w:bidi="ar-SA"/>
    </w:rPr>
  </w:style>
  <w:style w:type="paragraph" w:styleId="42">
    <w:name w:val="Основной текст (4)"/>
    <w:basedOn w:val="Normal"/>
    <w:qFormat/>
    <w:pPr>
      <w:widowControl w:val="false"/>
      <w:shd w:val="clear" w:fill="FFFFFF"/>
      <w:spacing w:lineRule="exact" w:line="324" w:before="300" w:after="0"/>
      <w:ind w:firstLine="100"/>
    </w:pPr>
    <w:rPr>
      <w:rFonts w:ascii="Sylfaen" w:hAnsi="Sylfaen" w:eastAsia="Sylfaen" w:cs="Sylfaen"/>
      <w:b/>
      <w:bCs/>
      <w:sz w:val="28"/>
      <w:szCs w:val="28"/>
      <w:lang w:eastAsia="en-US"/>
    </w:rPr>
  </w:style>
  <w:style w:type="paragraph" w:styleId="53">
    <w:name w:val="Заголовок №5"/>
    <w:basedOn w:val="Normal"/>
    <w:qFormat/>
    <w:pPr>
      <w:widowControl w:val="false"/>
      <w:numPr>
        <w:ilvl w:val="0"/>
        <w:numId w:val="0"/>
      </w:numPr>
      <w:shd w:val="clear" w:fill="FFFFFF"/>
      <w:spacing w:lineRule="atLeast" w:line="0" w:before="180" w:after="180"/>
      <w:jc w:val="both"/>
      <w:outlineLvl w:val="4"/>
    </w:pPr>
    <w:rPr>
      <w:rFonts w:ascii="Times New Roman" w:hAnsi="Times New Roman" w:eastAsia="Times New Roman" w:cs="Tahoma"/>
      <w:b/>
      <w:bCs/>
      <w:sz w:val="28"/>
      <w:szCs w:val="28"/>
      <w:lang w:eastAsia="en-US"/>
    </w:rPr>
  </w:style>
  <w:style w:type="paragraph" w:styleId="Style42">
    <w:name w:val="Подпись к таблице"/>
    <w:basedOn w:val="Normal"/>
    <w:link w:val="Style19"/>
    <w:qFormat/>
    <w:pPr>
      <w:widowControl w:val="false"/>
      <w:shd w:val="clear" w:fill="FFFFFF"/>
      <w:spacing w:lineRule="atLeast" w:line="0" w:before="0" w:after="0"/>
    </w:pPr>
    <w:rPr>
      <w:rFonts w:ascii="Times New Roman" w:hAnsi="Times New Roman" w:eastAsia="Times New Roman" w:cs="Tahoma"/>
      <w:b/>
      <w:bCs/>
      <w:spacing w:val="-10"/>
      <w:lang w:eastAsia="en-US"/>
    </w:rPr>
  </w:style>
  <w:style w:type="paragraph" w:styleId="124">
    <w:name w:val="Основной текст (12)"/>
    <w:basedOn w:val="Normal"/>
    <w:qFormat/>
    <w:pPr>
      <w:widowControl w:val="false"/>
      <w:shd w:val="clear" w:fill="FFFFFF"/>
      <w:spacing w:lineRule="exact" w:line="312" w:before="300" w:after="0"/>
      <w:ind w:hanging="760"/>
      <w:jc w:val="both"/>
    </w:pPr>
    <w:rPr>
      <w:rFonts w:eastAsia="Calibri" w:cs="Calibri"/>
      <w:b/>
      <w:bCs/>
      <w:lang w:eastAsia="en-US"/>
    </w:rPr>
  </w:style>
  <w:style w:type="paragraph" w:styleId="27">
    <w:name w:val="Подпись к таблице (2)"/>
    <w:basedOn w:val="Normal"/>
    <w:link w:val="24"/>
    <w:qFormat/>
    <w:pPr>
      <w:widowControl w:val="false"/>
      <w:shd w:val="clear" w:fill="FFFFFF"/>
      <w:spacing w:lineRule="atLeast" w:line="0" w:before="0" w:after="0"/>
    </w:pPr>
    <w:rPr>
      <w:rFonts w:ascii="Times New Roman" w:hAnsi="Times New Roman" w:eastAsia="Times New Roman" w:cs="Tahoma"/>
      <w:lang w:eastAsia="en-US"/>
    </w:rPr>
  </w:style>
  <w:style w:type="paragraph" w:styleId="35">
    <w:name w:val="Подпись к таблице (3)"/>
    <w:basedOn w:val="Normal"/>
    <w:link w:val="33"/>
    <w:qFormat/>
    <w:pPr>
      <w:widowControl w:val="false"/>
      <w:shd w:val="clear" w:fill="FFFFFF"/>
      <w:spacing w:lineRule="atLeast" w:line="0" w:before="0" w:after="0"/>
    </w:pPr>
    <w:rPr>
      <w:rFonts w:ascii="Times New Roman" w:hAnsi="Times New Roman" w:eastAsia="Times New Roman" w:cs="Tahoma"/>
      <w:lang w:eastAsia="en-US"/>
    </w:rPr>
  </w:style>
  <w:style w:type="paragraph" w:styleId="131">
    <w:name w:val="Основной текст (13)"/>
    <w:basedOn w:val="Normal"/>
    <w:link w:val="13"/>
    <w:qFormat/>
    <w:pPr>
      <w:widowControl w:val="false"/>
      <w:shd w:val="clear" w:fill="FFFFFF"/>
      <w:spacing w:lineRule="exact" w:line="317" w:before="180" w:after="180"/>
      <w:jc w:val="both"/>
    </w:pPr>
    <w:rPr>
      <w:rFonts w:ascii="Times New Roman" w:hAnsi="Times New Roman" w:eastAsia="Times New Roman" w:cs="Tahoma"/>
      <w:lang w:eastAsia="en-US"/>
    </w:rPr>
  </w:style>
  <w:style w:type="paragraph" w:styleId="521">
    <w:name w:val="Заголовок №5 (2)"/>
    <w:basedOn w:val="Normal"/>
    <w:link w:val="52"/>
    <w:qFormat/>
    <w:pPr>
      <w:widowControl w:val="false"/>
      <w:numPr>
        <w:ilvl w:val="0"/>
        <w:numId w:val="0"/>
      </w:numPr>
      <w:shd w:val="clear" w:fill="FFFFFF"/>
      <w:spacing w:lineRule="atLeast" w:line="0" w:before="300" w:after="600"/>
      <w:outlineLvl w:val="4"/>
    </w:pPr>
    <w:rPr>
      <w:rFonts w:eastAsia="Calibri" w:cs="Calibri"/>
      <w:b/>
      <w:bCs/>
      <w:sz w:val="26"/>
      <w:szCs w:val="26"/>
      <w:lang w:val="en-US" w:eastAsia="en-US" w:bidi="en-US"/>
    </w:rPr>
  </w:style>
  <w:style w:type="paragraph" w:styleId="151">
    <w:name w:val="Основной текст (15)"/>
    <w:basedOn w:val="Normal"/>
    <w:link w:val="15"/>
    <w:qFormat/>
    <w:pPr>
      <w:widowControl w:val="false"/>
      <w:shd w:val="clear" w:fill="FFFFFF"/>
      <w:spacing w:lineRule="exact" w:line="322" w:before="600" w:after="0"/>
    </w:pPr>
    <w:rPr>
      <w:rFonts w:eastAsia="Calibri" w:cs="Calibri"/>
      <w:lang w:eastAsia="en-US"/>
    </w:rPr>
  </w:style>
  <w:style w:type="paragraph" w:styleId="tdtext1">
    <w:name w:val="td_text"/>
    <w:link w:val="tdtext"/>
    <w:qFormat/>
    <w:pPr>
      <w:widowControl/>
      <w:suppressAutoHyphens w:val="true"/>
      <w:overflowPunct w:val="false"/>
      <w:bidi w:val="0"/>
      <w:spacing w:lineRule="auto" w:line="360" w:before="0" w:after="0"/>
      <w:ind w:firstLine="851"/>
      <w:jc w:val="both"/>
    </w:pPr>
    <w:rPr>
      <w:rFonts w:ascii="Arial" w:hAnsi="Arial" w:eastAsia="Times New Roman" w:cs="Times New Roman"/>
      <w:color w:val="auto"/>
      <w:kern w:val="0"/>
      <w:sz w:val="24"/>
      <w:szCs w:val="24"/>
      <w:lang w:val="ru-RU" w:eastAsia="ru-RU" w:bidi="ar-SA"/>
    </w:rPr>
  </w:style>
  <w:style w:type="paragraph" w:styleId="Style43">
    <w:name w:val="Список марк"/>
    <w:basedOn w:val="Normal"/>
    <w:link w:val="Style20"/>
    <w:qFormat/>
    <w:pPr>
      <w:numPr>
        <w:ilvl w:val="0"/>
        <w:numId w:val="12"/>
      </w:numPr>
      <w:spacing w:lineRule="auto" w:line="360" w:before="0" w:after="0"/>
      <w:jc w:val="both"/>
    </w:pPr>
    <w:rPr>
      <w:rFonts w:ascii="Times New Roman" w:hAnsi="Times New Roman" w:eastAsia="Times New Roman"/>
      <w:sz w:val="24"/>
      <w:szCs w:val="24"/>
    </w:rPr>
  </w:style>
  <w:style w:type="paragraph" w:styleId="311">
    <w:name w:val="Список 31"/>
    <w:basedOn w:val="110"/>
    <w:qFormat/>
    <w:pPr>
      <w:widowControl/>
      <w:numPr>
        <w:ilvl w:val="0"/>
        <w:numId w:val="13"/>
      </w:numPr>
      <w:tabs>
        <w:tab w:val="clear" w:pos="284"/>
        <w:tab w:val="left" w:pos="360" w:leader="none"/>
      </w:tabs>
      <w:suppressAutoHyphens w:val="false"/>
      <w:overflowPunct w:val="false"/>
      <w:spacing w:lineRule="auto" w:line="360"/>
      <w:ind w:firstLine="720" w:start="0"/>
      <w:jc w:val="both"/>
    </w:pPr>
    <w:rPr>
      <w:color w:val="auto"/>
      <w:kern w:val="0"/>
      <w:lang w:eastAsia="ru-RU"/>
    </w:rPr>
  </w:style>
  <w:style w:type="paragraph" w:styleId="listitem">
    <w:name w:val="listitem"/>
    <w:basedOn w:val="Normal"/>
    <w:qFormat/>
    <w:pPr>
      <w:spacing w:lineRule="auto" w:line="240" w:before="280" w:after="280"/>
    </w:pPr>
    <w:rPr>
      <w:rFonts w:ascii="Times New Roman" w:hAnsi="Times New Roman" w:eastAsia="Times New Roman"/>
      <w:sz w:val="24"/>
      <w:szCs w:val="24"/>
    </w:rPr>
  </w:style>
  <w:style w:type="paragraph" w:styleId="c1">
    <w:name w:val="Текcт_документа"/>
    <w:basedOn w:val="Normal"/>
    <w:link w:val="c"/>
    <w:qFormat/>
    <w:pPr>
      <w:spacing w:lineRule="auto" w:line="240" w:before="0" w:after="0"/>
      <w:ind w:firstLine="567" w:end="282"/>
      <w:jc w:val="both"/>
    </w:pPr>
    <w:rPr>
      <w:rFonts w:ascii="Times New Roman" w:hAnsi="Times New Roman" w:eastAsia="Times New Roman"/>
      <w:sz w:val="28"/>
      <w:szCs w:val="28"/>
    </w:rPr>
  </w:style>
  <w:style w:type="paragraph" w:styleId="Quote">
    <w:name w:val="Quote"/>
    <w:basedOn w:val="Normal"/>
    <w:link w:val="25"/>
    <w:qFormat/>
    <w:pPr>
      <w:widowControl w:val="false"/>
      <w:spacing w:lineRule="atLeast" w:line="100" w:before="0" w:after="160"/>
    </w:pPr>
    <w:rPr>
      <w:rFonts w:ascii="Tinos" w:hAnsi="Tinos" w:eastAsia="Droid Sans Fallback" w:cs="FreeSans"/>
      <w:i/>
      <w:iCs/>
      <w:color w:val="000000"/>
      <w:sz w:val="24"/>
      <w:szCs w:val="24"/>
      <w:lang w:eastAsia="zh-CN" w:bidi="hi-IN"/>
    </w:rPr>
  </w:style>
  <w:style w:type="paragraph" w:styleId="Style44">
    <w:name w:val="Основной"/>
    <w:basedOn w:val="Normal"/>
    <w:qFormat/>
    <w:pPr>
      <w:spacing w:before="122" w:after="123"/>
      <w:ind w:firstLine="709"/>
    </w:pPr>
    <w:rPr>
      <w:rFonts w:ascii="Verdana" w:hAnsi="Verdana" w:eastAsia="Times New Roman" w:cs="Verdana"/>
      <w:bCs/>
      <w:sz w:val="20"/>
      <w:szCs w:val="20"/>
      <w:lang w:eastAsia="zh-CN"/>
    </w:rPr>
  </w:style>
  <w:style w:type="paragraph" w:styleId="TextProtei">
    <w:name w:val="Text.Protei"/>
    <w:qFormat/>
    <w:pPr>
      <w:widowControl/>
      <w:suppressAutoHyphens w:val="true"/>
      <w:overflowPunct w:val="false"/>
      <w:bidi w:val="0"/>
      <w:spacing w:lineRule="auto" w:line="276" w:before="120" w:after="60"/>
      <w:ind w:firstLine="425"/>
      <w:jc w:val="both"/>
    </w:pPr>
    <w:rPr>
      <w:rFonts w:ascii="Times New Roman" w:hAnsi="Times New Roman" w:eastAsia="Times New Roman" w:cs="Times New Roman"/>
      <w:color w:val="auto"/>
      <w:kern w:val="0"/>
      <w:sz w:val="22"/>
      <w:szCs w:val="20"/>
      <w:lang w:val="ru-RU" w:eastAsia="zh-CN" w:bidi="ar-SA"/>
    </w:rPr>
  </w:style>
  <w:style w:type="paragraph" w:styleId="CodeProtei">
    <w:name w:val="Code.Protei"/>
    <w:qFormat/>
    <w:pPr>
      <w:widowControl/>
      <w:suppressAutoHyphens w:val="true"/>
      <w:overflowPunct w:val="false"/>
      <w:bidi w:val="0"/>
      <w:spacing w:lineRule="auto" w:line="216" w:before="120" w:after="60"/>
      <w:ind w:start="709"/>
      <w:contextualSpacing/>
      <w:jc w:val="start"/>
    </w:pPr>
    <w:rPr>
      <w:rFonts w:ascii="Courier New" w:hAnsi="Courier New" w:eastAsia="Times New Roman" w:cs="Courier New"/>
      <w:color w:val="auto"/>
      <w:kern w:val="0"/>
      <w:sz w:val="18"/>
      <w:szCs w:val="18"/>
      <w:lang w:val="ru-RU" w:eastAsia="zh-CN" w:bidi="ar-SA"/>
    </w:rPr>
  </w:style>
  <w:style w:type="paragraph" w:styleId="Style45">
    <w:name w:val="Абзац нумерованный"/>
    <w:basedOn w:val="Normal"/>
    <w:qFormat/>
    <w:pPr>
      <w:numPr>
        <w:ilvl w:val="0"/>
        <w:numId w:val="14"/>
      </w:numPr>
      <w:spacing w:before="0" w:after="60"/>
      <w:jc w:val="both"/>
    </w:pPr>
    <w:rPr>
      <w:rFonts w:ascii="Times New Roman" w:hAnsi="Times New Roman" w:eastAsia="Times New Roman"/>
      <w:sz w:val="24"/>
      <w:szCs w:val="24"/>
    </w:rPr>
  </w:style>
  <w:style w:type="paragraph" w:styleId="152">
    <w:name w:val="Обычный 1.5"/>
    <w:basedOn w:val="Normal"/>
    <w:qFormat/>
    <w:pPr>
      <w:spacing w:lineRule="auto" w:line="360" w:before="120" w:after="0"/>
      <w:ind w:firstLine="720"/>
      <w:jc w:val="both"/>
    </w:pPr>
    <w:rPr>
      <w:rFonts w:ascii="Times New Roman" w:hAnsi="Times New Roman" w:eastAsia="Times New Roman"/>
      <w:sz w:val="26"/>
      <w:szCs w:val="20"/>
      <w:lang w:eastAsia="ar-SA"/>
    </w:rPr>
  </w:style>
  <w:style w:type="paragraph" w:styleId="Style46">
    <w:name w:val="_Обычный"/>
    <w:basedOn w:val="Normal"/>
    <w:link w:val="Style21"/>
    <w:qFormat/>
    <w:pPr>
      <w:spacing w:lineRule="auto" w:line="240" w:before="0" w:after="0"/>
      <w:jc w:val="both"/>
    </w:pPr>
    <w:rPr>
      <w:rFonts w:eastAsia="Calibri"/>
      <w:sz w:val="24"/>
      <w:szCs w:val="24"/>
    </w:rPr>
  </w:style>
  <w:style w:type="paragraph" w:styleId="xl63">
    <w:name w:val="xl63"/>
    <w:basedOn w:val="Normal"/>
    <w:qFormat/>
    <w:pPr>
      <w:pBdr>
        <w:right w:val="single" w:sz="8" w:space="0" w:color="000000"/>
      </w:pBdr>
      <w:spacing w:lineRule="auto" w:line="240" w:before="280" w:after="280"/>
      <w:jc w:val="center"/>
      <w:textAlignment w:val="center"/>
    </w:pPr>
    <w:rPr>
      <w:rFonts w:ascii="Times New Roman" w:hAnsi="Times New Roman" w:eastAsia="Times New Roman"/>
      <w:sz w:val="20"/>
      <w:szCs w:val="20"/>
    </w:rPr>
  </w:style>
  <w:style w:type="paragraph" w:styleId="xl64">
    <w:name w:val="xl64"/>
    <w:basedOn w:val="Normal"/>
    <w:qFormat/>
    <w:pPr>
      <w:pBdr>
        <w:top w:val="single" w:sz="8" w:space="0" w:color="000000"/>
        <w:left w:val="single" w:sz="8" w:space="0" w:color="000000"/>
        <w:bottom w:val="single" w:sz="8" w:space="0" w:color="000000"/>
        <w:right w:val="single" w:sz="8" w:space="0" w:color="000000"/>
      </w:pBdr>
      <w:spacing w:lineRule="auto" w:line="240" w:before="280" w:after="280"/>
      <w:jc w:val="center"/>
      <w:textAlignment w:val="center"/>
    </w:pPr>
    <w:rPr>
      <w:rFonts w:ascii="Times New Roman" w:hAnsi="Times New Roman" w:eastAsia="Times New Roman"/>
      <w:b/>
      <w:bCs/>
      <w:sz w:val="20"/>
      <w:szCs w:val="20"/>
    </w:rPr>
  </w:style>
  <w:style w:type="paragraph" w:styleId="xl65">
    <w:name w:val="xl65"/>
    <w:basedOn w:val="Normal"/>
    <w:qFormat/>
    <w:pPr>
      <w:pBdr>
        <w:top w:val="single" w:sz="8" w:space="0" w:color="000000"/>
        <w:bottom w:val="single" w:sz="8" w:space="0" w:color="000000"/>
        <w:right w:val="single" w:sz="8" w:space="0" w:color="000000"/>
      </w:pBdr>
      <w:spacing w:lineRule="auto" w:line="240" w:before="280" w:after="280"/>
      <w:jc w:val="center"/>
      <w:textAlignment w:val="center"/>
    </w:pPr>
    <w:rPr>
      <w:rFonts w:ascii="Times New Roman" w:hAnsi="Times New Roman" w:eastAsia="Times New Roman"/>
      <w:b/>
      <w:bCs/>
      <w:sz w:val="20"/>
      <w:szCs w:val="20"/>
    </w:rPr>
  </w:style>
  <w:style w:type="paragraph" w:styleId="xl66">
    <w:name w:val="xl66"/>
    <w:basedOn w:val="Normal"/>
    <w:qFormat/>
    <w:pPr>
      <w:pBdr>
        <w:top w:val="single" w:sz="8" w:space="0" w:color="000000"/>
        <w:left w:val="single" w:sz="8" w:space="0" w:color="000000"/>
        <w:bottom w:val="single" w:sz="8" w:space="0" w:color="000000"/>
      </w:pBdr>
      <w:spacing w:lineRule="auto" w:line="240" w:before="280" w:after="280"/>
      <w:textAlignment w:val="center"/>
    </w:pPr>
    <w:rPr>
      <w:rFonts w:ascii="Times New Roman" w:hAnsi="Times New Roman" w:eastAsia="Times New Roman"/>
      <w:b/>
      <w:bCs/>
      <w:sz w:val="20"/>
      <w:szCs w:val="20"/>
    </w:rPr>
  </w:style>
  <w:style w:type="paragraph" w:styleId="xl67">
    <w:name w:val="xl67"/>
    <w:basedOn w:val="Normal"/>
    <w:qFormat/>
    <w:pPr>
      <w:pBdr>
        <w:top w:val="single" w:sz="8" w:space="0" w:color="000000"/>
        <w:bottom w:val="single" w:sz="8" w:space="0" w:color="000000"/>
      </w:pBdr>
      <w:spacing w:lineRule="auto" w:line="240" w:before="280" w:after="280"/>
      <w:textAlignment w:val="center"/>
    </w:pPr>
    <w:rPr>
      <w:rFonts w:ascii="Times New Roman" w:hAnsi="Times New Roman" w:eastAsia="Times New Roman"/>
      <w:b/>
      <w:bCs/>
      <w:sz w:val="20"/>
      <w:szCs w:val="20"/>
    </w:rPr>
  </w:style>
  <w:style w:type="paragraph" w:styleId="xl68">
    <w:name w:val="xl68"/>
    <w:basedOn w:val="Normal"/>
    <w:qFormat/>
    <w:pPr>
      <w:pBdr>
        <w:left w:val="single" w:sz="8" w:space="0" w:color="000000"/>
        <w:bottom w:val="single" w:sz="8" w:space="0" w:color="000000"/>
        <w:right w:val="single" w:sz="8" w:space="0" w:color="000000"/>
      </w:pBdr>
      <w:spacing w:lineRule="auto" w:line="240" w:before="280" w:after="280"/>
      <w:jc w:val="center"/>
      <w:textAlignment w:val="center"/>
    </w:pPr>
    <w:rPr>
      <w:rFonts w:ascii="Times New Roman" w:hAnsi="Times New Roman" w:eastAsia="Times New Roman"/>
      <w:sz w:val="20"/>
      <w:szCs w:val="20"/>
    </w:rPr>
  </w:style>
  <w:style w:type="paragraph" w:styleId="xl69">
    <w:name w:val="xl69"/>
    <w:basedOn w:val="Normal"/>
    <w:qFormat/>
    <w:pPr>
      <w:pBdr>
        <w:bottom w:val="single" w:sz="8" w:space="0" w:color="000000"/>
        <w:right w:val="single" w:sz="8" w:space="0" w:color="000000"/>
      </w:pBdr>
      <w:spacing w:lineRule="auto" w:line="240" w:before="280" w:after="280"/>
      <w:textAlignment w:val="center"/>
    </w:pPr>
    <w:rPr>
      <w:rFonts w:ascii="Times New Roman" w:hAnsi="Times New Roman" w:eastAsia="Times New Roman"/>
      <w:sz w:val="20"/>
      <w:szCs w:val="20"/>
    </w:rPr>
  </w:style>
  <w:style w:type="paragraph" w:styleId="xl70">
    <w:name w:val="xl70"/>
    <w:basedOn w:val="Normal"/>
    <w:qFormat/>
    <w:pPr>
      <w:pBdr>
        <w:bottom w:val="single" w:sz="8" w:space="0" w:color="000000"/>
        <w:right w:val="single" w:sz="8" w:space="0" w:color="000000"/>
      </w:pBdr>
      <w:spacing w:lineRule="auto" w:line="240" w:before="280" w:after="280"/>
      <w:jc w:val="center"/>
      <w:textAlignment w:val="center"/>
    </w:pPr>
    <w:rPr>
      <w:rFonts w:ascii="Times New Roman" w:hAnsi="Times New Roman" w:eastAsia="Times New Roman"/>
      <w:sz w:val="20"/>
      <w:szCs w:val="20"/>
    </w:rPr>
  </w:style>
  <w:style w:type="paragraph" w:styleId="xl71">
    <w:name w:val="xl71"/>
    <w:basedOn w:val="Normal"/>
    <w:qFormat/>
    <w:pPr>
      <w:pBdr>
        <w:top w:val="single" w:sz="8" w:space="0" w:color="000000"/>
        <w:bottom w:val="single" w:sz="8" w:space="0" w:color="000000"/>
        <w:right w:val="single" w:sz="8" w:space="0" w:color="000000"/>
      </w:pBdr>
      <w:spacing w:lineRule="auto" w:line="240" w:before="280" w:after="280"/>
      <w:textAlignment w:val="center"/>
    </w:pPr>
    <w:rPr>
      <w:rFonts w:ascii="Times New Roman" w:hAnsi="Times New Roman" w:eastAsia="Times New Roman"/>
      <w:sz w:val="20"/>
      <w:szCs w:val="20"/>
    </w:rPr>
  </w:style>
  <w:style w:type="paragraph" w:styleId="xl72">
    <w:name w:val="xl72"/>
    <w:basedOn w:val="Normal"/>
    <w:qFormat/>
    <w:pPr>
      <w:pBdr>
        <w:bottom w:val="single" w:sz="8" w:space="0" w:color="000000"/>
        <w:right w:val="single" w:sz="8" w:space="0" w:color="000000"/>
      </w:pBdr>
      <w:spacing w:lineRule="auto" w:line="240" w:before="280" w:after="280"/>
      <w:textAlignment w:val="center"/>
    </w:pPr>
    <w:rPr>
      <w:rFonts w:ascii="Times New Roman" w:hAnsi="Times New Roman" w:eastAsia="Times New Roman"/>
      <w:sz w:val="20"/>
      <w:szCs w:val="20"/>
    </w:rPr>
  </w:style>
  <w:style w:type="paragraph" w:styleId="xl73">
    <w:name w:val="xl73"/>
    <w:basedOn w:val="Normal"/>
    <w:qFormat/>
    <w:pPr>
      <w:pBdr>
        <w:top w:val="single" w:sz="8" w:space="0" w:color="000000"/>
        <w:bottom w:val="single" w:sz="8" w:space="0" w:color="000000"/>
        <w:right w:val="single" w:sz="8" w:space="0" w:color="000000"/>
      </w:pBdr>
      <w:spacing w:lineRule="auto" w:line="240" w:before="280" w:after="280"/>
      <w:jc w:val="center"/>
      <w:textAlignment w:val="center"/>
    </w:pPr>
    <w:rPr>
      <w:rFonts w:ascii="Times New Roman" w:hAnsi="Times New Roman" w:eastAsia="Times New Roman"/>
      <w:color w:val="000000"/>
      <w:sz w:val="24"/>
      <w:szCs w:val="24"/>
    </w:rPr>
  </w:style>
  <w:style w:type="paragraph" w:styleId="xl74">
    <w:name w:val="xl74"/>
    <w:basedOn w:val="Normal"/>
    <w:qFormat/>
    <w:pPr>
      <w:pBdr>
        <w:bottom w:val="single" w:sz="8" w:space="0" w:color="000000"/>
        <w:right w:val="single" w:sz="8" w:space="0" w:color="000000"/>
      </w:pBdr>
      <w:spacing w:lineRule="auto" w:line="240" w:before="280" w:after="280"/>
      <w:jc w:val="center"/>
      <w:textAlignment w:val="center"/>
    </w:pPr>
    <w:rPr>
      <w:rFonts w:ascii="Times New Roman" w:hAnsi="Times New Roman" w:eastAsia="Times New Roman"/>
      <w:sz w:val="24"/>
      <w:szCs w:val="24"/>
    </w:rPr>
  </w:style>
  <w:style w:type="paragraph" w:styleId="xl75">
    <w:name w:val="xl75"/>
    <w:basedOn w:val="Normal"/>
    <w:qFormat/>
    <w:pPr>
      <w:pBdr>
        <w:bottom w:val="single" w:sz="8" w:space="0" w:color="000000"/>
        <w:right w:val="single" w:sz="8" w:space="0" w:color="000000"/>
      </w:pBdr>
      <w:spacing w:lineRule="auto" w:line="240" w:before="280" w:after="280"/>
      <w:jc w:val="center"/>
      <w:textAlignment w:val="center"/>
    </w:pPr>
    <w:rPr>
      <w:rFonts w:ascii="Times New Roman" w:hAnsi="Times New Roman" w:eastAsia="Times New Roman"/>
      <w:color w:val="000000"/>
      <w:sz w:val="24"/>
      <w:szCs w:val="24"/>
    </w:rPr>
  </w:style>
  <w:style w:type="paragraph" w:styleId="xl76">
    <w:name w:val="xl76"/>
    <w:basedOn w:val="Normal"/>
    <w:qFormat/>
    <w:pPr>
      <w:pBdr>
        <w:bottom w:val="single" w:sz="8" w:space="0" w:color="000000"/>
        <w:right w:val="single" w:sz="8" w:space="0" w:color="000000"/>
      </w:pBdr>
      <w:spacing w:lineRule="auto" w:line="240" w:before="280" w:after="280"/>
      <w:textAlignment w:val="center"/>
    </w:pPr>
    <w:rPr>
      <w:rFonts w:ascii="Times New Roman" w:hAnsi="Times New Roman" w:eastAsia="Times New Roman"/>
      <w:color w:val="000000"/>
      <w:sz w:val="20"/>
      <w:szCs w:val="20"/>
    </w:rPr>
  </w:style>
  <w:style w:type="paragraph" w:styleId="xl77">
    <w:name w:val="xl77"/>
    <w:basedOn w:val="Normal"/>
    <w:qFormat/>
    <w:pPr>
      <w:pBdr>
        <w:top w:val="single" w:sz="8" w:space="0" w:color="000000"/>
        <w:bottom w:val="single" w:sz="8" w:space="0" w:color="000000"/>
        <w:right w:val="single" w:sz="8" w:space="0" w:color="000000"/>
      </w:pBdr>
      <w:spacing w:lineRule="auto" w:line="240" w:before="280" w:after="280"/>
      <w:jc w:val="center"/>
      <w:textAlignment w:val="center"/>
    </w:pPr>
    <w:rPr>
      <w:rFonts w:ascii="Times New Roman" w:hAnsi="Times New Roman" w:eastAsia="Times New Roman"/>
      <w:sz w:val="24"/>
      <w:szCs w:val="24"/>
    </w:rPr>
  </w:style>
  <w:style w:type="paragraph" w:styleId="xl78">
    <w:name w:val="xl78"/>
    <w:basedOn w:val="Normal"/>
    <w:qFormat/>
    <w:pPr>
      <w:pBdr>
        <w:top w:val="single" w:sz="8" w:space="0" w:color="000000"/>
        <w:left w:val="single" w:sz="8" w:space="0" w:color="000000"/>
        <w:right w:val="single" w:sz="8" w:space="0" w:color="000000"/>
      </w:pBdr>
      <w:spacing w:lineRule="auto" w:line="240" w:before="280" w:after="280"/>
      <w:jc w:val="center"/>
      <w:textAlignment w:val="center"/>
    </w:pPr>
    <w:rPr>
      <w:rFonts w:ascii="Times New Roman" w:hAnsi="Times New Roman" w:eastAsia="Times New Roman"/>
      <w:sz w:val="20"/>
      <w:szCs w:val="20"/>
    </w:rPr>
  </w:style>
  <w:style w:type="paragraph" w:styleId="xl79">
    <w:name w:val="xl79"/>
    <w:basedOn w:val="Normal"/>
    <w:qFormat/>
    <w:pPr>
      <w:pBdr>
        <w:top w:val="single" w:sz="8" w:space="0" w:color="000000"/>
        <w:left w:val="single" w:sz="8" w:space="0" w:color="000000"/>
        <w:right w:val="single" w:sz="8" w:space="0" w:color="000000"/>
      </w:pBdr>
      <w:spacing w:lineRule="auto" w:line="240" w:before="280" w:after="280"/>
      <w:textAlignment w:val="center"/>
    </w:pPr>
    <w:rPr>
      <w:rFonts w:ascii="Times New Roman" w:hAnsi="Times New Roman" w:eastAsia="Times New Roman"/>
      <w:sz w:val="20"/>
      <w:szCs w:val="20"/>
    </w:rPr>
  </w:style>
  <w:style w:type="paragraph" w:styleId="xl80">
    <w:name w:val="xl80"/>
    <w:basedOn w:val="Normal"/>
    <w:qFormat/>
    <w:pPr>
      <w:pBdr>
        <w:right w:val="single" w:sz="8" w:space="0" w:color="000000"/>
      </w:pBdr>
      <w:spacing w:lineRule="auto" w:line="240" w:before="280" w:after="280"/>
      <w:textAlignment w:val="center"/>
    </w:pPr>
    <w:rPr>
      <w:rFonts w:ascii="Times New Roman" w:hAnsi="Times New Roman" w:eastAsia="Times New Roman"/>
      <w:sz w:val="20"/>
      <w:szCs w:val="20"/>
    </w:rPr>
  </w:style>
  <w:style w:type="paragraph" w:styleId="xl81">
    <w:name w:val="xl81"/>
    <w:basedOn w:val="Normal"/>
    <w:qFormat/>
    <w:pPr>
      <w:pBdr>
        <w:left w:val="single" w:sz="8" w:space="0" w:color="000000"/>
        <w:right w:val="single" w:sz="8" w:space="0" w:color="000000"/>
      </w:pBdr>
      <w:spacing w:lineRule="auto" w:line="240" w:before="280" w:after="280"/>
      <w:jc w:val="center"/>
      <w:textAlignment w:val="center"/>
    </w:pPr>
    <w:rPr>
      <w:rFonts w:ascii="Times New Roman" w:hAnsi="Times New Roman" w:eastAsia="Times New Roman"/>
      <w:sz w:val="20"/>
      <w:szCs w:val="20"/>
    </w:rPr>
  </w:style>
  <w:style w:type="paragraph" w:styleId="xl82">
    <w:name w:val="xl82"/>
    <w:basedOn w:val="Normal"/>
    <w:qFormat/>
    <w:pPr>
      <w:pBdr>
        <w:left w:val="single" w:sz="8" w:space="0" w:color="000000"/>
        <w:right w:val="single" w:sz="8" w:space="0" w:color="000000"/>
      </w:pBdr>
      <w:spacing w:lineRule="auto" w:line="240" w:before="280" w:after="280"/>
      <w:textAlignment w:val="center"/>
    </w:pPr>
    <w:rPr>
      <w:rFonts w:ascii="Times New Roman" w:hAnsi="Times New Roman" w:eastAsia="Times New Roman"/>
      <w:sz w:val="20"/>
      <w:szCs w:val="20"/>
    </w:rPr>
  </w:style>
  <w:style w:type="paragraph" w:styleId="xl83">
    <w:name w:val="xl83"/>
    <w:basedOn w:val="Normal"/>
    <w:qFormat/>
    <w:pPr>
      <w:pBdr>
        <w:left w:val="single" w:sz="8" w:space="0" w:color="000000"/>
        <w:bottom w:val="single" w:sz="8" w:space="0" w:color="000000"/>
        <w:right w:val="single" w:sz="8" w:space="0" w:color="000000"/>
      </w:pBdr>
      <w:spacing w:lineRule="auto" w:line="240" w:before="280" w:after="280"/>
      <w:textAlignment w:val="center"/>
    </w:pPr>
    <w:rPr>
      <w:rFonts w:ascii="Times New Roman" w:hAnsi="Times New Roman" w:eastAsia="Times New Roman"/>
      <w:sz w:val="20"/>
      <w:szCs w:val="20"/>
    </w:rPr>
  </w:style>
  <w:style w:type="paragraph" w:styleId="xl84">
    <w:name w:val="xl84"/>
    <w:basedOn w:val="Normal"/>
    <w:qFormat/>
    <w:pPr>
      <w:pBdr>
        <w:left w:val="single" w:sz="8" w:space="0" w:color="000000"/>
        <w:bottom w:val="single" w:sz="8" w:space="0" w:color="000000"/>
        <w:right w:val="single" w:sz="8" w:space="0" w:color="000000"/>
      </w:pBdr>
      <w:spacing w:lineRule="auto" w:line="240" w:before="280" w:after="280"/>
      <w:textAlignment w:val="center"/>
    </w:pPr>
    <w:rPr>
      <w:rFonts w:ascii="Times New Roman" w:hAnsi="Times New Roman" w:eastAsia="Times New Roman"/>
      <w:sz w:val="16"/>
      <w:szCs w:val="16"/>
    </w:rPr>
  </w:style>
  <w:style w:type="paragraph" w:styleId="xl85">
    <w:name w:val="xl85"/>
    <w:basedOn w:val="Normal"/>
    <w:qFormat/>
    <w:pPr>
      <w:pBdr>
        <w:top w:val="single" w:sz="8" w:space="0" w:color="000000"/>
        <w:bottom w:val="single" w:sz="8" w:space="0" w:color="000000"/>
        <w:right w:val="single" w:sz="8" w:space="0" w:color="000000"/>
      </w:pBdr>
      <w:spacing w:lineRule="auto" w:line="240" w:before="280" w:after="280"/>
      <w:textAlignment w:val="center"/>
    </w:pPr>
    <w:rPr>
      <w:rFonts w:ascii="Times New Roman" w:hAnsi="Times New Roman" w:eastAsia="Times New Roman"/>
      <w:sz w:val="16"/>
      <w:szCs w:val="16"/>
    </w:rPr>
  </w:style>
  <w:style w:type="paragraph" w:styleId="xl86">
    <w:name w:val="xl86"/>
    <w:basedOn w:val="Normal"/>
    <w:qFormat/>
    <w:pPr>
      <w:pBdr>
        <w:top w:val="single" w:sz="8" w:space="0" w:color="000000"/>
        <w:left w:val="single" w:sz="8" w:space="0" w:color="000000"/>
        <w:right w:val="single" w:sz="8" w:space="0" w:color="000000"/>
      </w:pBdr>
      <w:spacing w:lineRule="auto" w:line="240" w:before="280" w:after="280"/>
      <w:textAlignment w:val="center"/>
    </w:pPr>
    <w:rPr>
      <w:rFonts w:ascii="Times New Roman" w:hAnsi="Times New Roman" w:eastAsia="Times New Roman"/>
      <w:sz w:val="16"/>
      <w:szCs w:val="16"/>
    </w:rPr>
  </w:style>
  <w:style w:type="paragraph" w:styleId="xl87">
    <w:name w:val="xl87"/>
    <w:basedOn w:val="Normal"/>
    <w:qFormat/>
    <w:pPr>
      <w:pBdr>
        <w:top w:val="single" w:sz="8" w:space="0" w:color="000000"/>
        <w:right w:val="single" w:sz="8" w:space="0" w:color="000000"/>
      </w:pBdr>
      <w:spacing w:lineRule="auto" w:line="240" w:before="280" w:after="280"/>
      <w:textAlignment w:val="center"/>
    </w:pPr>
    <w:rPr>
      <w:rFonts w:ascii="Times New Roman" w:hAnsi="Times New Roman" w:eastAsia="Times New Roman"/>
      <w:sz w:val="16"/>
      <w:szCs w:val="16"/>
    </w:rPr>
  </w:style>
  <w:style w:type="paragraph" w:styleId="xl88">
    <w:name w:val="xl88"/>
    <w:basedOn w:val="Normal"/>
    <w:qFormat/>
    <w:pPr>
      <w:pBdr>
        <w:left w:val="single" w:sz="8" w:space="0" w:color="000000"/>
        <w:right w:val="single" w:sz="8" w:space="0" w:color="000000"/>
      </w:pBdr>
      <w:spacing w:lineRule="auto" w:line="240" w:before="280" w:after="280"/>
      <w:textAlignment w:val="center"/>
    </w:pPr>
    <w:rPr>
      <w:rFonts w:ascii="Times New Roman" w:hAnsi="Times New Roman" w:eastAsia="Times New Roman"/>
      <w:sz w:val="16"/>
      <w:szCs w:val="16"/>
    </w:rPr>
  </w:style>
  <w:style w:type="paragraph" w:styleId="xl89">
    <w:name w:val="xl89"/>
    <w:basedOn w:val="Normal"/>
    <w:qFormat/>
    <w:pPr>
      <w:pBdr>
        <w:right w:val="single" w:sz="8" w:space="0" w:color="000000"/>
      </w:pBdr>
      <w:spacing w:lineRule="auto" w:line="240" w:before="280" w:after="280"/>
      <w:textAlignment w:val="center"/>
    </w:pPr>
    <w:rPr>
      <w:rFonts w:ascii="Times New Roman" w:hAnsi="Times New Roman" w:eastAsia="Times New Roman"/>
      <w:sz w:val="16"/>
      <w:szCs w:val="16"/>
    </w:rPr>
  </w:style>
  <w:style w:type="paragraph" w:styleId="xl90">
    <w:name w:val="xl90"/>
    <w:basedOn w:val="Normal"/>
    <w:qFormat/>
    <w:pPr>
      <w:pBdr>
        <w:bottom w:val="single" w:sz="8" w:space="0" w:color="000000"/>
        <w:right w:val="single" w:sz="8" w:space="0" w:color="000000"/>
      </w:pBdr>
      <w:spacing w:lineRule="auto" w:line="240" w:before="280" w:after="280"/>
      <w:textAlignment w:val="center"/>
    </w:pPr>
    <w:rPr>
      <w:rFonts w:ascii="Times New Roman" w:hAnsi="Times New Roman" w:eastAsia="Times New Roman"/>
      <w:sz w:val="16"/>
      <w:szCs w:val="16"/>
    </w:rPr>
  </w:style>
  <w:style w:type="paragraph" w:styleId="xl91">
    <w:name w:val="xl91"/>
    <w:basedOn w:val="Normal"/>
    <w:qFormat/>
    <w:pPr>
      <w:pBdr>
        <w:left w:val="single" w:sz="8" w:space="0" w:color="000000"/>
        <w:bottom w:val="single" w:sz="8" w:space="0" w:color="000000"/>
        <w:right w:val="single" w:sz="8" w:space="0" w:color="000000"/>
      </w:pBdr>
      <w:spacing w:lineRule="auto" w:line="240" w:before="280" w:after="280"/>
      <w:jc w:val="center"/>
      <w:textAlignment w:val="center"/>
    </w:pPr>
    <w:rPr>
      <w:rFonts w:ascii="Times New Roman" w:hAnsi="Times New Roman" w:eastAsia="Times New Roman"/>
      <w:sz w:val="16"/>
      <w:szCs w:val="16"/>
    </w:rPr>
  </w:style>
  <w:style w:type="paragraph" w:styleId="xl92">
    <w:name w:val="xl92"/>
    <w:basedOn w:val="Normal"/>
    <w:qFormat/>
    <w:pPr>
      <w:pBdr>
        <w:top w:val="single" w:sz="8" w:space="0" w:color="000000"/>
        <w:left w:val="single" w:sz="8" w:space="0" w:color="000000"/>
        <w:bottom w:val="single" w:sz="8" w:space="0" w:color="000000"/>
      </w:pBdr>
      <w:spacing w:lineRule="auto" w:line="240" w:before="280" w:after="280"/>
      <w:textAlignment w:val="center"/>
    </w:pPr>
    <w:rPr>
      <w:rFonts w:ascii="Times New Roman" w:hAnsi="Times New Roman" w:eastAsia="Times New Roman"/>
      <w:b/>
      <w:bCs/>
      <w:sz w:val="20"/>
      <w:szCs w:val="20"/>
    </w:rPr>
  </w:style>
  <w:style w:type="paragraph" w:styleId="xl93">
    <w:name w:val="xl93"/>
    <w:basedOn w:val="Normal"/>
    <w:qFormat/>
    <w:pPr>
      <w:pBdr>
        <w:top w:val="single" w:sz="8" w:space="0" w:color="000000"/>
        <w:bottom w:val="single" w:sz="8" w:space="0" w:color="000000"/>
      </w:pBdr>
      <w:spacing w:lineRule="auto" w:line="240" w:before="280" w:after="280"/>
      <w:textAlignment w:val="center"/>
    </w:pPr>
    <w:rPr>
      <w:rFonts w:ascii="Times New Roman" w:hAnsi="Times New Roman" w:eastAsia="Times New Roman"/>
      <w:b/>
      <w:bCs/>
      <w:sz w:val="20"/>
      <w:szCs w:val="20"/>
    </w:rPr>
  </w:style>
  <w:style w:type="paragraph" w:styleId="xl94">
    <w:name w:val="xl94"/>
    <w:basedOn w:val="Normal"/>
    <w:qFormat/>
    <w:pPr>
      <w:pBdr>
        <w:top w:val="single" w:sz="8" w:space="0" w:color="000000"/>
        <w:left w:val="single" w:sz="8" w:space="0" w:color="000000"/>
        <w:bottom w:val="single" w:sz="8" w:space="0" w:color="000000"/>
      </w:pBdr>
      <w:spacing w:lineRule="auto" w:line="240" w:before="280" w:after="280"/>
      <w:textAlignment w:val="center"/>
    </w:pPr>
    <w:rPr>
      <w:rFonts w:ascii="Times New Roman" w:hAnsi="Times New Roman" w:eastAsia="Times New Roman"/>
      <w:sz w:val="20"/>
      <w:szCs w:val="20"/>
    </w:rPr>
  </w:style>
  <w:style w:type="paragraph" w:styleId="xl95">
    <w:name w:val="xl95"/>
    <w:basedOn w:val="Normal"/>
    <w:qFormat/>
    <w:pPr>
      <w:pBdr>
        <w:top w:val="single" w:sz="8" w:space="0" w:color="000000"/>
        <w:bottom w:val="single" w:sz="8" w:space="0" w:color="000000"/>
      </w:pBdr>
      <w:spacing w:lineRule="auto" w:line="240" w:before="280" w:after="280"/>
      <w:textAlignment w:val="center"/>
    </w:pPr>
    <w:rPr>
      <w:rFonts w:ascii="Times New Roman" w:hAnsi="Times New Roman" w:eastAsia="Times New Roman"/>
      <w:sz w:val="20"/>
      <w:szCs w:val="20"/>
    </w:rPr>
  </w:style>
  <w:style w:type="paragraph" w:styleId="Style47">
    <w:name w:val="С_Таблица_Содержимое"/>
    <w:basedOn w:val="Normal"/>
    <w:qFormat/>
    <w:pPr>
      <w:keepLines/>
      <w:widowControl w:val="false"/>
      <w:spacing w:lineRule="auto" w:line="288" w:before="0" w:after="0"/>
      <w:jc w:val="both"/>
    </w:pPr>
    <w:rPr>
      <w:rFonts w:ascii="Times New Roman" w:hAnsi="Times New Roman" w:eastAsia="Times New Roman"/>
      <w:kern w:val="2"/>
      <w:sz w:val="26"/>
      <w:szCs w:val="20"/>
    </w:rPr>
  </w:style>
  <w:style w:type="paragraph" w:styleId="Style48">
    <w:name w:val="Комментарий шаблона"/>
    <w:basedOn w:val="Normal"/>
    <w:link w:val="Style22"/>
    <w:qFormat/>
    <w:pPr>
      <w:widowControl w:val="false"/>
      <w:spacing w:lineRule="auto" w:line="288" w:before="0" w:after="0"/>
      <w:ind w:firstLine="851"/>
      <w:jc w:val="both"/>
    </w:pPr>
    <w:rPr>
      <w:rFonts w:ascii="Times New Roman" w:hAnsi="Times New Roman" w:eastAsia="Times New Roman"/>
      <w:i/>
      <w:color w:val="0070C0"/>
      <w:kern w:val="2"/>
      <w:sz w:val="26"/>
      <w:szCs w:val="20"/>
    </w:rPr>
  </w:style>
  <w:style w:type="paragraph" w:styleId="Style49">
    <w:name w:val="_Список_марк"/>
    <w:link w:val="Style23"/>
    <w:qFormat/>
    <w:pPr>
      <w:widowControl/>
      <w:numPr>
        <w:ilvl w:val="0"/>
        <w:numId w:val="15"/>
      </w:numPr>
      <w:tabs>
        <w:tab w:val="clear" w:pos="708"/>
        <w:tab w:val="left" w:pos="851" w:leader="none"/>
        <w:tab w:val="left" w:pos="1644" w:leader="none"/>
        <w:tab w:val="left" w:pos="2041" w:leader="none"/>
      </w:tabs>
      <w:suppressAutoHyphens w:val="true"/>
      <w:overflowPunct w:val="false"/>
      <w:bidi w:val="0"/>
      <w:spacing w:lineRule="auto" w:line="360" w:before="0" w:after="0"/>
      <w:jc w:val="both"/>
    </w:pPr>
    <w:rPr>
      <w:rFonts w:ascii="Times New Roman" w:hAnsi="Times New Roman" w:eastAsia="Times New Roman" w:cs="Times New Roman"/>
      <w:color w:val="000000"/>
      <w:spacing w:val="-1"/>
      <w:kern w:val="0"/>
      <w:sz w:val="24"/>
      <w:szCs w:val="20"/>
      <w:lang w:val="ru-RU" w:eastAsia="ru-RU" w:bidi="ar-SA"/>
    </w:rPr>
  </w:style>
  <w:style w:type="paragraph" w:styleId="msonormal">
    <w:name w:val="msonormal"/>
    <w:basedOn w:val="Normal"/>
    <w:qFormat/>
    <w:pPr>
      <w:spacing w:lineRule="auto" w:line="240" w:before="280" w:after="280"/>
    </w:pPr>
    <w:rPr>
      <w:rFonts w:ascii="Times New Roman" w:hAnsi="Times New Roman" w:eastAsia="Times New Roman"/>
      <w:sz w:val="24"/>
      <w:szCs w:val="24"/>
    </w:rPr>
  </w:style>
  <w:style w:type="paragraph" w:styleId="Revision">
    <w:name w:val="Revision"/>
    <w:qFormat/>
    <w:pPr>
      <w:widowControl/>
      <w:suppressAutoHyphens w:val="true"/>
      <w:overflowPunct w:val="fals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Subtitle">
    <w:name w:val="Subtitle"/>
    <w:basedOn w:val="Normal"/>
    <w:next w:val="Normal"/>
    <w:link w:val="Style25"/>
    <w:qFormat/>
    <w:pPr>
      <w:spacing w:before="0" w:after="0"/>
      <w:ind w:firstLine="680"/>
    </w:pPr>
    <w:rPr>
      <w:rFonts w:ascii="Times New Roman" w:hAnsi="Times New Roman" w:eastAsia="Times New Roman"/>
      <w:b/>
      <w:sz w:val="24"/>
      <w:szCs w:val="24"/>
    </w:rPr>
  </w:style>
  <w:style w:type="paragraph" w:styleId="KCBullet">
    <w:name w:val="KC Bullet"/>
    <w:basedOn w:val="Normal"/>
    <w:qFormat/>
    <w:pPr>
      <w:numPr>
        <w:ilvl w:val="0"/>
        <w:numId w:val="16"/>
      </w:numPr>
      <w:spacing w:lineRule="auto" w:line="360" w:before="60" w:after="60"/>
      <w:ind w:hanging="360" w:start="360"/>
      <w:jc w:val="both"/>
    </w:pPr>
    <w:rPr>
      <w:rFonts w:eastAsia="Times New Roman"/>
      <w:kern w:val="2"/>
      <w:sz w:val="24"/>
      <w:szCs w:val="20"/>
    </w:rPr>
  </w:style>
  <w:style w:type="paragraph" w:styleId="34--3">
    <w:name w:val="Сф34-Заголовок-3"/>
    <w:basedOn w:val="Normal"/>
    <w:next w:val="34-6"/>
    <w:qFormat/>
    <w:pPr>
      <w:keepNext w:val="true"/>
      <w:keepLines/>
      <w:numPr>
        <w:ilvl w:val="0"/>
        <w:numId w:val="0"/>
      </w:numPr>
      <w:spacing w:lineRule="auto" w:line="360" w:before="240" w:after="240"/>
      <w:ind w:firstLine="709"/>
      <w:jc w:val="both"/>
      <w:outlineLvl w:val="2"/>
    </w:pPr>
    <w:rPr>
      <w:rFonts w:ascii="Times New Roman" w:hAnsi="Times New Roman" w:eastAsia="Calibri"/>
      <w:sz w:val="28"/>
      <w:szCs w:val="28"/>
      <w:lang w:eastAsia="en-US"/>
    </w:rPr>
  </w:style>
  <w:style w:type="paragraph" w:styleId="34-6">
    <w:name w:val="Сф34-Обычный"/>
    <w:qFormat/>
    <w:pPr>
      <w:widowControl/>
      <w:suppressAutoHyphens w:val="true"/>
      <w:overflowPunct w:val="false"/>
      <w:bidi w:val="0"/>
      <w:spacing w:lineRule="auto" w:line="360" w:before="0" w:after="0"/>
      <w:ind w:firstLine="709"/>
      <w:jc w:val="both"/>
    </w:pPr>
    <w:rPr>
      <w:rFonts w:ascii="Times New Roman" w:hAnsi="Times New Roman" w:eastAsia="Calibri" w:cs="Times New Roman"/>
      <w:color w:val="auto"/>
      <w:kern w:val="0"/>
      <w:sz w:val="28"/>
      <w:szCs w:val="28"/>
      <w:lang w:val="ru-RU" w:eastAsia="en-US" w:bidi="ar-SA"/>
    </w:rPr>
  </w:style>
  <w:style w:type="paragraph" w:styleId="34---1">
    <w:name w:val="Сф34-Спис-Марк-1"/>
    <w:basedOn w:val="34-6"/>
    <w:qFormat/>
    <w:pPr>
      <w:spacing w:lineRule="auto" w:line="240"/>
    </w:pPr>
    <w:rPr/>
  </w:style>
  <w:style w:type="paragraph" w:styleId="62">
    <w:name w:val="Заголовок №6"/>
    <w:basedOn w:val="Normal"/>
    <w:link w:val="61"/>
    <w:qFormat/>
    <w:pPr>
      <w:widowControl w:val="false"/>
      <w:numPr>
        <w:ilvl w:val="0"/>
        <w:numId w:val="0"/>
      </w:numPr>
      <w:shd w:val="clear" w:fill="FFFFFF"/>
      <w:spacing w:lineRule="exact" w:line="320" w:before="0" w:after="0"/>
      <w:ind w:firstLine="700"/>
      <w:outlineLvl w:val="5"/>
    </w:pPr>
    <w:rPr>
      <w:rFonts w:eastAsia="Calibri" w:cs="Tahoma"/>
      <w:b/>
      <w:bCs/>
      <w:lang w:eastAsia="en-US"/>
    </w:rPr>
  </w:style>
  <w:style w:type="paragraph" w:styleId="Textbody">
    <w:name w:val="Text body"/>
    <w:basedOn w:val="Normal"/>
    <w:qFormat/>
    <w:pPr>
      <w:spacing w:before="0" w:after="120"/>
      <w:jc w:val="both"/>
    </w:pPr>
    <w:rPr>
      <w:rFonts w:ascii="Times New Roman" w:hAnsi="Times New Roman" w:eastAsia="Times New Roman"/>
      <w:sz w:val="24"/>
      <w:szCs w:val="24"/>
      <w:lang w:eastAsia="zh-CN"/>
    </w:rPr>
  </w:style>
  <w:style w:type="paragraph" w:styleId="FootnoteText">
    <w:name w:val="footnote text"/>
    <w:basedOn w:val="Normal"/>
    <w:link w:val="Style26"/>
    <w:pPr>
      <w:spacing w:lineRule="auto" w:line="240" w:before="0" w:after="0"/>
    </w:pPr>
    <w:rPr>
      <w:rFonts w:eastAsia="Calibri" w:cs="Calibri"/>
      <w:sz w:val="20"/>
      <w:szCs w:val="20"/>
    </w:rPr>
  </w:style>
  <w:style w:type="paragraph" w:styleId="Style50">
    <w:name w:val="Таблица_общий"/>
    <w:basedOn w:val="Normal"/>
    <w:link w:val="Style28"/>
    <w:qFormat/>
    <w:pPr>
      <w:widowControl w:val="false"/>
      <w:spacing w:lineRule="auto" w:line="240" w:before="60" w:after="60"/>
    </w:pPr>
    <w:rPr>
      <w:rFonts w:ascii="Times New Roman" w:hAnsi="Times New Roman" w:eastAsia="Times New Roman"/>
      <w:sz w:val="20"/>
      <w:szCs w:val="20"/>
    </w:rPr>
  </w:style>
  <w:style w:type="paragraph" w:styleId="footnotedescription">
    <w:name w:val="footnote description"/>
    <w:next w:val="Normal"/>
    <w:link w:val="footnotedescriptionChar"/>
    <w:qFormat/>
    <w:pPr>
      <w:widowControl/>
      <w:suppressAutoHyphens w:val="true"/>
      <w:overflowPunct w:val="false"/>
      <w:bidi w:val="0"/>
      <w:spacing w:lineRule="auto" w:line="259" w:before="0" w:after="0"/>
      <w:ind w:start="672"/>
      <w:jc w:val="start"/>
    </w:pPr>
    <w:rPr>
      <w:rFonts w:ascii="Times New Roman" w:hAnsi="Times New Roman" w:eastAsia="Times New Roman" w:cs="Times New Roman"/>
      <w:color w:val="000000"/>
      <w:kern w:val="0"/>
      <w:sz w:val="24"/>
      <w:szCs w:val="22"/>
      <w:lang w:val="ru-RU" w:eastAsia="ru-RU" w:bidi="ar-SA"/>
    </w:rPr>
  </w:style>
  <w:style w:type="paragraph" w:styleId="---14">
    <w:name w:val="Сф-Табл-Список-14"/>
    <w:basedOn w:val="Normal"/>
    <w:qFormat/>
    <w:pPr>
      <w:numPr>
        <w:ilvl w:val="0"/>
        <w:numId w:val="17"/>
      </w:numPr>
      <w:tabs>
        <w:tab w:val="clear" w:pos="708"/>
        <w:tab w:val="left" w:pos="397" w:leader="none"/>
      </w:tabs>
      <w:spacing w:lineRule="auto" w:line="240" w:before="0" w:after="0"/>
      <w:ind w:hanging="0" w:start="0"/>
    </w:pPr>
    <w:rPr>
      <w:rFonts w:ascii="Times New Roman" w:hAnsi="Times New Roman" w:eastAsia="Times New Roman"/>
      <w:sz w:val="28"/>
      <w:szCs w:val="24"/>
    </w:rPr>
  </w:style>
  <w:style w:type="paragraph" w:styleId="Default">
    <w:name w:val="Default"/>
    <w:qFormat/>
    <w:pPr>
      <w:widowControl/>
      <w:suppressAutoHyphens w:val="true"/>
      <w:overflowPunct w:val="false"/>
      <w:bidi w:val="0"/>
      <w:spacing w:before="0" w:after="0"/>
      <w:jc w:val="start"/>
    </w:pPr>
    <w:rPr>
      <w:rFonts w:ascii="Arial" w:hAnsi="Arial" w:eastAsia="Calibri" w:cs="Arial"/>
      <w:color w:val="000000"/>
      <w:kern w:val="0"/>
      <w:sz w:val="24"/>
      <w:szCs w:val="24"/>
      <w:lang w:val="ru-RU" w:eastAsia="ru-RU" w:bidi="ar-SA"/>
    </w:rPr>
  </w:style>
  <w:style w:type="paragraph" w:styleId="Style51">
    <w:name w:val="Перечисление"/>
    <w:basedOn w:val="Normal"/>
    <w:qFormat/>
    <w:pPr>
      <w:tabs>
        <w:tab w:val="clear" w:pos="708"/>
        <w:tab w:val="left" w:pos="851" w:leader="none"/>
      </w:tabs>
      <w:spacing w:lineRule="auto" w:line="300" w:before="120" w:after="120"/>
      <w:contextualSpacing/>
      <w:jc w:val="both"/>
    </w:pPr>
    <w:rPr>
      <w:rFonts w:ascii="Times New Roman" w:hAnsi="Times New Roman" w:eastAsia="MS Mincho"/>
    </w:rPr>
  </w:style>
  <w:style w:type="paragraph" w:styleId="Style52">
    <w:name w:val="Обычный. Список."/>
    <w:basedOn w:val="Normal"/>
    <w:link w:val="Style29"/>
    <w:qFormat/>
    <w:pPr>
      <w:numPr>
        <w:ilvl w:val="0"/>
        <w:numId w:val="18"/>
      </w:numPr>
      <w:spacing w:lineRule="auto" w:line="360" w:before="0" w:after="0"/>
      <w:ind w:start="1684" w:end="284"/>
      <w:jc w:val="both"/>
    </w:pPr>
    <w:rPr>
      <w:rFonts w:eastAsia="Batang" w:cs="Tahoma"/>
      <w:sz w:val="24"/>
      <w:szCs w:val="24"/>
      <w:lang w:eastAsia="en-US"/>
    </w:rPr>
  </w:style>
  <w:style w:type="paragraph" w:styleId="Style53">
    <w:name w:val="Текст_абзаца"/>
    <w:basedOn w:val="Normal"/>
    <w:qFormat/>
    <w:pPr>
      <w:tabs>
        <w:tab w:val="clear" w:pos="708"/>
        <w:tab w:val="left" w:pos="1814" w:leader="none"/>
      </w:tabs>
      <w:spacing w:lineRule="auto" w:line="360" w:before="0" w:after="80"/>
      <w:ind w:firstLine="709"/>
      <w:jc w:val="both"/>
    </w:pPr>
    <w:rPr>
      <w:rFonts w:ascii="Times New Roman" w:hAnsi="Times New Roman" w:eastAsia="Times New Roman"/>
      <w:bCs/>
      <w:sz w:val="24"/>
      <w:szCs w:val="20"/>
      <w:lang w:eastAsia="en-US"/>
    </w:rPr>
  </w:style>
  <w:style w:type="paragraph" w:styleId="Standard">
    <w:name w:val="Standard"/>
    <w:qFormat/>
    <w:pPr>
      <w:widowControl/>
      <w:suppressAutoHyphens w:val="true"/>
      <w:overflowPunct w:val="false"/>
      <w:bidi w:val="0"/>
      <w:spacing w:before="0" w:after="0"/>
      <w:jc w:val="start"/>
      <w:textAlignment w:val="baseline"/>
    </w:pPr>
    <w:rPr>
      <w:rFonts w:ascii="Times New Roman" w:hAnsi="Times New Roman" w:eastAsia="Times New Roman" w:cs="Times New Roman"/>
      <w:color w:val="00000A"/>
      <w:kern w:val="2"/>
      <w:sz w:val="24"/>
      <w:szCs w:val="24"/>
      <w:lang w:val="ru-RU" w:eastAsia="ru-RU" w:bidi="ar-SA"/>
    </w:rPr>
  </w:style>
  <w:style w:type="paragraph" w:styleId="113">
    <w:name w:val="Заголовок 1 ТТ"/>
    <w:basedOn w:val="Heading1"/>
    <w:next w:val="Normal"/>
    <w:qFormat/>
    <w:pPr>
      <w:keepNext w:val="true"/>
      <w:numPr>
        <w:ilvl w:val="0"/>
        <w:numId w:val="19"/>
      </w:numPr>
      <w:tabs>
        <w:tab w:val="clear" w:pos="708"/>
        <w:tab w:val="left" w:pos="360" w:leader="none"/>
      </w:tabs>
      <w:spacing w:lineRule="auto" w:line="276" w:before="240" w:after="60"/>
      <w:ind w:hanging="0" w:start="0"/>
      <w:jc w:val="both"/>
    </w:pPr>
    <w:rPr>
      <w:sz w:val="28"/>
      <w:szCs w:val="28"/>
    </w:rPr>
  </w:style>
  <w:style w:type="paragraph" w:styleId="28">
    <w:name w:val="Заголовок 2 ТТ"/>
    <w:basedOn w:val="Heading2"/>
    <w:next w:val="Normal"/>
    <w:qFormat/>
    <w:pPr>
      <w:numPr>
        <w:ilvl w:val="1"/>
        <w:numId w:val="19"/>
      </w:numPr>
      <w:tabs>
        <w:tab w:val="clear" w:pos="708"/>
        <w:tab w:val="left" w:pos="360" w:leader="none"/>
      </w:tabs>
      <w:spacing w:before="240" w:after="60"/>
      <w:ind w:hanging="0" w:start="0"/>
      <w:jc w:val="both"/>
    </w:pPr>
    <w:rPr>
      <w:rFonts w:ascii="Times New Roman" w:hAnsi="Times New Roman" w:eastAsia="Times New Roman" w:cs="Times New Roman"/>
      <w:iCs/>
      <w:color w:val="auto"/>
      <w:sz w:val="28"/>
      <w:szCs w:val="28"/>
    </w:rPr>
  </w:style>
  <w:style w:type="paragraph" w:styleId="36">
    <w:name w:val="Заголовок 3 ТТ"/>
    <w:basedOn w:val="Heading3"/>
    <w:next w:val="Normal"/>
    <w:qFormat/>
    <w:pPr>
      <w:numPr>
        <w:ilvl w:val="2"/>
        <w:numId w:val="19"/>
      </w:numPr>
      <w:tabs>
        <w:tab w:val="clear" w:pos="708"/>
        <w:tab w:val="left" w:pos="360" w:leader="none"/>
      </w:tabs>
      <w:spacing w:lineRule="auto" w:line="276" w:before="240" w:after="60"/>
      <w:ind w:hanging="0" w:start="0"/>
      <w:jc w:val="both"/>
    </w:pPr>
    <w:rPr>
      <w:rFonts w:ascii="Times New Roman" w:hAnsi="Times New Roman" w:eastAsia="Arial Unicode MS"/>
      <w:b/>
      <w:bCs/>
      <w:color w:val="auto"/>
      <w:sz w:val="28"/>
      <w:szCs w:val="28"/>
    </w:rPr>
  </w:style>
  <w:style w:type="paragraph" w:styleId="43">
    <w:name w:val="Заголовок 4 ТТ"/>
    <w:basedOn w:val="Heading4"/>
    <w:next w:val="Normal"/>
    <w:qFormat/>
    <w:pPr>
      <w:keepLines w:val="false"/>
      <w:numPr>
        <w:ilvl w:val="3"/>
        <w:numId w:val="19"/>
      </w:numPr>
      <w:tabs>
        <w:tab w:val="clear" w:pos="708"/>
        <w:tab w:val="left" w:pos="360" w:leader="none"/>
      </w:tabs>
      <w:spacing w:lineRule="auto" w:line="276" w:before="120" w:after="60"/>
      <w:ind w:hanging="0"/>
    </w:pPr>
    <w:rPr>
      <w:rFonts w:ascii="Times New Roman" w:hAnsi="Times New Roman"/>
      <w:b/>
      <w:bCs/>
      <w:i w:val="false"/>
      <w:iCs w:val="false"/>
      <w:color w:val="auto"/>
      <w:sz w:val="28"/>
      <w:szCs w:val="20"/>
    </w:rPr>
  </w:style>
  <w:style w:type="paragraph" w:styleId="Style54">
    <w:name w:val="Содержимое врезки"/>
    <w:basedOn w:val="Normal"/>
    <w:qFormat/>
    <w:pPr/>
    <w:rPr/>
  </w:style>
  <w:style w:type="paragraph" w:styleId="user6">
    <w:name w:val="Содержимое врезки (user)"/>
    <w:basedOn w:val="Normal"/>
    <w:qFormat/>
    <w:pPr/>
    <w:rPr/>
  </w:style>
  <w:style w:type="paragraph" w:styleId="user7">
    <w:name w:val="Заголовок таблицы (user)"/>
    <w:basedOn w:val="user5"/>
    <w:qFormat/>
    <w:pPr>
      <w:suppressLineNumbers/>
      <w:jc w:val="center"/>
    </w:pPr>
    <w:rPr>
      <w:b/>
      <w:bCs/>
    </w:rPr>
  </w:style>
  <w:style w:type="paragraph" w:styleId="Style55">
    <w:name w:val="Содержимое таблицы"/>
    <w:basedOn w:val="Normal"/>
    <w:qFormat/>
    <w:pPr>
      <w:widowControl w:val="false"/>
      <w:suppressLineNumbers/>
    </w:pPr>
    <w:rPr/>
  </w:style>
  <w:style w:type="paragraph" w:styleId="Style56">
    <w:name w:val="Заголовок таблицы"/>
    <w:basedOn w:val="Style55"/>
    <w:qFormat/>
    <w:pPr>
      <w:suppressLineNumbers/>
      <w:jc w:val="center"/>
    </w:pPr>
    <w:rPr>
      <w:b/>
      <w:bCs/>
    </w:rPr>
  </w:style>
  <w:style w:type="numbering" w:styleId="Style57">
    <w:name w:val="Без списка"/>
    <w:qFormat/>
  </w:style>
  <w:style w:type="numbering" w:styleId="user8">
    <w:name w:val="Без списка (user)"/>
    <w:qFormat/>
  </w:style>
  <w:style w:type="numbering" w:styleId="114">
    <w:name w:val="Текущий список1"/>
    <w:qFormat/>
  </w:style>
  <w:style w:type="numbering" w:styleId="29">
    <w:name w:val="Текущий список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94</TotalTime>
  <Application>LibreOffice/25.8.7.3$Linux_X86_64 LibreOffice_project/30742500f2d3eb4366ac312fa33d3dcabdb3eba5</Application>
  <AppVersion>15.0000</AppVersion>
  <Pages>5</Pages>
  <Words>1474</Words>
  <Characters>9188</Characters>
  <CharactersWithSpaces>10455</CharactersWithSpaces>
  <Paragraphs>247</Paragraphs>
  <Company>vdi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2025-04-04T06:03:00Z</dcterms:created>
  <dc:creator>БормотоваНН</dc:creator>
  <dc:description/>
  <dc:language>ru-RU</dc:language>
  <cp:lastModifiedBy/>
  <dcterms:modified xsi:type="dcterms:W3CDTF">2026-10-08T15:01:30Z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