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footnotes.xml" ContentType="application/vnd.openxmlformats-officedocument.wordprocessingml.footnotes+xml"/>
  <Override PartName="/word/header7.xml" ContentType="application/vnd.openxmlformats-officedocument.wordprocessingml.header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keepNext w:val="true"/>
        <w:keepLines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  <w:bookmarkStart w:id="0" w:name="_Toc141696704"/>
      <w:bookmarkStart w:id="1" w:name="_Toc137554584"/>
      <w:bookmarkStart w:id="2" w:name="_Toc139856287"/>
      <w:bookmarkStart w:id="3" w:name="_Toc141696704"/>
      <w:bookmarkStart w:id="4" w:name="_Toc137554584"/>
      <w:bookmarkStart w:id="5" w:name="_Toc139856287"/>
      <w:bookmarkEnd w:id="3"/>
      <w:bookmarkEnd w:id="4"/>
      <w:bookmarkEnd w:id="5"/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  <w:bookmarkStart w:id="6" w:name="_Toc141696704_Копия_1"/>
      <w:bookmarkStart w:id="7" w:name="_Toc137554584_Копия_1"/>
      <w:bookmarkStart w:id="8" w:name="_Toc139856287_Копия_1"/>
      <w:bookmarkStart w:id="9" w:name="_Toc141696704_Копия_1"/>
      <w:bookmarkStart w:id="10" w:name="_Toc137554584_Копия_1"/>
      <w:bookmarkStart w:id="11" w:name="_Toc139856287_Копия_1"/>
      <w:bookmarkEnd w:id="9"/>
      <w:bookmarkEnd w:id="10"/>
      <w:bookmarkEnd w:id="11"/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57" w:after="57"/>
        <w:jc w:val="center"/>
        <w:rPr>
          <w:rFonts w:ascii="Times New Roman" w:hAnsi="Times New Roman" w:eastAsia="Times New Roman" w:cs="Times New Roman"/>
          <w:b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color w:val="auto"/>
          <w:kern w:val="0"/>
          <w:sz w:val="28"/>
          <w:szCs w:val="28"/>
          <w:lang w:val="ru-RU" w:eastAsia="ru-RU" w:bidi="ar-SA"/>
        </w:rPr>
        <w:t xml:space="preserve">Технические требования для комплексного договора 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57" w:after="57"/>
        <w:jc w:val="center"/>
        <w:rPr>
          <w:rFonts w:ascii="Times New Roman" w:hAnsi="Times New Roman" w:eastAsia="Times New Roman" w:cs="Times New Roman"/>
          <w:b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color w:val="auto"/>
          <w:kern w:val="0"/>
          <w:sz w:val="28"/>
          <w:szCs w:val="28"/>
          <w:lang w:val="ru-RU" w:eastAsia="ru-RU" w:bidi="ar-SA"/>
        </w:rPr>
        <w:t>ОКПД-2: 26.30.11.139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57" w:after="57"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Times New Roman" w:cs="Times New Roman"/>
          <w:b/>
          <w:color w:val="auto"/>
          <w:kern w:val="0"/>
          <w:sz w:val="28"/>
          <w:szCs w:val="28"/>
          <w:lang w:val="ru-RU" w:eastAsia="ru-RU" w:bidi="ar-SA"/>
        </w:rPr>
        <w:t>«Разработка рабочей документации, поставка, монтаж, нала</w:t>
      </w:r>
      <w:r>
        <w:rPr>
          <w:b/>
        </w:rPr>
        <w:t>дка САУ ГА 2, 4, 6 Рыбинской ГЭС и САУ ГА 2 Угличской ГЭС в части защиты по виброконтролю</w:t>
      </w:r>
      <w:r>
        <w:rPr>
          <w:rFonts w:eastAsia="Calibri"/>
          <w:b/>
          <w:i/>
          <w:sz w:val="26"/>
          <w:szCs w:val="26"/>
        </w:rPr>
        <w:t>»</w:t>
      </w:r>
    </w:p>
    <w:p>
      <w:pPr>
        <w:pStyle w:val="Normal"/>
        <w:keepNext w:val="true"/>
        <w:keepLines/>
        <w:jc w:val="center"/>
        <w:rPr/>
      </w:pPr>
      <w:r>
        <w:rPr>
          <w:rStyle w:val="Style8"/>
          <w:rFonts w:eastAsia="Calibri"/>
          <w:b/>
          <w:i w:val="false"/>
          <w:iCs w:val="false"/>
          <w:shd w:fill="auto" w:val="clear"/>
        </w:rPr>
        <w:t>Лот №__________________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r>
            <w:fldChar w:fldCharType="begin"/>
          </w:r>
          <w:r>
            <w:rPr>
              <w:webHidden/>
              <w:rStyle w:val="Style14"/>
              <w:vanish w:val="false"/>
            </w:rPr>
            <w:instrText xml:space="preserve"> TOC \z \o "1-4" \u \h</w:instrText>
          </w:r>
          <w:r>
            <w:rPr>
              <w:webHidden/>
              <w:rStyle w:val="Style14"/>
              <w:vanish w:val="false"/>
            </w:rPr>
            <w:fldChar w:fldCharType="separate"/>
          </w:r>
          <w:hyperlink w:anchor="__RefHeading___Toc16590_283024793">
            <w:r>
              <w:rPr>
                <w:webHidden/>
                <w:rStyle w:val="Style14"/>
                <w:vanish w:val="false"/>
              </w:rPr>
              <w:t>1. Общие сведения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6592_283024793">
            <w:r>
              <w:rPr>
                <w:webHidden/>
                <w:rStyle w:val="Style14"/>
                <w:vanish w:val="false"/>
              </w:rPr>
              <w:t>1.1. Обозначения и сокращения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6594_283024793">
            <w:r>
              <w:rPr>
                <w:webHidden/>
                <w:rStyle w:val="Style14"/>
                <w:vanish w:val="false"/>
              </w:rPr>
              <w:t>1.2. Наименование закупаемой продукции</w:t>
              <w:tab/>
              <w:t>4</w:t>
            </w:r>
          </w:hyperlink>
        </w:p>
        <w:p>
          <w:pPr>
            <w:pStyle w:val="TOC2"/>
            <w:tabs>
              <w:tab w:val="clear" w:pos="708"/>
              <w:tab w:val="right" w:pos="9921" w:leader="dot"/>
            </w:tabs>
            <w:rPr/>
          </w:pPr>
          <w:hyperlink w:anchor="__RefHeading___Toc16596_283024793">
            <w:r>
              <w:rPr>
                <w:webHidden/>
                <w:rStyle w:val="Style14"/>
                <w:vanish w:val="false"/>
              </w:rPr>
              <w:t>Цель использования закупаемой продукции</w:t>
              <w:tab/>
              <w:t>4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6598_283024793">
            <w:r>
              <w:rPr>
                <w:webHidden/>
                <w:rStyle w:val="Style14"/>
                <w:vanish w:val="false"/>
              </w:rPr>
              <w:t>1.3. Существующее положение</w:t>
              <w:tab/>
              <w:t>4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00_283024793">
            <w:r>
              <w:rPr>
                <w:webHidden/>
                <w:rStyle w:val="Style14"/>
                <w:vanish w:val="false"/>
              </w:rPr>
              <w:t>Таблица 1. Перечень объектов заказчика</w:t>
              <w:tab/>
              <w:t>4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6602_283024793">
            <w:r>
              <w:rPr>
                <w:webHidden/>
                <w:rStyle w:val="Style14"/>
                <w:vanish w:val="false"/>
              </w:rPr>
              <w:t>1.4. 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 этапе исполнения договора):</w:t>
              <w:tab/>
              <w:t>5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04_283024793">
            <w:r>
              <w:rPr>
                <w:webHidden/>
                <w:rStyle w:val="Style14"/>
                <w:vanish w:val="false"/>
              </w:rPr>
              <w:t>2. Требования к продукции</w:t>
              <w:tab/>
              <w:t>6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6606_283024793">
            <w:r>
              <w:rPr>
                <w:webHidden/>
                <w:rStyle w:val="Style14"/>
                <w:vanish w:val="false"/>
              </w:rPr>
              <w:t>2.1. Требования по объемам и срокам</w:t>
              <w:tab/>
              <w:t>6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6608_283024793">
            <w:r>
              <w:rPr>
                <w:webHidden/>
                <w:rStyle w:val="Style14"/>
                <w:vanish w:val="false"/>
              </w:rPr>
              <w:t>2.1.1. Требования к видам и объемам поставок МТР, работ, услуг</w:t>
              <w:tab/>
              <w:t>6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10_283024793">
            <w:r>
              <w:rPr>
                <w:webHidden/>
                <w:rStyle w:val="Style14"/>
                <w:vanish w:val="false"/>
              </w:rPr>
              <w:t>Таблица 2.1 Перечень и объем выполняемых работ / оказываемых услуг</w:t>
              <w:tab/>
              <w:t>6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12_283024793">
            <w:r>
              <w:rPr>
                <w:webHidden/>
                <w:rStyle w:val="Style14"/>
                <w:vanish w:val="false"/>
              </w:rPr>
              <w:t>Таблица 2.2. Перечень и объем закупаемых МТР</w:t>
              <w:tab/>
              <w:t>6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16614_283024793">
            <w:r>
              <w:rPr>
                <w:webHidden/>
                <w:rStyle w:val="Style14"/>
                <w:vanish w:val="false"/>
              </w:rPr>
              <w:t>2.1.2. Требования к срокам поставки МТР, выполнению работ, оказанию услуг</w:t>
              <w:tab/>
              <w:t>6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16_283024793">
            <w:r>
              <w:rPr>
                <w:webHidden/>
                <w:rStyle w:val="Style14"/>
                <w:vanish w:val="false"/>
              </w:rPr>
              <w:t>Таблица 3.1. Требования по срокам выполнения работ / оказания услуг</w:t>
            </w:r>
            <w:r>
              <w:rPr>
                <w:rStyle w:val="Style14"/>
              </w:rPr>
              <w:tab/>
              <w:t>6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16618_283024793">
            <w:r>
              <w:rPr>
                <w:webHidden/>
                <w:rStyle w:val="Style14"/>
                <w:vanish w:val="false"/>
              </w:rPr>
              <w:t>2.2. Требования к качеству продукции</w:t>
              <w:tab/>
              <w:t>8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20_283024793">
            <w:r>
              <w:rPr>
                <w:webHidden/>
                <w:rStyle w:val="Style14"/>
                <w:vanish w:val="false"/>
              </w:rPr>
              <w:t>Таблица 4. Требования к качеству продукции</w:t>
              <w:tab/>
              <w:t>8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22_283024793">
            <w:r>
              <w:rPr>
                <w:webHidden/>
                <w:rStyle w:val="Style14"/>
                <w:vanish w:val="false"/>
              </w:rPr>
              <w:t>3. Требования к документации по ценообразованию на этапе закупки</w:t>
              <w:tab/>
              <w:t>22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8265_1034702777">
            <w:r>
              <w:rPr>
                <w:webHidden/>
                <w:rStyle w:val="Style14"/>
                <w:vanish w:val="false"/>
              </w:rPr>
              <w:t>4.  Требования к документации по ценообразованию на этапе заключения (исполнения) договора</w:t>
              <w:tab/>
              <w:t>22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16626_283024793">
            <w:r>
              <w:rPr>
                <w:webHidden/>
                <w:rStyle w:val="Style14"/>
                <w:vanish w:val="false"/>
              </w:rPr>
              <w:t xml:space="preserve">5. </w:t>
            </w:r>
            <w:r>
              <w:rPr>
                <w:rStyle w:val="Style14"/>
                <w:iCs/>
              </w:rPr>
              <w:t>Приложения</w:t>
            </w:r>
            <w:r>
              <w:rPr>
                <w:rStyle w:val="Style14"/>
              </w:rPr>
              <w:tab/>
              <w:t>23</w:t>
            </w:r>
          </w:hyperlink>
          <w:r>
            <w:rPr>
              <w:rStyle w:val="Style14"/>
            </w:rPr>
            <w:fldChar w:fldCharType="end"/>
          </w:r>
        </w:p>
      </w:sdtContent>
    </w:sdt>
    <w:p>
      <w:pPr>
        <w:pStyle w:val="Heading2"/>
        <w:numPr>
          <w:ilvl w:val="0"/>
        </w:numPr>
        <w:tabs>
          <w:tab w:val="clear" w:pos="0"/>
        </w:tabs>
        <w:ind w:left="0" w:hanging="0"/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ind w:left="0" w:hanging="0"/>
        <w:jc w:val="center"/>
        <w:rPr>
          <w:caps/>
        </w:rPr>
      </w:pPr>
      <w:bookmarkStart w:id="12" w:name="__RefHeading___Toc16590_283024793"/>
      <w:bookmarkStart w:id="13" w:name="_Toc54970174"/>
      <w:bookmarkStart w:id="14" w:name="_Toc51339692"/>
      <w:bookmarkEnd w:id="12"/>
      <w:r>
        <w:rPr/>
        <w:t>Общие сведения</w:t>
      </w:r>
      <w:bookmarkEnd w:id="13"/>
      <w:bookmarkEnd w:id="14"/>
    </w:p>
    <w:p>
      <w:pPr>
        <w:pStyle w:val="Heading4"/>
        <w:numPr>
          <w:ilvl w:val="1"/>
          <w:numId w:val="3"/>
        </w:numPr>
        <w:rPr/>
      </w:pPr>
      <w:bookmarkStart w:id="15" w:name="__RefHeading___Toc16592_283024793"/>
      <w:bookmarkStart w:id="16" w:name="_Toc54970175"/>
      <w:bookmarkStart w:id="17" w:name="_Toc46743505"/>
      <w:bookmarkEnd w:id="15"/>
      <w:r>
        <w:rPr/>
        <w:t>Обозначения и сокращения</w:t>
      </w:r>
      <w:bookmarkEnd w:id="16"/>
      <w:bookmarkEnd w:id="17"/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АСУ ТП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автоматизированная система управления технологическим процессом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гидроагрегат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ГЭС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 xml:space="preserve"> </w:t>
            </w:r>
            <w:r>
              <w:rPr/>
              <w:t>гидроэлектростанция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система автоматизированного управления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ИД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исполнительная документация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ИК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измерительный канал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МТР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материально-технические ресурсы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НТД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нормативно-техническая документация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ПНР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пуско-наладочные работы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ПУЭ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Правила устройства электроустановок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РГЭС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Рыбинская ГЭС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РЧВ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регулятор частоты вращения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1"/>
              </w:numPr>
              <w:spacing w:before="120" w:after="120"/>
              <w:ind w:left="84" w:hanging="141"/>
              <w:contextualSpacing/>
              <w:jc w:val="both"/>
              <w:rPr/>
            </w:pPr>
            <w:r>
              <w:rPr/>
              <w:t>стандарт организации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/>
            </w:pPr>
            <w:r>
              <w:rPr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технические требования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УГЭС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Угличская ГЭС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филиал ПАО «РусГидро»-«Каскад Верхневолжских ГЭС»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3"/>
        </w:numPr>
        <w:rPr/>
      </w:pPr>
      <w:bookmarkStart w:id="18" w:name="__RefHeading___Toc16594_283024793"/>
      <w:bookmarkStart w:id="19" w:name="_Toc46743506"/>
      <w:bookmarkStart w:id="20" w:name="_Toc54970176"/>
      <w:bookmarkEnd w:id="18"/>
      <w:r>
        <w:rPr/>
        <w:t>Наименование закупаемой продукции</w:t>
      </w:r>
      <w:bookmarkEnd w:id="19"/>
      <w:bookmarkEnd w:id="20"/>
    </w:p>
    <w:p>
      <w:pPr>
        <w:pStyle w:val="Normal"/>
        <w:ind w:firstLine="426"/>
        <w:jc w:val="both"/>
        <w:rPr>
          <w:b/>
          <w:bCs/>
          <w:sz w:val="24"/>
          <w:szCs w:val="24"/>
        </w:rPr>
      </w:pPr>
      <w:bookmarkStart w:id="21" w:name="_Toc54970177"/>
      <w:r>
        <w:rPr>
          <w:sz w:val="24"/>
          <w:szCs w:val="24"/>
        </w:rPr>
        <w:t>Модернизация САУ ГА 2, 4, 6 Рыбинской ГЭС и САУ ГА 2 Угличской ГЭС в части защиты по виброконтролю, исключающая излишние аварийные остановы гидроагрегатов при отказе датчиков вибрации и боя вала гидроагрегатов Рыбинской и Угличской ГЭС.</w:t>
      </w:r>
    </w:p>
    <w:p>
      <w:pPr>
        <w:pStyle w:val="Heading2"/>
        <w:numPr>
          <w:ilvl w:val="0"/>
        </w:numPr>
        <w:ind w:left="432" w:hanging="432"/>
        <w:rPr/>
      </w:pPr>
      <w:bookmarkStart w:id="22" w:name="__RefHeading___Toc16596_283024793"/>
      <w:bookmarkStart w:id="23" w:name="_Toc46743507"/>
      <w:bookmarkEnd w:id="22"/>
      <w:r>
        <w:rPr/>
        <w:t>Цель использования закупаемой продукции</w:t>
      </w:r>
      <w:bookmarkEnd w:id="23"/>
      <w:r>
        <w:rPr>
          <w:lang w:val="ru-RU"/>
        </w:rPr>
        <w:t xml:space="preserve"> </w:t>
      </w:r>
      <w:bookmarkEnd w:id="21"/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 системе вибромониторинга гидроагрегатов Рыбинской и Угличской ГЭС установлено по 2 датчика виброперемещений на каждом опорном узле, расположенных во взаимно перпендикулярных направлениях. Целью выполнения модернизации САУ ГА 2, 4, 6 Рыбинской ГЭС и САУ ГА 2 Угличской ГЭС в части защиты по виброконтролю является исключение излишних аварийных остановов гидроагрегатов 2, 4 и 6 Рыбинской ГЭС и гидроагрегата ст. №2 Угличской ГЭС в следствие неисправности одного из датчиков подсистемы виброконтроля.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Обеспечение возможности настройки параметров измерительных каналов подсистемы виброконтроля САУ ГА 1, 2, 3, 4, 5 и 6 Рыбинской ГЭС и САУ ГА 2 Угличской ГЭС с использованием имеющейся операторской панели. Реализация дополнительных экранных форм операторской панели САУ.</w:t>
      </w:r>
    </w:p>
    <w:p>
      <w:pPr>
        <w:pStyle w:val="Heading4"/>
        <w:numPr>
          <w:ilvl w:val="1"/>
          <w:numId w:val="3"/>
        </w:numPr>
        <w:rPr/>
      </w:pPr>
      <w:bookmarkStart w:id="24" w:name="__RefHeading___Toc16598_283024793"/>
      <w:bookmarkStart w:id="25" w:name="_Toc46743508"/>
      <w:bookmarkStart w:id="26" w:name="_Toc54970178"/>
      <w:bookmarkEnd w:id="24"/>
      <w:r>
        <w:rPr/>
        <w:t>Существующее положение</w:t>
      </w:r>
      <w:bookmarkEnd w:id="25"/>
      <w:bookmarkEnd w:id="26"/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 настоящее время микропроцессорной системой автоматизированного управления оснащены гидроагрегаты ст. № 1, 2, 3, 4, 5 и 6.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Системы автоматизированного управления гидроагрегатов ст. № 1, 2, 3, 4, 5 и 6 построены на базе промышленных контроллеров Siemens.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Существующая система виброконтроля гидроагрегатов ст. № 1, 2, 3, 4, 5 и 6 построена с использованием датчиков виброперемещений ИВП-05-0,8/200.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Система автоматизированного управления гидроагрегата ст. №2 Угличской ГЭС построена на базе промышленных контроллеров Siemens.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Существующая система виброконтроля гидроагрегата ст. № 2 построена с использованием датчиков виброперемещений ИВП-05-0,8/200.</w:t>
      </w:r>
    </w:p>
    <w:p>
      <w:pPr>
        <w:pStyle w:val="Heading1"/>
        <w:numPr>
          <w:ilvl w:val="0"/>
          <w:numId w:val="0"/>
        </w:numPr>
        <w:ind w:left="0" w:hanging="0"/>
        <w:rPr>
          <w:rStyle w:val="Style8"/>
          <w:b/>
          <w:i w:val="false"/>
          <w:i w:val="false"/>
          <w:sz w:val="24"/>
          <w:szCs w:val="24"/>
          <w:shd w:fill="auto" w:val="clear"/>
        </w:rPr>
      </w:pPr>
      <w:bookmarkStart w:id="27" w:name="__RefHeading___Toc16600_283024793"/>
      <w:bookmarkStart w:id="28" w:name="_Toc54970179"/>
      <w:bookmarkEnd w:id="27"/>
      <w:r>
        <w:rPr>
          <w:sz w:val="24"/>
          <w:szCs w:val="24"/>
        </w:rPr>
        <w:t>Таблица 1. Перечень объектов заказчика</w:t>
      </w:r>
      <w:bookmarkEnd w:id="28"/>
    </w:p>
    <w:tbl>
      <w:tblPr>
        <w:tblW w:w="10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01"/>
        <w:gridCol w:w="2863"/>
        <w:gridCol w:w="2426"/>
        <w:gridCol w:w="2394"/>
        <w:gridCol w:w="1576"/>
      </w:tblGrid>
      <w:tr>
        <w:trPr/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объекта 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основного средства </w:t>
              <w:br/>
              <w:t>(в отношении которого выполняются работы, оказываются услуги)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>
        <w:trPr/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>
        <w:trPr>
          <w:trHeight w:val="881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ст.№1 Рыбинской ГЭС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Рыбинск, ул. Вяземского, д.31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ст.№1 Рыбинской ГЭС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(12001040000017140000)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  <w:tr>
        <w:trPr>
          <w:trHeight w:val="881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(САУ) гидроагрегата ст.№2 Рыбинской ГЭС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Рыбинск, ул. Вяземского, д.31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(САУ) гидроагрегата ст.№2 Рыбинской ГЭС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(КВ000002657)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  <w:tr>
        <w:trPr>
          <w:trHeight w:val="273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ст.№3 Рыбинской ГЭС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Рыбинск, ул. Вяземского, д.31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ст.№3 Рыбинской ГЭС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(12001040000018010000)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  <w:tr>
        <w:trPr>
          <w:trHeight w:val="881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(САУ) гидроагрегата ст. № 4 Рыбинской ГЭС.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Рыбинск, ул. Вяземского, д.31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гидроагрегатом (САУ ГА) ст. № 4 Рыбинской ГЭС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(12001040000016990000)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  <w:tr>
        <w:trPr>
          <w:trHeight w:val="881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ст. №5 Рыбинской ГЭС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Рыбинск, ул. Вяземского, д.31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ст. №5 Рыбинской ГЭС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(12001040000018760000)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  <w:tr>
        <w:trPr>
          <w:trHeight w:val="881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агрегата САУ ГА ст. №6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Рыбинск, ул. Вяземского, д.31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агрегата САУ ГА ст. №6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(12001040000016320000)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  <w:tr>
        <w:trPr>
          <w:trHeight w:val="881" w:hRule="atLeast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РЗА ГА № 2 УГЭС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Российская Федерация,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Ярославская обл., 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г. Углич, ул. Спасская, д.33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Система управления гидроагрегата РЗА ГА № 2 УГЭС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(Н00000000465)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</w:r>
          </w:p>
        </w:tc>
      </w:tr>
    </w:tbl>
    <w:p>
      <w:pPr>
        <w:pStyle w:val="Heading4"/>
        <w:numPr>
          <w:ilvl w:val="1"/>
          <w:numId w:val="3"/>
        </w:numPr>
        <w:rPr>
          <w:b w:val="false"/>
        </w:rPr>
      </w:pPr>
      <w:bookmarkStart w:id="29" w:name="__RefHeading___Toc16602_283024793"/>
      <w:bookmarkEnd w:id="29"/>
      <w:r>
        <w:rPr>
          <w:b w:val="false"/>
        </w:rPr>
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 этапе исполнения договора):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Заказчик назначает представителя от филиала для оперативного рассмотрения и решения технических и организационных вопросов, связанных с оказанием услуг.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>Заказчик обеспечивает: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-</w:t>
        <w:tab/>
        <w:t xml:space="preserve"> возможность подключения оборудования Исполнителя к имеющимся у Заказчика бытовым источникам электроснабжения, водоснабжения, канализации для целей оказания услуг;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-</w:t>
        <w:tab/>
        <w:t xml:space="preserve">ознакомление Исполнителя с локальными нормативными актами Заказчика, устанавливающими требования по охране труда, промышленной и пожарной безопасности, охране окружающей среды, правилами пропускного и внутриобъектового режима Заказчика; </w:t>
      </w:r>
    </w:p>
    <w:p>
      <w:pPr>
        <w:pStyle w:val="Normal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-</w:t>
        <w:tab/>
        <w:t>предоставление Исполнителю необходимой для оказания услуг заводской документации, конструкторской, проектной документации, схемы постов энергоносителей; документы о ранее выполненных ремонтах оборудования, данные о его техническом состоянии и данные об отказах оборудования в процессе эксплуатации.</w:t>
      </w:r>
    </w:p>
    <w:p>
      <w:pPr>
        <w:pStyle w:val="Normal"/>
        <w:spacing w:before="57" w:after="0"/>
        <w:rPr>
          <w:sz w:val="24"/>
          <w:szCs w:val="24"/>
        </w:rPr>
      </w:pPr>
      <w:r>
        <w:rPr>
          <w:sz w:val="24"/>
          <w:szCs w:val="24"/>
        </w:rPr>
        <w:t>Особые условия выполнения работ на объектах Заказчика: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spacing w:lineRule="auto" w:line="235" w:before="0" w:after="0"/>
        <w:contextualSpacing/>
        <w:jc w:val="both"/>
        <w:rPr>
          <w:bCs/>
          <w:sz w:val="24"/>
        </w:rPr>
      </w:pPr>
      <w:r>
        <w:rPr>
          <w:bCs/>
          <w:sz w:val="24"/>
        </w:rPr>
      </w:r>
    </w:p>
    <w:tbl>
      <w:tblPr>
        <w:tblW w:w="9919" w:type="dxa"/>
        <w:jc w:val="left"/>
        <w:tblInd w:w="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561"/>
        <w:gridCol w:w="9357"/>
      </w:tblGrid>
      <w:tr>
        <w:trPr/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производства работ</w:t>
            </w:r>
          </w:p>
        </w:tc>
      </w:tr>
      <w:tr>
        <w:trPr/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13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left="0" w:right="113" w:hanging="0"/>
              <w:jc w:val="both"/>
              <w:rPr/>
            </w:pPr>
            <w:r>
              <w:rPr>
                <w:iCs/>
              </w:rPr>
              <w:t>Оказание услуг производится в существующих зданиях и сооружениях в стесненных условиях: с наличием в зоне оказания услуг действующего технологического оборудования (станков, установок, ПС и другого оборудования), загромождающих предметов.</w:t>
            </w:r>
          </w:p>
        </w:tc>
      </w:tr>
      <w:tr>
        <w:trPr/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13" w:hanging="0"/>
              <w:jc w:val="center"/>
              <w:rPr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left="0" w:right="113" w:hanging="0"/>
              <w:jc w:val="both"/>
              <w:rPr/>
            </w:pPr>
            <w:r>
              <w:rPr/>
              <w:t>Оказание услуг в стесненных условиях: с наличием в зоне оказания услуг действующего технологического оборудования.</w:t>
            </w:r>
          </w:p>
        </w:tc>
      </w:tr>
    </w:tbl>
    <w:p>
      <w:pPr>
        <w:pStyle w:val="Heading1"/>
        <w:numPr>
          <w:ilvl w:val="0"/>
          <w:numId w:val="3"/>
        </w:numPr>
        <w:ind w:left="0" w:hanging="0"/>
        <w:jc w:val="center"/>
        <w:rPr>
          <w:caps/>
          <w:lang w:val="ru-RU"/>
        </w:rPr>
      </w:pPr>
      <w:bookmarkStart w:id="30" w:name="__RefHeading___Toc16604_283024793"/>
      <w:bookmarkStart w:id="31" w:name="_Toc54970182"/>
      <w:bookmarkStart w:id="32" w:name="_Toc51339693"/>
      <w:bookmarkEnd w:id="30"/>
      <w:r>
        <w:rPr/>
        <w:t>Требования к продукции</w:t>
      </w:r>
      <w:bookmarkEnd w:id="31"/>
      <w:bookmarkEnd w:id="32"/>
    </w:p>
    <w:p>
      <w:pPr>
        <w:pStyle w:val="Heading4"/>
        <w:numPr>
          <w:ilvl w:val="1"/>
          <w:numId w:val="3"/>
        </w:numPr>
        <w:rPr/>
      </w:pPr>
      <w:bookmarkStart w:id="33" w:name="__RefHeading___Toc16606_283024793"/>
      <w:bookmarkStart w:id="34" w:name="_Toc54970183"/>
      <w:bookmarkEnd w:id="33"/>
      <w:r>
        <w:rPr/>
        <w:t xml:space="preserve">Требования </w:t>
      </w:r>
      <w:r>
        <w:rPr>
          <w:lang w:val="ru-RU"/>
        </w:rPr>
        <w:t>по</w:t>
      </w:r>
      <w:r>
        <w:rPr/>
        <w:t xml:space="preserve"> объемам и срокам</w:t>
      </w:r>
      <w:bookmarkEnd w:id="34"/>
      <w:r>
        <w:rPr/>
        <w:t xml:space="preserve"> </w:t>
      </w:r>
    </w:p>
    <w:p>
      <w:pPr>
        <w:pStyle w:val="Heading3"/>
        <w:numPr>
          <w:ilvl w:val="2"/>
          <w:numId w:val="3"/>
        </w:numPr>
        <w:rPr/>
      </w:pPr>
      <w:bookmarkStart w:id="35" w:name="__RefHeading___Toc16608_283024793"/>
      <w:bookmarkStart w:id="36" w:name="_Toc54970184"/>
      <w:bookmarkEnd w:id="35"/>
      <w:r>
        <w:rPr/>
        <w:t>Требования к видам и объемам поставок</w:t>
      </w:r>
      <w:r>
        <w:rPr>
          <w:lang w:val="ru-RU"/>
        </w:rPr>
        <w:t xml:space="preserve"> МТР</w:t>
      </w:r>
      <w:r>
        <w:rPr/>
        <w:t>, работ, услуг</w:t>
      </w:r>
      <w:bookmarkEnd w:id="36"/>
    </w:p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</w:rPr>
      </w:pPr>
      <w:bookmarkStart w:id="37" w:name="__RefHeading___Toc16610_283024793"/>
      <w:bookmarkStart w:id="38" w:name="_Toc54970185"/>
      <w:bookmarkStart w:id="39" w:name="_Toc51339695"/>
      <w:bookmarkEnd w:id="37"/>
      <w:r>
        <w:rPr>
          <w:sz w:val="24"/>
          <w:szCs w:val="24"/>
        </w:rPr>
        <w:t>Таблица 2</w:t>
      </w:r>
      <w:r>
        <w:rPr>
          <w:sz w:val="24"/>
          <w:szCs w:val="24"/>
          <w:lang w:val="ru-RU"/>
        </w:rPr>
        <w:t>.1</w:t>
      </w:r>
      <w:r>
        <w:rPr>
          <w:sz w:val="24"/>
          <w:szCs w:val="24"/>
        </w:rPr>
        <w:t xml:space="preserve"> Перечень</w:t>
      </w:r>
      <w:r>
        <w:rPr>
          <w:sz w:val="24"/>
          <w:szCs w:val="24"/>
          <w:lang w:val="ru-RU"/>
        </w:rPr>
        <w:t xml:space="preserve"> и объем</w:t>
      </w:r>
      <w:r>
        <w:rPr>
          <w:sz w:val="24"/>
          <w:szCs w:val="24"/>
        </w:rPr>
        <w:t xml:space="preserve"> </w:t>
      </w:r>
      <w:bookmarkEnd w:id="39"/>
      <w:r>
        <w:rPr>
          <w:sz w:val="24"/>
          <w:szCs w:val="24"/>
        </w:rPr>
        <w:t>выполняемых работ</w:t>
      </w:r>
      <w:r>
        <w:rPr>
          <w:sz w:val="24"/>
          <w:szCs w:val="24"/>
          <w:lang w:val="ru-RU"/>
        </w:rPr>
        <w:t xml:space="preserve"> / </w:t>
      </w:r>
      <w:r>
        <w:rPr>
          <w:sz w:val="24"/>
          <w:szCs w:val="24"/>
        </w:rPr>
        <w:t>оказываемых услуг</w:t>
      </w:r>
      <w:bookmarkEnd w:id="38"/>
    </w:p>
    <w:tbl>
      <w:tblPr>
        <w:tblW w:w="981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48"/>
        <w:gridCol w:w="5417"/>
        <w:gridCol w:w="1428"/>
        <w:gridCol w:w="2116"/>
      </w:tblGrid>
      <w:tr>
        <w:trPr/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 (услуг) / этапа работ (услуг)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jc w:val="center"/>
              <w:rPr/>
            </w:pPr>
            <w:r>
              <w:rPr/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i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рабочей документации, поставка, монтаж, наладка САУ ГА 2, 4, 6 Рыбинской ГЭС в части защиты по виброконтролю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jc w:val="center"/>
              <w:rPr/>
            </w:pPr>
            <w:r>
              <w:rPr/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рабочей документации, поставка, монтаж, наладка САУ ГА 2 Угличской ГЭС в части защиты по виброконтролю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</w:rPr>
      </w:pPr>
      <w:bookmarkStart w:id="40" w:name="__RefHeading___Toc16612_283024793"/>
      <w:bookmarkStart w:id="41" w:name="_Toc51955658"/>
      <w:bookmarkStart w:id="42" w:name="_Toc54970186"/>
      <w:bookmarkEnd w:id="40"/>
      <w:r>
        <w:rPr>
          <w:sz w:val="24"/>
          <w:szCs w:val="24"/>
        </w:rPr>
        <w:t>Таблица 2.2</w:t>
      </w:r>
      <w:r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Перечень и объем закупаемых МТР</w:t>
      </w:r>
      <w:bookmarkEnd w:id="42"/>
      <w:r>
        <w:rPr>
          <w:sz w:val="24"/>
          <w:szCs w:val="24"/>
        </w:rPr>
        <w:t xml:space="preserve"> </w:t>
      </w:r>
      <w:bookmarkEnd w:id="41"/>
    </w:p>
    <w:tbl>
      <w:tblPr>
        <w:tblW w:w="981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722"/>
        <w:gridCol w:w="4699"/>
        <w:gridCol w:w="1492"/>
        <w:gridCol w:w="1401"/>
        <w:gridCol w:w="1496"/>
      </w:tblGrid>
      <w:tr>
        <w:trPr/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ОКПД2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/>
            </w:pPr>
            <w:r>
              <w:rPr/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Преобразователь виброперемещений для измерения абсолютных низкочастотных виброперемещений агрегатов гидроэлектростанций для установки в подсистему виброконтроля САУ ГА 2, 4, 6 Рыбинской ГЭС и в САУ ГА 2 Угличской ГЭС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26.51.66.131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17</w:t>
            </w:r>
          </w:p>
        </w:tc>
      </w:tr>
      <w:tr>
        <w:trPr/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/>
            </w:pPr>
            <w:r>
              <w:rPr/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кабельных связей (контрольных) для реализации измерительных каналов радиальной вибрации сердечника (спинки) статора ГА 2 и ГА6 Рыбинской ГЭС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Style w:val="Strong"/>
                <w:rFonts w:eastAsia="Times New Roman" w:cs="Times New Roman"/>
                <w:b w:val="false"/>
                <w:bCs w:val="false"/>
                <w:i w:val="false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27.32.13.143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комплект</w:t>
            </w:r>
            <w:r>
              <w:rPr>
                <w:rStyle w:val="FootnoteReference"/>
                <w:sz w:val="24"/>
                <w:szCs w:val="24"/>
                <w:shd w:fill="auto" w:val="clear"/>
              </w:rPr>
              <w:footnoteReference w:id="2"/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</w:tr>
    </w:tbl>
    <w:p>
      <w:pPr>
        <w:pStyle w:val="Heading3"/>
        <w:numPr>
          <w:ilvl w:val="2"/>
          <w:numId w:val="3"/>
        </w:numPr>
        <w:rPr/>
      </w:pPr>
      <w:bookmarkStart w:id="43" w:name="__RefHeading___Toc16614_283024793"/>
      <w:bookmarkStart w:id="44" w:name="_Toc54970187"/>
      <w:bookmarkStart w:id="45" w:name="_Toc51339696"/>
      <w:bookmarkEnd w:id="43"/>
      <w:r>
        <w:rPr/>
        <w:t xml:space="preserve">Требования </w:t>
      </w:r>
      <w:bookmarkEnd w:id="45"/>
      <w:r>
        <w:rPr/>
        <w:t xml:space="preserve">к срокам поставки </w:t>
      </w:r>
      <w:r>
        <w:rPr>
          <w:lang w:val="ru-RU"/>
        </w:rPr>
        <w:t>МТР</w:t>
      </w:r>
      <w:r>
        <w:rPr/>
        <w:t>, выполнению работ, оказанию услуг</w:t>
      </w:r>
      <w:bookmarkEnd w:id="44"/>
    </w:p>
    <w:p>
      <w:pPr>
        <w:pStyle w:val="Heading1"/>
        <w:numPr>
          <w:ilvl w:val="0"/>
          <w:numId w:val="0"/>
        </w:numPr>
        <w:ind w:left="0" w:hanging="0"/>
        <w:rPr>
          <w:rStyle w:val="Style8"/>
          <w:b/>
          <w:i w:val="false"/>
          <w:i w:val="false"/>
          <w:sz w:val="24"/>
          <w:szCs w:val="24"/>
          <w:shd w:fill="auto" w:val="clear"/>
          <w:lang w:val="ru-RU"/>
        </w:rPr>
      </w:pPr>
      <w:bookmarkStart w:id="46" w:name="__RefHeading___Toc16616_283024793"/>
      <w:bookmarkStart w:id="47" w:name="_Toc54970188"/>
      <w:bookmarkStart w:id="48" w:name="_Toc51339697"/>
      <w:bookmarkStart w:id="49" w:name="_Toc50125127"/>
      <w:bookmarkStart w:id="50" w:name="_Toc50125126"/>
      <w:bookmarkEnd w:id="46"/>
      <w:bookmarkEnd w:id="50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3.1</w:t>
      </w:r>
      <w:r>
        <w:rPr>
          <w:sz w:val="24"/>
          <w:szCs w:val="24"/>
        </w:rPr>
        <w:t xml:space="preserve">. </w:t>
      </w:r>
      <w:bookmarkStart w:id="51" w:name="_Hlk50465284"/>
      <w:r>
        <w:rPr>
          <w:sz w:val="24"/>
          <w:szCs w:val="24"/>
        </w:rPr>
        <w:t xml:space="preserve">Требования </w:t>
      </w:r>
      <w:bookmarkEnd w:id="48"/>
      <w:bookmarkEnd w:id="49"/>
      <w:bookmarkEnd w:id="51"/>
      <w:r>
        <w:rPr>
          <w:sz w:val="24"/>
          <w:szCs w:val="24"/>
          <w:lang w:val="ru-RU"/>
        </w:rPr>
        <w:t>по срокам выполнения работ / оказания услуг</w:t>
      </w:r>
      <w:bookmarkEnd w:id="47"/>
      <w:r>
        <w:rPr>
          <w:rStyle w:val="Style8"/>
          <w:b/>
          <w:i w:val="false"/>
          <w:sz w:val="24"/>
          <w:szCs w:val="24"/>
          <w:shd w:fill="auto" w:val="clear"/>
          <w:lang w:val="ru-RU"/>
        </w:rPr>
        <w:t xml:space="preserve"> </w:t>
      </w:r>
    </w:p>
    <w:tbl>
      <w:tblPr>
        <w:tblW w:w="991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704"/>
        <w:gridCol w:w="3543"/>
        <w:gridCol w:w="2693"/>
        <w:gridCol w:w="2977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bookmarkStart w:id="52" w:name="_Toc46743510"/>
            <w:bookmarkEnd w:id="52"/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работ / услуг </w:t>
              <w:br/>
              <w:t>(вид / этап (работ/ услуг)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выполнения работ / оказания услуг (этапа работ / услуг)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выполнения работ / оказания услуг (этапа работ / услуг)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0"/>
              </w:numPr>
              <w:rPr/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i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рабочей документации, поставка, монтаж, наладка САУ ГА 2, 4, 6 Рыбинской ГЭС в части защиты по виброконтролю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  <w:shd w:fill="auto" w:val="clear"/>
              </w:rPr>
              <w:t>С даты подписания договора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i w:val="false"/>
                <w:iCs w:val="false"/>
                <w:sz w:val="24"/>
                <w:szCs w:val="24"/>
              </w:rPr>
              <w:t>Не позднее 12 месяцев с даты подписания договора (</w:t>
            </w:r>
            <w:r>
              <w:rPr>
                <w:sz w:val="24"/>
                <w:szCs w:val="24"/>
              </w:rPr>
              <w:t>07.2028)</w:t>
            </w:r>
          </w:p>
        </w:tc>
      </w:tr>
      <w:tr>
        <w:trPr/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0"/>
              </w:numPr>
              <w:rPr/>
            </w:pPr>
            <w:r>
              <w:rPr/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рабочей документации, поставка, монтаж, наладка САУ ГА 2 Угличской ГЭС в части защиты по виброконтролю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  <w:shd w:fill="auto" w:val="clear"/>
              </w:rPr>
              <w:t>С даты подписания договора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i w:val="false"/>
                <w:iCs w:val="false"/>
                <w:sz w:val="24"/>
                <w:szCs w:val="24"/>
              </w:rPr>
              <w:t>Не позднее 12 месяцев с даты подписания договора (</w:t>
            </w:r>
            <w:r>
              <w:rPr>
                <w:sz w:val="24"/>
                <w:szCs w:val="24"/>
              </w:rPr>
              <w:t>07.2028)</w:t>
            </w:r>
          </w:p>
        </w:tc>
      </w:tr>
    </w:tbl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ind w:firstLine="432"/>
        <w:rPr/>
      </w:pPr>
      <w:r>
        <w:rPr>
          <w:iCs/>
          <w:sz w:val="24"/>
          <w:szCs w:val="24"/>
        </w:rPr>
        <w:t xml:space="preserve">Конкретные </w:t>
      </w:r>
      <w:r>
        <w:rPr>
          <w:rFonts w:eastAsia="Calibri"/>
          <w:sz w:val="24"/>
          <w:szCs w:val="24"/>
        </w:rPr>
        <w:t>сроки оказания услуг по каждому объекту согласовываются Заказчиком и Исполнителем непосредственно перед выполнением работ</w:t>
      </w:r>
      <w:r>
        <w:rPr>
          <w:bCs/>
          <w:sz w:val="24"/>
          <w:szCs w:val="24"/>
        </w:rPr>
        <w:t>.</w:t>
      </w:r>
    </w:p>
    <w:p>
      <w:pPr>
        <w:pStyle w:val="Normal"/>
        <w:spacing w:before="57" w:after="57"/>
        <w:ind w:firstLine="432"/>
        <w:rPr/>
      </w:pPr>
      <w:bookmarkStart w:id="53" w:name="_Toc54970188_Копия_1"/>
      <w:bookmarkStart w:id="54" w:name="_Toc51339697_Копия_1"/>
      <w:bookmarkStart w:id="55" w:name="_Toc50125127_Копия_1"/>
      <w:r>
        <w:rPr>
          <w:b/>
          <w:bCs/>
          <w:sz w:val="24"/>
          <w:szCs w:val="24"/>
        </w:rPr>
        <w:t xml:space="preserve">Таблица </w:t>
      </w:r>
      <w:r>
        <w:rPr>
          <w:b/>
          <w:bCs/>
          <w:sz w:val="24"/>
          <w:szCs w:val="24"/>
          <w:lang w:val="ru-RU"/>
        </w:rPr>
        <w:t>3.2</w:t>
      </w:r>
      <w:r>
        <w:rPr>
          <w:b/>
          <w:bCs/>
          <w:sz w:val="24"/>
          <w:szCs w:val="24"/>
        </w:rPr>
        <w:t xml:space="preserve">. </w:t>
      </w:r>
      <w:bookmarkEnd w:id="53"/>
      <w:bookmarkEnd w:id="54"/>
      <w:bookmarkEnd w:id="55"/>
      <w:r>
        <w:rPr>
          <w:rStyle w:val="Style8"/>
          <w:b/>
          <w:bCs/>
          <w:i w:val="false"/>
          <w:sz w:val="24"/>
          <w:szCs w:val="24"/>
          <w:shd w:fill="auto" w:val="clear"/>
          <w:lang w:val="ru-RU"/>
        </w:rPr>
        <w:t xml:space="preserve"> Требования по срокам поставки МТР</w:t>
      </w:r>
    </w:p>
    <w:tbl>
      <w:tblPr>
        <w:tblW w:w="991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704"/>
        <w:gridCol w:w="3542"/>
        <w:gridCol w:w="2693"/>
        <w:gridCol w:w="2978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bookmarkStart w:id="56" w:name="_Toc46743510_Копия_1"/>
            <w:bookmarkEnd w:id="56"/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работ / услуг </w:t>
              <w:br/>
              <w:t>(вид / этап (работ/ услуг)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выполнения работ / оказания услуг (этапа работ / услуг)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выполнения работ / оказания услуг (этапа работ / услуг)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0"/>
              </w:numPr>
              <w:rPr/>
            </w:pPr>
            <w:r>
              <w:rPr/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Преобразователь виброперемещений для измерения абсолютных низкочастотных виброперемещений агрегатов гидроэлектростанций для установки в подсистему виброконтроля САУ ГА 2, 4, 6 Рыбинской ГЭС и в САУ ГА 2 Угличской ГЭС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  <w:shd w:fill="auto" w:val="clear"/>
              </w:rPr>
              <w:t>С даты подписания договора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i w:val="false"/>
                <w:iCs w:val="false"/>
                <w:sz w:val="24"/>
                <w:szCs w:val="24"/>
              </w:rPr>
              <w:t>Не позднее 12 месяцев с даты подписания договора (</w:t>
            </w:r>
            <w:r>
              <w:rPr>
                <w:sz w:val="24"/>
                <w:szCs w:val="24"/>
              </w:rPr>
              <w:t>07.2028)</w:t>
            </w:r>
          </w:p>
        </w:tc>
      </w:tr>
      <w:tr>
        <w:trPr/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0"/>
              </w:numPr>
              <w:rPr/>
            </w:pPr>
            <w:r>
              <w:rPr/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кабельных связей (контрольных) для реализации измерительных каналов радиальной вибрации сердечника (спинки) статора ГА 2 и ГА6 Рыбинской ГЭС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  <w:shd w:fill="auto" w:val="clear"/>
              </w:rPr>
              <w:t>С даты подписания договора</w:t>
            </w:r>
          </w:p>
        </w:tc>
        <w:tc>
          <w:tcPr>
            <w:tcW w:w="2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i w:val="false"/>
                <w:iCs w:val="false"/>
                <w:sz w:val="24"/>
                <w:szCs w:val="24"/>
              </w:rPr>
              <w:t>Не позднее 12 месяцев с даты подписания договора (</w:t>
            </w:r>
            <w:r>
              <w:rPr>
                <w:sz w:val="24"/>
                <w:szCs w:val="24"/>
              </w:rPr>
              <w:t>07.2028)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notePr>
            <w:numFmt w:val="decimal"/>
          </w:footnotePr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/>
      </w:pPr>
      <w:bookmarkStart w:id="57" w:name="__RefHeading___Toc16618_283024793"/>
      <w:bookmarkStart w:id="58" w:name="_Toc54970191"/>
      <w:bookmarkStart w:id="59" w:name="_Toc51339698"/>
      <w:bookmarkStart w:id="60" w:name="_Toc54970190"/>
      <w:bookmarkEnd w:id="57"/>
      <w:r>
        <w:rPr/>
        <w:t xml:space="preserve">Требования к </w:t>
      </w:r>
      <w:r>
        <w:rPr>
          <w:lang w:val="ru-RU"/>
        </w:rPr>
        <w:t>качеству продукции</w:t>
      </w:r>
      <w:bookmarkEnd w:id="60"/>
    </w:p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</w:rPr>
      </w:pPr>
      <w:bookmarkStart w:id="61" w:name="__RefHeading___Toc16620_283024793"/>
      <w:bookmarkEnd w:id="61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. Требования к </w:t>
      </w:r>
      <w:bookmarkEnd w:id="59"/>
      <w:r>
        <w:rPr>
          <w:sz w:val="24"/>
          <w:szCs w:val="24"/>
          <w:lang w:val="ru-RU"/>
        </w:rPr>
        <w:t>качеству продукции</w:t>
      </w:r>
      <w:bookmarkEnd w:id="58"/>
      <w:r>
        <w:rPr>
          <w:sz w:val="24"/>
          <w:szCs w:val="24"/>
        </w:rPr>
        <w:t xml:space="preserve"> </w:t>
      </w:r>
    </w:p>
    <w:p>
      <w:pPr>
        <w:pStyle w:val="Normal"/>
        <w:snapToGrid w:val="false"/>
        <w:spacing w:before="0" w:after="120"/>
        <w:jc w:val="both"/>
        <w:rPr>
          <w:i/>
          <w:i/>
          <w:iCs/>
          <w:shd w:fill="FFFF99" w:val="clear"/>
        </w:rPr>
      </w:pPr>
      <w:r>
        <w:rPr>
          <w:b/>
          <w:bCs/>
          <w:sz w:val="24"/>
          <w:szCs w:val="24"/>
        </w:rPr>
        <w:t>Наименование продукции (МТР, работ / услуг (этапа работ / услуг, поз. таблицы 2.1 п.1 «Разработка рабочей документации, поставка, монтаж, наладка САУ ГА 2, 4, 6 Рыбинской ГЭС в части защиты по виброконтролю», поз. таблицы 2.1 п.2 «Разработка рабочей документации, поставка, монтаж, наладка САУ ГА 2 Угличской ГЭС в части защиты по виброконтролю», поз. таблицы 2.2 п.1 «Преобразователь виброперемещений для измерения абсолютных низкочастотных виброперемещений агрегатов гидроэлектростанций для установки в подсистему виброконтроля САУ ГА 2, 4, 6 Рыбинской ГЭС и в САУ ГА 2 Угличской ГЭС», поз. таблицы 2.2 п.2 «Комплект кабельных связей (контрольных) для реализации измерительных каналов радиальной вибрации сердечника (спинки) статора ГА 2 и ГА6 Рыбинской ГЭС»)</w:t>
      </w:r>
    </w:p>
    <w:tbl>
      <w:tblPr>
        <w:tblStyle w:val="affff5"/>
        <w:tblW w:w="1552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953"/>
        <w:gridCol w:w="2159"/>
        <w:gridCol w:w="5959"/>
        <w:gridCol w:w="1985"/>
        <w:gridCol w:w="2268"/>
        <w:gridCol w:w="2201"/>
      </w:tblGrid>
      <w:tr>
        <w:trPr/>
        <w:tc>
          <w:tcPr>
            <w:tcW w:w="953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15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595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425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20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59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98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20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1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98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2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выполнению работ и оказанию услуг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i/>
                <w:i/>
                <w:iCs/>
                <w:sz w:val="24"/>
                <w:szCs w:val="24"/>
                <w:shd w:fill="FFFF99" w:val="clear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Требования к способам и технологиям выполнения работ и оказания услуг 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Соблюдение при выполнении работ норм и правил нормативно-технических документов</w:t>
            </w:r>
          </w:p>
        </w:tc>
        <w:tc>
          <w:tcPr>
            <w:tcW w:w="59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 оказании услуг Исполнитель должен руководствоваться следующими национальными, отраслевыми и корпоративными нормативно-техническими документами (НТД):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Правил по охране труда при эксплуатации электроустановок, утвержденных Приказом Минтруда России от 15.12.2020 №903н (с изменениями);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ГОСТ Р 72193-2025 «Гидроэлектростанци и гидроаккумулирующие электростацнии. Гидротехнические сооружения. Гидросиловое и механическое оборудование. Правила организации безопасного обслуживания»  утвержден Приказом Федерального агентства по техническому регулированию и метрологии от 08.07.2025 №701-ст;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Правил по охране труда при размещении, монтаже, техническом обслуживании и ремонте технологического оборудования, утвержденных приказом Министерства труда и социальной защиты Российской Федерации от 27.11.2020 №833н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(с изменениями);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Правил противопожарного режима в Российской Федерации, утвержденных Постановлением Правительства РФ 16.09.2020 №1479 (с изменениями);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Правил по охране труда при эксплуатации электроустановок, утвержденных приказом Министерст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ва труда и социальной защиты РФ от 15.12.2020 № 903н (с изменениями);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Правила по охране труда при погрузочно-разгрузочных работах и размещении грузов (утверждены приказом Министерства труда и социальной защиты РФ от 28 октября 2020 года № 753н);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Правила безопасности при работе с инструментом и приспособлениями, утвержденных приказом Министерства труда и социальной защиты РФ от 27 ноября 2020 года № 835н (с изменениями);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Инструкции по обращению с отходами производства и потребления на Рыбинской ГЭС филиала ПАО «РусГидро» – «Каскад Верхневолжских ГЭС» (Приложение 5);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Инструкции по обращению с отходами производства и потребления в обособленном подразделении ПАО «РусГидро» - «Угличская ГЭС» (Приложение 6);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ПУЭ действующее издание;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Свод правил СП 77.13330.2016 "Системы автоматизации".</w:t>
            </w:r>
          </w:p>
        </w:tc>
        <w:tc>
          <w:tcPr>
            <w:tcW w:w="19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  <w:shd w:color="auto" w:fill="auto" w:val="clea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Исполнителю работ</w:t>
            </w:r>
          </w:p>
        </w:tc>
        <w:tc>
          <w:tcPr>
            <w:tcW w:w="59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Подтвердить опыт выполнения работ по р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азработке рабочей документации, поставке, монтажу и нала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дке САУ гидроагрегатов ГЭС за период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не менее 5-х лет.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Привлекаемые субподрядные организации также должны подтвердить опыт выполнения работ по созданию или модернизации микропроцессорных регуляторов частоты вращения гидроагрегатов ГЭС за период не менее 5-х лет.</w:t>
            </w:r>
          </w:p>
        </w:tc>
        <w:tc>
          <w:tcPr>
            <w:tcW w:w="19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Объем услуг</w:t>
            </w:r>
          </w:p>
        </w:tc>
        <w:tc>
          <w:tcPr>
            <w:tcW w:w="5959" w:type="dxa"/>
            <w:tcBorders/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tabs>
                <w:tab w:val="clear" w:pos="708"/>
              </w:tabs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Предпроектное обследование.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Разработка технического задания.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Согласование технического задания с Заказчиком.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Доработка проектной и рабочей документации САУ ГА Рыбинской ГЭС в части изменения алгоритмов работы.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Доработка проектной и рабочей документации САУ ГА Угличской ГЭС в части изменения алгоритмов работы.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Разработка рабочей документации САУ ГА, рабочих чертежей, проектов производства работ и исполнительной документации.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Согласование рабочей документации и алгоритмов САУ ГА Рыбинской ГЭС с Заказчиком.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Согласование рабочей документации и алгоритмов САУ ГА Угличской ГЭС с Заказчиком.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Выполнение метрологической экспертизы технического задания и проекта в соответствии с МУ 64-02-002-2002 «Организация и порядок проведения метрологической экспертизы нормативной документации. Методические указания».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Выполнение указанных изменений, включая внесение изменений в рабочую, исполнительную и эксплуатационную документацию САУ ГА Рыбинской ГЭС и Угличской ГЭС.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Корректировка алгоритмов САУ ГА Рыбинской ГЭС, а также САУ ГА Угличской ГЭС.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Демонтаж датчиков радиальной вибрации корпуса турбинного подшипника и вертикальной вибрации крышки турбины ГА2,4,6 Рыбинской ГЭС и ГА2 Угличской ГЭС.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Монтаж герметичных датчиков радиальной вибрации корпуса турбинного подшипника и вертикальной вибрации крышки турбины ГА2,4,6 Рыбинской ГЭС и ГА2 Угличской ГЭС с использованием имеющихся кабельных трасс.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Доработка программного обеспечения контроллеров САУ и операторских панелей САУ ГА1, 2, 3, 4, 5 и 6 Рыбинской ГЭС и ГА2 Угличской ГЭС в части обеспечение возможности настройки параметров измерительных каналов подсистемы виброконтроля.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Выполнение необходимой доработки программного обеспечения контроллеров САУ ГА 2 и 6 Рыбинской ГЭС в части обеспечения возможности передачи информации от вновь устанавливаемых датчиков радиальной вибрации спинки статора ГА 2 и ГА6 в верхний уровень АСУ ТП Рыбинской ГЭС по протоколу МЭК 60870-5-104.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Контрольные испытания САУ ГА.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Приёмка из наладки в эксплуатацию подсистем виброконтроля САУ ГА2, 4, 6 Рыбинской ГЭС, а также САУ ГА2 Угличской ГЭС в соответствии с СТО 70238424.27.100.078-2009 «Системы КИП и тепловой автоматики ТЭС. Условия создания. Нормы и требования».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Корректировка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рабочей документации, разработка эксплуатационной документации и приемосдаточные испытания.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Проведение опытной эксплуатации.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ind w:left="33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Передача оборудования в промышленную эксплуатацию.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Устранение дефектов и неполадок, выявленных при эксплуатации в гарантийный период. При этом за счёт Поставщика должен быть восстановлен объём использованного ЗИП.</w:t>
            </w:r>
          </w:p>
        </w:tc>
        <w:tc>
          <w:tcPr>
            <w:tcW w:w="19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организации работ / услуг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Организационно-технические мероприятия по допуску персонала Исполнителя</w:t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Подготовку рабочих мест и допуск к оказанию услуг на объектах Заказчика выполняет персонал Заказчика. Допуск персонала Исполнителя для </w:t>
            </w:r>
            <w:r>
              <w:rPr>
                <w:rFonts w:eastAsia="Times New Roman" w:cs="Times New Roman"/>
                <w:bCs/>
                <w:kern w:val="0"/>
                <w:sz w:val="24"/>
                <w:lang w:val="ru-RU" w:eastAsia="ru-RU" w:bidi="ar-SA"/>
              </w:rPr>
              <w:t>оказания услуг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осуществляется в соответствии с Регламентом процесса «Допуск персонала подрядных организаций на объекты ПАО «РусГидро» в соответствии с приказом ПАО РусГидро от 28.04.2023 №300 (Приложение №3 к настоящим ТТ).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 xml:space="preserve">Содержание мест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оказания услуг</w:t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Персонал Исполнителя обеспечивает поддержание чистоты на рабочих местах, своевременную уборку рабочего места по окончании оказания услуг.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применяемым при выполнении работ / оказании услуг оборудованию и материалам, технологиям, программно-аппаратным средствам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>
          <w:trHeight w:val="314" w:hRule="atLeast"/>
        </w:trPr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Оборудование и материалы</w:t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Поставляемое оборудование должно соответствовать следующим нормативным документам: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Техническая политика ПАО «РусГидро»;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СТО 70238424.27.140.010-2010. «Автоматизированные системы управления технологическими процессами ГЭС и ГАЭС. Условия создания. Нормы и требования».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СТО 70238424.27.140.009-2010. «Автоматизированные системы управления технологическими процессами ГЭС и ГАЭС. Организация эксплуатации и технического обслуживания. Нормы и требования».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СТО 70238424.27.140.015-2010. «Гидроэлектростанции. Организация эксплуатации и технического обслуживания. Нормы и требования».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СТО 70238424.27.140.010-2010. «Автоматизированные системы управления технологическими процессами ГЭС и ГАЭС. Условия создания. Нормы и требования».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314" w:hRule="atLeast"/>
        </w:trPr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 закрытии актов сдачи-приемки услуг Исполнителем должны быть предоставлены паспорта и сертификаты качества и сертификаты по пожарной безопасности на поставляемые материалы и запасные части на бумажном носителе.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314" w:hRule="atLeast"/>
        </w:trPr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Все закупаемые и применяемые материалы и запасные части должны быть новыми и не использованными ранее.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контролю качества работ / услуг и материалов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Контроль качества используемых запасных частей и материалов</w:t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Подрядчик должен обеспечить входной контроль поступающих материалов и запасных частей, включающий в себя проверку: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- наличия соответствующих сертификатов в соответствии с требованиями постановления Правительства Российской Федерации от 01.12.2009 №982 (ред. от 21.02.2018) «Об утверждении единого перечня продукции, подлежащей обязательной сертификации»;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- наличия и надлежащего заполнения документа о качестве и соответствии приведенных в нем данных характеристикам, установленным в нормативном документе, регламентирующем технические требования к данной продукции;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- наличия маркировки, сохранности упаковки, наличия и сохранности защитных и окрасочных покрытий и т.п.;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- комплектности поставляемых материалов.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персоналу подрядчика / исполнителя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Наличие собственного квалифицированного персонала, в том числе электромонтажников, наладчиков</w:t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Представить список лиц с приложением документов, подтверждающих квалификацию: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113" w:right="0" w:hanging="0"/>
              <w:jc w:val="both"/>
              <w:rPr/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- имеющих право быть руководителями работ (в т.ч. при работах в электроустановках до и выше 1000 В с группой по электробезопасности 5), не менее 1 человека;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113" w:right="0" w:hanging="0"/>
              <w:jc w:val="both"/>
              <w:rPr/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- имеющих право быть производителями работ (в т.ч. при работах в электроустановках до и выше 1000 В с группой по электробезопасности 4) не менее 1 человека;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113" w:right="0" w:hanging="0"/>
              <w:jc w:val="both"/>
              <w:rPr/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имеющих право быть членами бригады (в т.ч. при работах в электроустановках до и выше 1000 В с указанием групп по электробезопасности) не менее 1 человека;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/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- обученных и имеющих удостоверения с группами по безопасности при работе на высоте не менее 1 человека.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безопасности работ / услуг и охране труда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Требования к безопасности выполняемых работ</w:t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должен соблюдать требования действующего федерального законодательства Российской Федерации, нормативных правовых актов субъектов Российской Федерации, а также все прочие законы и нормативные акты, относящиеся к сфере деятельности.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обязан направлять на объекты заказчика работников, обученных правилам безопасного ведения работ/оказания услуг и имеющих все необходимые допуски к производству работ/оказанию услуг, а также представлять документы на русском языке, подтверждающие квалификацию работников на проведение соответствующих видов работ/услуг.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Исполнитель обязан обеспечить работников, направляемых для оказания услуг, соответствующими выполняемой работе средствами индивидуальной защиты, спецодеждой  и спецобувью.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Требования к МТР, поставляемым подрядчиком 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преобразователям виброперемещений для установки в САУ ГА2,4,6 Рыбинской ГЭС и в САУ ГА2 Угличской ГЭС</w:t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не чувствительность к высокочастотным воздействиям;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герметичный корпус;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диапазон измерения виброперемещений ±250 мкм;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диапазон выходных токов 12±8 мА;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диапазон рабочих частот 0,8…200 Гц;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напряжение питания ±15В;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- герметичный ввод контрольного кабеля без разъёма.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поставляемой кабельной продукции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применяемые кабели должны быть не распространяющими горение и низким дымо и газовыделением (нг-FR-LS);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толщина изоляции жилы не менее 0,6 мм;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маркировка жил цветовая или цифровая всех жил, нестираемая и отчетливая;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маркировка кабеля отчетливо видна и нестираемая, с указанием завода изготовителя, марки кабеля, года выпуска;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наличие экрана из алюминиевой фольги толщиной 0,1 – 0,15мм;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наличие продольно проложенной медной проволоки – луженой, диаметром 0,4-0,6мм;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наличие разделительного слоя между оболочкой и жилами - толщиной не менее - 0,5мм;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электрическое сопротивление изоляции, пересчитанное на 1 км длины не менее – для сечений 0,75 – 2,5 мм2 - 10 МОм.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гарантиям, гарантийному и послегарантийному обслуживанию</w:t>
            </w: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Срок гарантии на результаты работ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Не менее  3 лет.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Предложение по сроку гарантии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Срок гарантии на отдельные составляющие, материалы и оборудование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Не менее 3 лет.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 устранении неисправностей, выявленных в гарантийный период объём использованного ЗИП должен быть восстановлен за счёт Подрядчика.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Предложение по сроку гарантии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2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Требования к комплектации и документам, поставляемым вместе с МТР 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vMerge w:val="restart"/>
            <w:tcBorders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 поставляемой кабельной продукции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наличие заводского протокола испытания с указанием: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марка кабеля;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завод-изготовитель;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длина кабеля на барабане;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№ барабана;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массы кабеля;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измерение сопротивления изоляции жил;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измерение сопротивления медной жилы постоянному току;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испытания переменным напряжением 2500В течении 5 минут;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печати ОТК завода;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испытаний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1224" w:hanging="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Наличие сертификатов пожарной безопасности, соответствия или заключения аттестационной комиссии.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Сертификаты пожарной безопасности  или заключение аттестационной комиссии</w:t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поставляемым преобразователям виброперемещений для установки в САУ ГА2,4,6 Рыбинской ГЭС и в САУ ГА2 Угличской ГЭС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Все приобретаемые средства измерений (СИ) должны быть зарегистрированы в Федеральном информационном фонде (ФИФ) по ОЕИ, иметь в наличии следующие документы: действующие сертификаты об утверждении типа, методики поверки, заводские паспорта, руководства по эксплуатации СИ, сведения о первичной поверке (оригинал свидетельства о поверке или отметкой в паспорте), зарегистрированной в ФИФ. При этом давность проведения первичной поверки (на момент поставки) не должна превышать 6 месяцев. Срок выпуска СИ не должен превышать 1 года от даты поставки.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Межповерочный (межкалибровочный) интервал, приобретаемых СИ, должен быть не менее периода вывода основного оборудования на техническое обслуживание (ремонт), как максимум - соизмерим с полным сроком службы основного оборудования или отсутствовать.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Используемые СИ (датчики, преобразователи) должны иметь унифицированный тип входного и выходного сигнала.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Шкалы вновь приобретаемых СИ, должны быть выражены в единицах величин международной системы единиц (СИ).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 xml:space="preserve">Информационно-измерительные системы (ИИС) должны комплектоваться следующими документами: свидетельство об утверждении типа ИИС либо свидетельства (сертификата) о метрологической аттестации, свидетельство о первичной поверке ИИС (ИК ИИС) либо сертификат о калибровке ИИС (ИК ИИС) с протоколом калибровки, методика поверки ИИС (ИК ИИС) либо методика калибровки, утвержденная Росстандартом или лицом, аккредитованном на выполнение данных работ; руководство по эксплуатации ИИС. Допускается выполнять первичную поверку/калибровку измерительных каналов ИИС после окончания опытной эксплуатации, перед вводом в промышленную. 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Все приобретаемые СИ и ИИС приобретаемые в рамках нового строительства (модернизации, комплексной модернизации) объектов ГЭС, ГАЭС, должны в обязательном порядке комплектоваться документами, в которых нормированы метрологические характеристики каждого СИ и ИК ИИС.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firstLine="426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Проверку наличия документов СИ, проводят при его приемке на объекты Заказчика, для ИИС комплектуемых на объектах Заказчика – документы предоставляются исполнителем поставки, после проведения первичной поверки (калибровки).</w:t>
            </w:r>
          </w:p>
          <w:p>
            <w:pPr>
              <w:pStyle w:val="Normal"/>
              <w:widowControl w:val="false"/>
              <w:numPr>
                <w:ilvl w:val="4"/>
                <w:numId w:val="13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33" w:firstLine="284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 xml:space="preserve">Для целей реализации работы </w:t>
            </w:r>
            <w:r>
              <w:rPr>
                <w:rFonts w:eastAsia="Times New Roman" w:cs="Times New Roman"/>
                <w:kern w:val="0"/>
                <w:sz w:val="24"/>
                <w:lang w:val="ru-RU" w:eastAsia="zh-CN" w:bidi="ar-SA"/>
              </w:rPr>
              <w:t xml:space="preserve">доработанных </w:t>
            </w: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zh-CN" w:bidi="ar-SA"/>
              </w:rPr>
              <w:t>алгоритмов срабатывания защиты по виброконтролю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 xml:space="preserve"> должны предоставляться: паспорта, описания типа средств измерений, сертификаты об утверждении типа средств измерений на преобразователи измерительные (датчики) напряжения и</w:t>
            </w:r>
            <w:r>
              <w:rPr>
                <w:rFonts w:eastAsia="Times New Roman" w:cs="Times New Roman"/>
                <w:kern w:val="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частоты электрического тока (допускается предоставление данных о метрологической калибровке каналов измерения частоты или данных о точности измерения частоты из паспортных данных регулятора),</w:t>
            </w:r>
            <w:r>
              <w:rPr>
                <w:rFonts w:eastAsia="Times New Roman" w:cs="Times New Roman"/>
                <w:kern w:val="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zh-CN" w:bidi="ar-SA"/>
              </w:rPr>
              <w:t>документ, подтверждающий соответствие требуемой точности синхронизации системного времени в САУ ГА и устройствах системы мониторинга с астрономическим временем.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9. Требования к погрешности каналов измерения основных технологич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еских параметров должны соответствовать нормам СТО 70238424.27.100.078-2009 «Системы КИП и тепловой автоматики ТЭС. Условия создания. Нормы и требования».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Дополнительная погрешность,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вносимая в информацию при ее первичной обработке в ПТК (при вводе и преобразовании в цифровую форму), должна быть не более 0,15% от шкалы для унифицированных сигналов тока и напряжения.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Основная погрешность измерения линейных перемещений должна быть не более 1,5%.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Погрешность отображения информации должна соответствовать следующим требованиям: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uppressAutoHyphens w:val="true"/>
              <w:spacing w:before="0" w:after="0"/>
              <w:ind w:left="458" w:hanging="3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Разрядность параметров, отображаемых в цифровом виде, не должна увеличивать погрешность измеренной величины; при этом не допускается отображение параметров с точностью, превышающей погрешность измерений;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uppressAutoHyphens w:val="true"/>
              <w:spacing w:before="0" w:after="0"/>
              <w:ind w:left="458" w:hanging="3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Точность графического представления информации на видеотерминалах в виде трендов, диаграмм, гистограмм, графиков, а также графическими символами аналоговых измерительных приборов, должна определяться разрешением экрана терминала и обеспечивать «читаемость» результатов.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Точность регистрации процессов на бумажном носителе должна соответствовать классу 0,5 или 1,0.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Пределы допускаемых дополнительных погрешностей в системе при изменении климатических, механических и электромагнитных влияющих величин в пределах рабочих условий применения должны быть не более предела основной погрешности аппаратуры.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Суммарные относительные погрешности должны соответствовать: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ind w:left="458" w:hanging="3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Частоты на шинах станции – не более 0,001Гц;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ind w:left="458" w:hanging="3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Напряжений присоединений генераторов, ВЛ схемы выдачи мощности – не более 0,4%;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ind w:left="458" w:hanging="3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Остальных параметров (если специальные требования к точности не устанавливаются соответствующими разделами данных технических требований) – не более 1,0%.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Представить экспертизу технического задания и проекта в соответствии с МУ 64-02-002-2002 «Организация и порядок проведения метрологической экспертизы нормативной документации. Методические указания».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zh-CN" w:bidi="ar-SA"/>
              </w:rPr>
              <w:t xml:space="preserve">Представить документы по приемке из наладки в эксплуатацию ИК создаваемых при реализации доработки алгоритмов работы подсистемы виброконтроля САУ </w:t>
            </w:r>
            <w:r>
              <w:rPr>
                <w:rFonts w:eastAsia="Calibri" w:cs="Times New Roman"/>
                <w:kern w:val="0"/>
                <w:sz w:val="24"/>
                <w:szCs w:val="24"/>
                <w:shd w:fill="auto" w:val="clear"/>
                <w:lang w:val="ru-RU" w:eastAsia="zh-CN" w:bidi="ar-SA"/>
              </w:rPr>
              <w:t xml:space="preserve">ГА 2, 4 и 6 Рыбинской ГЭС и САУ ГА 2 Угличской ГЭС в соответствии с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СТО 70238424.27.100.078-2009 «Системы КИП и тепловой автоматики ТЭС. Условия создания. Нормы и требования»</w:t>
            </w:r>
            <w:r>
              <w:rPr>
                <w:rFonts w:eastAsia="Calibri" w:cs="Times New Roman"/>
                <w:kern w:val="0"/>
                <w:sz w:val="24"/>
                <w:szCs w:val="24"/>
                <w:shd w:fill="auto" w:val="clear"/>
                <w:lang w:val="ru-RU" w:eastAsia="zh-CN" w:bidi="ar-SA"/>
              </w:rPr>
              <w:t>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478" w:hRule="atLeast"/>
        </w:trPr>
        <w:tc>
          <w:tcPr>
            <w:tcW w:w="953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bidi w:val="0"/>
              <w:spacing w:before="60" w:after="60"/>
              <w:ind w:left="-113" w:right="0" w:firstLine="113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Прочие (дополнительные) требования к продукции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происхождению поставляемой продукции</w:t>
            </w:r>
          </w:p>
        </w:tc>
        <w:tc>
          <w:tcPr>
            <w:tcW w:w="5959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hanging="0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Для продукции, в отношении которой подлежит применению законодательство о национальном режиме, информацией и документами, подтверждающими страну происхождения, являются: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hanging="0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600" w:leader="none"/>
              </w:tabs>
              <w:suppressAutoHyphens w:val="true"/>
              <w:spacing w:before="0" w:after="0"/>
              <w:ind w:left="0" w:hanging="0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- номер реестровой записи из евразийского реестра промышленных товаров государств-членов Евразийского экономического союза, порядок формирования и ведения которого устанавливается правом Евразийского экономического союза.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Участник должен предоставить в составе заявки Коммерческое предложение по форме, установленной документацией о закупке, с указанием в отношении поставляемой продукции информации о номере (номерах) реестровой записи (реестровых записей) соответствующих реестров</w:t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результатам выпол</w:t>
            </w: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нения договора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Общие требования к результатам выполнения договора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Результат выполнения договора: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исключение излишних аварийных остановов гидроагрегатов 2, 4 и 6 Рыбинской ГЭС и гидроагрегата ст. №2 Угличской ГЭС в следствие неисправности одного из датчиков подсистемы виброконтроля;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замена датчиков радиальной вибрации корпуса турбинного подшипника и вертикальной вибрации крышки турбины ГА2,4,6 Рыбинской ГЭС и ГА2 Угличской ГЭС;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обеспечение возможности настройки параметров измерительных каналов подсистемы виброконтроля САУ ГА 1, 2, 3, 4, 5 и 6 Рыбинской ГЭС и САУ ГА 2 Угличской ГЭС с использованием имеющейся операторской панели. Реализация дополнительных экранных форм операторской панели САУ.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При проведении сторонами сдачи-приемки услуг, Исполнителем на бумажных носителях должны быть предоставлены: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Для поставляемой кабельной продукции -  заводской протокол испытания, сертификаты пожарной безопасности, соответствия или заключения аттестационной комиссии.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34" w:hanging="0"/>
              <w:jc w:val="both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Для поставляемых датчиков виброперемещений - </w:t>
            </w: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 xml:space="preserve"> паспорта (данные об актуальной дате поверки датчиков должны быть внесены в общероссийский метрологический реестр "Аршин").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953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iCs/>
                <w:kern w:val="0"/>
                <w:sz w:val="24"/>
                <w:szCs w:val="24"/>
                <w:lang w:val="ru-RU" w:eastAsia="ru-RU" w:bidi="ar-SA"/>
              </w:rPr>
              <w:t>Требования к приемке и вводу в промышленную эксплуатацию</w:t>
            </w:r>
          </w:p>
        </w:tc>
        <w:tc>
          <w:tcPr>
            <w:tcW w:w="595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На этапе ПНР комиссией из представителей подрядчика и заказчика произвести испытания модернизированных САУ ГА 2, 4, 6 Рыбинской ГЭС и САУ ГА 2 Угличской ГЭС в части защиты по виброконтролю, по разработанной и утвержденной программе испытаний.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Испытания производятся комиссией, в которую включаются представители заказчика и подрядчика.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jc w:val="both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Результат испытаний оформляется соответствующим актом, к которому прилагаются протоколы испытаний.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выявления комиссией недостатков, связанных с качеством монтажа или ПНР в обязанности подрядчика входит устранение выявленных недостатков, внесение изменений в исполнительную документацию, согласование и утверждение внесенных изменений заказчиком с контролем выполнения в установленном порядке.</w:t>
            </w:r>
          </w:p>
        </w:tc>
        <w:tc>
          <w:tcPr>
            <w:tcW w:w="198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>
              <w:top w:val="nil"/>
            </w:tcBorders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811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Прочие требования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201" w:type="dxa"/>
            <w:tcBorders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953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1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Оказание услуг в выходные и праздничные дни</w:t>
            </w:r>
          </w:p>
        </w:tc>
        <w:tc>
          <w:tcPr>
            <w:tcW w:w="595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284" w:leader="none"/>
              </w:tabs>
              <w:suppressAutoHyphens w:val="true"/>
              <w:spacing w:before="0" w:after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Возможность организации работ на объектах Заказчика в выходные и праздничные дни согласовывается с исполнителем на этапе планирования.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2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01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footnotePr>
            <w:numFmt w:val="decimal"/>
          </w:footnotePr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62" w:name="__RefHeading___Toc16622_283024793"/>
      <w:bookmarkStart w:id="63" w:name="_Toc54970192"/>
      <w:bookmarkStart w:id="64" w:name="_Toc54646411"/>
      <w:bookmarkStart w:id="65" w:name="_Toc53393312"/>
      <w:bookmarkEnd w:id="62"/>
      <w:r>
        <w:rPr>
          <w:lang w:val="ru-RU"/>
        </w:rPr>
        <w:t>Требования к документации по ценообразованию</w:t>
      </w:r>
      <w:bookmarkEnd w:id="65"/>
      <w:r>
        <w:rPr>
          <w:lang w:val="ru-RU"/>
        </w:rPr>
        <w:t xml:space="preserve"> на этапе закупки</w:t>
      </w:r>
      <w:bookmarkEnd w:id="63"/>
      <w:bookmarkEnd w:id="64"/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3.1.  </w:t>
      </w:r>
      <w:r>
        <w:rPr>
          <w:sz w:val="24"/>
          <w:szCs w:val="24"/>
        </w:rPr>
        <w:t xml:space="preserve">    Требования к обоснованию стоимости заявки Участника. 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обоснования стоимости заявки Участник должен представить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3.2.    </w:t>
      </w:r>
      <w:r>
        <w:rPr>
          <w:sz w:val="24"/>
          <w:szCs w:val="24"/>
        </w:rPr>
        <w:t>  Дополнительные документы по ценообразованию (сметная документация) в состав заявки Участника не включаются.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keepNext w:val="true"/>
        <w:widowControl/>
        <w:numPr>
          <w:ilvl w:val="0"/>
          <w:numId w:val="3"/>
        </w:numPr>
        <w:suppressAutoHyphens w:val="true"/>
        <w:bidi w:val="0"/>
        <w:spacing w:before="120" w:after="60"/>
        <w:ind w:left="454" w:right="0" w:hanging="0"/>
        <w:jc w:val="center"/>
        <w:rPr/>
      </w:pPr>
      <w:bookmarkStart w:id="66" w:name="__RefHeading___Toc8265_1034702777"/>
      <w:bookmarkEnd w:id="66"/>
      <w:r>
        <w:rPr/>
        <w:t xml:space="preserve"> </w:t>
      </w:r>
      <w:bookmarkStart w:id="67" w:name="_Toc210203717"/>
      <w:bookmarkStart w:id="68" w:name="_Toc54646412"/>
      <w:r>
        <w:rPr/>
        <w:t>Требования к документации по ценообразованию на этапе заключения (исполнения) договора</w:t>
      </w:r>
      <w:bookmarkEnd w:id="67"/>
      <w:bookmarkEnd w:id="68"/>
    </w:p>
    <w:p>
      <w:pPr>
        <w:pStyle w:val="ListParagraph"/>
        <w:numPr>
          <w:ilvl w:val="1"/>
          <w:numId w:val="3"/>
        </w:numPr>
        <w:ind w:left="0" w:firstLine="567"/>
        <w:jc w:val="both"/>
        <w:rPr/>
      </w:pPr>
      <w:r>
        <w:rPr/>
        <w:t>В рамках заключения и реализации договора по результатам настоящей закупки необходимо составлять и оформлять сметную документацию в обоснование стоимости работ по проведению обследования с требованиями, указанными в приложениях №№ 1 и 2 к настоящим Техническим требованиям.</w:t>
      </w:r>
    </w:p>
    <w:p>
      <w:pPr>
        <w:pStyle w:val="ListParagraph"/>
        <w:numPr>
          <w:ilvl w:val="1"/>
          <w:numId w:val="3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случае, если стоимость по разработанной смете Подрядчика будет превышать предельную стоимость, указанную в Договоре, в ходе исполнения договора Подрядчику необходимо применить соответствующий дополнительный понижающий коэффициент и откорректировать стоимость в сторону ее уменьшения.</w:t>
      </w:r>
    </w:p>
    <w:p>
      <w:pPr>
        <w:pStyle w:val="ListParagraph"/>
        <w:numPr>
          <w:ilvl w:val="1"/>
          <w:numId w:val="3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случае, если стоимость по разработанной смете Подрядчика будет ниже стоимости, указанной в Договоре, взаиморасчеты будут осуществляться по данной смете без увеличения стоимости, указанной в Договоре.</w:t>
      </w:r>
    </w:p>
    <w:p>
      <w:pPr>
        <w:pStyle w:val="ListParagraph"/>
        <w:numPr>
          <w:ilvl w:val="1"/>
          <w:numId w:val="3"/>
        </w:numPr>
        <w:ind w:left="0" w:firstLine="567"/>
        <w:jc w:val="both"/>
        <w:rPr>
          <w:sz w:val="22"/>
          <w:szCs w:val="22"/>
        </w:rPr>
      </w:pPr>
      <w:r>
        <w:rPr>
          <w:rFonts w:cs="Times New Roman"/>
          <w:iCs/>
          <w:sz w:val="24"/>
          <w:szCs w:val="24"/>
        </w:rPr>
        <w:t>В сметной документации предусмотрен резерв средств на непредвиденные работы и затраты в размере 3%.</w:t>
      </w:r>
    </w:p>
    <w:p>
      <w:pPr>
        <w:pStyle w:val="Normal"/>
        <w:spacing w:lineRule="auto" w:line="240" w:before="0" w:after="0"/>
        <w:ind w:left="0" w:right="0" w:firstLine="426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cs="Times New Roman"/>
          <w:sz w:val="24"/>
          <w:szCs w:val="24"/>
        </w:rPr>
        <w:t>Оплата непредвиденных работ и затрат производится в соответствии с условиями Договора. Заключение дополнительного соглашения на увеличение стоимости работ производится после использования резерва средств на непредвиденные работы и затраты. В дополнительном соглашении резерв средств на непредвиденные работы и затраты не предусматривается.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</w:rPr>
      </w:pPr>
      <w:bookmarkStart w:id="69" w:name="__RefHeading___Toc16626_283024793"/>
      <w:bookmarkStart w:id="70" w:name="_Toc51339699"/>
      <w:bookmarkStart w:id="71" w:name="_Toc46743519"/>
      <w:bookmarkStart w:id="72" w:name="_Toc54970194"/>
      <w:bookmarkStart w:id="73" w:name="_Toc54646413"/>
      <w:bookmarkEnd w:id="69"/>
      <w:r>
        <w:rPr>
          <w:iCs/>
        </w:rPr>
        <w:t>Приложения</w:t>
      </w:r>
      <w:bookmarkEnd w:id="70"/>
      <w:bookmarkEnd w:id="71"/>
      <w:bookmarkEnd w:id="72"/>
      <w:bookmarkEnd w:id="73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/>
      </w:pPr>
      <w:r>
        <w:rPr>
          <w:rStyle w:val="Style8"/>
          <w:b w:val="false"/>
          <w:bCs/>
          <w:i w:val="false"/>
          <w:iCs w:val="false"/>
          <w:sz w:val="24"/>
          <w:szCs w:val="24"/>
          <w:shd w:fill="auto" w:val="clear"/>
        </w:rPr>
        <w:t xml:space="preserve">Приложение №1 </w:t>
      </w:r>
      <w:r>
        <w:rPr>
          <w:rStyle w:val="Style8"/>
          <w:rFonts w:eastAsia="Times New Roman" w:cs="Times New Roman"/>
          <w:b w:val="false"/>
          <w:bCs/>
          <w:i w:val="false"/>
          <w:iCs w:val="false"/>
          <w:sz w:val="24"/>
          <w:szCs w:val="24"/>
          <w:shd w:fill="auto" w:val="clear"/>
          <w:lang w:eastAsia="ru-RU"/>
        </w:rPr>
        <w:t xml:space="preserve">Требования к оформлению и составлению сметной документации </w:t>
      </w:r>
      <w:r>
        <w:rPr>
          <w:rStyle w:val="Style8"/>
          <w:rFonts w:cs="Times New Roman"/>
          <w:b w:val="false"/>
          <w:bCs/>
          <w:i w:val="false"/>
          <w:iCs w:val="false"/>
          <w:sz w:val="24"/>
          <w:szCs w:val="24"/>
          <w:shd w:fill="auto" w:val="clear"/>
        </w:rPr>
        <w:t>на работы по реконструкции и техническому перевооружению</w:t>
      </w:r>
      <w:r>
        <w:rPr>
          <w:rStyle w:val="Style8"/>
          <w:b w:val="false"/>
          <w:bCs/>
          <w:i w:val="false"/>
          <w:iCs w:val="false"/>
          <w:sz w:val="24"/>
          <w:szCs w:val="24"/>
          <w:shd w:fill="auto" w:val="clear"/>
        </w:rPr>
        <w:t>;</w:t>
      </w:r>
    </w:p>
    <w:p>
      <w:pPr>
        <w:pStyle w:val="Normal"/>
        <w:numPr>
          <w:ilvl w:val="0"/>
        </w:numPr>
        <w:spacing w:lineRule="auto" w:line="240" w:before="0" w:after="0"/>
        <w:ind w:left="0" w:right="0" w:hanging="0"/>
        <w:jc w:val="both"/>
        <w:rPr/>
      </w:pPr>
      <w:r>
        <w:rPr>
          <w:rStyle w:val="Style8"/>
          <w:rFonts w:cs="Times New Roman"/>
          <w:b w:val="false"/>
          <w:bCs/>
          <w:i w:val="false"/>
          <w:iCs w:val="false"/>
          <w:sz w:val="24"/>
          <w:szCs w:val="24"/>
          <w:shd w:fill="auto" w:val="clear"/>
        </w:rPr>
        <w:t>Приложение №2 Требования к оформлению и составлению сметной документации на выполнение проектных работ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/>
      </w:pPr>
      <w:r>
        <w:rPr>
          <w:rStyle w:val="Style8"/>
          <w:rFonts w:cs="Times New Roman"/>
          <w:b w:val="false"/>
          <w:bCs/>
          <w:i w:val="false"/>
          <w:iCs w:val="false"/>
          <w:sz w:val="24"/>
          <w:szCs w:val="24"/>
          <w:shd w:fill="auto" w:val="clear"/>
        </w:rPr>
        <w:t>Приложение №3</w:t>
      </w:r>
      <w:r>
        <w:rPr>
          <w:rStyle w:val="Style8"/>
          <w:b w:val="false"/>
          <w:bCs/>
          <w:i w:val="false"/>
          <w:iCs w:val="false"/>
          <w:sz w:val="24"/>
          <w:szCs w:val="24"/>
          <w:shd w:fill="auto" w:val="clear"/>
        </w:rPr>
        <w:t xml:space="preserve"> Регламент процесса «Допуск персонала подрядных организаций на объекты ПАО «РусГидро» в соответствии с приказом ПАО РусГидро от 28.04.2023 №300;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/>
      </w:pPr>
      <w:r>
        <w:rPr>
          <w:rStyle w:val="Style8"/>
          <w:b w:val="false"/>
          <w:bCs/>
          <w:i w:val="false"/>
          <w:iCs w:val="false"/>
          <w:sz w:val="24"/>
          <w:szCs w:val="24"/>
          <w:shd w:fill="auto" w:val="clear"/>
        </w:rPr>
        <w:t>Приложение №4 Положение о пропускном и внутриобъектовом режимах филиала ПАО «РусГидро» - «Каскад Верхневолжских ГЭС»;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sz w:val="24"/>
          <w:szCs w:val="24"/>
        </w:rPr>
      </w:pPr>
      <w:r>
        <w:rPr>
          <w:rStyle w:val="Style8"/>
          <w:rFonts w:eastAsia="Times New Roman" w:cs="Times New Roman"/>
          <w:b w:val="false"/>
          <w:bCs/>
          <w:i w:val="false"/>
          <w:iCs w:val="false"/>
          <w:kern w:val="0"/>
          <w:sz w:val="24"/>
          <w:szCs w:val="24"/>
          <w:shd w:fill="auto" w:val="clear"/>
          <w:lang w:val="ru-RU" w:eastAsia="ru-RU" w:bidi="ar-SA"/>
        </w:rPr>
        <w:t>Приложение №5 Инструкция по обращению с отходами производства и потребления на Рыбинской ГЭС филиала ПАО «РусГидро» – «Каскад Верхневолжских ГЭС»;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sz w:val="24"/>
          <w:szCs w:val="24"/>
        </w:rPr>
      </w:pPr>
      <w:r>
        <w:rPr>
          <w:rStyle w:val="Style8"/>
          <w:rFonts w:eastAsia="Times New Roman" w:cs="Times New Roman"/>
          <w:b w:val="false"/>
          <w:bCs/>
          <w:i w:val="false"/>
          <w:iCs w:val="false"/>
          <w:kern w:val="0"/>
          <w:sz w:val="24"/>
          <w:szCs w:val="24"/>
          <w:shd w:fill="auto" w:val="clear"/>
          <w:lang w:val="ru-RU" w:eastAsia="ru-RU" w:bidi="ar-SA"/>
        </w:rPr>
        <w:t>Приложение №6 Инструкция по обращению с отходами производства и потребления на Угличской ГЭС филиала ПАО «РусГидро» – «Каскад Верхневолжских ГЭС».</w:t>
      </w:r>
    </w:p>
    <w:sectPr>
      <w:headerReference w:type="default" r:id="rId7"/>
      <w:headerReference w:type="first" r:id="rId8"/>
      <w:footnotePr>
        <w:numFmt w:val="decimal"/>
      </w:footnotePr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widowControl w:val="false"/>
        <w:rPr>
          <w:highlight w:val="none"/>
          <w:shd w:fill="auto" w:val="clear"/>
        </w:rPr>
      </w:pPr>
      <w:r>
        <w:rPr>
          <w:rStyle w:val="Style"/>
        </w:rPr>
        <w:footnoteRef/>
      </w:r>
      <w:r>
        <w:rPr>
          <w:shd w:fill="auto" w:val="clear"/>
        </w:rPr>
        <w:t>Состав (тип, длина) комплектов кабельной продукции определяются по результатам разработки рабочей документации.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21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23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1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588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3">
    <w:lvl w:ilvl="0">
      <w:start w:val="4"/>
      <w:numFmt w:val="decimal"/>
      <w:lvlText w:val="%1."/>
      <w:lvlJc w:val="left"/>
      <w:pPr>
        <w:tabs>
          <w:tab w:val="num" w:pos="0"/>
        </w:tabs>
        <w:ind w:left="900" w:hanging="900"/>
      </w:pPr>
      <w:rPr/>
    </w:lvl>
    <w:lvl w:ilvl="1">
      <w:start w:val="9"/>
      <w:numFmt w:val="decimal"/>
      <w:lvlText w:val="%1.%2."/>
      <w:lvlJc w:val="left"/>
      <w:pPr>
        <w:tabs>
          <w:tab w:val="num" w:pos="0"/>
        </w:tabs>
        <w:ind w:left="1112" w:hanging="900"/>
      </w:pPr>
      <w:rPr/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324" w:hanging="90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36" w:hanging="900"/>
      </w:pPr>
      <w:rPr/>
    </w:lvl>
    <w:lvl w:ilvl="4">
      <w:start w:val="1"/>
      <w:numFmt w:val="decimal"/>
      <w:lvlText w:val="%5."/>
      <w:lvlJc w:val="right"/>
      <w:pPr>
        <w:tabs>
          <w:tab w:val="num" w:pos="0"/>
        </w:tabs>
        <w:ind w:left="1928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12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24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496" w:hanging="1800"/>
      </w:pPr>
      <w:rPr/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qFormat/>
    <w:rsid w:val="004f0b32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0"/>
        <w:numId w:val="0"/>
      </w:numPr>
      <w:tabs>
        <w:tab w:val="clear" w:pos="708"/>
        <w:tab w:val="left" w:pos="0" w:leader="none"/>
      </w:tabs>
      <w:ind w:left="432" w:hanging="432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1">
    <w:name w:val="Strong1"/>
    <w:uiPriority w:val="22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4f0b32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2"/>
    <w:qFormat/>
    <w:locked/>
    <w:rsid w:val="00d22f6d"/>
    <w:rPr>
      <w:sz w:val="28"/>
    </w:rPr>
  </w:style>
  <w:style w:type="character" w:styleId="Style5" w:customStyle="1">
    <w:name w:val="Текст сноски Знак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0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5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4f0b32"/>
    <w:rPr>
      <w:color w:val="605E5C"/>
      <w:shd w:fill="E1DFDD" w:val="clear"/>
    </w:rPr>
  </w:style>
  <w:style w:type="character" w:styleId="Style14" w:customStyle="1">
    <w:name w:val="Ссылка указателя"/>
    <w:qFormat/>
    <w:rPr/>
  </w:style>
  <w:style w:type="character" w:styleId="Strong">
    <w:name w:val="Strong"/>
    <w:qFormat/>
    <w:rPr>
      <w:b/>
      <w:bCs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Style18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9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2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1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e2850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3" w:customStyle="1">
    <w:name w:val="Раздел регламента"/>
    <w:basedOn w:val="Normal"/>
    <w:qFormat/>
    <w:rsid w:val="00e228fa"/>
    <w:pPr/>
    <w:rPr/>
  </w:style>
  <w:style w:type="paragraph" w:styleId="Style24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" w:customStyle="1">
    <w:name w:val="caption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6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6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3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4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7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8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9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1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5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2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3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4" w:customStyle="1">
    <w:name w:val="Содержимое врезки"/>
    <w:basedOn w:val="Normal"/>
    <w:qFormat/>
    <w:pPr/>
    <w:rPr/>
  </w:style>
  <w:style w:type="paragraph" w:styleId="Style35">
    <w:name w:val="Содержимое таблицы"/>
    <w:basedOn w:val="Normal"/>
    <w:qFormat/>
    <w:pPr>
      <w:widowControl w:val="false"/>
      <w:suppressLineNumbers/>
    </w:pPr>
    <w:rPr/>
  </w:style>
  <w:style w:type="paragraph" w:styleId="Style36">
    <w:name w:val="Заголовок таблицы"/>
    <w:basedOn w:val="Style3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5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footnotes" Target="footnotes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AE514-784D-44F4-BF8F-EC34E4AFF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Application>AlterOffice/3.4.0.9$Linux_X86_64 LibreOffice_project/b8daf9e823b1a5463a2f48435ddc2e8696e7d4fc</Application>
  <AppVersion>15.0000</AppVersion>
  <Pages>23</Pages>
  <Words>4442</Words>
  <Characters>30134</Characters>
  <CharactersWithSpaces>34045</CharactersWithSpaces>
  <Paragraphs>540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2026-09-17T08:28:00Z</dcterms:created>
  <dc:creator>Быстров Олег Геннадьевич</dc:creator>
  <dc:description/>
  <dc:language>ru-RU</dc:language>
  <cp:lastModifiedBy>menshakovsg@corp.gidroogk.com</cp:lastModifiedBy>
  <cp:lastPrinted>2006-07-26T14:04:00Z</cp:lastPrinted>
  <dcterms:modified xsi:type="dcterms:W3CDTF">2026-09-29T15:45:54Z</dcterms:modified>
  <cp:revision>78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