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numbering.xml" ContentType="application/vnd.openxmlformats-officedocument.wordprocessingml.numbering+xml"/>
  <Override PartName="/word/header7.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header6.xml" ContentType="application/vnd.openxmlformats-officedocument.wordprocessingml.header+xml"/>
  <Override PartName="/word/document.xml" ContentType="application/vnd.openxmlformats-officedocument.wordprocessingml.document.main+xml"/>
  <Override PartName="/word/header4.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sz w:val="26"/>
          <w:szCs w:val="26"/>
        </w:rPr>
      </w:pPr>
      <w:r>
        <w:rPr>
          <w:sz w:val="26"/>
          <w:szCs w:val="26"/>
        </w:rPr>
        <w:t>«</w:t>
      </w:r>
      <w:r>
        <w:rPr>
          <w:b/>
          <w:sz w:val="26"/>
          <w:szCs w:val="26"/>
        </w:rPr>
        <w:t>УТВЕРЖДАЮ</w:t>
      </w:r>
      <w:r>
        <w:rPr>
          <w:sz w:val="26"/>
          <w:szCs w:val="26"/>
        </w:rPr>
        <w:t>»</w:t>
      </w:r>
    </w:p>
    <w:p>
      <w:pPr>
        <w:pStyle w:val="Normal"/>
        <w:jc w:val="right"/>
        <w:rPr>
          <w:sz w:val="26"/>
          <w:szCs w:val="26"/>
        </w:rPr>
      </w:pPr>
      <w:r>
        <w:rPr>
          <w:sz w:val="26"/>
          <w:szCs w:val="26"/>
        </w:rPr>
        <w:t>Первый заместитель директора –</w:t>
      </w:r>
    </w:p>
    <w:p>
      <w:pPr>
        <w:pStyle w:val="Normal"/>
        <w:jc w:val="right"/>
        <w:rPr>
          <w:sz w:val="26"/>
          <w:szCs w:val="26"/>
        </w:rPr>
      </w:pPr>
      <w:r>
        <w:rPr>
          <w:sz w:val="26"/>
          <w:szCs w:val="26"/>
        </w:rPr>
        <w:t xml:space="preserve">главный инженер филиала </w:t>
      </w:r>
    </w:p>
    <w:p>
      <w:pPr>
        <w:pStyle w:val="Normal"/>
        <w:jc w:val="right"/>
        <w:rPr>
          <w:sz w:val="26"/>
          <w:szCs w:val="26"/>
        </w:rPr>
      </w:pPr>
      <w:r>
        <w:rPr>
          <w:sz w:val="26"/>
          <w:szCs w:val="26"/>
        </w:rPr>
        <w:t xml:space="preserve">ПАО «РусГидро» – </w:t>
      </w:r>
    </w:p>
    <w:p>
      <w:pPr>
        <w:pStyle w:val="Normal"/>
        <w:jc w:val="right"/>
        <w:rPr>
          <w:sz w:val="26"/>
          <w:szCs w:val="26"/>
        </w:rPr>
      </w:pPr>
      <w:r>
        <w:rPr>
          <w:sz w:val="26"/>
          <w:szCs w:val="26"/>
        </w:rPr>
        <w:t>«Каскад Верхневолжских ГЭС»</w:t>
      </w:r>
    </w:p>
    <w:p>
      <w:pPr>
        <w:pStyle w:val="Normal"/>
        <w:jc w:val="right"/>
        <w:rPr>
          <w:sz w:val="26"/>
          <w:szCs w:val="26"/>
        </w:rPr>
      </w:pPr>
      <w:r>
        <w:rPr>
          <w:sz w:val="26"/>
          <w:szCs w:val="26"/>
        </w:rPr>
      </w:r>
    </w:p>
    <w:p>
      <w:pPr>
        <w:pStyle w:val="Normal"/>
        <w:jc w:val="right"/>
        <w:rPr>
          <w:sz w:val="26"/>
          <w:szCs w:val="26"/>
        </w:rPr>
      </w:pPr>
      <w:r>
        <w:rPr>
          <w:sz w:val="26"/>
          <w:szCs w:val="26"/>
        </w:rPr>
        <w:t xml:space="preserve">___________________ А.Л. Мурин </w:t>
      </w:r>
    </w:p>
    <w:p>
      <w:pPr>
        <w:pStyle w:val="Normal"/>
        <w:jc w:val="right"/>
        <w:rPr>
          <w:sz w:val="26"/>
          <w:szCs w:val="26"/>
        </w:rPr>
      </w:pPr>
      <w:r>
        <w:rPr>
          <w:sz w:val="26"/>
          <w:szCs w:val="26"/>
        </w:rPr>
      </w:r>
    </w:p>
    <w:p>
      <w:pPr>
        <w:pStyle w:val="Normal"/>
        <w:jc w:val="right"/>
        <w:rPr>
          <w:sz w:val="26"/>
          <w:szCs w:val="26"/>
        </w:rPr>
      </w:pPr>
      <w:r>
        <w:rPr>
          <w:sz w:val="26"/>
          <w:szCs w:val="26"/>
        </w:rPr>
        <w:t>«____» _______________ 2025 г.</w:t>
      </w:r>
    </w:p>
    <w:p>
      <w:pPr>
        <w:pStyle w:val="Normal"/>
        <w:keepNext w:val="true"/>
        <w:keepLines/>
        <w:jc w:val="right"/>
        <w:rPr>
          <w:sz w:val="26"/>
          <w:szCs w:val="26"/>
        </w:rPr>
      </w:pPr>
      <w:r>
        <w:rPr>
          <w:sz w:val="26"/>
          <w:szCs w:val="26"/>
        </w:rPr>
      </w:r>
    </w:p>
    <w:p>
      <w:pPr>
        <w:pStyle w:val="Normal"/>
        <w:keepNext w:val="true"/>
        <w:keepLines/>
        <w:jc w:val="right"/>
        <w:rPr>
          <w:sz w:val="26"/>
          <w:szCs w:val="26"/>
        </w:rPr>
      </w:pPr>
      <w:r>
        <w:rPr>
          <w:sz w:val="26"/>
          <w:szCs w:val="26"/>
        </w:rPr>
      </w:r>
    </w:p>
    <w:p>
      <w:pPr>
        <w:pStyle w:val="Normal"/>
        <w:keepNext w:val="true"/>
        <w:keepLines/>
        <w:jc w:val="right"/>
        <w:rPr>
          <w:sz w:val="26"/>
          <w:szCs w:val="26"/>
        </w:rPr>
      </w:pPr>
      <w:r>
        <w:rPr>
          <w:sz w:val="26"/>
          <w:szCs w:val="26"/>
        </w:rPr>
      </w:r>
    </w:p>
    <w:p>
      <w:pPr>
        <w:pStyle w:val="Normal"/>
        <w:keepNext w:val="true"/>
        <w:keepLines/>
        <w:jc w:val="right"/>
        <w:rPr>
          <w:sz w:val="26"/>
          <w:szCs w:val="26"/>
        </w:rPr>
      </w:pPr>
      <w:r>
        <w:rPr>
          <w:sz w:val="26"/>
          <w:szCs w:val="26"/>
        </w:rPr>
      </w:r>
    </w:p>
    <w:p>
      <w:pPr>
        <w:pStyle w:val="Normal"/>
        <w:keepNext w:val="true"/>
        <w:keepLines/>
        <w:jc w:val="right"/>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для комплексного договора</w:t>
      </w:r>
    </w:p>
    <w:p>
      <w:pPr>
        <w:pStyle w:val="Normal"/>
        <w:keepNext w:val="true"/>
        <w:keepLines/>
        <w:jc w:val="center"/>
        <w:rPr>
          <w:rFonts w:eastAsia="Calibri"/>
          <w:b/>
          <w:sz w:val="26"/>
          <w:szCs w:val="26"/>
        </w:rPr>
      </w:pPr>
      <w:r>
        <w:rPr>
          <w:rFonts w:eastAsia="Calibri"/>
          <w:b/>
          <w:sz w:val="26"/>
          <w:szCs w:val="26"/>
        </w:rPr>
      </w:r>
    </w:p>
    <w:p>
      <w:pPr>
        <w:pStyle w:val="Normal"/>
        <w:widowControl w:val="false"/>
        <w:tabs>
          <w:tab w:val="clear" w:pos="708"/>
          <w:tab w:val="left" w:pos="426" w:leader="none"/>
        </w:tabs>
        <w:spacing w:before="120" w:after="120"/>
        <w:jc w:val="center"/>
        <w:rPr>
          <w:b/>
          <w:sz w:val="26"/>
          <w:szCs w:val="26"/>
        </w:rPr>
      </w:pPr>
      <w:r>
        <w:rPr>
          <w:b/>
          <w:sz w:val="26"/>
          <w:szCs w:val="26"/>
        </w:rPr>
        <w:t xml:space="preserve">«ОКПД 2 26.51.43.120 </w:t>
      </w:r>
      <w:r>
        <w:rPr>
          <w:rFonts w:eastAsia="Calibri"/>
          <w:b/>
          <w:sz w:val="24"/>
          <w:szCs w:val="24"/>
          <w:lang w:eastAsia="x-none"/>
        </w:rPr>
        <w:t>«</w:t>
      </w:r>
      <w:r>
        <w:rPr>
          <w:b/>
          <w:sz w:val="24"/>
          <w:szCs w:val="24"/>
        </w:rPr>
        <w:t>Модернизация Автоматизированной информационно-измерительной системы коммерческого и технологического учёта электроэнергии Рыбинской и Угличской ГЭС</w:t>
      </w:r>
    </w:p>
    <w:p>
      <w:pPr>
        <w:pStyle w:val="Normal"/>
        <w:widowControl w:val="false"/>
        <w:tabs>
          <w:tab w:val="clear" w:pos="708"/>
          <w:tab w:val="left" w:pos="426" w:leader="none"/>
        </w:tabs>
        <w:spacing w:before="120" w:after="120"/>
        <w:jc w:val="center"/>
        <w:rPr/>
      </w:pPr>
      <w:r>
        <w:rPr>
          <w:b/>
          <w:sz w:val="26"/>
          <w:szCs w:val="26"/>
        </w:rPr>
        <w:t>филиала ПАО «РусГидро» - «Каскад Верхневолжских ГЭС»</w:t>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i/>
          <w:i/>
          <w:sz w:val="26"/>
          <w:szCs w:val="26"/>
        </w:rPr>
      </w:pPr>
      <w:r>
        <w:rPr>
          <w:rFonts w:eastAsia="Calibri"/>
          <w:b/>
          <w:i/>
          <w:sz w:val="26"/>
          <w:szCs w:val="26"/>
        </w:rPr>
      </w:r>
    </w:p>
    <w:p>
      <w:pPr>
        <w:pStyle w:val="Normal"/>
        <w:jc w:val="right"/>
        <w:rPr>
          <w:sz w:val="26"/>
          <w:szCs w:val="26"/>
        </w:rPr>
      </w:pPr>
      <w:r>
        <w:rPr>
          <w:sz w:val="26"/>
          <w:szCs w:val="26"/>
        </w:rPr>
      </w:r>
    </w:p>
    <w:p>
      <w:pPr>
        <w:pStyle w:val="Normal"/>
        <w:jc w:val="right"/>
        <w:rPr>
          <w:sz w:val="26"/>
          <w:szCs w:val="26"/>
        </w:rPr>
      </w:pPr>
      <w:r>
        <w:rPr>
          <w:sz w:val="26"/>
          <w:szCs w:val="26"/>
        </w:rPr>
      </w:r>
    </w:p>
    <w:p>
      <w:pPr>
        <w:pStyle w:val="Normal"/>
        <w:jc w:val="right"/>
        <w:rPr>
          <w:sz w:val="26"/>
          <w:szCs w:val="26"/>
        </w:rPr>
      </w:pPr>
      <w:r>
        <w:rPr>
          <w:sz w:val="26"/>
          <w:szCs w:val="26"/>
        </w:rPr>
      </w:r>
    </w:p>
    <w:p>
      <w:pPr>
        <w:pStyle w:val="Normal"/>
        <w:jc w:val="right"/>
        <w:rPr>
          <w:sz w:val="26"/>
          <w:szCs w:val="26"/>
        </w:rPr>
      </w:pPr>
      <w:r>
        <w:rPr>
          <w:sz w:val="26"/>
          <w:szCs w:val="26"/>
        </w:rPr>
        <w:t>«Согласовано»</w:t>
      </w:r>
    </w:p>
    <w:p>
      <w:pPr>
        <w:pStyle w:val="Normal"/>
        <w:jc w:val="right"/>
        <w:rPr>
          <w:sz w:val="26"/>
          <w:szCs w:val="26"/>
        </w:rPr>
      </w:pPr>
      <w:r>
        <w:rPr>
          <w:sz w:val="26"/>
          <w:szCs w:val="26"/>
        </w:rPr>
        <w:t>Начальник С</w:t>
      </w:r>
      <w:r>
        <w:rPr>
          <w:sz w:val="26"/>
          <w:szCs w:val="26"/>
          <w:lang w:val="en-US"/>
        </w:rPr>
        <w:t>C</w:t>
      </w:r>
      <w:r>
        <w:rPr>
          <w:sz w:val="26"/>
          <w:szCs w:val="26"/>
        </w:rPr>
        <w:t>ИТС</w:t>
      </w:r>
    </w:p>
    <w:p>
      <w:pPr>
        <w:pStyle w:val="Normal"/>
        <w:jc w:val="right"/>
        <w:rPr>
          <w:sz w:val="26"/>
          <w:szCs w:val="26"/>
        </w:rPr>
      </w:pPr>
      <w:r>
        <w:rPr>
          <w:sz w:val="26"/>
          <w:szCs w:val="26"/>
        </w:rPr>
        <w:t xml:space="preserve">филиала ПАО «РусГидро» - </w:t>
      </w:r>
    </w:p>
    <w:p>
      <w:pPr>
        <w:pStyle w:val="Normal"/>
        <w:jc w:val="right"/>
        <w:rPr>
          <w:sz w:val="26"/>
          <w:szCs w:val="26"/>
        </w:rPr>
      </w:pPr>
      <w:r>
        <w:rPr>
          <w:sz w:val="26"/>
          <w:szCs w:val="26"/>
        </w:rPr>
        <w:t>«Каскад Верхневолжских ГЭС»</w:t>
      </w:r>
    </w:p>
    <w:p>
      <w:pPr>
        <w:pStyle w:val="Normal"/>
        <w:jc w:val="right"/>
        <w:rPr>
          <w:sz w:val="26"/>
          <w:szCs w:val="26"/>
        </w:rPr>
      </w:pPr>
      <w:r>
        <w:rPr>
          <w:sz w:val="26"/>
          <w:szCs w:val="26"/>
        </w:rPr>
      </w:r>
    </w:p>
    <w:p>
      <w:pPr>
        <w:pStyle w:val="Normal"/>
        <w:jc w:val="right"/>
        <w:rPr>
          <w:sz w:val="26"/>
          <w:szCs w:val="26"/>
        </w:rPr>
      </w:pPr>
      <w:r>
        <w:rPr>
          <w:sz w:val="26"/>
          <w:szCs w:val="26"/>
        </w:rPr>
        <w:t>_____________ /Д.В. Смирнов/</w:t>
      </w:r>
    </w:p>
    <w:p>
      <w:pPr>
        <w:pStyle w:val="Normal"/>
        <w:jc w:val="right"/>
        <w:rPr>
          <w:sz w:val="26"/>
          <w:szCs w:val="26"/>
        </w:rPr>
      </w:pPr>
      <w:r>
        <w:rPr>
          <w:sz w:val="26"/>
          <w:szCs w:val="26"/>
        </w:rPr>
      </w:r>
    </w:p>
    <w:p>
      <w:pPr>
        <w:pStyle w:val="Normal"/>
        <w:jc w:val="right"/>
        <w:rPr>
          <w:sz w:val="26"/>
          <w:szCs w:val="26"/>
        </w:rPr>
      </w:pPr>
      <w:r>
        <w:rPr>
          <w:sz w:val="26"/>
          <w:szCs w:val="26"/>
        </w:rPr>
        <w:t>«_____»___________ 2025г.</w:t>
      </w:r>
    </w:p>
    <w:p>
      <w:pPr>
        <w:pStyle w:val="Normal"/>
        <w:keepNext w:val="true"/>
        <w:keepLines/>
        <w:jc w:val="center"/>
        <w:rPr>
          <w:rFonts w:eastAsia="Calibri"/>
          <w:b/>
          <w:i/>
          <w:i/>
          <w:sz w:val="26"/>
          <w:szCs w:val="26"/>
        </w:rPr>
      </w:pPr>
      <w:r>
        <w:rPr>
          <w:rFonts w:eastAsia="Calibri"/>
          <w:b/>
          <w:i/>
          <w:sz w:val="26"/>
          <w:szCs w:val="26"/>
        </w:rPr>
      </w:r>
    </w:p>
    <w:p>
      <w:pPr>
        <w:pStyle w:val="Normal"/>
        <w:keepNext w:val="true"/>
        <w:keepLines/>
        <w:jc w:val="center"/>
        <w:rPr>
          <w:rFonts w:eastAsia="Calibri"/>
          <w:b/>
          <w:i/>
          <w:i/>
          <w:sz w:val="26"/>
          <w:szCs w:val="26"/>
        </w:rPr>
      </w:pPr>
      <w:r>
        <w:rPr>
          <w:rFonts w:eastAsia="Calibri"/>
          <w:b/>
          <w:i/>
          <w:sz w:val="26"/>
          <w:szCs w:val="26"/>
        </w:rPr>
      </w:r>
    </w:p>
    <w:p>
      <w:pPr>
        <w:pStyle w:val="Normal"/>
        <w:keepNext w:val="true"/>
        <w:keepLines/>
        <w:jc w:val="both"/>
        <w:rPr>
          <w:sz w:val="26"/>
          <w:szCs w:val="26"/>
        </w:rPr>
      </w:pPr>
      <w:r>
        <w:rPr>
          <w:sz w:val="26"/>
          <w:szCs w:val="26"/>
        </w:rPr>
      </w:r>
    </w:p>
    <w:p>
      <w:pPr>
        <w:pStyle w:val="Normal"/>
        <w:jc w:val="center"/>
        <w:rPr>
          <w:sz w:val="26"/>
          <w:szCs w:val="26"/>
        </w:rPr>
      </w:pPr>
      <w:r>
        <w:rPr>
          <w:sz w:val="26"/>
          <w:szCs w:val="26"/>
        </w:rPr>
      </w:r>
    </w:p>
    <w:p>
      <w:pPr>
        <w:pStyle w:val="Normal"/>
        <w:jc w:val="center"/>
        <w:rPr>
          <w:sz w:val="26"/>
          <w:szCs w:val="26"/>
        </w:rPr>
      </w:pPr>
      <w:r>
        <w:rPr>
          <w:sz w:val="26"/>
          <w:szCs w:val="26"/>
        </w:rPr>
      </w:r>
    </w:p>
    <w:p>
      <w:pPr>
        <w:pStyle w:val="Normal"/>
        <w:jc w:val="center"/>
        <w:rPr>
          <w:sz w:val="26"/>
          <w:szCs w:val="26"/>
        </w:rPr>
      </w:pPr>
      <w:r>
        <w:rPr>
          <w:sz w:val="26"/>
          <w:szCs w:val="26"/>
        </w:rPr>
      </w:r>
    </w:p>
    <w:p>
      <w:pPr>
        <w:pStyle w:val="Normal"/>
        <w:jc w:val="center"/>
        <w:rPr>
          <w:sz w:val="26"/>
          <w:szCs w:val="26"/>
        </w:rPr>
      </w:pPr>
      <w:r>
        <w:rPr>
          <w:sz w:val="26"/>
          <w:szCs w:val="26"/>
        </w:rPr>
      </w:r>
    </w:p>
    <w:p>
      <w:pPr>
        <w:pStyle w:val="Normal"/>
        <w:jc w:val="center"/>
        <w:rPr>
          <w:sz w:val="26"/>
          <w:szCs w:val="26"/>
        </w:rPr>
      </w:pPr>
      <w:r>
        <w:rPr>
          <w:sz w:val="26"/>
          <w:szCs w:val="26"/>
        </w:rPr>
        <w:t>г. Рыбинск</w:t>
      </w:r>
    </w:p>
    <w:p>
      <w:pPr>
        <w:pStyle w:val="Normal"/>
        <w:spacing w:before="120" w:after="0"/>
        <w:jc w:val="center"/>
        <w:rPr>
          <w:sz w:val="26"/>
          <w:szCs w:val="26"/>
        </w:rPr>
      </w:pPr>
      <w:r>
        <w:rPr>
          <w:sz w:val="26"/>
          <w:szCs w:val="26"/>
        </w:rPr>
        <w:t>2025 г.</w:t>
      </w:r>
    </w:p>
    <w:p>
      <w:pPr>
        <w:pStyle w:val="Normal"/>
        <w:spacing w:before="120" w:after="0"/>
        <w:jc w:val="center"/>
        <w:rPr>
          <w:sz w:val="26"/>
          <w:szCs w:val="26"/>
        </w:rPr>
      </w:pPr>
      <w:r>
        <w:rPr>
          <w:sz w:val="26"/>
          <w:szCs w:val="26"/>
        </w:rPr>
      </w:r>
    </w:p>
    <w:p>
      <w:pPr>
        <w:pStyle w:val="Normal"/>
        <w:jc w:val="center"/>
        <w:rPr>
          <w:b/>
          <w:sz w:val="24"/>
        </w:rPr>
      </w:pPr>
      <w:r>
        <w:rPr>
          <w:b/>
          <w:sz w:val="24"/>
        </w:rPr>
        <w:t>СОДЕРЖАНИЕ</w:t>
      </w:r>
    </w:p>
    <w:sdt>
      <w:sdtPr>
        <w:docPartObj>
          <w:docPartGallery w:val="Table of Contents"/>
          <w:docPartUnique w:val="true"/>
        </w:docPartObj>
      </w:sdtPr>
      <w:sdtContent>
        <w:p>
          <w:pPr>
            <w:pStyle w:val="TOC1"/>
            <w:rPr>
              <w:rFonts w:ascii="Calibri" w:hAnsi="Calibri" w:eastAsia="新細明體" w:cs="Arial" w:asciiTheme="minorHAnsi" w:cstheme="minorBidi" w:eastAsiaTheme="minorEastAsia" w:hAnsiTheme="minorHAnsi"/>
              <w:b w:val="false"/>
              <w:bCs w:val="false"/>
              <w:sz w:val="22"/>
              <w:szCs w:val="22"/>
            </w:rPr>
          </w:pPr>
          <w:r>
            <w:fldChar w:fldCharType="begin"/>
          </w:r>
          <w:r>
            <w:rPr>
              <w:webHidden/>
              <w:rStyle w:val="Style14"/>
              <w:caps/>
              <w:rFonts w:eastAsia="Calibri"/>
            </w:rPr>
            <w:instrText xml:space="preserve"> TOC \z \o "1-4" \u \h</w:instrText>
          </w:r>
          <w:r>
            <w:rPr>
              <w:webHidden/>
              <w:rStyle w:val="Style14"/>
              <w:caps/>
              <w:rFonts w:eastAsia="Calibri"/>
            </w:rPr>
            <w:fldChar w:fldCharType="separate"/>
          </w:r>
          <w:hyperlink w:anchor="_Toc204348203">
            <w:r>
              <w:rPr>
                <w:webHidden/>
                <w:rStyle w:val="Style14"/>
                <w:rFonts w:eastAsia="Calibri"/>
                <w:caps/>
              </w:rPr>
              <w:t>1</w:t>
            </w:r>
            <w:r>
              <w:rPr>
                <w:rStyle w:val="Style14"/>
                <w:rFonts w:eastAsia="新細明體" w:cs="Arial" w:ascii="Calibri" w:hAnsi="Calibri" w:asciiTheme="minorHAnsi" w:cstheme="minorBidi" w:eastAsiaTheme="minorEastAsia" w:hAnsiTheme="minorHAnsi"/>
                <w:b w:val="false"/>
                <w:bCs w:val="false"/>
                <w:sz w:val="22"/>
                <w:szCs w:val="22"/>
              </w:rPr>
              <w:tab/>
            </w:r>
            <w:r>
              <w:rPr>
                <w:rStyle w:val="Style14"/>
                <w:rFonts w:eastAsia="Calibri"/>
              </w:rPr>
              <w:t>Общие сведения</w:t>
            </w:r>
            <w:r>
              <w:rPr>
                <w:webHidden/>
              </w:rPr>
              <w:fldChar w:fldCharType="begin"/>
            </w:r>
            <w:r>
              <w:rPr>
                <w:webHidden/>
              </w:rPr>
              <w:instrText xml:space="preserve">PAGEREF _Toc204348203 \h</w:instrText>
            </w:r>
            <w:r>
              <w:rPr>
                <w:webHidden/>
              </w:rPr>
              <w:fldChar w:fldCharType="separate"/>
            </w:r>
            <w:r>
              <w:rPr>
                <w:rStyle w:val="Style14"/>
                <w:vanish w:val="false"/>
              </w:rPr>
              <w:tab/>
              <w:t>3</w:t>
            </w:r>
            <w:r>
              <w:rPr>
                <w:webHidden/>
              </w:rPr>
              <w:fldChar w:fldCharType="end"/>
            </w:r>
          </w:hyperlink>
        </w:p>
        <w:p>
          <w:pPr>
            <w:pStyle w:val="TOC4"/>
            <w:tabs>
              <w:tab w:val="clear" w:pos="708"/>
              <w:tab w:val="right" w:pos="9911" w:leader="dot"/>
            </w:tabs>
            <w:rPr>
              <w:rFonts w:ascii="Calibri" w:hAnsi="Calibri" w:eastAsia="新細明體" w:cs="Arial" w:asciiTheme="minorHAnsi" w:cstheme="minorBidi" w:eastAsiaTheme="minorEastAsia" w:hAnsiTheme="minorHAnsi"/>
              <w:sz w:val="22"/>
              <w:szCs w:val="22"/>
            </w:rPr>
          </w:pPr>
          <w:hyperlink w:anchor="_Toc204348204">
            <w:r>
              <w:rPr>
                <w:webHidden/>
                <w:rStyle w:val="Style14"/>
                <w:rFonts w:eastAsia="Calibri"/>
              </w:rPr>
              <w:t>Обозначения и сокращения</w:t>
            </w:r>
            <w:r>
              <w:rPr>
                <w:webHidden/>
              </w:rPr>
              <w:fldChar w:fldCharType="begin"/>
            </w:r>
            <w:r>
              <w:rPr>
                <w:webHidden/>
              </w:rPr>
              <w:instrText xml:space="preserve">PAGEREF _Toc204348204 \h</w:instrText>
            </w:r>
            <w:r>
              <w:rPr>
                <w:webHidden/>
              </w:rPr>
              <w:fldChar w:fldCharType="separate"/>
            </w:r>
            <w:r>
              <w:rPr>
                <w:rStyle w:val="Style14"/>
                <w:vanish w:val="false"/>
              </w:rPr>
              <w:tab/>
              <w:t>3</w:t>
            </w:r>
            <w:r>
              <w:rPr>
                <w:webHidden/>
              </w:rPr>
              <w:fldChar w:fldCharType="end"/>
            </w:r>
          </w:hyperlink>
        </w:p>
        <w:p>
          <w:pPr>
            <w:pStyle w:val="TOC4"/>
            <w:tabs>
              <w:tab w:val="clear" w:pos="708"/>
              <w:tab w:val="left" w:pos="1134" w:leader="none"/>
              <w:tab w:val="right" w:pos="9911" w:leader="dot"/>
            </w:tabs>
            <w:rPr>
              <w:rFonts w:ascii="Calibri" w:hAnsi="Calibri" w:eastAsia="新細明體" w:cs="Arial" w:asciiTheme="minorHAnsi" w:cstheme="minorBidi" w:eastAsiaTheme="minorEastAsia" w:hAnsiTheme="minorHAnsi"/>
              <w:sz w:val="22"/>
              <w:szCs w:val="22"/>
            </w:rPr>
          </w:pPr>
          <w:hyperlink w:anchor="_Toc204348230">
            <w:r>
              <w:rPr>
                <w:webHidden/>
                <w:rStyle w:val="Style14"/>
                <w:rFonts w:eastAsia="Calibri"/>
              </w:rPr>
              <w:t>1.1</w:t>
            </w:r>
            <w:r>
              <w:rPr>
                <w:rStyle w:val="Style14"/>
                <w:rFonts w:eastAsia="新細明體" w:cs="Arial" w:ascii="Calibri" w:hAnsi="Calibri" w:asciiTheme="minorHAnsi" w:cstheme="minorBidi" w:eastAsiaTheme="minorEastAsia" w:hAnsiTheme="minorHAnsi"/>
                <w:sz w:val="22"/>
                <w:szCs w:val="22"/>
              </w:rPr>
              <w:tab/>
            </w:r>
            <w:r>
              <w:rPr>
                <w:rStyle w:val="Style14"/>
                <w:rFonts w:eastAsia="Calibri"/>
              </w:rPr>
              <w:t>Наименование закупаемой продукции</w:t>
            </w:r>
            <w:r>
              <w:rPr>
                <w:webHidden/>
              </w:rPr>
              <w:fldChar w:fldCharType="begin"/>
            </w:r>
            <w:r>
              <w:rPr>
                <w:webHidden/>
              </w:rPr>
              <w:instrText xml:space="preserve">PAGEREF _Toc204348230 \h</w:instrText>
            </w:r>
            <w:r>
              <w:rPr>
                <w:webHidden/>
              </w:rPr>
              <w:fldChar w:fldCharType="separate"/>
            </w:r>
            <w:r>
              <w:rPr>
                <w:rStyle w:val="Style14"/>
                <w:vanish w:val="false"/>
              </w:rPr>
              <w:tab/>
              <w:t>4</w:t>
            </w:r>
            <w:r>
              <w:rPr>
                <w:webHidden/>
              </w:rPr>
              <w:fldChar w:fldCharType="end"/>
            </w:r>
          </w:hyperlink>
        </w:p>
        <w:p>
          <w:pPr>
            <w:pStyle w:val="TOC4"/>
            <w:tabs>
              <w:tab w:val="clear" w:pos="708"/>
              <w:tab w:val="left" w:pos="1134" w:leader="none"/>
              <w:tab w:val="right" w:pos="9911" w:leader="dot"/>
            </w:tabs>
            <w:rPr>
              <w:rFonts w:ascii="Calibri" w:hAnsi="Calibri" w:eastAsia="新細明體" w:cs="Arial" w:asciiTheme="minorHAnsi" w:cstheme="minorBidi" w:eastAsiaTheme="minorEastAsia" w:hAnsiTheme="minorHAnsi"/>
              <w:sz w:val="22"/>
              <w:szCs w:val="22"/>
            </w:rPr>
          </w:pPr>
          <w:hyperlink w:anchor="_Toc204348231">
            <w:r>
              <w:rPr>
                <w:webHidden/>
                <w:rStyle w:val="Style14"/>
                <w:rFonts w:eastAsia="Calibri"/>
              </w:rPr>
              <w:t>1.2</w:t>
            </w:r>
            <w:r>
              <w:rPr>
                <w:rStyle w:val="Style14"/>
                <w:rFonts w:eastAsia="新細明體" w:cs="Arial" w:ascii="Calibri" w:hAnsi="Calibri" w:asciiTheme="minorHAnsi" w:cstheme="minorBidi" w:eastAsiaTheme="minorEastAsia" w:hAnsiTheme="minorHAnsi"/>
                <w:sz w:val="22"/>
                <w:szCs w:val="22"/>
              </w:rPr>
              <w:tab/>
            </w:r>
            <w:r>
              <w:rPr>
                <w:rStyle w:val="Style14"/>
                <w:rFonts w:eastAsia="Calibri"/>
              </w:rPr>
              <w:t>Цели и задачи использования закупаемой продукции:</w:t>
            </w:r>
            <w:r>
              <w:rPr>
                <w:webHidden/>
              </w:rPr>
              <w:fldChar w:fldCharType="begin"/>
            </w:r>
            <w:r>
              <w:rPr>
                <w:webHidden/>
              </w:rPr>
              <w:instrText xml:space="preserve">PAGEREF _Toc204348231 \h</w:instrText>
            </w:r>
            <w:r>
              <w:rPr>
                <w:webHidden/>
              </w:rPr>
              <w:fldChar w:fldCharType="separate"/>
            </w:r>
            <w:r>
              <w:rPr>
                <w:rStyle w:val="Style14"/>
                <w:vanish w:val="false"/>
              </w:rPr>
              <w:tab/>
              <w:t>4</w:t>
            </w:r>
            <w:r>
              <w:rPr>
                <w:webHidden/>
              </w:rPr>
              <w:fldChar w:fldCharType="end"/>
            </w:r>
          </w:hyperlink>
        </w:p>
        <w:p>
          <w:pPr>
            <w:pStyle w:val="TOC4"/>
            <w:tabs>
              <w:tab w:val="clear" w:pos="708"/>
              <w:tab w:val="left" w:pos="1134" w:leader="none"/>
              <w:tab w:val="right" w:pos="9911" w:leader="dot"/>
            </w:tabs>
            <w:rPr>
              <w:rFonts w:ascii="Calibri" w:hAnsi="Calibri" w:eastAsia="新細明體" w:cs="Arial" w:asciiTheme="minorHAnsi" w:cstheme="minorBidi" w:eastAsiaTheme="minorEastAsia" w:hAnsiTheme="minorHAnsi"/>
              <w:sz w:val="22"/>
              <w:szCs w:val="22"/>
            </w:rPr>
          </w:pPr>
          <w:hyperlink w:anchor="_Toc204348232">
            <w:r>
              <w:rPr>
                <w:webHidden/>
                <w:rStyle w:val="Style14"/>
                <w:rFonts w:eastAsia="Calibri"/>
              </w:rPr>
              <w:t>1.3</w:t>
            </w:r>
            <w:r>
              <w:rPr>
                <w:rStyle w:val="Style14"/>
                <w:rFonts w:eastAsia="新細明體" w:cs="Arial" w:ascii="Calibri" w:hAnsi="Calibri" w:asciiTheme="minorHAnsi" w:cstheme="minorBidi" w:eastAsiaTheme="minorEastAsia" w:hAnsiTheme="minorHAnsi"/>
                <w:sz w:val="22"/>
                <w:szCs w:val="22"/>
              </w:rPr>
              <w:tab/>
            </w:r>
            <w:r>
              <w:rPr>
                <w:rStyle w:val="Style14"/>
                <w:rFonts w:eastAsia="Calibri"/>
              </w:rPr>
              <w:t>Существующее положение</w:t>
            </w:r>
            <w:r>
              <w:rPr>
                <w:webHidden/>
              </w:rPr>
              <w:fldChar w:fldCharType="begin"/>
            </w:r>
            <w:r>
              <w:rPr>
                <w:webHidden/>
              </w:rPr>
              <w:instrText xml:space="preserve">PAGEREF _Toc204348232 \h</w:instrText>
            </w:r>
            <w:r>
              <w:rPr>
                <w:webHidden/>
              </w:rPr>
              <w:fldChar w:fldCharType="separate"/>
            </w:r>
            <w:r>
              <w:rPr>
                <w:rStyle w:val="Style14"/>
                <w:vanish w:val="false"/>
              </w:rPr>
              <w:tab/>
              <w:t>4</w:t>
            </w:r>
            <w:r>
              <w:rPr>
                <w:webHidden/>
              </w:rPr>
              <w:fldChar w:fldCharType="end"/>
            </w:r>
          </w:hyperlink>
        </w:p>
        <w:p>
          <w:pPr>
            <w:pStyle w:val="TOC4"/>
            <w:tabs>
              <w:tab w:val="clear" w:pos="708"/>
              <w:tab w:val="left" w:pos="1134" w:leader="none"/>
              <w:tab w:val="right" w:pos="9911" w:leader="dot"/>
            </w:tabs>
            <w:rPr>
              <w:rFonts w:ascii="Calibri" w:hAnsi="Calibri" w:eastAsia="新細明體" w:cs="Arial" w:asciiTheme="minorHAnsi" w:cstheme="minorBidi" w:eastAsiaTheme="minorEastAsia" w:hAnsiTheme="minorHAnsi"/>
              <w:sz w:val="22"/>
              <w:szCs w:val="22"/>
            </w:rPr>
          </w:pPr>
          <w:hyperlink w:anchor="_Toc204348233">
            <w:r>
              <w:rPr>
                <w:webHidden/>
                <w:rStyle w:val="Style14"/>
                <w:rFonts w:eastAsia="Calibri"/>
              </w:rPr>
              <w:t>1.4</w:t>
            </w:r>
            <w:r>
              <w:rPr>
                <w:rStyle w:val="Style14"/>
                <w:rFonts w:eastAsia="新細明體" w:cs="Arial" w:ascii="Calibri" w:hAnsi="Calibri" w:asciiTheme="minorHAnsi" w:cstheme="minorBidi" w:eastAsiaTheme="minorEastAsia" w:hAnsiTheme="minorHAnsi"/>
                <w:sz w:val="22"/>
                <w:szCs w:val="22"/>
              </w:rPr>
              <w:tab/>
            </w:r>
            <w:r>
              <w:rPr>
                <w:rStyle w:val="Style14"/>
                <w:rFonts w:eastAsia="Calibri"/>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r>
              <w:rPr>
                <w:webHidden/>
              </w:rPr>
              <w:fldChar w:fldCharType="begin"/>
            </w:r>
            <w:r>
              <w:rPr>
                <w:webHidden/>
              </w:rPr>
              <w:instrText xml:space="preserve">PAGEREF _Toc204348233 \h</w:instrText>
            </w:r>
            <w:r>
              <w:rPr>
                <w:webHidden/>
              </w:rPr>
              <w:fldChar w:fldCharType="separate"/>
            </w:r>
            <w:r>
              <w:rPr>
                <w:rStyle w:val="Style14"/>
                <w:vanish w:val="false"/>
              </w:rPr>
              <w:tab/>
              <w:t>6</w:t>
            </w:r>
            <w:r>
              <w:rPr>
                <w:webHidden/>
              </w:rPr>
              <w:fldChar w:fldCharType="end"/>
            </w:r>
          </w:hyperlink>
        </w:p>
        <w:p>
          <w:pPr>
            <w:pStyle w:val="TOC4"/>
            <w:tabs>
              <w:tab w:val="clear" w:pos="708"/>
              <w:tab w:val="left" w:pos="1134" w:leader="none"/>
              <w:tab w:val="right" w:pos="9911" w:leader="dot"/>
            </w:tabs>
            <w:rPr>
              <w:rFonts w:ascii="Calibri" w:hAnsi="Calibri" w:eastAsia="新細明體" w:cs="Arial" w:asciiTheme="minorHAnsi" w:cstheme="minorBidi" w:eastAsiaTheme="minorEastAsia" w:hAnsiTheme="minorHAnsi"/>
              <w:sz w:val="22"/>
              <w:szCs w:val="22"/>
            </w:rPr>
          </w:pPr>
          <w:hyperlink w:anchor="_Toc204348234">
            <w:r>
              <w:rPr>
                <w:webHidden/>
                <w:rStyle w:val="Style14"/>
                <w:rFonts w:eastAsia="Calibri"/>
              </w:rPr>
              <w:t>1.5</w:t>
            </w:r>
            <w:r>
              <w:rPr>
                <w:rStyle w:val="Style14"/>
                <w:rFonts w:eastAsia="新細明體" w:cs="Arial" w:ascii="Calibri" w:hAnsi="Calibri" w:asciiTheme="minorHAnsi" w:cstheme="minorBidi" w:eastAsiaTheme="minorEastAsia" w:hAnsiTheme="minorHAnsi"/>
                <w:sz w:val="22"/>
                <w:szCs w:val="22"/>
              </w:rPr>
              <w:tab/>
            </w:r>
            <w:r>
              <w:rPr>
                <w:rStyle w:val="Style14"/>
                <w:rFonts w:eastAsia="Calibri"/>
              </w:rPr>
              <w:t>Иные требования и сведения общего характера</w:t>
            </w:r>
            <w:r>
              <w:rPr>
                <w:webHidden/>
              </w:rPr>
              <w:fldChar w:fldCharType="begin"/>
            </w:r>
            <w:r>
              <w:rPr>
                <w:webHidden/>
              </w:rPr>
              <w:instrText xml:space="preserve">PAGEREF _Toc204348234 \h</w:instrText>
            </w:r>
            <w:r>
              <w:rPr>
                <w:webHidden/>
              </w:rPr>
              <w:fldChar w:fldCharType="separate"/>
            </w:r>
            <w:r>
              <w:rPr>
                <w:rStyle w:val="Style14"/>
                <w:vanish w:val="false"/>
              </w:rPr>
              <w:tab/>
              <w:t>6</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04348235">
            <w:r>
              <w:rPr>
                <w:webHidden/>
                <w:rStyle w:val="Style14"/>
                <w:rFonts w:eastAsia="Calibri"/>
                <w:caps/>
              </w:rPr>
              <w:t>2</w:t>
            </w:r>
            <w:r>
              <w:rPr>
                <w:rStyle w:val="Style14"/>
                <w:rFonts w:eastAsia="新細明體" w:cs="Arial" w:ascii="Calibri" w:hAnsi="Calibri" w:asciiTheme="minorHAnsi" w:cstheme="minorBidi" w:eastAsiaTheme="minorEastAsia" w:hAnsiTheme="minorHAnsi"/>
                <w:b w:val="false"/>
                <w:bCs w:val="false"/>
                <w:sz w:val="22"/>
                <w:szCs w:val="22"/>
              </w:rPr>
              <w:tab/>
            </w:r>
            <w:r>
              <w:rPr>
                <w:rStyle w:val="Style14"/>
                <w:rFonts w:eastAsia="Calibri"/>
              </w:rPr>
              <w:t>Требования к продукции</w:t>
            </w:r>
            <w:r>
              <w:rPr>
                <w:webHidden/>
              </w:rPr>
              <w:fldChar w:fldCharType="begin"/>
            </w:r>
            <w:r>
              <w:rPr>
                <w:webHidden/>
              </w:rPr>
              <w:instrText xml:space="preserve">PAGEREF _Toc204348235 \h</w:instrText>
            </w:r>
            <w:r>
              <w:rPr>
                <w:webHidden/>
              </w:rPr>
              <w:fldChar w:fldCharType="separate"/>
            </w:r>
            <w:r>
              <w:rPr>
                <w:rStyle w:val="Style14"/>
                <w:vanish w:val="false"/>
              </w:rPr>
              <w:tab/>
              <w:t>6</w:t>
            </w:r>
            <w:r>
              <w:rPr>
                <w:webHidden/>
              </w:rPr>
              <w:fldChar w:fldCharType="end"/>
            </w:r>
          </w:hyperlink>
        </w:p>
        <w:p>
          <w:pPr>
            <w:pStyle w:val="TOC4"/>
            <w:tabs>
              <w:tab w:val="clear" w:pos="708"/>
              <w:tab w:val="left" w:pos="1134" w:leader="none"/>
              <w:tab w:val="right" w:pos="9911" w:leader="dot"/>
            </w:tabs>
            <w:rPr>
              <w:rFonts w:ascii="Calibri" w:hAnsi="Calibri" w:eastAsia="新細明體" w:cs="Arial" w:asciiTheme="minorHAnsi" w:cstheme="minorBidi" w:eastAsiaTheme="minorEastAsia" w:hAnsiTheme="minorHAnsi"/>
              <w:sz w:val="22"/>
              <w:szCs w:val="22"/>
            </w:rPr>
          </w:pPr>
          <w:hyperlink w:anchor="_Toc204348236">
            <w:r>
              <w:rPr>
                <w:webHidden/>
                <w:rStyle w:val="Style14"/>
                <w:rFonts w:eastAsia="Calibri"/>
              </w:rPr>
              <w:t>2.1</w:t>
            </w:r>
            <w:r>
              <w:rPr>
                <w:rStyle w:val="Style14"/>
                <w:rFonts w:eastAsia="新細明體" w:cs="Arial" w:ascii="Calibri" w:hAnsi="Calibri" w:asciiTheme="minorHAnsi" w:cstheme="minorBidi" w:eastAsiaTheme="minorEastAsia" w:hAnsiTheme="minorHAnsi"/>
                <w:sz w:val="22"/>
                <w:szCs w:val="22"/>
              </w:rPr>
              <w:tab/>
            </w:r>
            <w:r>
              <w:rPr>
                <w:rStyle w:val="Style14"/>
                <w:rFonts w:eastAsia="Calibri"/>
              </w:rPr>
              <w:t>Требования по объемам и срокам</w:t>
            </w:r>
            <w:r>
              <w:rPr>
                <w:webHidden/>
              </w:rPr>
              <w:fldChar w:fldCharType="begin"/>
            </w:r>
            <w:r>
              <w:rPr>
                <w:webHidden/>
              </w:rPr>
              <w:instrText xml:space="preserve">PAGEREF _Toc204348236 \h</w:instrText>
            </w:r>
            <w:r>
              <w:rPr>
                <w:webHidden/>
              </w:rPr>
              <w:fldChar w:fldCharType="separate"/>
            </w:r>
            <w:r>
              <w:rPr>
                <w:rStyle w:val="Style14"/>
                <w:vanish w:val="false"/>
              </w:rPr>
              <w:tab/>
              <w:t>6</w:t>
            </w:r>
            <w:r>
              <w:rPr>
                <w:webHidden/>
              </w:rPr>
              <w:fldChar w:fldCharType="end"/>
            </w:r>
          </w:hyperlink>
        </w:p>
        <w:p>
          <w:pPr>
            <w:pStyle w:val="TOC3"/>
            <w:rPr>
              <w:rFonts w:ascii="Calibri" w:hAnsi="Calibri" w:eastAsia="新細明體" w:cs="Arial" w:asciiTheme="minorHAnsi" w:cstheme="minorBidi" w:eastAsiaTheme="minorEastAsia" w:hAnsiTheme="minorHAnsi"/>
              <w:sz w:val="22"/>
              <w:szCs w:val="22"/>
            </w:rPr>
          </w:pPr>
          <w:hyperlink w:anchor="_Toc204348237">
            <w:r>
              <w:rPr>
                <w:webHidden/>
                <w:rStyle w:val="Style14"/>
                <w:rFonts w:eastAsia="Calibri"/>
              </w:rPr>
              <w:t>2.1.1</w:t>
            </w:r>
            <w:r>
              <w:rPr>
                <w:rStyle w:val="Style14"/>
                <w:rFonts w:eastAsia="新細明體" w:cs="Arial" w:ascii="Calibri" w:hAnsi="Calibri" w:asciiTheme="minorHAnsi" w:cstheme="minorBidi" w:eastAsiaTheme="minorEastAsia" w:hAnsiTheme="minorHAnsi"/>
                <w:sz w:val="22"/>
                <w:szCs w:val="22"/>
              </w:rPr>
              <w:tab/>
            </w:r>
            <w:r>
              <w:rPr>
                <w:rStyle w:val="Style14"/>
                <w:rFonts w:eastAsia="Calibri"/>
              </w:rPr>
              <w:t>Требования к видам и объемам поставок МТР, работ, услуг</w:t>
            </w:r>
            <w:r>
              <w:rPr>
                <w:webHidden/>
              </w:rPr>
              <w:fldChar w:fldCharType="begin"/>
            </w:r>
            <w:r>
              <w:rPr>
                <w:webHidden/>
              </w:rPr>
              <w:instrText xml:space="preserve">PAGEREF _Toc204348237 \h</w:instrText>
            </w:r>
            <w:r>
              <w:rPr>
                <w:webHidden/>
              </w:rPr>
              <w:fldChar w:fldCharType="separate"/>
            </w:r>
            <w:r>
              <w:rPr>
                <w:rStyle w:val="Style14"/>
                <w:vanish w:val="false"/>
              </w:rPr>
              <w:tab/>
              <w:t>6</w:t>
            </w:r>
            <w:r>
              <w:rPr>
                <w:webHidden/>
              </w:rPr>
              <w:fldChar w:fldCharType="end"/>
            </w:r>
          </w:hyperlink>
        </w:p>
        <w:p>
          <w:pPr>
            <w:pStyle w:val="TOC3"/>
            <w:rPr>
              <w:rFonts w:ascii="Calibri" w:hAnsi="Calibri" w:eastAsia="新細明體" w:cs="Arial" w:asciiTheme="minorHAnsi" w:cstheme="minorBidi" w:eastAsiaTheme="minorEastAsia" w:hAnsiTheme="minorHAnsi"/>
              <w:sz w:val="22"/>
              <w:szCs w:val="22"/>
            </w:rPr>
          </w:pPr>
          <w:hyperlink w:anchor="_Toc204348238">
            <w:r>
              <w:rPr>
                <w:webHidden/>
                <w:rStyle w:val="Style14"/>
                <w:rFonts w:eastAsia="Calibri"/>
              </w:rPr>
              <w:t>2.1.2</w:t>
            </w:r>
            <w:r>
              <w:rPr>
                <w:rStyle w:val="Style14"/>
                <w:rFonts w:eastAsia="新細明體" w:cs="Arial" w:ascii="Calibri" w:hAnsi="Calibri" w:asciiTheme="minorHAnsi" w:cstheme="minorBidi" w:eastAsiaTheme="minorEastAsia" w:hAnsiTheme="minorHAnsi"/>
                <w:sz w:val="22"/>
                <w:szCs w:val="22"/>
              </w:rPr>
              <w:tab/>
            </w:r>
            <w:r>
              <w:rPr>
                <w:rStyle w:val="Style14"/>
                <w:rFonts w:eastAsia="Calibri"/>
              </w:rPr>
              <w:t>Требования к срокам поставки МТР, выполнению работ, оказанию услуг</w:t>
            </w:r>
            <w:r>
              <w:rPr>
                <w:webHidden/>
              </w:rPr>
              <w:fldChar w:fldCharType="begin"/>
            </w:r>
            <w:r>
              <w:rPr>
                <w:webHidden/>
              </w:rPr>
              <w:instrText xml:space="preserve">PAGEREF _Toc204348238 \h</w:instrText>
            </w:r>
            <w:r>
              <w:rPr>
                <w:webHidden/>
              </w:rPr>
              <w:fldChar w:fldCharType="separate"/>
            </w:r>
            <w:r>
              <w:rPr>
                <w:rStyle w:val="Style14"/>
                <w:vanish w:val="false"/>
              </w:rPr>
              <w:tab/>
              <w:t>8</w:t>
            </w:r>
            <w:r>
              <w:rPr>
                <w:webHidden/>
              </w:rPr>
              <w:fldChar w:fldCharType="end"/>
            </w:r>
          </w:hyperlink>
        </w:p>
        <w:p>
          <w:pPr>
            <w:pStyle w:val="TOC4"/>
            <w:tabs>
              <w:tab w:val="clear" w:pos="708"/>
              <w:tab w:val="left" w:pos="1134" w:leader="none"/>
              <w:tab w:val="right" w:pos="9911" w:leader="dot"/>
            </w:tabs>
            <w:rPr>
              <w:rFonts w:ascii="Calibri" w:hAnsi="Calibri" w:eastAsia="新細明體" w:cs="Arial" w:asciiTheme="minorHAnsi" w:cstheme="minorBidi" w:eastAsiaTheme="minorEastAsia" w:hAnsiTheme="minorHAnsi"/>
              <w:sz w:val="22"/>
              <w:szCs w:val="22"/>
            </w:rPr>
          </w:pPr>
          <w:hyperlink w:anchor="_Toc204348239">
            <w:r>
              <w:rPr>
                <w:webHidden/>
                <w:rStyle w:val="Style14"/>
                <w:rFonts w:eastAsia="Calibri"/>
              </w:rPr>
              <w:t>2.2</w:t>
            </w:r>
            <w:r>
              <w:rPr>
                <w:rStyle w:val="Style14"/>
                <w:rFonts w:eastAsia="新細明體" w:cs="Arial" w:ascii="Calibri" w:hAnsi="Calibri" w:asciiTheme="minorHAnsi" w:cstheme="minorBidi" w:eastAsiaTheme="minorEastAsia" w:hAnsiTheme="minorHAnsi"/>
                <w:sz w:val="22"/>
                <w:szCs w:val="22"/>
              </w:rPr>
              <w:tab/>
            </w:r>
            <w:r>
              <w:rPr>
                <w:rStyle w:val="Style14"/>
                <w:rFonts w:eastAsia="Calibri"/>
              </w:rPr>
              <w:t>Требования к качеству продукции</w:t>
            </w:r>
            <w:r>
              <w:rPr>
                <w:webHidden/>
              </w:rPr>
              <w:fldChar w:fldCharType="begin"/>
            </w:r>
            <w:r>
              <w:rPr>
                <w:webHidden/>
              </w:rPr>
              <w:instrText xml:space="preserve">PAGEREF _Toc204348239 \h</w:instrText>
            </w:r>
            <w:r>
              <w:rPr>
                <w:webHidden/>
              </w:rPr>
              <w:fldChar w:fldCharType="separate"/>
            </w:r>
            <w:r>
              <w:rPr>
                <w:rStyle w:val="Style14"/>
                <w:vanish w:val="false"/>
              </w:rPr>
              <w:tab/>
              <w:t>9</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04348240">
            <w:r>
              <w:rPr>
                <w:webHidden/>
                <w:rStyle w:val="Style14"/>
                <w:rFonts w:eastAsia="Calibri"/>
              </w:rPr>
              <w:t>3</w:t>
            </w:r>
            <w:r>
              <w:rPr>
                <w:rStyle w:val="Style14"/>
                <w:rFonts w:eastAsia="新細明體" w:cs="Arial" w:ascii="Calibri" w:hAnsi="Calibri" w:asciiTheme="minorHAnsi" w:cstheme="minorBidi" w:eastAsiaTheme="minorEastAsia" w:hAnsiTheme="minorHAnsi"/>
                <w:b w:val="false"/>
                <w:bCs w:val="false"/>
                <w:sz w:val="22"/>
                <w:szCs w:val="22"/>
              </w:rPr>
              <w:tab/>
            </w:r>
            <w:r>
              <w:rPr>
                <w:rStyle w:val="Style14"/>
                <w:rFonts w:eastAsia="Calibri"/>
              </w:rPr>
              <w:t>Требования к документации по ценообразованию на этапе закупки</w:t>
            </w:r>
            <w:r>
              <w:rPr>
                <w:webHidden/>
              </w:rPr>
              <w:fldChar w:fldCharType="begin"/>
            </w:r>
            <w:r>
              <w:rPr>
                <w:webHidden/>
              </w:rPr>
              <w:instrText xml:space="preserve">PAGEREF _Toc204348240 \h</w:instrText>
            </w:r>
            <w:r>
              <w:rPr>
                <w:webHidden/>
              </w:rPr>
              <w:fldChar w:fldCharType="separate"/>
            </w:r>
            <w:r>
              <w:rPr>
                <w:rStyle w:val="Style14"/>
                <w:vanish w:val="false"/>
              </w:rPr>
              <w:tab/>
              <w:t>42</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04348241">
            <w:r>
              <w:rPr>
                <w:webHidden/>
                <w:rStyle w:val="Style14"/>
                <w:rFonts w:eastAsia="Calibri"/>
              </w:rPr>
              <w:t>4</w:t>
            </w:r>
            <w:r>
              <w:rPr>
                <w:rStyle w:val="Style14"/>
                <w:rFonts w:eastAsia="新細明體" w:cs="Arial" w:ascii="Calibri" w:hAnsi="Calibri" w:asciiTheme="minorHAnsi" w:cstheme="minorBidi" w:eastAsiaTheme="minorEastAsia" w:hAnsiTheme="minorHAnsi"/>
                <w:b w:val="false"/>
                <w:bCs w:val="false"/>
                <w:sz w:val="22"/>
                <w:szCs w:val="22"/>
              </w:rPr>
              <w:tab/>
            </w:r>
            <w:r>
              <w:rPr>
                <w:rStyle w:val="Style14"/>
                <w:rFonts w:eastAsia="Calibri"/>
              </w:rPr>
              <w:t>Требования к документации по ценообразованию на этапе заключения (исполнения) договора</w:t>
            </w:r>
            <w:r>
              <w:rPr>
                <w:webHidden/>
              </w:rPr>
              <w:fldChar w:fldCharType="begin"/>
            </w:r>
            <w:r>
              <w:rPr>
                <w:webHidden/>
              </w:rPr>
              <w:instrText xml:space="preserve">PAGEREF _Toc204348241 \h</w:instrText>
            </w:r>
            <w:r>
              <w:rPr>
                <w:webHidden/>
              </w:rPr>
              <w:fldChar w:fldCharType="separate"/>
            </w:r>
            <w:r>
              <w:rPr>
                <w:rStyle w:val="Style14"/>
                <w:vanish w:val="false"/>
              </w:rPr>
              <w:tab/>
              <w:t>42</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04348242">
            <w:r>
              <w:rPr>
                <w:webHidden/>
                <w:rStyle w:val="Style14"/>
                <w:rFonts w:eastAsia="Calibri"/>
                <w:caps/>
              </w:rPr>
              <w:t>5</w:t>
            </w:r>
            <w:r>
              <w:rPr>
                <w:rStyle w:val="Style14"/>
                <w:rFonts w:eastAsia="新細明體" w:cs="Arial" w:ascii="Calibri" w:hAnsi="Calibri" w:asciiTheme="minorHAnsi" w:cstheme="minorBidi" w:eastAsiaTheme="minorEastAsia" w:hAnsiTheme="minorHAnsi"/>
                <w:b w:val="false"/>
                <w:bCs w:val="false"/>
                <w:sz w:val="22"/>
                <w:szCs w:val="22"/>
              </w:rPr>
              <w:tab/>
            </w:r>
            <w:r>
              <w:rPr>
                <w:rStyle w:val="Style14"/>
                <w:rFonts w:eastAsia="Calibri"/>
              </w:rPr>
              <w:t>Приложения</w:t>
            </w:r>
            <w:r>
              <w:rPr>
                <w:webHidden/>
              </w:rPr>
              <w:fldChar w:fldCharType="begin"/>
            </w:r>
            <w:r>
              <w:rPr>
                <w:webHidden/>
              </w:rPr>
              <w:instrText xml:space="preserve">PAGEREF _Toc204348242 \h</w:instrText>
            </w:r>
            <w:r>
              <w:rPr>
                <w:webHidden/>
              </w:rPr>
              <w:fldChar w:fldCharType="separate"/>
            </w:r>
            <w:r>
              <w:rPr>
                <w:rStyle w:val="Style14"/>
                <w:vanish w:val="false"/>
              </w:rPr>
              <w:tab/>
              <w:t>42</w:t>
            </w:r>
            <w:r>
              <w:rPr>
                <w:webHidden/>
              </w:rPr>
              <w:fldChar w:fldCharType="end"/>
            </w:r>
          </w:hyperlink>
          <w:r>
            <w:rPr>
              <w:rStyle w:val="Style14"/>
              <w:vanish w:val="false"/>
            </w:rPr>
            <w:fldChar w:fldCharType="end"/>
          </w:r>
        </w:p>
      </w:sdtContent>
    </w:sdt>
    <w:p>
      <w:pPr>
        <w:pStyle w:val="TOC1"/>
        <w:tabs>
          <w:tab w:val="clear" w:pos="851"/>
          <w:tab w:val="clear" w:pos="9911"/>
          <w:tab w:val="right" w:pos="9921" w:leader="dot"/>
        </w:tabs>
        <w:rPr/>
      </w:pPr>
      <w:r>
        <w:rPr/>
      </w:r>
    </w:p>
    <w:p>
      <w:pPr>
        <w:pStyle w:val="TOC1"/>
        <w:rPr>
          <w:rFonts w:ascii="Calibri" w:hAnsi="Calibri" w:eastAsia="新細明體" w:cs="Arial" w:asciiTheme="minorHAnsi" w:cstheme="minorBidi" w:eastAsiaTheme="minorEastAsia" w:hAnsiTheme="minorHAnsi"/>
        </w:rPr>
      </w:pPr>
      <w:r>
        <w:rPr>
          <w:rFonts w:eastAsia="新細明體" w:cs="Arial" w:cstheme="minorBidi" w:eastAsiaTheme="minorEastAsia" w:ascii="Calibri" w:hAnsi="Calibri"/>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Normal"/>
        <w:rPr>
          <w:rFonts w:eastAsia="新細明體" w:eastAsiaTheme="minorEastAsia"/>
        </w:rPr>
      </w:pPr>
      <w:r>
        <w:rPr>
          <w:rFonts w:eastAsia="新細明體" w:eastAsiaTheme="minorEastAsia"/>
        </w:rPr>
      </w:r>
    </w:p>
    <w:p>
      <w:pPr>
        <w:pStyle w:val="Heading1"/>
        <w:numPr>
          <w:ilvl w:val="0"/>
          <w:numId w:val="3"/>
        </w:numPr>
        <w:ind w:left="3969" w:hanging="283"/>
        <w:rPr>
          <w:caps/>
          <w:sz w:val="24"/>
        </w:rPr>
      </w:pPr>
      <w:bookmarkStart w:id="0" w:name="_Toc204348203"/>
      <w:bookmarkStart w:id="1" w:name="_Toc51339692"/>
      <w:bookmarkStart w:id="2" w:name="_Toc201061820"/>
      <w:r>
        <w:rPr>
          <w:sz w:val="24"/>
        </w:rPr>
        <w:t>Общие сведения</w:t>
      </w:r>
      <w:bookmarkEnd w:id="0"/>
      <w:bookmarkEnd w:id="1"/>
      <w:bookmarkEnd w:id="2"/>
    </w:p>
    <w:p>
      <w:pPr>
        <w:pStyle w:val="Heading4"/>
        <w:tabs>
          <w:tab w:val="clear" w:pos="0"/>
        </w:tabs>
        <w:ind w:left="720" w:hanging="0"/>
        <w:rPr/>
      </w:pPr>
      <w:bookmarkStart w:id="3" w:name="_Toc204348204"/>
      <w:bookmarkStart w:id="4" w:name="_Toc46743505"/>
      <w:bookmarkStart w:id="5" w:name="_Toc201061821"/>
      <w:r>
        <w:rPr/>
        <w:t>Обозначения и сокращения</w:t>
      </w:r>
      <w:bookmarkEnd w:id="3"/>
      <w:bookmarkEnd w:id="4"/>
      <w:bookmarkEnd w:id="5"/>
    </w:p>
    <w:tbl>
      <w:tblPr>
        <w:tblW w:w="9783" w:type="dxa"/>
        <w:jc w:val="center"/>
        <w:tblInd w:w="0" w:type="dxa"/>
        <w:tblLayout w:type="fixed"/>
        <w:tblCellMar>
          <w:top w:w="0" w:type="dxa"/>
          <w:left w:w="108" w:type="dxa"/>
          <w:bottom w:w="0" w:type="dxa"/>
          <w:right w:w="108" w:type="dxa"/>
        </w:tblCellMar>
        <w:tblLook w:val="04a0" w:noVBand="1" w:noHBand="0" w:lastColumn="0" w:firstColumn="1" w:lastRow="0" w:firstRow="1"/>
      </w:tblPr>
      <w:tblGrid>
        <w:gridCol w:w="1785"/>
        <w:gridCol w:w="7997"/>
      </w:tblGrid>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sz w:val="22"/>
                <w:szCs w:val="22"/>
              </w:rPr>
              <w:t>АРМ</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sz w:val="22"/>
                <w:szCs w:val="22"/>
              </w:rPr>
              <w:t>автоматизированное рабочее место</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АСУ ТП</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автоматизированная система управления технологическим процессом</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ВОЛС</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волоконно-оптическая линия связи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sz w:val="22"/>
                <w:szCs w:val="22"/>
              </w:rPr>
              <w:t>ГЭС</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sz w:val="22"/>
                <w:szCs w:val="22"/>
              </w:rPr>
              <w:t>гидроэлектростанция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sz w:val="22"/>
                <w:szCs w:val="22"/>
              </w:rPr>
              <w:t>КТС</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sz w:val="22"/>
                <w:szCs w:val="22"/>
              </w:rPr>
              <w:t>комплекс технических средств</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sz w:val="22"/>
                <w:szCs w:val="22"/>
              </w:rPr>
              <w:t>ИБП</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sz w:val="22"/>
                <w:szCs w:val="22"/>
              </w:rPr>
              <w:t>источник бесперебойного питания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АИИСКТУЭ</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4"/>
                <w:szCs w:val="24"/>
              </w:rPr>
              <w:t>Автоматизированная информационно-измерительная система коммерческого и технологического учёта электроэнергии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sz w:val="22"/>
                <w:szCs w:val="22"/>
              </w:rPr>
              <w:t>НСС</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rStyle w:val="Style8"/>
                <w:b w:val="false"/>
                <w:bCs/>
                <w:iCs/>
                <w:sz w:val="24"/>
                <w:szCs w:val="24"/>
              </w:rPr>
            </w:pPr>
            <w:r>
              <w:rPr>
                <w:sz w:val="22"/>
                <w:szCs w:val="22"/>
              </w:rPr>
              <w:t>начальник смены станции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ОКПД</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общероссийский классификатор продукции по видам экономической деятельности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ПНР</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пусконаладочные работы</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ППР</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проект производства работ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ПСИ</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приемо-сдаточные испытания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ПЭВМ</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персональная электронная вычислительная машина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РГЭС</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Рыбинская ГЭС</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РД</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рабочая документация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СМР</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строительно-монтажные работы</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ТО</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техническое обслуживание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ТПиР</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техническое перевооружение и реконструкция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ТТ</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технические требования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УГЭС</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Угличская ГЭС</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Филиал</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sz w:val="22"/>
                <w:szCs w:val="22"/>
              </w:rPr>
            </w:pPr>
            <w:r>
              <w:rPr>
                <w:sz w:val="22"/>
                <w:szCs w:val="22"/>
              </w:rPr>
              <w:t>Филиал ПАО «РусГидро» - «Каскад Верхневолжских ГЭС»</w:t>
            </w:r>
          </w:p>
        </w:tc>
      </w:tr>
    </w:tbl>
    <w:p>
      <w:pPr>
        <w:pStyle w:val="Normal"/>
        <w:tabs>
          <w:tab w:val="clear" w:pos="708"/>
          <w:tab w:val="left" w:pos="1985" w:leader="none"/>
        </w:tabs>
        <w:rPr>
          <w:sz w:val="22"/>
          <w:szCs w:val="22"/>
        </w:rPr>
      </w:pPr>
      <w:r>
        <w:rPr>
          <w:sz w:val="22"/>
          <w:szCs w:val="22"/>
        </w:rPr>
      </w:r>
    </w:p>
    <w:p>
      <w:pPr>
        <w:pStyle w:val="Normal"/>
        <w:tabs>
          <w:tab w:val="clear" w:pos="708"/>
          <w:tab w:val="left" w:pos="735" w:leader="none"/>
        </w:tabs>
        <w:ind w:left="397" w:hanging="0"/>
        <w:rPr>
          <w:b/>
          <w:bCs/>
          <w:iCs/>
          <w:sz w:val="22"/>
          <w:szCs w:val="22"/>
        </w:rPr>
      </w:pPr>
      <w:r>
        <w:rPr>
          <w:b/>
          <w:bCs/>
          <w:iCs/>
          <w:sz w:val="22"/>
          <w:szCs w:val="22"/>
        </w:rPr>
      </w:r>
    </w:p>
    <w:p>
      <w:pPr>
        <w:pStyle w:val="Normal"/>
        <w:tabs>
          <w:tab w:val="clear" w:pos="708"/>
          <w:tab w:val="left" w:pos="735" w:leader="none"/>
        </w:tabs>
        <w:ind w:left="57" w:hanging="0"/>
        <w:rPr/>
      </w:pPr>
      <w:r>
        <w:rPr/>
      </w:r>
    </w:p>
    <w:p>
      <w:pPr>
        <w:pStyle w:val="Normal"/>
        <w:tabs>
          <w:tab w:val="clear" w:pos="708"/>
          <w:tab w:val="left" w:pos="1985" w:leader="none"/>
        </w:tabs>
        <w:rPr>
          <w:sz w:val="22"/>
          <w:szCs w:val="22"/>
        </w:rPr>
      </w:pPr>
      <w:r>
        <w:rPr>
          <w:sz w:val="22"/>
          <w:szCs w:val="22"/>
        </w:rPr>
      </w:r>
      <w:r>
        <w:br w:type="page"/>
      </w:r>
    </w:p>
    <w:p>
      <w:pPr>
        <w:pStyle w:val="Heading4"/>
        <w:numPr>
          <w:ilvl w:val="1"/>
          <w:numId w:val="3"/>
        </w:numPr>
        <w:ind w:left="426" w:hanging="426"/>
        <w:rPr/>
      </w:pPr>
      <w:bookmarkStart w:id="6" w:name="_Toc204348230"/>
      <w:bookmarkStart w:id="7" w:name="_Toc46743506"/>
      <w:bookmarkStart w:id="8" w:name="_Toc201061823"/>
      <w:bookmarkStart w:id="9" w:name="_Toc204348229"/>
      <w:bookmarkStart w:id="10" w:name="_Toc204348228"/>
      <w:bookmarkStart w:id="11" w:name="_Toc204348227"/>
      <w:bookmarkStart w:id="12" w:name="_Toc204348226"/>
      <w:bookmarkStart w:id="13" w:name="_Toc204348225"/>
      <w:bookmarkStart w:id="14" w:name="_Toc204348224"/>
      <w:bookmarkStart w:id="15" w:name="_Toc204348223"/>
      <w:bookmarkStart w:id="16" w:name="_Toc204348222"/>
      <w:bookmarkStart w:id="17" w:name="_Toc204348221"/>
      <w:bookmarkStart w:id="18" w:name="_Toc204348220"/>
      <w:bookmarkStart w:id="19" w:name="_Toc204348219"/>
      <w:bookmarkStart w:id="20" w:name="_Toc204348218"/>
      <w:bookmarkStart w:id="21" w:name="_Toc204348217"/>
      <w:bookmarkStart w:id="22" w:name="_Toc204348216"/>
      <w:bookmarkStart w:id="23" w:name="_Toc204348215"/>
      <w:bookmarkStart w:id="24" w:name="_Toc204348214"/>
      <w:bookmarkStart w:id="25" w:name="_Toc204348213"/>
      <w:bookmarkStart w:id="26" w:name="_Toc204348212"/>
      <w:bookmarkStart w:id="27" w:name="_Toc204348211"/>
      <w:bookmarkStart w:id="28" w:name="_Toc204348210"/>
      <w:bookmarkStart w:id="29" w:name="_Toc204348209"/>
      <w:bookmarkStart w:id="30" w:name="_Toc204348208"/>
      <w:bookmarkStart w:id="31" w:name="_Toc204348207"/>
      <w:bookmarkStart w:id="32" w:name="_Toc204348206"/>
      <w:bookmarkStart w:id="33" w:name="_Toc20434820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t>Наименование закупаемой продукции</w:t>
      </w:r>
      <w:bookmarkEnd w:id="6"/>
      <w:bookmarkEnd w:id="7"/>
      <w:bookmarkEnd w:id="8"/>
    </w:p>
    <w:p>
      <w:pPr>
        <w:pStyle w:val="Normal"/>
        <w:widowControl w:val="false"/>
        <w:tabs>
          <w:tab w:val="clear" w:pos="708"/>
          <w:tab w:val="left" w:pos="426" w:leader="none"/>
        </w:tabs>
        <w:spacing w:before="120" w:after="120"/>
        <w:jc w:val="both"/>
        <w:rPr>
          <w:color w:val="000000"/>
          <w:sz w:val="24"/>
          <w:szCs w:val="24"/>
        </w:rPr>
      </w:pPr>
      <w:bookmarkStart w:id="34" w:name="_Toc46743507"/>
      <w:r>
        <w:rPr>
          <w:rFonts w:eastAsia="Calibri"/>
          <w:sz w:val="24"/>
          <w:szCs w:val="24"/>
          <w:lang w:eastAsia="x-none"/>
        </w:rPr>
        <w:tab/>
        <w:t>«</w:t>
      </w:r>
      <w:r>
        <w:rPr>
          <w:sz w:val="24"/>
          <w:szCs w:val="24"/>
        </w:rPr>
        <w:t>Модернизация АИИСКТУЭ Рыбинской и Угличской ГЭС филиала ПАО «РусГидро» - «Каскад Верхневолжских ГЭС», в том числе: разработка рабочей документации, поставка, монтаж, наладка оборудования АИИСКТУЭ Рыбинской и Угличской ГЭС.</w:t>
      </w:r>
      <w:r>
        <w:rPr>
          <w:color w:val="000000"/>
          <w:sz w:val="24"/>
          <w:szCs w:val="24"/>
        </w:rPr>
        <w:t xml:space="preserve"> ОКПД-2  </w:t>
      </w:r>
      <w:r>
        <w:rPr>
          <w:sz w:val="26"/>
          <w:szCs w:val="26"/>
        </w:rPr>
        <w:t>26.51.43.120</w:t>
      </w:r>
    </w:p>
    <w:p>
      <w:pPr>
        <w:pStyle w:val="Normal"/>
        <w:widowControl w:val="false"/>
        <w:tabs>
          <w:tab w:val="clear" w:pos="708"/>
          <w:tab w:val="left" w:pos="426" w:leader="none"/>
        </w:tabs>
        <w:spacing w:before="120" w:after="120"/>
        <w:jc w:val="both"/>
        <w:rPr/>
      </w:pPr>
      <w:r>
        <w:rPr>
          <w:sz w:val="24"/>
          <w:szCs w:val="24"/>
        </w:rPr>
        <w:tab/>
      </w:r>
    </w:p>
    <w:p>
      <w:pPr>
        <w:pStyle w:val="Heading4"/>
        <w:numPr>
          <w:ilvl w:val="1"/>
          <w:numId w:val="3"/>
        </w:numPr>
        <w:rPr/>
      </w:pPr>
      <w:bookmarkStart w:id="35" w:name="_Toc204348231"/>
      <w:bookmarkStart w:id="36" w:name="_Toc201061824"/>
      <w:r>
        <w:rPr/>
        <w:t>Цел</w:t>
      </w:r>
      <w:r>
        <w:rPr>
          <w:lang w:val="ru-RU"/>
        </w:rPr>
        <w:t>и</w:t>
      </w:r>
      <w:r>
        <w:rPr/>
        <w:t xml:space="preserve"> и задачи использования закупаемой продукции</w:t>
      </w:r>
      <w:bookmarkEnd w:id="34"/>
      <w:r>
        <w:rPr>
          <w:lang w:val="ru-RU"/>
        </w:rPr>
        <w:t>:</w:t>
      </w:r>
      <w:bookmarkEnd w:id="35"/>
      <w:bookmarkEnd w:id="36"/>
      <w:r>
        <w:rPr>
          <w:lang w:val="ru-RU"/>
        </w:rPr>
        <w:t xml:space="preserve"> </w:t>
      </w:r>
    </w:p>
    <w:p>
      <w:pPr>
        <w:pStyle w:val="ListParagraph"/>
        <w:numPr>
          <w:ilvl w:val="0"/>
          <w:numId w:val="9"/>
        </w:numPr>
        <w:tabs>
          <w:tab w:val="clear" w:pos="708"/>
          <w:tab w:val="left" w:pos="0" w:leader="none"/>
        </w:tabs>
        <w:ind w:left="0" w:hanging="0"/>
        <w:jc w:val="both"/>
        <w:rPr/>
      </w:pPr>
      <w:r>
        <w:rPr/>
        <w:t xml:space="preserve">автоматизация сбора информации о выработке и потреблении электроэнергии  и оперативного её предоставления специалистам Филиала для решения технических, технико-экономических и статистических задач; </w:t>
      </w:r>
    </w:p>
    <w:p>
      <w:pPr>
        <w:pStyle w:val="ListParagraph"/>
        <w:numPr>
          <w:ilvl w:val="0"/>
          <w:numId w:val="9"/>
        </w:numPr>
        <w:tabs>
          <w:tab w:val="clear" w:pos="708"/>
          <w:tab w:val="left" w:pos="0" w:leader="none"/>
        </w:tabs>
        <w:ind w:left="0" w:hanging="0"/>
        <w:jc w:val="both"/>
        <w:rPr/>
      </w:pPr>
      <w:r>
        <w:rPr/>
        <w:t>обеспечение финансовых расчетов на рынках электроэнергии.</w:t>
      </w:r>
    </w:p>
    <w:p>
      <w:pPr>
        <w:pStyle w:val="ListParagraph"/>
        <w:tabs>
          <w:tab w:val="clear" w:pos="708"/>
          <w:tab w:val="left" w:pos="0" w:leader="none"/>
        </w:tabs>
        <w:ind w:left="0" w:hanging="0"/>
        <w:jc w:val="both"/>
        <w:rPr/>
      </w:pPr>
      <w:r>
        <w:rPr/>
      </w:r>
    </w:p>
    <w:p>
      <w:pPr>
        <w:pStyle w:val="ListParagraph"/>
        <w:tabs>
          <w:tab w:val="clear" w:pos="708"/>
          <w:tab w:val="left" w:pos="0" w:leader="none"/>
        </w:tabs>
        <w:ind w:left="0" w:hanging="0"/>
        <w:jc w:val="both"/>
        <w:rPr/>
      </w:pPr>
      <w:r>
        <w:rPr/>
        <w:t xml:space="preserve"> </w:t>
      </w:r>
      <w:r>
        <w:rPr/>
        <w:t xml:space="preserve">АИИСКТУЭ должна обеспечивать: </w:t>
      </w:r>
    </w:p>
    <w:p>
      <w:pPr>
        <w:pStyle w:val="ListParagraph"/>
        <w:numPr>
          <w:ilvl w:val="0"/>
          <w:numId w:val="9"/>
        </w:numPr>
        <w:tabs>
          <w:tab w:val="clear" w:pos="708"/>
          <w:tab w:val="left" w:pos="0" w:leader="none"/>
        </w:tabs>
        <w:ind w:left="0" w:hanging="0"/>
        <w:jc w:val="both"/>
        <w:rPr/>
      </w:pPr>
      <w:r>
        <w:rPr/>
        <w:t xml:space="preserve">получение точной, привязанной к единому астрономическому времени, достоверной и легитимной информации о выработке и потреблении электроэнергии и мощности в границах балансовой принадлежности электрических сетей; </w:t>
      </w:r>
    </w:p>
    <w:p>
      <w:pPr>
        <w:pStyle w:val="ListParagraph"/>
        <w:numPr>
          <w:ilvl w:val="0"/>
          <w:numId w:val="9"/>
        </w:numPr>
        <w:tabs>
          <w:tab w:val="clear" w:pos="708"/>
          <w:tab w:val="left" w:pos="0" w:leader="none"/>
        </w:tabs>
        <w:ind w:left="0" w:hanging="0"/>
        <w:jc w:val="both"/>
        <w:rPr/>
      </w:pPr>
      <w:r>
        <w:rPr/>
        <w:t xml:space="preserve">периодическое измерение приращений активной электроэнергии и реактивной мощности на заданном интервале времени; </w:t>
      </w:r>
    </w:p>
    <w:p>
      <w:pPr>
        <w:pStyle w:val="ListParagraph"/>
        <w:numPr>
          <w:ilvl w:val="0"/>
          <w:numId w:val="9"/>
        </w:numPr>
        <w:tabs>
          <w:tab w:val="clear" w:pos="708"/>
          <w:tab w:val="left" w:pos="0" w:leader="none"/>
        </w:tabs>
        <w:ind w:left="0" w:hanging="0"/>
        <w:jc w:val="both"/>
        <w:rPr/>
      </w:pPr>
      <w:r>
        <w:rPr/>
        <w:t xml:space="preserve">периодический и по запросу автоматический сбор измеренных данных о приращениях электроэнергии с заданной дискретностью учета; </w:t>
      </w:r>
    </w:p>
    <w:p>
      <w:pPr>
        <w:pStyle w:val="ListParagraph"/>
        <w:numPr>
          <w:ilvl w:val="0"/>
          <w:numId w:val="9"/>
        </w:numPr>
        <w:tabs>
          <w:tab w:val="clear" w:pos="708"/>
          <w:tab w:val="left" w:pos="0" w:leader="none"/>
        </w:tabs>
        <w:ind w:left="0" w:hanging="0"/>
        <w:jc w:val="both"/>
        <w:rPr/>
      </w:pPr>
      <w:r>
        <w:rPr/>
        <w:t xml:space="preserve">объединение данных, полученных от счетчиков, в группы, автоматическое получение отчетов, нахождение объединенных максимумов мощности за произвольные отрезки времени, выведение результатов на печать с возможностью построения соответствующих графиков; </w:t>
      </w:r>
    </w:p>
    <w:p>
      <w:pPr>
        <w:pStyle w:val="ListParagraph"/>
        <w:numPr>
          <w:ilvl w:val="0"/>
          <w:numId w:val="9"/>
        </w:numPr>
        <w:tabs>
          <w:tab w:val="clear" w:pos="708"/>
          <w:tab w:val="left" w:pos="0" w:leader="none"/>
        </w:tabs>
        <w:ind w:left="0" w:hanging="0"/>
        <w:jc w:val="both"/>
        <w:rPr/>
      </w:pPr>
      <w:r>
        <w:rPr/>
        <w:t xml:space="preserve">хранение данных об измеренных величинах и служебной информации в специализированной базе данных, отвечающей требованию повышенной защищенности от потери информации и несанкционированного доступа; </w:t>
      </w:r>
    </w:p>
    <w:p>
      <w:pPr>
        <w:pStyle w:val="ListParagraph"/>
        <w:numPr>
          <w:ilvl w:val="0"/>
          <w:numId w:val="9"/>
        </w:numPr>
        <w:tabs>
          <w:tab w:val="clear" w:pos="708"/>
          <w:tab w:val="left" w:pos="0" w:leader="none"/>
        </w:tabs>
        <w:ind w:left="0" w:hanging="0"/>
        <w:jc w:val="both"/>
        <w:rPr/>
      </w:pPr>
      <w:r>
        <w:rPr/>
        <w:t xml:space="preserve">формирование актов, ведомостей и прочей отчетной документации по учету электроэнергии за различные периоды времени в определяемых заказчиком системы форматах;  </w:t>
      </w:r>
    </w:p>
    <w:p>
      <w:pPr>
        <w:pStyle w:val="ListParagraph"/>
        <w:numPr>
          <w:ilvl w:val="0"/>
          <w:numId w:val="9"/>
        </w:numPr>
        <w:tabs>
          <w:tab w:val="clear" w:pos="708"/>
          <w:tab w:val="left" w:pos="0" w:leader="none"/>
        </w:tabs>
        <w:ind w:left="0" w:hanging="0"/>
        <w:jc w:val="both"/>
        <w:rPr/>
      </w:pPr>
      <w:r>
        <w:rPr/>
        <w:t xml:space="preserve">обеспечение защиты программного обеспечения и данных от несанкционированного доступа на аппаратном уровне посредством опломбирования, а также на программном уровне; </w:t>
      </w:r>
    </w:p>
    <w:p>
      <w:pPr>
        <w:pStyle w:val="ListParagraph"/>
        <w:numPr>
          <w:ilvl w:val="0"/>
          <w:numId w:val="9"/>
        </w:numPr>
        <w:tabs>
          <w:tab w:val="clear" w:pos="708"/>
          <w:tab w:val="left" w:pos="0" w:leader="none"/>
        </w:tabs>
        <w:ind w:left="0" w:hanging="0"/>
        <w:jc w:val="both"/>
        <w:rPr/>
      </w:pPr>
      <w:r>
        <w:rPr/>
        <w:t xml:space="preserve">диагностику, мониторинг и сбор статистики ошибок функционирования технических средств АИИСКТУЭ; </w:t>
      </w:r>
    </w:p>
    <w:p>
      <w:pPr>
        <w:pStyle w:val="ListParagraph"/>
        <w:numPr>
          <w:ilvl w:val="0"/>
          <w:numId w:val="9"/>
        </w:numPr>
        <w:tabs>
          <w:tab w:val="clear" w:pos="708"/>
          <w:tab w:val="left" w:pos="0" w:leader="none"/>
        </w:tabs>
        <w:ind w:left="0" w:hanging="0"/>
        <w:jc w:val="both"/>
        <w:rPr/>
      </w:pPr>
      <w:r>
        <w:rPr/>
        <w:t xml:space="preserve">регистрацию, мониторинг событий в АИИСКТУЭ на всех уровнях с предоставлением доступа к журналу событий на уровне серверов (событий счетчиков, регламентных действий персонала, нарушений в системе информационной защиты, сбоев и др.); </w:t>
      </w:r>
    </w:p>
    <w:p>
      <w:pPr>
        <w:pStyle w:val="ListParagraph"/>
        <w:numPr>
          <w:ilvl w:val="0"/>
          <w:numId w:val="9"/>
        </w:numPr>
        <w:tabs>
          <w:tab w:val="clear" w:pos="708"/>
          <w:tab w:val="left" w:pos="0" w:leader="none"/>
        </w:tabs>
        <w:ind w:left="0" w:hanging="0"/>
        <w:jc w:val="both"/>
        <w:rPr/>
      </w:pPr>
      <w:r>
        <w:rPr/>
        <w:t>расчет балансов электрической энергии по точкам поставки.</w:t>
      </w:r>
    </w:p>
    <w:p>
      <w:pPr>
        <w:pStyle w:val="Heading4"/>
        <w:numPr>
          <w:ilvl w:val="1"/>
          <w:numId w:val="3"/>
        </w:numPr>
        <w:rPr/>
      </w:pPr>
      <w:bookmarkStart w:id="37" w:name="_Toc204348232"/>
      <w:bookmarkStart w:id="38" w:name="_Toc46743508"/>
      <w:bookmarkStart w:id="39" w:name="_Toc201061825"/>
      <w:r>
        <w:rPr/>
        <w:t>Существующее положение</w:t>
      </w:r>
      <w:bookmarkEnd w:id="37"/>
      <w:bookmarkEnd w:id="38"/>
      <w:bookmarkEnd w:id="39"/>
    </w:p>
    <w:p>
      <w:pPr>
        <w:pStyle w:val="Normal"/>
        <w:ind w:firstLine="680"/>
        <w:jc w:val="both"/>
        <w:rPr>
          <w:sz w:val="24"/>
          <w:szCs w:val="24"/>
        </w:rPr>
      </w:pPr>
      <w:r>
        <w:rPr>
          <w:sz w:val="24"/>
          <w:szCs w:val="24"/>
        </w:rPr>
        <w:t>Объектом автоматизации являются процессы измерения, хранения, передачи данных коммерческого учета потребления электрической энергии в сечениях поставки Рыбинской и Угличской ГЭС.</w:t>
      </w:r>
    </w:p>
    <w:p>
      <w:pPr>
        <w:pStyle w:val="Normal"/>
        <w:ind w:firstLine="680"/>
        <w:jc w:val="both"/>
        <w:rPr>
          <w:sz w:val="24"/>
          <w:szCs w:val="24"/>
        </w:rPr>
      </w:pPr>
      <w:r>
        <w:rPr>
          <w:sz w:val="24"/>
          <w:szCs w:val="24"/>
        </w:rPr>
        <w:t>Основным видом деятельности Филиала является производство электрической энергии.  Рыбинская и Угличская ГЭС входят в состав Филиала.</w:t>
      </w:r>
    </w:p>
    <w:p>
      <w:pPr>
        <w:pStyle w:val="Normal"/>
        <w:shd w:val="clear" w:color="auto" w:fill="FFFFFF"/>
        <w:ind w:firstLine="680"/>
        <w:jc w:val="both"/>
        <w:rPr>
          <w:sz w:val="24"/>
          <w:szCs w:val="24"/>
        </w:rPr>
      </w:pPr>
      <w:r>
        <w:rPr>
          <w:sz w:val="24"/>
          <w:szCs w:val="24"/>
        </w:rPr>
        <w:t>В декабре 2016 года после модернизации по рабочей документации «Автоматизированная информационно–измерительная система коммерческого и технического учета электроэнергии» филиала ПАО «РусГидро» - «Каскад Верхневолжских ГЭС», выполненного ЗАО «РИТЭК-СОЮЗ», была введена в промышленную эксплуатацию АИИС КТУЭ филиала ПАО «РусГидро» - «Каскад Верхневолжских ГЭС», включающая 23 точек коммерческого учета и 41 точек технического учета (Приложение 5). Филиалом ПАО «РусГидро» - «Каскад Верхневолжских ГЭС» были получены акты о соответствии системы коммерческого учета электрической энергии техническим требованиям оптового рынка электрической энергии и мощности.</w:t>
      </w:r>
    </w:p>
    <w:p>
      <w:pPr>
        <w:pStyle w:val="Normal"/>
        <w:shd w:val="clear" w:color="auto" w:fill="FFFFFF"/>
        <w:ind w:firstLine="680"/>
        <w:jc w:val="both"/>
        <w:rPr>
          <w:sz w:val="24"/>
          <w:szCs w:val="24"/>
        </w:rPr>
      </w:pPr>
      <w:r>
        <w:rPr>
          <w:sz w:val="24"/>
          <w:szCs w:val="24"/>
        </w:rPr>
        <w:t>АИИС КТУЭ Филиала ПАО «РусГидро» - «Каскад верхневолжских ГЭС» является многоуровневой, с иерархической распределённой обработкой информации.  АИИС КТУЭ филиала ПАО "РусГидро" - "Каскад Верхневолжских ГЭС" состоит из трёх основных подсистем: измерительной, информационной и передачи данных.</w:t>
      </w:r>
    </w:p>
    <w:p>
      <w:pPr>
        <w:pStyle w:val="Normal"/>
        <w:shd w:val="clear" w:color="auto" w:fill="FFFFFF"/>
        <w:ind w:firstLine="680"/>
        <w:jc w:val="both"/>
        <w:rPr>
          <w:sz w:val="24"/>
          <w:szCs w:val="24"/>
        </w:rPr>
      </w:pPr>
      <w:r>
        <w:rPr>
          <w:sz w:val="24"/>
          <w:szCs w:val="24"/>
        </w:rPr>
        <w:t xml:space="preserve">Уровни системы: </w:t>
      </w:r>
    </w:p>
    <w:p>
      <w:pPr>
        <w:pStyle w:val="Normal"/>
        <w:shd w:val="clear" w:color="auto" w:fill="FFFFFF"/>
        <w:ind w:firstLine="680"/>
        <w:jc w:val="both"/>
        <w:rPr>
          <w:sz w:val="24"/>
          <w:szCs w:val="24"/>
        </w:rPr>
      </w:pPr>
      <w:r>
        <w:rPr>
          <w:sz w:val="24"/>
          <w:szCs w:val="24"/>
        </w:rPr>
        <w:t xml:space="preserve">-  Первый уровень - Измерительно-информационный комплекс, включающий ТТ, ТН, вторичные измерительные цепи, счетчики ЕвроАЛЬФА, A1802, МЕРКУРИЙ 230, блоки дополнительного питания счетчиков; </w:t>
      </w:r>
    </w:p>
    <w:p>
      <w:pPr>
        <w:pStyle w:val="Normal"/>
        <w:shd w:val="clear" w:color="auto" w:fill="FFFFFF"/>
        <w:ind w:firstLine="680"/>
        <w:jc w:val="both"/>
        <w:rPr>
          <w:sz w:val="24"/>
          <w:szCs w:val="24"/>
        </w:rPr>
      </w:pPr>
      <w:r>
        <w:rPr>
          <w:sz w:val="24"/>
          <w:szCs w:val="24"/>
        </w:rPr>
        <w:t xml:space="preserve">-  Второй уровень – Информационно-вычислительный комплекс электроустановки (ИВКЭ), включающий устройства сбора и передачи данных УСПД RTU-325, установленные в шкафах УСПД, каналы сбора данных со счётчиков, коммуникационную аппаратуру, устройства синхронизации системного времени УССВ-2, которые обеспечивают прием данных от спутников GPS/ГЛОНАСС и выдают информацию по интерфейсу RS232 на вход УСПД RTU-325. </w:t>
      </w:r>
    </w:p>
    <w:p>
      <w:pPr>
        <w:pStyle w:val="Normal"/>
        <w:shd w:val="clear" w:color="auto" w:fill="FFFFFF"/>
        <w:ind w:firstLine="680"/>
        <w:jc w:val="both"/>
        <w:rPr>
          <w:sz w:val="24"/>
          <w:szCs w:val="24"/>
        </w:rPr>
      </w:pPr>
      <w:r>
        <w:rPr>
          <w:sz w:val="24"/>
          <w:szCs w:val="24"/>
        </w:rPr>
        <w:t xml:space="preserve">-  Третий уровень - Информационно-вычислительный комплекс (ИВК), включающий в себя автоматизированные рабочие места (АРМ) и каналы сбора данных с уровня ИВКЭ. Объектами сбора первичной учетной информации являются коммерческие и технические счетчики электроэнергии, установленные в шкафах, на панелях учета и в релейных отсеках ячеек. </w:t>
      </w:r>
    </w:p>
    <w:p>
      <w:pPr>
        <w:pStyle w:val="Normal"/>
        <w:shd w:val="clear" w:color="auto" w:fill="FFFFFF"/>
        <w:ind w:firstLine="680"/>
        <w:jc w:val="both"/>
        <w:rPr>
          <w:sz w:val="24"/>
          <w:szCs w:val="24"/>
        </w:rPr>
      </w:pPr>
      <w:r>
        <w:rPr>
          <w:sz w:val="24"/>
          <w:szCs w:val="24"/>
        </w:rPr>
        <w:t xml:space="preserve">Подключение счётчиков к УСПД уровня ИВКЭ осуществляется по каналам связи с применением преобразования интерфейсов </w:t>
      </w:r>
      <w:r>
        <w:rPr>
          <w:sz w:val="24"/>
          <w:szCs w:val="24"/>
          <w:lang w:val="en-US"/>
        </w:rPr>
        <w:t>RS</w:t>
      </w:r>
      <w:r>
        <w:rPr>
          <w:sz w:val="24"/>
          <w:szCs w:val="24"/>
        </w:rPr>
        <w:t>-485/</w:t>
      </w:r>
      <w:r>
        <w:rPr>
          <w:sz w:val="24"/>
          <w:szCs w:val="24"/>
          <w:lang w:val="en-US"/>
        </w:rPr>
        <w:t>Ethernet</w:t>
      </w:r>
      <w:r>
        <w:rPr>
          <w:sz w:val="24"/>
          <w:szCs w:val="24"/>
        </w:rPr>
        <w:t xml:space="preserve">.   </w:t>
      </w:r>
    </w:p>
    <w:p>
      <w:pPr>
        <w:pStyle w:val="Normal"/>
        <w:shd w:val="clear" w:color="auto" w:fill="FFFFFF"/>
        <w:ind w:firstLine="680"/>
        <w:jc w:val="both"/>
        <w:rPr>
          <w:sz w:val="24"/>
          <w:szCs w:val="24"/>
        </w:rPr>
      </w:pPr>
      <w:r>
        <w:rPr>
          <w:sz w:val="24"/>
          <w:szCs w:val="24"/>
        </w:rPr>
        <w:t>Связь УСПД с сервером ИВК Филиала ПАО «РусГидро» - «Каскад верхневолжских ГЭС» осуществляется через существующую ЛВС.</w:t>
      </w:r>
    </w:p>
    <w:p>
      <w:pPr>
        <w:pStyle w:val="Normal"/>
        <w:ind w:firstLine="680"/>
        <w:jc w:val="both"/>
        <w:rPr>
          <w:sz w:val="24"/>
          <w:szCs w:val="24"/>
        </w:rPr>
      </w:pPr>
      <w:r>
        <w:rPr>
          <w:sz w:val="24"/>
          <w:szCs w:val="24"/>
        </w:rPr>
        <w:tab/>
        <w:t>Технические средства АИИС КТУЭ РГЭС и УГЭС размещаются на территории объектов Филиала в помещениях, оборудованных естественной вентиляцией.</w:t>
      </w:r>
    </w:p>
    <w:p>
      <w:pPr>
        <w:pStyle w:val="Normal"/>
        <w:ind w:firstLine="680"/>
        <w:jc w:val="both"/>
        <w:rPr>
          <w:sz w:val="24"/>
          <w:szCs w:val="24"/>
        </w:rPr>
      </w:pPr>
      <w:r>
        <w:rPr>
          <w:sz w:val="24"/>
          <w:szCs w:val="24"/>
        </w:rPr>
        <w:t>Параметры окружающей среды:</w:t>
      </w:r>
    </w:p>
    <w:p>
      <w:pPr>
        <w:pStyle w:val="Normal"/>
        <w:widowControl w:val="false"/>
        <w:numPr>
          <w:ilvl w:val="0"/>
          <w:numId w:val="25"/>
        </w:numPr>
        <w:jc w:val="both"/>
        <w:rPr>
          <w:sz w:val="24"/>
          <w:szCs w:val="24"/>
        </w:rPr>
      </w:pPr>
      <w:r>
        <w:rPr>
          <w:sz w:val="24"/>
          <w:szCs w:val="24"/>
        </w:rPr>
        <w:t>температура воздуха (–30...+30) °С;</w:t>
      </w:r>
    </w:p>
    <w:p>
      <w:pPr>
        <w:pStyle w:val="Normal"/>
        <w:widowControl w:val="false"/>
        <w:numPr>
          <w:ilvl w:val="0"/>
          <w:numId w:val="25"/>
        </w:numPr>
        <w:jc w:val="both"/>
        <w:rPr>
          <w:sz w:val="24"/>
          <w:szCs w:val="24"/>
        </w:rPr>
      </w:pPr>
      <w:r>
        <w:rPr>
          <w:sz w:val="24"/>
          <w:szCs w:val="24"/>
        </w:rPr>
        <w:t>относительная влажность (10–90) % при температуре 20°С и отсутствии выпадения росы при более низких температурах.</w:t>
      </w:r>
    </w:p>
    <w:p>
      <w:pPr>
        <w:pStyle w:val="Normal"/>
        <w:jc w:val="both"/>
        <w:rPr>
          <w:sz w:val="24"/>
          <w:szCs w:val="24"/>
        </w:rPr>
      </w:pPr>
      <w:r>
        <w:rPr>
          <w:sz w:val="24"/>
          <w:szCs w:val="24"/>
        </w:rPr>
        <w:t>Прямое попадание на аппаратуру влаги, открытого огня, агрессивных сред, механическое воздействие исключено.</w:t>
      </w:r>
    </w:p>
    <w:p>
      <w:pPr>
        <w:pStyle w:val="Normal"/>
        <w:jc w:val="both"/>
        <w:rPr>
          <w:sz w:val="24"/>
          <w:szCs w:val="24"/>
        </w:rPr>
      </w:pPr>
      <w:r>
        <w:rPr>
          <w:sz w:val="24"/>
          <w:szCs w:val="24"/>
        </w:rPr>
      </w:r>
    </w:p>
    <w:p>
      <w:pPr>
        <w:pStyle w:val="Normal"/>
        <w:rPr>
          <w:sz w:val="24"/>
        </w:rPr>
      </w:pPr>
      <w:bookmarkStart w:id="40" w:name="_Toc133243731"/>
      <w:r>
        <w:rPr>
          <w:sz w:val="24"/>
        </w:rPr>
        <w:t>Таблица 1. Перечень объектов заказчика</w:t>
      </w:r>
      <w:bookmarkEnd w:id="40"/>
    </w:p>
    <w:tbl>
      <w:tblPr>
        <w:tblW w:w="10060"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62"/>
        <w:gridCol w:w="2127"/>
        <w:gridCol w:w="2812"/>
        <w:gridCol w:w="2976"/>
        <w:gridCol w:w="1583"/>
      </w:tblGrid>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w:t>
            </w:r>
          </w:p>
          <w:p>
            <w:pPr>
              <w:pStyle w:val="Normal"/>
              <w:widowControl w:val="false"/>
              <w:rPr>
                <w:sz w:val="24"/>
                <w:szCs w:val="24"/>
              </w:rPr>
            </w:pPr>
            <w:r>
              <w:rPr>
                <w:sz w:val="24"/>
                <w:szCs w:val="24"/>
              </w:rPr>
              <w:t>п/п</w:t>
            </w:r>
          </w:p>
        </w:tc>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Наименование объекта</w:t>
            </w:r>
          </w:p>
          <w:p>
            <w:pPr>
              <w:pStyle w:val="Normal"/>
              <w:widowControl w:val="false"/>
              <w:jc w:val="center"/>
              <w:rPr>
                <w:sz w:val="24"/>
                <w:szCs w:val="24"/>
              </w:rPr>
            </w:pPr>
            <w:r>
              <w:rPr>
                <w:sz w:val="24"/>
                <w:szCs w:val="24"/>
              </w:rPr>
            </w:r>
          </w:p>
        </w:tc>
        <w:tc>
          <w:tcPr>
            <w:tcW w:w="28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 xml:space="preserve">Расположение объекта </w:t>
              <w:br/>
            </w:r>
            <w:r>
              <w:rPr>
                <w:i/>
                <w:iCs/>
                <w:sz w:val="24"/>
                <w:szCs w:val="24"/>
              </w:rPr>
              <w:t>(место поставки МТР, производства работ, оказания услуг)</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 xml:space="preserve">Наименование основного средства </w:t>
              <w:br/>
              <w:t>(в отношении которого выполняются работы, оказываются услуги)</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Примечания</w:t>
            </w:r>
          </w:p>
        </w:tc>
      </w:tr>
      <w:tr>
        <w:trPr/>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28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5</w:t>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0"/>
              </w:numPr>
              <w:rPr/>
            </w:pPr>
            <w:r>
              <w:rPr/>
            </w:r>
          </w:p>
        </w:tc>
        <w:tc>
          <w:tcPr>
            <w:tcW w:w="21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iCs/>
                <w:sz w:val="24"/>
                <w:szCs w:val="24"/>
              </w:rPr>
            </w:pPr>
            <w:r>
              <w:rPr>
                <w:sz w:val="24"/>
                <w:szCs w:val="24"/>
              </w:rPr>
              <w:t>Рыбинская ГЭС</w:t>
            </w:r>
          </w:p>
        </w:tc>
        <w:tc>
          <w:tcPr>
            <w:tcW w:w="28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iCs/>
                <w:sz w:val="24"/>
                <w:szCs w:val="24"/>
              </w:rPr>
            </w:pPr>
            <w:r>
              <w:rPr>
                <w:sz w:val="24"/>
                <w:szCs w:val="24"/>
              </w:rPr>
              <w:t>152917, Российская Федерация, Ярославская область, г. Рыбинск, ул.Вяземского, д. 31</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 xml:space="preserve">Оборудование АИИСКТУЭ Рыбинской ГЭС </w:t>
            </w:r>
          </w:p>
          <w:p>
            <w:pPr>
              <w:pStyle w:val="Normal"/>
              <w:widowControl w:val="false"/>
              <w:rPr>
                <w:iCs/>
                <w:sz w:val="24"/>
                <w:szCs w:val="24"/>
              </w:rPr>
            </w:pPr>
            <w:r>
              <w:rPr>
                <w:sz w:val="24"/>
                <w:szCs w:val="24"/>
              </w:rPr>
              <w:t>(</w:t>
            </w:r>
            <w:r>
              <w:rPr>
                <w:bCs/>
                <w:sz w:val="24"/>
                <w:szCs w:val="24"/>
              </w:rPr>
              <w:t xml:space="preserve">модернизация основного средства с </w:t>
            </w:r>
            <w:r>
              <w:rPr>
                <w:sz w:val="24"/>
                <w:szCs w:val="24"/>
              </w:rPr>
              <w:t>инв.№37)</w:t>
            </w:r>
          </w:p>
        </w:tc>
        <w:tc>
          <w:tcPr>
            <w:tcW w:w="15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iCs/>
                <w:sz w:val="24"/>
                <w:szCs w:val="24"/>
              </w:rPr>
            </w:pPr>
            <w:r>
              <w:rPr>
                <w:iCs/>
                <w:sz w:val="24"/>
                <w:szCs w:val="24"/>
              </w:rPr>
            </w:r>
          </w:p>
        </w:tc>
      </w:tr>
      <w:tr>
        <w:trPr>
          <w:trHeight w:val="881" w:hRule="atLeast"/>
        </w:trPr>
        <w:tc>
          <w:tcPr>
            <w:tcW w:w="56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0"/>
              </w:numPr>
              <w:rPr/>
            </w:pPr>
            <w:r>
              <w:rPr/>
            </w:r>
          </w:p>
        </w:tc>
        <w:tc>
          <w:tcPr>
            <w:tcW w:w="21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iCs/>
                <w:sz w:val="24"/>
                <w:szCs w:val="24"/>
              </w:rPr>
            </w:pPr>
            <w:r>
              <w:rPr>
                <w:rFonts w:cs="Calibri"/>
                <w:sz w:val="24"/>
                <w:szCs w:val="24"/>
              </w:rPr>
              <w:t>Угличская ГЭС</w:t>
            </w:r>
          </w:p>
        </w:tc>
        <w:tc>
          <w:tcPr>
            <w:tcW w:w="28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iCs/>
                <w:sz w:val="24"/>
                <w:szCs w:val="24"/>
              </w:rPr>
            </w:pPr>
            <w:r>
              <w:rPr>
                <w:rFonts w:cs="Calibri"/>
                <w:sz w:val="24"/>
                <w:szCs w:val="24"/>
              </w:rPr>
              <w:t>152612, Российская Федерация, Ярославская область, г. Углич, ул.Спасская, д.33</w:t>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 xml:space="preserve">Оборудование АИИСКТУЭ Угличской ГЭС </w:t>
            </w:r>
          </w:p>
          <w:p>
            <w:pPr>
              <w:pStyle w:val="Normal"/>
              <w:widowControl w:val="false"/>
              <w:rPr>
                <w:iCs/>
                <w:sz w:val="24"/>
                <w:szCs w:val="24"/>
              </w:rPr>
            </w:pPr>
            <w:r>
              <w:rPr>
                <w:sz w:val="24"/>
                <w:szCs w:val="24"/>
              </w:rPr>
              <w:t>(</w:t>
            </w:r>
            <w:r>
              <w:rPr>
                <w:bCs/>
                <w:sz w:val="24"/>
                <w:szCs w:val="24"/>
              </w:rPr>
              <w:t>модернизация основного средства с инв.№ н00000001783)</w:t>
            </w:r>
          </w:p>
        </w:tc>
        <w:tc>
          <w:tcPr>
            <w:tcW w:w="15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iCs/>
                <w:sz w:val="24"/>
                <w:szCs w:val="24"/>
              </w:rPr>
            </w:pPr>
            <w:r>
              <w:rPr>
                <w:iCs/>
                <w:sz w:val="24"/>
                <w:szCs w:val="24"/>
              </w:rPr>
            </w:r>
          </w:p>
        </w:tc>
      </w:tr>
    </w:tbl>
    <w:p>
      <w:pPr>
        <w:pStyle w:val="111"/>
        <w:rPr/>
      </w:pPr>
      <w:r>
        <w:rPr/>
      </w:r>
    </w:p>
    <w:p>
      <w:pPr>
        <w:pStyle w:val="Heading4"/>
        <w:numPr>
          <w:ilvl w:val="1"/>
          <w:numId w:val="3"/>
        </w:numPr>
        <w:rPr/>
      </w:pPr>
      <w:bookmarkStart w:id="41" w:name="_Toc204348233"/>
      <w:bookmarkStart w:id="42" w:name="_Toc46743509"/>
      <w:bookmarkStart w:id="43" w:name="_Hlk49857604"/>
      <w:bookmarkStart w:id="44" w:name="_Toc201061826"/>
      <w:r>
        <w:rPr/>
        <w:t xml:space="preserve">Информация в отношении исполнения договора, </w:t>
      </w:r>
      <w:bookmarkStart w:id="45" w:name="_Hlk46492347"/>
      <w:r>
        <w:rPr/>
        <w:t xml:space="preserve">которая должна быть учтена при подготовке заявки </w:t>
      </w:r>
      <w:bookmarkEnd w:id="45"/>
      <w:r>
        <w:rPr/>
        <w:t>(в том числе перечень ресурсов, услуг и документов, предоставляемых заказчиком на этапе исполнения договора)</w:t>
      </w:r>
      <w:bookmarkEnd w:id="41"/>
      <w:bookmarkEnd w:id="42"/>
      <w:bookmarkEnd w:id="43"/>
      <w:bookmarkEnd w:id="44"/>
    </w:p>
    <w:p>
      <w:pPr>
        <w:pStyle w:val="ListParagraph"/>
        <w:numPr>
          <w:ilvl w:val="2"/>
          <w:numId w:val="11"/>
        </w:numPr>
        <w:spacing w:before="0" w:after="120"/>
        <w:ind w:left="0" w:hanging="0"/>
        <w:contextualSpacing/>
        <w:jc w:val="both"/>
        <w:rPr/>
      </w:pPr>
      <w:r>
        <w:rPr/>
        <w:t>Заказчик назначает представителя для оперативного рассмотрения и решения технических и организационных вопросов, связанных с выполнением работ, контактная информация представителя заказчика предоставляется подрядчику на этапе заключения договора.</w:t>
      </w:r>
    </w:p>
    <w:p>
      <w:pPr>
        <w:pStyle w:val="ListParagraph"/>
        <w:numPr>
          <w:ilvl w:val="2"/>
          <w:numId w:val="11"/>
        </w:numPr>
        <w:spacing w:before="0" w:after="120"/>
        <w:ind w:left="0" w:hanging="0"/>
        <w:contextualSpacing/>
        <w:jc w:val="both"/>
        <w:rPr/>
      </w:pPr>
      <w:r>
        <w:rPr/>
        <w:t>Заказчик предоставляет подрядчику следующие исходные данные:</w:t>
      </w:r>
    </w:p>
    <w:p>
      <w:pPr>
        <w:pStyle w:val="Normal"/>
        <w:jc w:val="both"/>
        <w:rPr>
          <w:rFonts w:eastAsia="Calibri"/>
          <w:sz w:val="24"/>
          <w:szCs w:val="24"/>
        </w:rPr>
      </w:pPr>
      <w:r>
        <w:rPr>
          <w:rFonts w:eastAsia="Calibri"/>
          <w:sz w:val="24"/>
          <w:szCs w:val="24"/>
        </w:rPr>
        <w:t>Рабочие проекты строительства АИИСКТУЭ РГЭС и АИИСКТУЭ УГЭС (разделы проектов), описывающие АИИСКТУЭ и включающие:</w:t>
      </w:r>
    </w:p>
    <w:p>
      <w:pPr>
        <w:pStyle w:val="Normal"/>
        <w:numPr>
          <w:ilvl w:val="0"/>
          <w:numId w:val="10"/>
        </w:numPr>
        <w:ind w:left="-284" w:firstLine="567"/>
        <w:jc w:val="both"/>
        <w:rPr>
          <w:b/>
          <w:i/>
          <w:i/>
          <w:sz w:val="24"/>
          <w:szCs w:val="24"/>
        </w:rPr>
      </w:pPr>
      <w:r>
        <w:rPr>
          <w:sz w:val="24"/>
          <w:szCs w:val="24"/>
        </w:rPr>
        <w:t>Однолинейная схема АИИС КТУЭ Рыбинской ГЭС приведена в документе: «АУВГ.420085.082-02 С3. Однолинейная схема».</w:t>
      </w:r>
    </w:p>
    <w:p>
      <w:pPr>
        <w:pStyle w:val="Normal"/>
        <w:jc w:val="both"/>
        <w:rPr>
          <w:sz w:val="24"/>
          <w:szCs w:val="24"/>
        </w:rPr>
      </w:pPr>
      <w:r>
        <w:rPr>
          <w:sz w:val="24"/>
          <w:szCs w:val="24"/>
        </w:rPr>
      </w:r>
    </w:p>
    <w:p>
      <w:pPr>
        <w:pStyle w:val="Normal"/>
        <w:rPr>
          <w:sz w:val="24"/>
        </w:rPr>
      </w:pPr>
      <w:r>
        <w:rPr>
          <w:sz w:val="24"/>
        </w:rPr>
        <w:t>1.5.2. На период производства работ заказчик безвозмездно предоставляет подрядчику:</w:t>
      </w:r>
    </w:p>
    <w:p>
      <w:pPr>
        <w:pStyle w:val="Normal"/>
        <w:numPr>
          <w:ilvl w:val="0"/>
          <w:numId w:val="10"/>
        </w:numPr>
        <w:ind w:left="0" w:hanging="0"/>
        <w:jc w:val="both"/>
        <w:rPr>
          <w:sz w:val="24"/>
          <w:szCs w:val="24"/>
        </w:rPr>
      </w:pPr>
      <w:r>
        <w:rPr>
          <w:sz w:val="24"/>
          <w:szCs w:val="24"/>
        </w:rPr>
        <w:t xml:space="preserve">электроэнергию; воду; </w:t>
      </w:r>
    </w:p>
    <w:p>
      <w:pPr>
        <w:pStyle w:val="Normal"/>
        <w:numPr>
          <w:ilvl w:val="0"/>
          <w:numId w:val="10"/>
        </w:numPr>
        <w:ind w:left="0" w:hanging="0"/>
        <w:jc w:val="both"/>
        <w:rPr>
          <w:sz w:val="24"/>
          <w:szCs w:val="24"/>
        </w:rPr>
      </w:pPr>
      <w:r>
        <w:rPr>
          <w:sz w:val="24"/>
          <w:szCs w:val="24"/>
        </w:rPr>
        <w:t>помещения / площадки для размещения персонала подрядчика;</w:t>
      </w:r>
    </w:p>
    <w:p>
      <w:pPr>
        <w:pStyle w:val="Normal"/>
        <w:numPr>
          <w:ilvl w:val="0"/>
          <w:numId w:val="10"/>
        </w:numPr>
        <w:ind w:left="0" w:hanging="0"/>
        <w:jc w:val="both"/>
        <w:rPr>
          <w:sz w:val="24"/>
          <w:szCs w:val="24"/>
        </w:rPr>
      </w:pPr>
      <w:r>
        <w:rPr>
          <w:sz w:val="24"/>
          <w:szCs w:val="24"/>
        </w:rPr>
        <w:t>складские помещения и / или площадки для погрузки, разгрузки, складирования, хранения материально-технических ресурсов, оборудования подрядчика.</w:t>
      </w:r>
    </w:p>
    <w:p>
      <w:pPr>
        <w:pStyle w:val="Heading4"/>
        <w:numPr>
          <w:ilvl w:val="1"/>
          <w:numId w:val="3"/>
        </w:numPr>
        <w:rPr/>
      </w:pPr>
      <w:bookmarkStart w:id="46" w:name="_Toc204348234"/>
      <w:bookmarkStart w:id="47" w:name="_Toc201061827"/>
      <w:r>
        <w:rPr/>
        <w:t>Иные требования и сведения общего характера</w:t>
      </w:r>
      <w:bookmarkEnd w:id="46"/>
      <w:bookmarkEnd w:id="47"/>
    </w:p>
    <w:p>
      <w:pPr>
        <w:pStyle w:val="FootnoteText"/>
        <w:ind w:firstLine="426"/>
        <w:jc w:val="both"/>
        <w:rPr>
          <w:bCs/>
          <w:sz w:val="24"/>
          <w:szCs w:val="24"/>
        </w:rPr>
      </w:pPr>
      <w:r>
        <w:rPr>
          <w:bCs/>
          <w:sz w:val="24"/>
          <w:szCs w:val="24"/>
        </w:rPr>
        <w:t>Предлагаемое оборудование должно быть российского происхождения, не должно быть снято с производства и технической поддержки производителя.</w:t>
      </w:r>
    </w:p>
    <w:p>
      <w:pPr>
        <w:pStyle w:val="Normal"/>
        <w:ind w:firstLine="426"/>
        <w:jc w:val="both"/>
        <w:rPr>
          <w:bCs/>
          <w:color w:val="000000"/>
          <w:sz w:val="24"/>
          <w:szCs w:val="24"/>
        </w:rPr>
      </w:pPr>
      <w:r>
        <w:rPr>
          <w:bCs/>
          <w:color w:val="000000"/>
          <w:sz w:val="24"/>
          <w:szCs w:val="24"/>
        </w:rPr>
        <w:t xml:space="preserve">Отключение действующей АИИСКТУЭ осуществляется по завершению модернизации АИИСКТУЭ и ввода в эксплуатацию обновленной системы. </w:t>
      </w:r>
    </w:p>
    <w:p>
      <w:pPr>
        <w:pStyle w:val="Normal"/>
        <w:spacing w:before="0" w:after="120"/>
        <w:ind w:firstLine="426"/>
        <w:jc w:val="both"/>
        <w:rPr>
          <w:bCs/>
          <w:sz w:val="24"/>
          <w:szCs w:val="24"/>
        </w:rPr>
      </w:pPr>
      <w:r>
        <w:rPr>
          <w:bCs/>
          <w:sz w:val="24"/>
          <w:szCs w:val="24"/>
        </w:rPr>
        <w:t>Не допускается Участникам закупочных процедур в предложении ограничиваться типовыми фразами («готовы выполнить все в соответствии с ТТ», «со всем согласны» и т.д.) или копированием конкретных требований из ТТ, необходимо самостоятельно заполнить все ячейки с описанием предлагаемых характеристик оборудования, технологий выполнения работ, значений, величин и т.д.</w:t>
      </w:r>
    </w:p>
    <w:p>
      <w:pPr>
        <w:pStyle w:val="Normal"/>
        <w:spacing w:before="0" w:after="120"/>
        <w:ind w:firstLine="426"/>
        <w:jc w:val="both"/>
        <w:rPr>
          <w:bCs/>
          <w:sz w:val="24"/>
          <w:szCs w:val="24"/>
        </w:rPr>
      </w:pPr>
      <w:r>
        <w:rPr>
          <w:bCs/>
          <w:sz w:val="24"/>
          <w:szCs w:val="24"/>
        </w:rPr>
      </w:r>
    </w:p>
    <w:p>
      <w:pPr>
        <w:pStyle w:val="Heading1"/>
        <w:numPr>
          <w:ilvl w:val="0"/>
          <w:numId w:val="3"/>
        </w:numPr>
        <w:ind w:left="3969" w:hanging="283"/>
        <w:rPr>
          <w:caps/>
          <w:sz w:val="24"/>
          <w:lang w:val="ru-RU"/>
        </w:rPr>
      </w:pPr>
      <w:bookmarkStart w:id="48" w:name="_Toc204348235"/>
      <w:bookmarkStart w:id="49" w:name="_Toc51339693"/>
      <w:bookmarkStart w:id="50" w:name="_Toc201061828"/>
      <w:r>
        <w:rPr>
          <w:sz w:val="24"/>
        </w:rPr>
        <w:t>Требования к продукции</w:t>
      </w:r>
      <w:bookmarkEnd w:id="48"/>
      <w:bookmarkEnd w:id="49"/>
      <w:bookmarkEnd w:id="50"/>
    </w:p>
    <w:p>
      <w:pPr>
        <w:pStyle w:val="Heading4"/>
        <w:numPr>
          <w:ilvl w:val="1"/>
          <w:numId w:val="3"/>
        </w:numPr>
        <w:rPr/>
      </w:pPr>
      <w:bookmarkStart w:id="51" w:name="_Toc204348236"/>
      <w:bookmarkStart w:id="52" w:name="_Toc201061829"/>
      <w:r>
        <w:rPr/>
        <w:t xml:space="preserve">Требования </w:t>
      </w:r>
      <w:r>
        <w:rPr>
          <w:lang w:val="ru-RU"/>
        </w:rPr>
        <w:t>по</w:t>
      </w:r>
      <w:r>
        <w:rPr/>
        <w:t xml:space="preserve"> объемам и срокам</w:t>
      </w:r>
      <w:bookmarkEnd w:id="51"/>
      <w:bookmarkEnd w:id="52"/>
      <w:r>
        <w:rPr/>
        <w:t xml:space="preserve"> </w:t>
      </w:r>
    </w:p>
    <w:p>
      <w:pPr>
        <w:pStyle w:val="Heading3"/>
        <w:numPr>
          <w:ilvl w:val="2"/>
          <w:numId w:val="3"/>
        </w:numPr>
        <w:ind w:left="1224" w:hanging="1224"/>
        <w:rPr/>
      </w:pPr>
      <w:bookmarkStart w:id="53" w:name="_Toc204348237"/>
      <w:bookmarkStart w:id="54" w:name="_Toc201061830"/>
      <w:r>
        <w:rPr/>
        <w:t>Требования к видам и объемам поставок</w:t>
      </w:r>
      <w:r>
        <w:rPr>
          <w:lang w:val="ru-RU"/>
        </w:rPr>
        <w:t xml:space="preserve"> МТР</w:t>
      </w:r>
      <w:r>
        <w:rPr/>
        <w:t>, работ, услуг</w:t>
      </w:r>
      <w:bookmarkEnd w:id="53"/>
      <w:bookmarkEnd w:id="54"/>
    </w:p>
    <w:p>
      <w:pPr>
        <w:pStyle w:val="Normal"/>
        <w:rPr>
          <w:sz w:val="24"/>
        </w:rPr>
      </w:pPr>
      <w:bookmarkStart w:id="55" w:name="_Toc51339695"/>
      <w:r>
        <w:rPr>
          <w:sz w:val="24"/>
        </w:rPr>
        <w:t xml:space="preserve">Таблица 2.1 Перечень и объем </w:t>
      </w:r>
      <w:bookmarkEnd w:id="55"/>
      <w:r>
        <w:rPr>
          <w:sz w:val="24"/>
        </w:rPr>
        <w:t>выполняемых работ / оказываемых услуг</w:t>
      </w:r>
    </w:p>
    <w:tbl>
      <w:tblPr>
        <w:tblW w:w="10065" w:type="dxa"/>
        <w:jc w:val="left"/>
        <w:tblInd w:w="-5" w:type="dxa"/>
        <w:tblLayout w:type="fixed"/>
        <w:tblCellMar>
          <w:top w:w="0" w:type="dxa"/>
          <w:left w:w="108" w:type="dxa"/>
          <w:bottom w:w="0" w:type="dxa"/>
          <w:right w:w="108" w:type="dxa"/>
        </w:tblCellMar>
        <w:tblLook w:val="0000" w:noVBand="0" w:noHBand="0" w:lastColumn="0" w:firstColumn="0" w:lastRow="0" w:firstRow="0"/>
      </w:tblPr>
      <w:tblGrid>
        <w:gridCol w:w="702"/>
        <w:gridCol w:w="5983"/>
        <w:gridCol w:w="1415"/>
        <w:gridCol w:w="1964"/>
      </w:tblGrid>
      <w:tr>
        <w:trPr/>
        <w:tc>
          <w:tcPr>
            <w:tcW w:w="70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w:t>
            </w:r>
          </w:p>
          <w:p>
            <w:pPr>
              <w:pStyle w:val="Normal"/>
              <w:keepNext w:val="true"/>
              <w:widowControl w:val="false"/>
              <w:jc w:val="center"/>
              <w:rPr>
                <w:sz w:val="24"/>
                <w:szCs w:val="24"/>
              </w:rPr>
            </w:pPr>
            <w:r>
              <w:rPr>
                <w:sz w:val="24"/>
                <w:szCs w:val="24"/>
              </w:rPr>
              <w:t>п/п</w:t>
            </w:r>
          </w:p>
        </w:tc>
        <w:tc>
          <w:tcPr>
            <w:tcW w:w="598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Наименование работ (услуг) / этапа работ (услуг)</w:t>
            </w:r>
          </w:p>
        </w:tc>
        <w:tc>
          <w:tcPr>
            <w:tcW w:w="141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Единица измерения</w:t>
            </w:r>
          </w:p>
        </w:tc>
        <w:tc>
          <w:tcPr>
            <w:tcW w:w="196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Количество</w:t>
            </w:r>
          </w:p>
        </w:tc>
      </w:tr>
      <w:tr>
        <w:trPr/>
        <w:tc>
          <w:tcPr>
            <w:tcW w:w="70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bCs/>
                <w:sz w:val="24"/>
                <w:szCs w:val="24"/>
              </w:rPr>
              <w:t xml:space="preserve">Разработка проектной и рабочей документации </w:t>
            </w:r>
            <w:r>
              <w:rPr>
                <w:sz w:val="24"/>
                <w:szCs w:val="24"/>
              </w:rPr>
              <w:t xml:space="preserve">АИИСКТУЭ </w:t>
            </w:r>
            <w:r>
              <w:rPr>
                <w:bCs/>
                <w:sz w:val="24"/>
                <w:szCs w:val="24"/>
              </w:rPr>
              <w:t>РГЭС и УГЭС (по отдельности)</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sz w:val="24"/>
                <w:szCs w:val="24"/>
              </w:rPr>
              <w:t>комплект</w:t>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sz w:val="24"/>
                <w:szCs w:val="24"/>
              </w:rPr>
              <w:t>2 (по 1 для каждого объекта)</w:t>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7" w:leader="none"/>
              </w:tabs>
              <w:jc w:val="both"/>
              <w:rPr>
                <w:bCs/>
                <w:sz w:val="24"/>
                <w:szCs w:val="24"/>
              </w:rPr>
            </w:pPr>
            <w:r>
              <w:rPr>
                <w:sz w:val="24"/>
                <w:szCs w:val="24"/>
                <w:lang w:val="x-none" w:eastAsia="x-none"/>
              </w:rPr>
              <w:t>Проведение</w:t>
            </w:r>
            <w:r>
              <w:rPr>
                <w:sz w:val="24"/>
                <w:szCs w:val="24"/>
                <w:lang w:eastAsia="x-none"/>
              </w:rPr>
              <w:t xml:space="preserve"> </w:t>
            </w:r>
            <w:r>
              <w:rPr>
                <w:bCs/>
                <w:color w:val="000000"/>
                <w:sz w:val="24"/>
                <w:szCs w:val="24"/>
              </w:rPr>
              <w:t>предварительного обследования</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7" w:leader="none"/>
              </w:tabs>
              <w:jc w:val="both"/>
              <w:rPr>
                <w:bCs/>
                <w:sz w:val="24"/>
                <w:szCs w:val="24"/>
              </w:rPr>
            </w:pPr>
            <w:r>
              <w:rPr>
                <w:sz w:val="24"/>
                <w:szCs w:val="24"/>
                <w:lang w:val="x-none" w:eastAsia="x-none"/>
              </w:rPr>
              <w:t xml:space="preserve">Формирование и предоставление </w:t>
            </w:r>
            <w:r>
              <w:rPr>
                <w:sz w:val="24"/>
                <w:szCs w:val="24"/>
                <w:lang w:eastAsia="x-none"/>
              </w:rPr>
              <w:t>з</w:t>
            </w:r>
            <w:r>
              <w:rPr>
                <w:sz w:val="24"/>
                <w:szCs w:val="24"/>
                <w:lang w:val="x-none" w:eastAsia="x-none"/>
              </w:rPr>
              <w:t xml:space="preserve">аказчику отчета </w:t>
            </w:r>
            <w:r>
              <w:rPr>
                <w:sz w:val="24"/>
                <w:szCs w:val="24"/>
                <w:lang w:eastAsia="x-none"/>
              </w:rPr>
              <w:t>п</w:t>
            </w:r>
            <w:r>
              <w:rPr>
                <w:sz w:val="24"/>
                <w:szCs w:val="24"/>
                <w:lang w:val="x-none" w:eastAsia="x-none"/>
              </w:rPr>
              <w:t>о проведенном</w:t>
            </w:r>
            <w:r>
              <w:rPr>
                <w:sz w:val="24"/>
                <w:szCs w:val="24"/>
                <w:lang w:eastAsia="x-none"/>
              </w:rPr>
              <w:t>у</w:t>
            </w:r>
            <w:r>
              <w:rPr>
                <w:sz w:val="24"/>
                <w:szCs w:val="24"/>
                <w:lang w:val="x-none" w:eastAsia="x-none"/>
              </w:rPr>
              <w:t xml:space="preserve"> обследовани</w:t>
            </w:r>
            <w:r>
              <w:rPr>
                <w:sz w:val="24"/>
                <w:szCs w:val="24"/>
                <w:lang w:eastAsia="x-none"/>
              </w:rPr>
              <w:t>ю</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7" w:leader="none"/>
              </w:tabs>
              <w:jc w:val="both"/>
              <w:rPr>
                <w:sz w:val="24"/>
                <w:szCs w:val="24"/>
                <w:lang w:eastAsia="x-none"/>
              </w:rPr>
            </w:pPr>
            <w:r>
              <w:rPr>
                <w:bCs/>
                <w:color w:val="000000"/>
                <w:sz w:val="24"/>
                <w:szCs w:val="24"/>
              </w:rPr>
              <w:t>Разработка и согласование ТЗ на модернизацию АИИСКТУЭ</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left w:val="single" w:sz="4" w:space="0" w:color="000000"/>
              <w:bottom w:val="single" w:sz="4" w:space="0" w:color="000000"/>
              <w:right w:val="single" w:sz="4" w:space="0" w:color="000000"/>
            </w:tcBorders>
          </w:tcPr>
          <w:p>
            <w:pPr>
              <w:pStyle w:val="Normal"/>
              <w:widowControl w:val="false"/>
              <w:tabs>
                <w:tab w:val="clear" w:pos="708"/>
                <w:tab w:val="left" w:pos="317" w:leader="none"/>
              </w:tabs>
              <w:jc w:val="both"/>
              <w:rPr>
                <w:bCs/>
                <w:color w:val="000000"/>
                <w:sz w:val="24"/>
                <w:szCs w:val="24"/>
              </w:rPr>
            </w:pPr>
            <w:r>
              <w:rPr>
                <w:bCs/>
                <w:color w:val="000000"/>
                <w:sz w:val="24"/>
                <w:szCs w:val="24"/>
              </w:rPr>
              <w:t>Разработка проектной документации</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ind w:left="0" w:hanging="0"/>
              <w:rPr>
                <w:rFonts w:eastAsia="Times New Roman"/>
                <w:lang w:val="x-none" w:eastAsia="x-none"/>
              </w:rPr>
            </w:pPr>
            <w:r>
              <w:rPr>
                <w:rFonts w:eastAsia="Times New Roman"/>
                <w:lang w:val="x-none" w:eastAsia="x-none"/>
              </w:rPr>
              <w:t>1.5</w:t>
            </w:r>
          </w:p>
        </w:tc>
        <w:tc>
          <w:tcPr>
            <w:tcW w:w="5983" w:type="dxa"/>
            <w:tcBorders>
              <w:left w:val="single" w:sz="4" w:space="0" w:color="000000"/>
              <w:bottom w:val="single" w:sz="4" w:space="0" w:color="000000"/>
              <w:right w:val="single" w:sz="4" w:space="0" w:color="000000"/>
            </w:tcBorders>
          </w:tcPr>
          <w:p>
            <w:pPr>
              <w:pStyle w:val="BodyText"/>
              <w:widowControl w:val="false"/>
              <w:tabs>
                <w:tab w:val="clear" w:pos="708"/>
                <w:tab w:val="left" w:pos="317" w:leader="none"/>
              </w:tabs>
              <w:spacing w:before="0" w:after="120"/>
              <w:jc w:val="both"/>
              <w:rPr>
                <w:bCs/>
                <w:color w:val="000000"/>
                <w:sz w:val="24"/>
                <w:szCs w:val="24"/>
              </w:rPr>
            </w:pPr>
            <w:r>
              <w:rPr>
                <w:bCs/>
                <w:color w:val="000000"/>
                <w:sz w:val="24"/>
                <w:szCs w:val="24"/>
              </w:rPr>
              <w:t>Разработка рабочей документации</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ind w:left="0" w:hanging="0"/>
              <w:rPr>
                <w:rFonts w:eastAsia="Times New Roman"/>
                <w:lang w:val="en-US" w:eastAsia="x-none"/>
              </w:rPr>
            </w:pPr>
            <w:r>
              <w:rPr>
                <w:rFonts w:eastAsia="Times New Roman"/>
                <w:lang w:val="x-none" w:eastAsia="x-none"/>
              </w:rPr>
              <w:t>1.</w:t>
            </w:r>
            <w:r>
              <w:rPr>
                <w:rFonts w:eastAsia="Times New Roman"/>
                <w:lang w:val="en-US" w:eastAsia="x-none"/>
              </w:rPr>
              <w:t>6</w:t>
            </w:r>
          </w:p>
        </w:tc>
        <w:tc>
          <w:tcPr>
            <w:tcW w:w="5983" w:type="dxa"/>
            <w:tcBorders>
              <w:left w:val="single" w:sz="4" w:space="0" w:color="000000"/>
              <w:bottom w:val="single" w:sz="4" w:space="0" w:color="000000"/>
              <w:right w:val="single" w:sz="4" w:space="0" w:color="000000"/>
            </w:tcBorders>
          </w:tcPr>
          <w:p>
            <w:pPr>
              <w:pStyle w:val="BodyText"/>
              <w:widowControl w:val="false"/>
              <w:tabs>
                <w:tab w:val="clear" w:pos="708"/>
                <w:tab w:val="left" w:pos="317" w:leader="none"/>
              </w:tabs>
              <w:spacing w:before="0" w:after="120"/>
              <w:jc w:val="both"/>
              <w:rPr>
                <w:bCs/>
                <w:color w:val="000000"/>
                <w:sz w:val="24"/>
                <w:szCs w:val="24"/>
              </w:rPr>
            </w:pPr>
            <w:r>
              <w:rPr>
                <w:bCs/>
                <w:color w:val="000000"/>
                <w:sz w:val="24"/>
                <w:szCs w:val="24"/>
              </w:rPr>
              <w:t>Разработка ТЗ на методику выполнения измерений (МВИ)</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ind w:left="0" w:hanging="0"/>
              <w:rPr>
                <w:rFonts w:eastAsia="Times New Roman"/>
                <w:lang w:val="x-none" w:eastAsia="x-none"/>
              </w:rPr>
            </w:pPr>
            <w:r>
              <w:rPr>
                <w:rFonts w:eastAsia="Times New Roman"/>
                <w:lang w:val="x-none" w:eastAsia="x-none"/>
              </w:rPr>
              <w:t>1.</w:t>
            </w:r>
            <w:r>
              <w:rPr>
                <w:rFonts w:eastAsia="Times New Roman"/>
                <w:lang w:val="x-none" w:eastAsia="x-none"/>
              </w:rPr>
              <w:t>7</w:t>
            </w:r>
          </w:p>
        </w:tc>
        <w:tc>
          <w:tcPr>
            <w:tcW w:w="5983" w:type="dxa"/>
            <w:tcBorders>
              <w:left w:val="single" w:sz="4" w:space="0" w:color="000000"/>
              <w:bottom w:val="single" w:sz="4" w:space="0" w:color="000000"/>
              <w:right w:val="single" w:sz="4" w:space="0" w:color="000000"/>
            </w:tcBorders>
          </w:tcPr>
          <w:p>
            <w:pPr>
              <w:pStyle w:val="BodyText"/>
              <w:widowControl w:val="false"/>
              <w:tabs>
                <w:tab w:val="clear" w:pos="708"/>
                <w:tab w:val="left" w:pos="317" w:leader="none"/>
              </w:tabs>
              <w:spacing w:before="0" w:after="120"/>
              <w:jc w:val="both"/>
              <w:rPr>
                <w:bCs/>
                <w:color w:val="000000"/>
                <w:sz w:val="24"/>
                <w:szCs w:val="24"/>
              </w:rPr>
            </w:pPr>
            <w:r>
              <w:rPr>
                <w:bCs/>
                <w:color w:val="000000"/>
                <w:sz w:val="24"/>
                <w:szCs w:val="24"/>
              </w:rPr>
              <w:t>Разработка и аттестация МВИ</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ind w:left="0" w:hanging="0"/>
              <w:rPr>
                <w:rFonts w:eastAsia="Times New Roman"/>
                <w:bCs/>
                <w:color w:val="000000"/>
              </w:rPr>
            </w:pPr>
            <w:r>
              <w:rPr>
                <w:rFonts w:eastAsia="Times New Roman"/>
                <w:bCs/>
                <w:color w:val="000000"/>
              </w:rPr>
              <w:t>1.</w:t>
            </w:r>
            <w:r>
              <w:rPr>
                <w:rFonts w:eastAsia="Times New Roman"/>
                <w:bCs/>
                <w:color w:val="000000"/>
              </w:rPr>
              <w:t>8</w:t>
            </w:r>
          </w:p>
        </w:tc>
        <w:tc>
          <w:tcPr>
            <w:tcW w:w="5983" w:type="dxa"/>
            <w:tcBorders>
              <w:left w:val="single" w:sz="4" w:space="0" w:color="000000"/>
              <w:bottom w:val="single" w:sz="4" w:space="0" w:color="000000"/>
              <w:right w:val="single" w:sz="4" w:space="0" w:color="000000"/>
            </w:tcBorders>
          </w:tcPr>
          <w:p>
            <w:pPr>
              <w:pStyle w:val="BodyText"/>
              <w:widowControl w:val="false"/>
              <w:tabs>
                <w:tab w:val="clear" w:pos="708"/>
                <w:tab w:val="left" w:pos="317" w:leader="none"/>
              </w:tabs>
              <w:spacing w:before="0" w:after="120"/>
              <w:jc w:val="both"/>
              <w:rPr>
                <w:bCs/>
                <w:color w:val="000000"/>
                <w:sz w:val="24"/>
                <w:szCs w:val="24"/>
              </w:rPr>
            </w:pPr>
            <w:r>
              <w:rPr>
                <w:bCs/>
                <w:color w:val="000000"/>
                <w:sz w:val="24"/>
                <w:szCs w:val="24"/>
              </w:rPr>
              <w:t>Внесение МВИ в Госреестр</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ind w:left="0" w:hanging="0"/>
              <w:rPr>
                <w:rFonts w:eastAsia="Times New Roman"/>
                <w:bCs/>
                <w:color w:val="000000"/>
              </w:rPr>
            </w:pPr>
            <w:r>
              <w:rPr>
                <w:rFonts w:eastAsia="Times New Roman"/>
                <w:bCs/>
                <w:color w:val="000000"/>
              </w:rPr>
              <w:t>1.</w:t>
            </w:r>
            <w:r>
              <w:rPr>
                <w:rFonts w:eastAsia="Times New Roman"/>
                <w:bCs/>
                <w:color w:val="000000"/>
              </w:rPr>
              <w:t>9</w:t>
            </w:r>
          </w:p>
        </w:tc>
        <w:tc>
          <w:tcPr>
            <w:tcW w:w="5983" w:type="dxa"/>
            <w:tcBorders>
              <w:left w:val="single" w:sz="4" w:space="0" w:color="000000"/>
              <w:bottom w:val="single" w:sz="4" w:space="0" w:color="000000"/>
              <w:right w:val="single" w:sz="4" w:space="0" w:color="000000"/>
            </w:tcBorders>
          </w:tcPr>
          <w:p>
            <w:pPr>
              <w:pStyle w:val="BodyText"/>
              <w:widowControl w:val="false"/>
              <w:tabs>
                <w:tab w:val="clear" w:pos="708"/>
                <w:tab w:val="left" w:pos="317" w:leader="none"/>
              </w:tabs>
              <w:spacing w:before="0" w:after="120"/>
              <w:jc w:val="both"/>
              <w:rPr>
                <w:bCs/>
                <w:color w:val="000000"/>
                <w:sz w:val="24"/>
                <w:szCs w:val="24"/>
              </w:rPr>
            </w:pPr>
            <w:r>
              <w:rPr>
                <w:bCs/>
                <w:color w:val="000000"/>
                <w:sz w:val="24"/>
                <w:szCs w:val="24"/>
              </w:rPr>
              <w:t>Разработка Программы испытаний</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ind w:left="0" w:hanging="0"/>
              <w:rPr>
                <w:rFonts w:eastAsia="Times New Roman"/>
                <w:bCs/>
                <w:color w:val="000000"/>
              </w:rPr>
            </w:pPr>
            <w:r>
              <w:rPr>
                <w:rFonts w:eastAsia="Times New Roman"/>
                <w:bCs/>
                <w:color w:val="000000"/>
              </w:rPr>
              <w:t>1.1</w:t>
            </w:r>
            <w:r>
              <w:rPr>
                <w:rFonts w:eastAsia="Times New Roman"/>
                <w:bCs/>
                <w:color w:val="000000"/>
              </w:rPr>
              <w:t>0</w:t>
            </w:r>
          </w:p>
        </w:tc>
        <w:tc>
          <w:tcPr>
            <w:tcW w:w="5983" w:type="dxa"/>
            <w:tcBorders>
              <w:left w:val="single" w:sz="4" w:space="0" w:color="000000"/>
              <w:bottom w:val="single" w:sz="4" w:space="0" w:color="000000"/>
              <w:right w:val="single" w:sz="4" w:space="0" w:color="000000"/>
            </w:tcBorders>
          </w:tcPr>
          <w:p>
            <w:pPr>
              <w:pStyle w:val="BodyText"/>
              <w:widowControl w:val="false"/>
              <w:tabs>
                <w:tab w:val="clear" w:pos="708"/>
                <w:tab w:val="left" w:pos="317" w:leader="none"/>
              </w:tabs>
              <w:spacing w:before="0" w:after="120"/>
              <w:jc w:val="both"/>
              <w:rPr>
                <w:bCs/>
                <w:color w:val="000000"/>
                <w:sz w:val="24"/>
                <w:szCs w:val="24"/>
              </w:rPr>
            </w:pPr>
            <w:r>
              <w:rPr>
                <w:bCs/>
                <w:color w:val="000000"/>
                <w:sz w:val="24"/>
                <w:szCs w:val="24"/>
              </w:rPr>
              <w:t>Утверждение Программы и методики испытаний</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7" w:leader="none"/>
              </w:tabs>
              <w:jc w:val="both"/>
              <w:rPr>
                <w:bCs/>
                <w:color w:val="000000"/>
                <w:sz w:val="24"/>
                <w:szCs w:val="24"/>
              </w:rPr>
            </w:pPr>
            <w:r>
              <w:rPr>
                <w:bCs/>
                <w:color w:val="000000"/>
                <w:sz w:val="24"/>
                <w:szCs w:val="24"/>
              </w:rPr>
              <w:t>Разработка сметной документации</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4"/>
                <w:szCs w:val="24"/>
              </w:rPr>
            </w:pPr>
            <w:r>
              <w:rPr>
                <w:bCs/>
                <w:color w:val="000000"/>
                <w:sz w:val="24"/>
                <w:szCs w:val="24"/>
              </w:rPr>
              <w:t xml:space="preserve">Поставка </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комплект</w:t>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2 (по 1 для каждого объекта)</w:t>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lang w:val="x-none" w:eastAsia="x-none"/>
              </w:rPr>
            </w:pPr>
            <w:r>
              <w:rPr>
                <w:bCs/>
                <w:color w:val="000000"/>
                <w:sz w:val="24"/>
                <w:szCs w:val="24"/>
              </w:rPr>
              <w:t>Поставка на РГЭС и УГЭС оборудования и материалов (согласно спецификации в составе РД)</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color w:val="000000"/>
                <w:sz w:val="24"/>
                <w:szCs w:val="24"/>
              </w:rPr>
            </w:pPr>
            <w:r>
              <w:rPr>
                <w:bCs/>
                <w:sz w:val="24"/>
                <w:szCs w:val="24"/>
              </w:rPr>
              <w:t>СМР, ПНР, ПИ, ОЭ, ПСИ</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комплекс работ</w:t>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2 (по 1 для каждого объекта)</w:t>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color w:val="000000"/>
                <w:sz w:val="24"/>
                <w:szCs w:val="24"/>
              </w:rPr>
            </w:pPr>
            <w:r>
              <w:rPr>
                <w:bCs/>
                <w:color w:val="000000"/>
                <w:sz w:val="24"/>
                <w:szCs w:val="24"/>
              </w:rPr>
              <w:t>Монтажные работы</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4"/>
                <w:szCs w:val="24"/>
              </w:rPr>
            </w:pPr>
            <w:r>
              <w:rPr>
                <w:sz w:val="24"/>
                <w:szCs w:val="24"/>
              </w:rPr>
              <w:t>Пусконаладочные работы</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Предварительные испытания</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Опытная эксплуатация</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7" w:leader="none"/>
              </w:tabs>
              <w:jc w:val="both"/>
              <w:rPr>
                <w:bCs/>
                <w:color w:val="000000"/>
                <w:sz w:val="24"/>
                <w:szCs w:val="24"/>
              </w:rPr>
            </w:pPr>
            <w:r>
              <w:rPr>
                <w:bCs/>
                <w:color w:val="000000"/>
                <w:sz w:val="24"/>
                <w:szCs w:val="24"/>
              </w:rPr>
              <w:t>Оформление исполнительной документации:</w:t>
            </w:r>
          </w:p>
          <w:p>
            <w:pPr>
              <w:pStyle w:val="ListParagraph"/>
              <w:widowControl w:val="false"/>
              <w:numPr>
                <w:ilvl w:val="0"/>
                <w:numId w:val="12"/>
              </w:numPr>
              <w:tabs>
                <w:tab w:val="clear" w:pos="708"/>
                <w:tab w:val="left" w:pos="317" w:leader="none"/>
              </w:tabs>
              <w:ind w:left="0" w:hanging="0"/>
              <w:jc w:val="both"/>
              <w:rPr>
                <w:bCs/>
                <w:color w:val="000000"/>
              </w:rPr>
            </w:pPr>
            <w:r>
              <w:rPr>
                <w:bCs/>
                <w:color w:val="000000"/>
              </w:rPr>
              <w:t>исполнительные схемы и чертежи;</w:t>
            </w:r>
          </w:p>
          <w:p>
            <w:pPr>
              <w:pStyle w:val="ListParagraph"/>
              <w:widowControl w:val="false"/>
              <w:numPr>
                <w:ilvl w:val="0"/>
                <w:numId w:val="12"/>
              </w:numPr>
              <w:tabs>
                <w:tab w:val="clear" w:pos="708"/>
                <w:tab w:val="left" w:pos="317" w:leader="none"/>
              </w:tabs>
              <w:ind w:left="0" w:hanging="0"/>
              <w:jc w:val="both"/>
              <w:rPr>
                <w:bCs/>
                <w:color w:val="000000"/>
              </w:rPr>
            </w:pPr>
            <w:r>
              <w:rPr>
                <w:bCs/>
                <w:color w:val="000000"/>
              </w:rPr>
              <w:t>протоколы испытаний и измерений;</w:t>
            </w:r>
          </w:p>
          <w:p>
            <w:pPr>
              <w:pStyle w:val="ListParagraph"/>
              <w:widowControl w:val="false"/>
              <w:numPr>
                <w:ilvl w:val="0"/>
                <w:numId w:val="12"/>
              </w:numPr>
              <w:tabs>
                <w:tab w:val="clear" w:pos="708"/>
                <w:tab w:val="left" w:pos="317" w:leader="none"/>
              </w:tabs>
              <w:ind w:left="0" w:hanging="0"/>
              <w:jc w:val="both"/>
              <w:rPr>
                <w:bCs/>
                <w:color w:val="000000"/>
              </w:rPr>
            </w:pPr>
            <w:r>
              <w:rPr>
                <w:bCs/>
                <w:color w:val="000000"/>
              </w:rPr>
              <w:t>кабельные журналы;</w:t>
            </w:r>
          </w:p>
          <w:p>
            <w:pPr>
              <w:pStyle w:val="ListParagraph"/>
              <w:widowControl w:val="false"/>
              <w:numPr>
                <w:ilvl w:val="0"/>
                <w:numId w:val="12"/>
              </w:numPr>
              <w:tabs>
                <w:tab w:val="clear" w:pos="708"/>
                <w:tab w:val="left" w:pos="317" w:leader="none"/>
              </w:tabs>
              <w:ind w:left="0" w:hanging="0"/>
              <w:jc w:val="both"/>
              <w:rPr>
                <w:bCs/>
                <w:color w:val="000000"/>
              </w:rPr>
            </w:pPr>
            <w:r>
              <w:rPr>
                <w:bCs/>
                <w:color w:val="000000"/>
              </w:rPr>
              <w:t>сертификаты качества и паспорта на применённые материалы;</w:t>
            </w:r>
          </w:p>
          <w:p>
            <w:pPr>
              <w:pStyle w:val="ListParagraph"/>
              <w:widowControl w:val="false"/>
              <w:numPr>
                <w:ilvl w:val="0"/>
                <w:numId w:val="12"/>
              </w:numPr>
              <w:tabs>
                <w:tab w:val="clear" w:pos="708"/>
                <w:tab w:val="left" w:pos="317" w:leader="none"/>
              </w:tabs>
              <w:ind w:left="0" w:hanging="0"/>
              <w:jc w:val="both"/>
              <w:rPr>
                <w:bCs/>
                <w:color w:val="000000"/>
              </w:rPr>
            </w:pPr>
            <w:r>
              <w:rPr>
                <w:bCs/>
                <w:color w:val="000000"/>
              </w:rPr>
              <w:t>акт приемки оборудования в эксплуатацию;</w:t>
            </w:r>
          </w:p>
          <w:p>
            <w:pPr>
              <w:pStyle w:val="ListParagraph"/>
              <w:widowControl w:val="false"/>
              <w:numPr>
                <w:ilvl w:val="0"/>
                <w:numId w:val="12"/>
              </w:numPr>
              <w:tabs>
                <w:tab w:val="clear" w:pos="708"/>
                <w:tab w:val="left" w:pos="317" w:leader="none"/>
              </w:tabs>
              <w:ind w:left="0" w:hanging="0"/>
              <w:jc w:val="both"/>
              <w:rPr>
                <w:bCs/>
                <w:color w:val="000000"/>
              </w:rPr>
            </w:pPr>
            <w:r>
              <w:rPr>
                <w:bCs/>
                <w:color w:val="000000"/>
              </w:rPr>
              <w:t>паспорт на АИИСКТУЭ с указанием расчетного ресурса и срока службы;</w:t>
            </w:r>
          </w:p>
          <w:p>
            <w:pPr>
              <w:pStyle w:val="ListParagraph"/>
              <w:widowControl w:val="false"/>
              <w:numPr>
                <w:ilvl w:val="0"/>
                <w:numId w:val="12"/>
              </w:numPr>
              <w:tabs>
                <w:tab w:val="clear" w:pos="708"/>
                <w:tab w:val="left" w:pos="317" w:leader="none"/>
              </w:tabs>
              <w:ind w:left="0" w:hanging="0"/>
              <w:jc w:val="both"/>
              <w:rPr>
                <w:bCs/>
                <w:color w:val="000000"/>
              </w:rPr>
            </w:pPr>
            <w:r>
              <w:rPr>
                <w:bCs/>
                <w:color w:val="000000"/>
              </w:rPr>
              <w:t>описание программного обеспечения и алгоритмов работы АИИСКТУЭ;</w:t>
            </w:r>
          </w:p>
          <w:p>
            <w:pPr>
              <w:pStyle w:val="ListParagraph"/>
              <w:widowControl w:val="false"/>
              <w:numPr>
                <w:ilvl w:val="0"/>
                <w:numId w:val="12"/>
              </w:numPr>
              <w:tabs>
                <w:tab w:val="clear" w:pos="708"/>
                <w:tab w:val="left" w:pos="317" w:leader="none"/>
              </w:tabs>
              <w:ind w:left="0" w:hanging="0"/>
              <w:jc w:val="both"/>
              <w:rPr>
                <w:bCs/>
                <w:color w:val="000000"/>
              </w:rPr>
            </w:pPr>
            <w:r>
              <w:rPr>
                <w:bCs/>
                <w:color w:val="000000"/>
              </w:rPr>
              <w:t>инструкция по эксплуатации АИИСКТУЭ</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комплект</w:t>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4 (по 2 для каждого объекта)</w:t>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7" w:leader="none"/>
              </w:tabs>
              <w:jc w:val="both"/>
              <w:rPr>
                <w:bCs/>
                <w:color w:val="000000"/>
                <w:sz w:val="24"/>
                <w:szCs w:val="24"/>
              </w:rPr>
            </w:pPr>
            <w:r>
              <w:rPr>
                <w:sz w:val="24"/>
                <w:szCs w:val="24"/>
              </w:rPr>
              <w:t>Передача заказчику документации на оборудование, материалы, программное обеспечение</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left w:val="single" w:sz="4" w:space="0" w:color="000000"/>
              <w:bottom w:val="single" w:sz="4" w:space="0" w:color="000000"/>
              <w:right w:val="single" w:sz="4" w:space="0" w:color="000000"/>
            </w:tcBorders>
          </w:tcPr>
          <w:p>
            <w:pPr>
              <w:pStyle w:val="Normal"/>
              <w:widowControl w:val="false"/>
              <w:tabs>
                <w:tab w:val="clear" w:pos="708"/>
                <w:tab w:val="left" w:pos="317" w:leader="none"/>
              </w:tabs>
              <w:jc w:val="both"/>
              <w:rPr>
                <w:bCs/>
                <w:color w:val="000000"/>
                <w:sz w:val="24"/>
                <w:szCs w:val="24"/>
              </w:rPr>
            </w:pPr>
            <w:r>
              <w:rPr>
                <w:bCs/>
                <w:color w:val="000000"/>
                <w:sz w:val="24"/>
                <w:szCs w:val="24"/>
              </w:rPr>
              <w:t>Оформление и передача Заказчику метрологической документации, включая внесение в госреестр средств измерений, свидетельства об аттестации методики (метода) измерений, описание типа средства измерений и внесение в Федеральный информационный фонд ОЕИ, первичная поверка АИИС КУЭ (свидетельство о поверке)</w:t>
            </w:r>
            <w:bookmarkStart w:id="56" w:name="_GoBack"/>
            <w:bookmarkEnd w:id="56"/>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17" w:leader="none"/>
              </w:tabs>
              <w:jc w:val="both"/>
              <w:rPr>
                <w:bCs/>
                <w:color w:val="000000"/>
                <w:sz w:val="24"/>
                <w:szCs w:val="24"/>
              </w:rPr>
            </w:pPr>
            <w:r>
              <w:rPr>
                <w:bCs/>
                <w:sz w:val="24"/>
                <w:szCs w:val="24"/>
              </w:rPr>
              <w:t>Приемо-сдаточные испытания.</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left w:val="single" w:sz="4" w:space="0" w:color="000000"/>
              <w:bottom w:val="single" w:sz="4" w:space="0" w:color="000000"/>
              <w:right w:val="single" w:sz="4" w:space="0" w:color="000000"/>
            </w:tcBorders>
          </w:tcPr>
          <w:p>
            <w:pPr>
              <w:pStyle w:val="BodyText"/>
              <w:widowControl w:val="false"/>
              <w:tabs>
                <w:tab w:val="clear" w:pos="708"/>
                <w:tab w:val="left" w:pos="317" w:leader="none"/>
              </w:tabs>
              <w:spacing w:before="0" w:after="120"/>
              <w:jc w:val="both"/>
              <w:rPr>
                <w:bCs/>
                <w:sz w:val="24"/>
                <w:szCs w:val="24"/>
              </w:rPr>
            </w:pPr>
            <w:r>
              <w:rPr>
                <w:bCs/>
                <w:sz w:val="24"/>
                <w:szCs w:val="24"/>
              </w:rPr>
              <w:t>Экспертиза АИИС и приемка ее в постоянную эксплуатацию</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numPr>
                <w:ilvl w:val="1"/>
                <w:numId w:val="7"/>
              </w:numPr>
              <w:ind w:left="0" w:hanging="0"/>
              <w:rPr/>
            </w:pPr>
            <w:r>
              <w:rPr/>
            </w:r>
          </w:p>
        </w:tc>
        <w:tc>
          <w:tcPr>
            <w:tcW w:w="5983" w:type="dxa"/>
            <w:tcBorders>
              <w:left w:val="single" w:sz="4" w:space="0" w:color="000000"/>
              <w:bottom w:val="single" w:sz="4" w:space="0" w:color="000000"/>
              <w:right w:val="single" w:sz="4" w:space="0" w:color="000000"/>
            </w:tcBorders>
          </w:tcPr>
          <w:p>
            <w:pPr>
              <w:pStyle w:val="BodyText"/>
              <w:widowControl w:val="false"/>
              <w:tabs>
                <w:tab w:val="clear" w:pos="708"/>
                <w:tab w:val="left" w:pos="317" w:leader="none"/>
              </w:tabs>
              <w:spacing w:before="0" w:after="120"/>
              <w:jc w:val="both"/>
              <w:rPr>
                <w:bCs/>
                <w:sz w:val="24"/>
                <w:szCs w:val="24"/>
              </w:rPr>
            </w:pPr>
            <w:r>
              <w:rPr>
                <w:bCs/>
                <w:sz w:val="24"/>
                <w:szCs w:val="24"/>
              </w:rPr>
              <w:t>Установление соответствия техническим требованиям ОРЭ присвоение коэффициента класса качества</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r>
        <w:trPr/>
        <w:tc>
          <w:tcPr>
            <w:tcW w:w="702" w:type="dxa"/>
            <w:tcBorders>
              <w:left w:val="single" w:sz="4" w:space="0" w:color="000000"/>
              <w:bottom w:val="single" w:sz="4" w:space="0" w:color="000000"/>
              <w:right w:val="single" w:sz="4" w:space="0" w:color="000000"/>
            </w:tcBorders>
          </w:tcPr>
          <w:p>
            <w:pPr>
              <w:pStyle w:val="ListParagraph"/>
              <w:widowControl w:val="false"/>
              <w:ind w:left="0" w:hanging="0"/>
              <w:rPr>
                <w:rFonts w:eastAsia="Times New Roman"/>
                <w:bCs/>
              </w:rPr>
            </w:pPr>
            <w:r>
              <w:rPr>
                <w:rFonts w:eastAsia="Times New Roman"/>
                <w:bCs/>
              </w:rPr>
              <w:t>3.11</w:t>
            </w:r>
          </w:p>
        </w:tc>
        <w:tc>
          <w:tcPr>
            <w:tcW w:w="5983" w:type="dxa"/>
            <w:tcBorders>
              <w:left w:val="single" w:sz="4" w:space="0" w:color="000000"/>
              <w:bottom w:val="single" w:sz="4" w:space="0" w:color="000000"/>
              <w:right w:val="single" w:sz="4" w:space="0" w:color="000000"/>
            </w:tcBorders>
          </w:tcPr>
          <w:p>
            <w:pPr>
              <w:pStyle w:val="Normal"/>
              <w:widowControl w:val="false"/>
              <w:tabs>
                <w:tab w:val="clear" w:pos="708"/>
                <w:tab w:val="left" w:pos="317" w:leader="none"/>
              </w:tabs>
              <w:jc w:val="both"/>
              <w:rPr>
                <w:bCs/>
                <w:sz w:val="24"/>
                <w:szCs w:val="24"/>
              </w:rPr>
            </w:pPr>
            <w:r>
              <w:rPr>
                <w:bCs/>
                <w:sz w:val="24"/>
                <w:szCs w:val="24"/>
              </w:rPr>
              <w:t>Оформление (подписание) акта приемки КС-11</w:t>
            </w:r>
          </w:p>
        </w:tc>
        <w:tc>
          <w:tcPr>
            <w:tcW w:w="1415"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c>
          <w:tcPr>
            <w:tcW w:w="1964"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r>
          </w:p>
        </w:tc>
      </w:tr>
    </w:tbl>
    <w:p>
      <w:pPr>
        <w:pStyle w:val="Heading3"/>
        <w:tabs>
          <w:tab w:val="clear" w:pos="0"/>
        </w:tabs>
        <w:ind w:left="1224" w:hanging="0"/>
        <w:rPr/>
      </w:pPr>
      <w:r>
        <w:rPr/>
      </w:r>
    </w:p>
    <w:p>
      <w:pPr>
        <w:pStyle w:val="Heading3"/>
        <w:numPr>
          <w:ilvl w:val="2"/>
          <w:numId w:val="3"/>
        </w:numPr>
        <w:ind w:left="1224" w:hanging="1224"/>
        <w:rPr/>
      </w:pPr>
      <w:bookmarkStart w:id="57" w:name="_Toc204348238"/>
      <w:r>
        <w:rPr/>
        <w:t xml:space="preserve">Требования к срокам поставки </w:t>
      </w:r>
      <w:r>
        <w:rPr>
          <w:lang w:val="ru-RU"/>
        </w:rPr>
        <w:t>МТР</w:t>
      </w:r>
      <w:r>
        <w:rPr/>
        <w:t>, выполнению работ, оказанию услуг</w:t>
      </w:r>
      <w:bookmarkEnd w:id="57"/>
    </w:p>
    <w:p>
      <w:pPr>
        <w:pStyle w:val="Normal"/>
        <w:rPr>
          <w:sz w:val="22"/>
          <w:szCs w:val="24"/>
        </w:rPr>
      </w:pPr>
      <w:bookmarkStart w:id="58" w:name="_Toc51339697"/>
      <w:bookmarkStart w:id="59" w:name="_Toc50125127"/>
      <w:bookmarkStart w:id="60" w:name="_Toc50125126"/>
      <w:bookmarkEnd w:id="60"/>
      <w:r>
        <w:rPr>
          <w:sz w:val="24"/>
        </w:rPr>
        <w:t xml:space="preserve">Таблица 3.1 </w:t>
      </w:r>
      <w:bookmarkStart w:id="61" w:name="_Hlk50465284"/>
      <w:r>
        <w:rPr>
          <w:sz w:val="24"/>
        </w:rPr>
        <w:t xml:space="preserve">Требования </w:t>
      </w:r>
      <w:bookmarkEnd w:id="58"/>
      <w:bookmarkEnd w:id="59"/>
      <w:bookmarkEnd w:id="61"/>
      <w:r>
        <w:rPr>
          <w:sz w:val="24"/>
        </w:rPr>
        <w:t>по срокам выполнения работ / оказания услуг</w:t>
      </w:r>
      <w:r>
        <w:rPr>
          <w:rStyle w:val="Style8"/>
          <w:i w:val="false"/>
          <w:sz w:val="22"/>
          <w:szCs w:val="24"/>
          <w:shd w:fill="auto" w:val="clear"/>
        </w:rPr>
        <w:t xml:space="preserve"> </w:t>
      </w:r>
    </w:p>
    <w:tbl>
      <w:tblPr>
        <w:tblW w:w="9923" w:type="dxa"/>
        <w:jc w:val="left"/>
        <w:tblInd w:w="-5" w:type="dxa"/>
        <w:tblLayout w:type="fixed"/>
        <w:tblCellMar>
          <w:top w:w="0" w:type="dxa"/>
          <w:left w:w="108" w:type="dxa"/>
          <w:bottom w:w="0" w:type="dxa"/>
          <w:right w:w="108" w:type="dxa"/>
        </w:tblCellMar>
        <w:tblLook w:val="04a0" w:noVBand="1" w:noHBand="0" w:lastColumn="0" w:firstColumn="1" w:lastRow="0" w:firstRow="1"/>
      </w:tblPr>
      <w:tblGrid>
        <w:gridCol w:w="715"/>
        <w:gridCol w:w="3537"/>
        <w:gridCol w:w="2706"/>
        <w:gridCol w:w="2964"/>
      </w:tblGrid>
      <w:tr>
        <w:trPr/>
        <w:tc>
          <w:tcPr>
            <w:tcW w:w="7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bookmarkStart w:id="62" w:name="_Toc46743510"/>
            <w:bookmarkEnd w:id="62"/>
            <w:r>
              <w:rPr>
                <w:sz w:val="24"/>
                <w:szCs w:val="24"/>
              </w:rPr>
              <w:t xml:space="preserve">№ </w:t>
            </w:r>
            <w:r>
              <w:rPr>
                <w:sz w:val="24"/>
                <w:szCs w:val="24"/>
              </w:rPr>
              <w:t>п/п</w:t>
            </w:r>
          </w:p>
        </w:tc>
        <w:tc>
          <w:tcPr>
            <w:tcW w:w="3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Наименование работ / услуг </w:t>
              <w:br/>
              <w:t>(вид / этап (работ/ услуг)</w:t>
            </w:r>
          </w:p>
        </w:tc>
        <w:tc>
          <w:tcPr>
            <w:tcW w:w="2706" w:type="dxa"/>
            <w:tcBorders>
              <w:top w:val="single" w:sz="4" w:space="0" w:color="000000"/>
              <w:left w:val="single" w:sz="4" w:space="0" w:color="000000"/>
              <w:bottom w:val="single" w:sz="4" w:space="0" w:color="000000"/>
              <w:right w:val="single" w:sz="4" w:space="0" w:color="000000"/>
            </w:tcBorders>
            <w:vAlign w:val="center"/>
          </w:tcPr>
          <w:p>
            <w:pPr>
              <w:pStyle w:val="Style30"/>
              <w:keepNext w:val="false"/>
              <w:widowControl w:val="false"/>
              <w:spacing w:before="40" w:after="40"/>
              <w:jc w:val="center"/>
              <w:rPr>
                <w:sz w:val="24"/>
                <w:szCs w:val="24"/>
              </w:rPr>
            </w:pPr>
            <w:r>
              <w:rPr>
                <w:sz w:val="24"/>
                <w:szCs w:val="24"/>
              </w:rPr>
              <w:t>Требования к началу срока выполнения работ / оказания услуг (этапа работ / услуг)</w:t>
            </w:r>
          </w:p>
        </w:tc>
        <w:tc>
          <w:tcPr>
            <w:tcW w:w="2964" w:type="dxa"/>
            <w:tcBorders>
              <w:top w:val="single" w:sz="4" w:space="0" w:color="000000"/>
              <w:left w:val="single" w:sz="4" w:space="0" w:color="000000"/>
              <w:bottom w:val="single" w:sz="4" w:space="0" w:color="000000"/>
              <w:right w:val="single" w:sz="4" w:space="0" w:color="000000"/>
            </w:tcBorders>
            <w:vAlign w:val="center"/>
          </w:tcPr>
          <w:p>
            <w:pPr>
              <w:pStyle w:val="Style30"/>
              <w:keepNext w:val="false"/>
              <w:widowControl w:val="false"/>
              <w:spacing w:before="40" w:after="40"/>
              <w:jc w:val="center"/>
              <w:rPr>
                <w:sz w:val="24"/>
                <w:szCs w:val="24"/>
              </w:rPr>
            </w:pPr>
            <w:r>
              <w:rPr>
                <w:sz w:val="24"/>
                <w:szCs w:val="24"/>
              </w:rPr>
              <w:t>Требования к окончанию срока выполнения работ / оказания услуг (этапа работ / услуг)</w:t>
            </w:r>
          </w:p>
        </w:tc>
      </w:tr>
      <w:tr>
        <w:trPr/>
        <w:tc>
          <w:tcPr>
            <w:tcW w:w="71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1</w:t>
            </w:r>
          </w:p>
        </w:tc>
        <w:tc>
          <w:tcPr>
            <w:tcW w:w="3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2</w:t>
            </w:r>
          </w:p>
        </w:tc>
        <w:tc>
          <w:tcPr>
            <w:tcW w:w="2706"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sz w:val="24"/>
                <w:szCs w:val="24"/>
              </w:rPr>
            </w:pPr>
            <w:r>
              <w:rPr>
                <w:b/>
                <w:sz w:val="24"/>
                <w:szCs w:val="24"/>
              </w:rPr>
              <w:t>3</w:t>
            </w:r>
          </w:p>
        </w:tc>
        <w:tc>
          <w:tcPr>
            <w:tcW w:w="2964"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sz w:val="24"/>
                <w:szCs w:val="24"/>
              </w:rPr>
            </w:pPr>
            <w:r>
              <w:rPr>
                <w:b/>
                <w:sz w:val="24"/>
                <w:szCs w:val="24"/>
              </w:rPr>
              <w:t>4</w:t>
            </w:r>
          </w:p>
        </w:tc>
      </w:tr>
      <w:tr>
        <w:trPr/>
        <w:tc>
          <w:tcPr>
            <w:tcW w:w="715"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sz w:val="24"/>
                <w:szCs w:val="24"/>
              </w:rPr>
              <w:t>1.</w:t>
            </w:r>
          </w:p>
        </w:tc>
        <w:tc>
          <w:tcPr>
            <w:tcW w:w="3537" w:type="dxa"/>
            <w:tcBorders>
              <w:left w:val="single" w:sz="4" w:space="0" w:color="000000"/>
              <w:bottom w:val="single" w:sz="4" w:space="0" w:color="000000"/>
              <w:right w:val="single" w:sz="4" w:space="0" w:color="000000"/>
            </w:tcBorders>
            <w:shd w:color="auto" w:fill="auto" w:val="clear"/>
          </w:tcPr>
          <w:p>
            <w:pPr>
              <w:pStyle w:val="Normal"/>
              <w:widowControl w:val="false"/>
              <w:rPr>
                <w:sz w:val="24"/>
                <w:szCs w:val="28"/>
              </w:rPr>
            </w:pPr>
            <w:r>
              <w:rPr>
                <w:bCs/>
                <w:sz w:val="24"/>
                <w:szCs w:val="28"/>
              </w:rPr>
              <w:t xml:space="preserve">Разработка </w:t>
            </w:r>
            <w:r>
              <w:rPr>
                <w:bCs/>
                <w:sz w:val="24"/>
                <w:szCs w:val="28"/>
              </w:rPr>
              <w:t>проектной</w:t>
            </w:r>
            <w:r>
              <w:rPr>
                <w:bCs/>
                <w:sz w:val="24"/>
                <w:szCs w:val="28"/>
              </w:rPr>
              <w:t xml:space="preserve"> документации</w:t>
            </w:r>
          </w:p>
        </w:tc>
        <w:tc>
          <w:tcPr>
            <w:tcW w:w="2706" w:type="dxa"/>
            <w:tcBorders>
              <w:left w:val="single" w:sz="4" w:space="0" w:color="000000"/>
              <w:bottom w:val="single" w:sz="4" w:space="0" w:color="000000"/>
              <w:right w:val="single" w:sz="4" w:space="0" w:color="000000"/>
            </w:tcBorders>
          </w:tcPr>
          <w:p>
            <w:pPr>
              <w:pStyle w:val="Normal"/>
              <w:widowControl w:val="false"/>
              <w:rPr>
                <w:bCs/>
                <w:sz w:val="24"/>
                <w:szCs w:val="24"/>
              </w:rPr>
            </w:pPr>
            <w:r>
              <w:rPr>
                <w:bCs/>
                <w:sz w:val="24"/>
                <w:szCs w:val="24"/>
              </w:rPr>
              <w:t>С даты заключения договора</w:t>
            </w:r>
          </w:p>
        </w:tc>
        <w:tc>
          <w:tcPr>
            <w:tcW w:w="2964" w:type="dxa"/>
            <w:tcBorders>
              <w:left w:val="single" w:sz="4" w:space="0" w:color="000000"/>
              <w:bottom w:val="single" w:sz="4" w:space="0" w:color="000000"/>
              <w:right w:val="single" w:sz="4" w:space="0" w:color="000000"/>
            </w:tcBorders>
          </w:tcPr>
          <w:p>
            <w:pPr>
              <w:pStyle w:val="Normal"/>
              <w:widowControl w:val="false"/>
              <w:rPr>
                <w:sz w:val="24"/>
                <w:szCs w:val="28"/>
              </w:rPr>
            </w:pPr>
            <w:r>
              <w:rPr>
                <w:bCs/>
                <w:sz w:val="24"/>
                <w:szCs w:val="28"/>
              </w:rPr>
              <w:t xml:space="preserve">В течение </w:t>
            </w:r>
            <w:r>
              <w:rPr>
                <w:bCs/>
                <w:sz w:val="24"/>
                <w:szCs w:val="28"/>
              </w:rPr>
              <w:t>4</w:t>
            </w:r>
            <w:r>
              <w:rPr>
                <w:bCs/>
                <w:sz w:val="24"/>
                <w:szCs w:val="28"/>
              </w:rPr>
              <w:t>0 дней с даты заключения договора</w:t>
            </w:r>
          </w:p>
        </w:tc>
      </w:tr>
      <w:tr>
        <w:trPr/>
        <w:tc>
          <w:tcPr>
            <w:tcW w:w="71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bidi w:val="0"/>
              <w:spacing w:before="0" w:after="0"/>
              <w:ind w:left="170" w:right="0" w:hanging="0"/>
              <w:contextualSpacing/>
              <w:jc w:val="left"/>
              <w:rPr/>
            </w:pPr>
            <w:r>
              <w:rPr/>
              <w:t>2.</w:t>
            </w:r>
          </w:p>
        </w:tc>
        <w:tc>
          <w:tcPr>
            <w:tcW w:w="3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bCs/>
                <w:sz w:val="24"/>
                <w:szCs w:val="24"/>
              </w:rPr>
              <w:t>Разработка рабочей документации</w:t>
            </w:r>
          </w:p>
        </w:tc>
        <w:tc>
          <w:tcPr>
            <w:tcW w:w="270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bCs/>
                <w:sz w:val="24"/>
                <w:szCs w:val="24"/>
              </w:rPr>
              <w:t>С даты заключения договора</w:t>
            </w:r>
          </w:p>
        </w:tc>
        <w:tc>
          <w:tcPr>
            <w:tcW w:w="296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bCs/>
                <w:sz w:val="24"/>
                <w:szCs w:val="24"/>
              </w:rPr>
              <w:t>В течение 90 дней с даты заключения договора</w:t>
            </w:r>
          </w:p>
        </w:tc>
      </w:tr>
      <w:tr>
        <w:trPr/>
        <w:tc>
          <w:tcPr>
            <w:tcW w:w="71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0"/>
              </w:numPr>
              <w:suppressAutoHyphens w:val="true"/>
              <w:bidi w:val="0"/>
              <w:spacing w:before="0" w:after="0"/>
              <w:ind w:left="170" w:right="0" w:hanging="0"/>
              <w:contextualSpacing/>
              <w:jc w:val="left"/>
              <w:rPr/>
            </w:pPr>
            <w:r>
              <w:rPr/>
              <w:t>3.</w:t>
            </w:r>
          </w:p>
        </w:tc>
        <w:tc>
          <w:tcPr>
            <w:tcW w:w="3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Cs/>
                <w:sz w:val="24"/>
                <w:szCs w:val="24"/>
              </w:rPr>
            </w:pPr>
            <w:r>
              <w:rPr>
                <w:bCs/>
                <w:sz w:val="24"/>
                <w:szCs w:val="24"/>
              </w:rPr>
              <w:t>Поставка</w:t>
            </w:r>
          </w:p>
        </w:tc>
        <w:tc>
          <w:tcPr>
            <w:tcW w:w="2706" w:type="dxa"/>
            <w:tcBorders>
              <w:top w:val="single" w:sz="4" w:space="0" w:color="000000"/>
              <w:left w:val="single" w:sz="4" w:space="0" w:color="000000"/>
              <w:bottom w:val="single" w:sz="4" w:space="0" w:color="000000"/>
              <w:right w:val="single" w:sz="4" w:space="0" w:color="000000"/>
            </w:tcBorders>
          </w:tcPr>
          <w:p>
            <w:pPr>
              <w:pStyle w:val="Normal"/>
              <w:widowControl w:val="false"/>
              <w:rPr>
                <w:bCs/>
                <w:sz w:val="24"/>
                <w:szCs w:val="24"/>
              </w:rPr>
            </w:pPr>
            <w:r>
              <w:rPr>
                <w:bCs/>
                <w:sz w:val="24"/>
                <w:szCs w:val="24"/>
              </w:rPr>
              <w:t>С даты заключения договора</w:t>
            </w:r>
          </w:p>
        </w:tc>
        <w:tc>
          <w:tcPr>
            <w:tcW w:w="2964" w:type="dxa"/>
            <w:tcBorders>
              <w:top w:val="single" w:sz="4" w:space="0" w:color="000000"/>
              <w:left w:val="single" w:sz="4" w:space="0" w:color="000000"/>
              <w:bottom w:val="single" w:sz="4" w:space="0" w:color="000000"/>
              <w:right w:val="single" w:sz="4" w:space="0" w:color="000000"/>
            </w:tcBorders>
          </w:tcPr>
          <w:p>
            <w:pPr>
              <w:pStyle w:val="Normal"/>
              <w:widowControl w:val="false"/>
              <w:rPr>
                <w:bCs/>
                <w:sz w:val="24"/>
                <w:szCs w:val="24"/>
              </w:rPr>
            </w:pPr>
            <w:r>
              <w:rPr>
                <w:bCs/>
                <w:sz w:val="24"/>
                <w:szCs w:val="24"/>
              </w:rPr>
              <w:t>В течение  210 дней с даты заключения договора</w:t>
            </w:r>
          </w:p>
        </w:tc>
      </w:tr>
      <w:tr>
        <w:trPr/>
        <w:tc>
          <w:tcPr>
            <w:tcW w:w="71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0"/>
              </w:numPr>
              <w:suppressAutoHyphens w:val="true"/>
              <w:bidi w:val="0"/>
              <w:spacing w:before="0" w:after="0"/>
              <w:ind w:left="170" w:right="0" w:hanging="0"/>
              <w:contextualSpacing/>
              <w:jc w:val="left"/>
              <w:rPr/>
            </w:pPr>
            <w:r>
              <w:rPr/>
              <w:t>4.</w:t>
            </w:r>
          </w:p>
        </w:tc>
        <w:tc>
          <w:tcPr>
            <w:tcW w:w="3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Cs/>
                <w:sz w:val="24"/>
                <w:szCs w:val="24"/>
              </w:rPr>
            </w:pPr>
            <w:r>
              <w:rPr>
                <w:bCs/>
                <w:sz w:val="24"/>
                <w:szCs w:val="24"/>
              </w:rPr>
              <w:t>СМР и ПНР, ПИ, ОЭ, ПСИ</w:t>
            </w:r>
          </w:p>
        </w:tc>
        <w:tc>
          <w:tcPr>
            <w:tcW w:w="2706" w:type="dxa"/>
            <w:tcBorders>
              <w:top w:val="single" w:sz="4" w:space="0" w:color="000000"/>
              <w:left w:val="single" w:sz="4" w:space="0" w:color="000000"/>
              <w:bottom w:val="single" w:sz="4" w:space="0" w:color="000000"/>
              <w:right w:val="single" w:sz="4" w:space="0" w:color="000000"/>
            </w:tcBorders>
          </w:tcPr>
          <w:p>
            <w:pPr>
              <w:pStyle w:val="Normal"/>
              <w:widowControl w:val="false"/>
              <w:rPr>
                <w:bCs/>
                <w:sz w:val="24"/>
                <w:szCs w:val="24"/>
              </w:rPr>
            </w:pPr>
            <w:r>
              <w:rPr>
                <w:bCs/>
                <w:sz w:val="24"/>
                <w:szCs w:val="24"/>
              </w:rPr>
              <w:t>С даты заключения договора</w:t>
            </w:r>
          </w:p>
        </w:tc>
        <w:tc>
          <w:tcPr>
            <w:tcW w:w="2964" w:type="dxa"/>
            <w:tcBorders>
              <w:top w:val="single" w:sz="4" w:space="0" w:color="000000"/>
              <w:left w:val="single" w:sz="4" w:space="0" w:color="000000"/>
              <w:bottom w:val="single" w:sz="4" w:space="0" w:color="000000"/>
              <w:right w:val="single" w:sz="4" w:space="0" w:color="000000"/>
            </w:tcBorders>
          </w:tcPr>
          <w:p>
            <w:pPr>
              <w:pStyle w:val="Normal"/>
              <w:widowControl w:val="false"/>
              <w:rPr>
                <w:bCs/>
                <w:sz w:val="24"/>
                <w:szCs w:val="24"/>
              </w:rPr>
            </w:pPr>
            <w:r>
              <w:rPr>
                <w:bCs/>
                <w:sz w:val="24"/>
                <w:szCs w:val="24"/>
              </w:rPr>
              <w:t>В течение  330 дней с даты заключения договора</w:t>
            </w:r>
          </w:p>
        </w:tc>
      </w:tr>
    </w:tbl>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381" w:charSpace="0"/>
        </w:sectPr>
      </w:pPr>
    </w:p>
    <w:p>
      <w:pPr>
        <w:pStyle w:val="Heading4"/>
        <w:numPr>
          <w:ilvl w:val="1"/>
          <w:numId w:val="3"/>
        </w:numPr>
        <w:rPr/>
      </w:pPr>
      <w:bookmarkStart w:id="63" w:name="_Toc204348239"/>
      <w:bookmarkStart w:id="64" w:name="_Toc201061832"/>
      <w:r>
        <w:rPr/>
        <w:t>Требования к качеству продукции</w:t>
      </w:r>
      <w:bookmarkEnd w:id="63"/>
      <w:bookmarkEnd w:id="64"/>
    </w:p>
    <w:p>
      <w:pPr>
        <w:pStyle w:val="Normal"/>
        <w:rPr>
          <w:sz w:val="24"/>
        </w:rPr>
      </w:pPr>
      <w:bookmarkStart w:id="65" w:name="_Toc51339698"/>
      <w:r>
        <w:rPr>
          <w:sz w:val="24"/>
        </w:rPr>
        <w:t xml:space="preserve">Таблица 4. Требования к </w:t>
      </w:r>
      <w:bookmarkEnd w:id="65"/>
      <w:r>
        <w:rPr>
          <w:sz w:val="24"/>
        </w:rPr>
        <w:t xml:space="preserve">качеству продукции </w:t>
      </w:r>
    </w:p>
    <w:tbl>
      <w:tblPr>
        <w:tblStyle w:val="affffb"/>
        <w:tblW w:w="1531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707"/>
        <w:gridCol w:w="3120"/>
        <w:gridCol w:w="75"/>
        <w:gridCol w:w="4602"/>
        <w:gridCol w:w="2540"/>
        <w:gridCol w:w="2563"/>
        <w:gridCol w:w="1702"/>
      </w:tblGrid>
      <w:tr>
        <w:trPr/>
        <w:tc>
          <w:tcPr>
            <w:tcW w:w="707" w:type="dxa"/>
            <w:vMerge w:val="restart"/>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3195" w:type="dxa"/>
            <w:gridSpan w:val="2"/>
            <w:vMerge w:val="restart"/>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Наименование параметра</w:t>
            </w:r>
          </w:p>
        </w:tc>
        <w:tc>
          <w:tcPr>
            <w:tcW w:w="4602" w:type="dxa"/>
            <w:vMerge w:val="restart"/>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Требование заказчика</w:t>
            </w:r>
          </w:p>
        </w:tc>
        <w:tc>
          <w:tcPr>
            <w:tcW w:w="5103" w:type="dxa"/>
            <w:gridSpan w:val="2"/>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c>
          <w:tcPr>
            <w:tcW w:w="1702" w:type="dxa"/>
            <w:vMerge w:val="restart"/>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Предложение Участника по характе-ристикам и параметрам</w:t>
            </w:r>
          </w:p>
        </w:tc>
      </w:tr>
      <w:tr>
        <w:trPr/>
        <w:tc>
          <w:tcPr>
            <w:tcW w:w="707" w:type="dxa"/>
            <w:vMerge w:val="continue"/>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c>
          <w:tcPr>
            <w:tcW w:w="3195" w:type="dxa"/>
            <w:gridSpan w:val="2"/>
            <w:vMerge w:val="continue"/>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c>
          <w:tcPr>
            <w:tcW w:w="4602" w:type="dxa"/>
            <w:vMerge w:val="continue"/>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c>
          <w:tcPr>
            <w:tcW w:w="2540"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Согласие с требованием/ указание характеристик</w:t>
            </w:r>
          </w:p>
        </w:tc>
        <w:tc>
          <w:tcPr>
            <w:tcW w:w="2563"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Предоставление подтверждающего документа или иной способ подтверждения</w:t>
            </w:r>
          </w:p>
        </w:tc>
        <w:tc>
          <w:tcPr>
            <w:tcW w:w="1702" w:type="dxa"/>
            <w:vMerge w:val="continue"/>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1</w:t>
            </w:r>
          </w:p>
        </w:tc>
        <w:tc>
          <w:tcPr>
            <w:tcW w:w="3195" w:type="dxa"/>
            <w:gridSpan w:val="2"/>
            <w:tcBorders/>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2</w:t>
            </w:r>
          </w:p>
        </w:tc>
        <w:tc>
          <w:tcPr>
            <w:tcW w:w="4602" w:type="dxa"/>
            <w:tcBorders/>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3</w:t>
            </w:r>
          </w:p>
        </w:tc>
        <w:tc>
          <w:tcPr>
            <w:tcW w:w="2540" w:type="dxa"/>
            <w:tcBorders/>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4</w:t>
            </w:r>
          </w:p>
        </w:tc>
        <w:tc>
          <w:tcPr>
            <w:tcW w:w="2563" w:type="dxa"/>
            <w:tcBorders/>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5</w:t>
            </w:r>
          </w:p>
        </w:tc>
        <w:tc>
          <w:tcPr>
            <w:tcW w:w="1702" w:type="dxa"/>
            <w:tcBorders/>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6</w:t>
            </w:r>
          </w:p>
        </w:tc>
      </w:tr>
      <w:tr>
        <w:trPr/>
        <w:tc>
          <w:tcPr>
            <w:tcW w:w="707" w:type="dxa"/>
            <w:tcBorders/>
          </w:tcPr>
          <w:p>
            <w:pPr>
              <w:pStyle w:val="ListParagraph"/>
              <w:widowControl w:val="false"/>
              <w:numPr>
                <w:ilvl w:val="0"/>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выполнению работ и оказанию услуг</w:t>
            </w:r>
          </w:p>
        </w:tc>
        <w:tc>
          <w:tcPr>
            <w:tcW w:w="2540" w:type="dxa"/>
            <w:tcBorders/>
          </w:tcPr>
          <w:p>
            <w:pPr>
              <w:pStyle w:val="ListParagraph"/>
              <w:widowControl w:val="false"/>
              <w:suppressAutoHyphens w:val="true"/>
              <w:spacing w:before="0" w:after="0"/>
              <w:ind w:left="0" w:hanging="1224"/>
              <w:contextualSpacing/>
              <w:jc w:val="both"/>
              <w:rPr>
                <w:iCs/>
              </w:rPr>
            </w:pPr>
            <w:r>
              <w:rPr>
                <w:rFonts w:cs="Times New Roman"/>
                <w:iCs/>
                <w:kern w:val="0"/>
                <w:lang w:val="ru-RU" w:eastAsia="ru-RU" w:bidi="ar-SA"/>
              </w:rPr>
              <w:t>-//-</w:t>
            </w:r>
          </w:p>
        </w:tc>
        <w:tc>
          <w:tcPr>
            <w:tcW w:w="2563" w:type="dxa"/>
            <w:tcBorders/>
          </w:tcPr>
          <w:p>
            <w:pPr>
              <w:pStyle w:val="ListParagraph"/>
              <w:widowControl w:val="false"/>
              <w:suppressAutoHyphens w:val="true"/>
              <w:spacing w:before="0" w:after="0"/>
              <w:ind w:left="0" w:hanging="1224"/>
              <w:contextualSpacing/>
              <w:jc w:val="both"/>
              <w:rPr>
                <w:iCs/>
              </w:rPr>
            </w:pPr>
            <w:r>
              <w:rPr>
                <w:rFonts w:cs="Times New Roman"/>
                <w:iCs/>
                <w:kern w:val="0"/>
                <w:lang w:val="ru-RU" w:eastAsia="ru-RU" w:bidi="ar-SA"/>
              </w:rPr>
              <w:t>-//-</w:t>
            </w:r>
          </w:p>
        </w:tc>
        <w:tc>
          <w:tcPr>
            <w:tcW w:w="1702"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w:t>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b/>
                <w:bCs/>
              </w:rPr>
            </w:pPr>
            <w:r>
              <w:rPr>
                <w:rFonts w:cs="Times New Roman"/>
                <w:b/>
                <w:bCs/>
                <w:kern w:val="0"/>
                <w:lang w:val="ru-RU" w:eastAsia="ru-RU" w:bidi="ar-SA"/>
              </w:rPr>
            </w:r>
          </w:p>
        </w:tc>
        <w:tc>
          <w:tcPr>
            <w:tcW w:w="7797" w:type="dxa"/>
            <w:gridSpan w:val="3"/>
            <w:tcBorders/>
          </w:tcPr>
          <w:p>
            <w:pPr>
              <w:pStyle w:val="Normal"/>
              <w:widowControl w:val="false"/>
              <w:tabs>
                <w:tab w:val="clear" w:pos="708"/>
                <w:tab w:val="left" w:pos="426" w:leader="none"/>
              </w:tabs>
              <w:suppressAutoHyphens w:val="true"/>
              <w:spacing w:before="0" w:after="0"/>
              <w:jc w:val="both"/>
              <w:rPr>
                <w:i/>
                <w:i/>
                <w:iCs/>
                <w:sz w:val="24"/>
                <w:szCs w:val="24"/>
                <w:shd w:fill="FFFF99" w:val="clear"/>
              </w:rPr>
            </w:pPr>
            <w:r>
              <w:rPr>
                <w:rFonts w:eastAsia="Times New Roman" w:cs="Times New Roman"/>
                <w:b/>
                <w:kern w:val="0"/>
                <w:sz w:val="24"/>
                <w:szCs w:val="24"/>
                <w:lang w:val="ru-RU" w:eastAsia="ru-RU" w:bidi="ar-SA"/>
              </w:rPr>
              <w:t xml:space="preserve">Требования к способам и технологиям выполнения работ и оказания услуг </w:t>
            </w:r>
          </w:p>
        </w:tc>
        <w:tc>
          <w:tcPr>
            <w:tcW w:w="2540" w:type="dxa"/>
            <w:tcBorders/>
          </w:tcPr>
          <w:p>
            <w:pPr>
              <w:pStyle w:val="ListParagraph"/>
              <w:widowControl w:val="false"/>
              <w:suppressAutoHyphens w:val="true"/>
              <w:spacing w:before="0" w:after="0"/>
              <w:ind w:left="0" w:hanging="1224"/>
              <w:contextualSpacing/>
              <w:jc w:val="both"/>
              <w:rPr>
                <w:iCs/>
              </w:rPr>
            </w:pPr>
            <w:r>
              <w:rPr>
                <w:rFonts w:cs="Times New Roman"/>
                <w:iCs/>
                <w:kern w:val="0"/>
                <w:lang w:val="ru-RU" w:eastAsia="ru-RU" w:bidi="ar-SA"/>
              </w:rPr>
              <w:t>-//-</w:t>
            </w:r>
          </w:p>
        </w:tc>
        <w:tc>
          <w:tcPr>
            <w:tcW w:w="2563" w:type="dxa"/>
            <w:tcBorders/>
          </w:tcPr>
          <w:p>
            <w:pPr>
              <w:pStyle w:val="ListParagraph"/>
              <w:widowControl w:val="false"/>
              <w:suppressAutoHyphens w:val="true"/>
              <w:spacing w:before="0" w:after="0"/>
              <w:ind w:left="0" w:hanging="1224"/>
              <w:contextualSpacing/>
              <w:jc w:val="both"/>
              <w:rPr>
                <w:iCs/>
              </w:rPr>
            </w:pPr>
            <w:r>
              <w:rPr>
                <w:rFonts w:cs="Times New Roman"/>
                <w:iCs/>
                <w:kern w:val="0"/>
                <w:lang w:val="ru-RU" w:eastAsia="ru-RU" w:bidi="ar-SA"/>
              </w:rPr>
              <w:t>-//-</w:t>
            </w:r>
          </w:p>
        </w:tc>
        <w:tc>
          <w:tcPr>
            <w:tcW w:w="1702"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shd w:color="auto" w:fill="auto" w:val="clear"/>
          </w:tcPr>
          <w:p>
            <w:pPr>
              <w:pStyle w:val="Normal"/>
              <w:widowControl w:val="false"/>
              <w:suppressAutoHyphens w:val="true"/>
              <w:spacing w:before="0" w:after="0"/>
              <w:jc w:val="both"/>
              <w:rPr>
                <w:i/>
                <w:i/>
                <w:iCs/>
                <w:sz w:val="24"/>
                <w:szCs w:val="24"/>
              </w:rPr>
            </w:pPr>
            <w:r>
              <w:rPr>
                <w:rFonts w:eastAsia="Times New Roman" w:cs="Times New Roman"/>
                <w:bCs/>
                <w:kern w:val="0"/>
                <w:sz w:val="24"/>
                <w:szCs w:val="24"/>
                <w:lang w:val="ru-RU" w:eastAsia="ru-RU" w:bidi="ar-SA"/>
              </w:rPr>
              <w:t>Соблюдение при выполнении работ норм и правил нормативно-технических документов</w:t>
            </w:r>
          </w:p>
        </w:tc>
        <w:tc>
          <w:tcPr>
            <w:tcW w:w="4602" w:type="dxa"/>
            <w:tcBorders/>
            <w:shd w:color="auto" w:fill="auto" w:val="clear"/>
          </w:tcPr>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При выполнении работ подрядчик должен руководствоваться инструкциями заводов-изготовителей применяемого оборудования, а также следующими национальными, отраслевыми и корпоративными (ПАО «РусГидро») нормативно-техническими документами (далее - НТД):</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 xml:space="preserve">СНиП 12-03-2001 «Безопасность труда в строительстве. Часть 1. Общие требования»; </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 xml:space="preserve">СНиП 12-04-2002 «Безопасность труда в строительстве. Часть 2. Строительное производство»; </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cs="Times New Roman"/>
                <w:kern w:val="0"/>
                <w:lang w:val="ru-RU" w:eastAsia="ru-RU" w:bidi="ar-SA"/>
              </w:rPr>
              <w:t>СП 48.13330.2019 Организация строительства СНиП 12-01-2004 (с Изменением N 1,</w:t>
            </w:r>
            <w:r>
              <w:rPr>
                <w:rFonts w:eastAsia="Times New Roman" w:cs="Times New Roman"/>
                <w:iCs/>
                <w:kern w:val="0"/>
                <w:lang w:val="ru-RU" w:eastAsia="ru-RU" w:bidi="ar-SA"/>
              </w:rPr>
              <w:t xml:space="preserve"> </w:t>
            </w:r>
            <w:r>
              <w:rPr>
                <w:rFonts w:cs="Times New Roman"/>
                <w:kern w:val="0"/>
                <w:lang w:val="ru-RU" w:eastAsia="ru-RU" w:bidi="ar-SA"/>
              </w:rPr>
              <w:t>Справочное пособие к СП 12-136-2002 "Безопасность труда в строительстве. Решения по охране труда и промышленной безопасности в проектах организации строительства и проектах производства работ";</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Правилами технической эксплуатации электрических станций и сетей Российской Федерации. (утв. приказом Минэнерго Российской Федерации от 04.10.2022 N 1070 (ред. от 09.12.2024));</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Правилами устройства электроустановок (утв. приказом Минэнерго России от 9 апреля 2003 г. №150;</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 xml:space="preserve">Правилами по охране труда при размещении, монтаже, техническом обслуживании и ремонте технологического оборудования (утв. приказом Министерства труда и социальной защиты РФ от 27.11.2020 № 833н), </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 xml:space="preserve">Правилами по охране труда при эксплуатации электроустановок (утв. приказом Министерства труда и социальной защиты РФ от 15.12.2020 № 903н (ред. от 29.04.2022)), </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Правилами по охране труда при работе с инструментом и приспособлениями (утв. приказом Минтруда России от 27.11.2020 N 835н),</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Правилами по охране труда при работе на высоте (утв. приказом Минтруда России от 16.11.2020 N 782н),</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 xml:space="preserve">Правилами противопожарного режима в Российской Федерации (Постановление Правительства РФ от 16.09.2020 N 1479 (ред. от 30.03.2023), </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Инструкцией о мерах пожарной безопасности здания управления филиала ПАО «РусГидро»-«Каскад Верхневолжских ГЭС» (приложение №6 к настоящим ТТ),</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Инструкцией о мерах пожарной безопасности в здании Рыбинской ГЭС филиала ПАО «РусГидро»-«Каскад Верхневолжских ГЭС» (приложение №7 к настоящим ТТ),</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Инструкцией о мерах пожарной безопасности в здании Угличской ГЭС филиала ПАО «РусГидро»-«Каскад Верхневолжских ГЭС» (приложение №8 к настоящим ТТ),</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 xml:space="preserve">Инструкцией по обращению с отходами производства и потребления на Рыбинской ГЭС филиала ПАО «РусГидро»-«Каскад Верхневолжских ГЭС» (приложение №9 к настоящим ТТ), </w:t>
            </w:r>
          </w:p>
          <w:p>
            <w:pPr>
              <w:pStyle w:val="ListParagraph"/>
              <w:widowControl w:val="false"/>
              <w:numPr>
                <w:ilvl w:val="0"/>
                <w:numId w:val="13"/>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Инструкцией по обращению с отходами производства и потребления в обособленном подразделении ПАО «РусГидро»-«Угличская ГЭС» (приложение №10 к настоящим ТТ).</w:t>
            </w:r>
          </w:p>
          <w:p>
            <w:pPr>
              <w:pStyle w:val="Normal"/>
              <w:widowControl w:val="false"/>
              <w:numPr>
                <w:ilvl w:val="0"/>
                <w:numId w:val="13"/>
              </w:numPr>
              <w:suppressAutoHyphens w:val="true"/>
              <w:spacing w:before="0" w:after="0"/>
              <w:ind w:left="0" w:hanging="0"/>
              <w:jc w:val="both"/>
              <w:rPr>
                <w:iCs/>
                <w:sz w:val="24"/>
                <w:szCs w:val="24"/>
              </w:rPr>
            </w:pPr>
            <w:r>
              <w:rPr>
                <w:rFonts w:eastAsia="Times New Roman" w:cs="Times New Roman"/>
                <w:iCs/>
                <w:kern w:val="0"/>
                <w:sz w:val="24"/>
                <w:szCs w:val="24"/>
                <w:lang w:val="ru-RU" w:eastAsia="ru-RU" w:bidi="ar-SA"/>
              </w:rPr>
              <w:t>Приложение № 11.1 к Положению о порядке получения статуса субъекта оптового рынка и ведения реестра субъектов оптового рынка электрической энергии и мощности «Автоматизированные информационно-измерительные системы коммерческого учета электрической энергии (мощности). Технические требования»;</w:t>
            </w:r>
          </w:p>
          <w:p>
            <w:pPr>
              <w:pStyle w:val="Normal"/>
              <w:widowControl w:val="false"/>
              <w:numPr>
                <w:ilvl w:val="0"/>
                <w:numId w:val="13"/>
              </w:numPr>
              <w:suppressAutoHyphens w:val="true"/>
              <w:spacing w:before="0" w:after="0"/>
              <w:ind w:left="0" w:hanging="0"/>
              <w:jc w:val="both"/>
              <w:rPr>
                <w:iCs/>
                <w:sz w:val="24"/>
                <w:szCs w:val="24"/>
              </w:rPr>
            </w:pPr>
            <w:r>
              <w:rPr>
                <w:rFonts w:eastAsia="Times New Roman" w:cs="Times New Roman"/>
                <w:iCs/>
                <w:kern w:val="0"/>
                <w:sz w:val="24"/>
                <w:szCs w:val="24"/>
                <w:lang w:val="ru-RU" w:eastAsia="ru-RU" w:bidi="ar-SA"/>
              </w:rPr>
              <w:t>Приложение № 11.1.1 к Положению о порядке получения статуса субъекта оптового рынка и ведения реестра субъектов оптового рынка электрической энергии и мощности «Формат и регламент предоставления результатов измерений, состояний средств и объектов измерений в АО «АТС», ОАО «СО ЕЭС» и смежным субъектам»;</w:t>
            </w:r>
          </w:p>
          <w:p>
            <w:pPr>
              <w:pStyle w:val="Normal"/>
              <w:widowControl w:val="false"/>
              <w:numPr>
                <w:ilvl w:val="0"/>
                <w:numId w:val="13"/>
              </w:numPr>
              <w:suppressAutoHyphens w:val="true"/>
              <w:spacing w:before="0" w:after="0"/>
              <w:ind w:left="0" w:hanging="0"/>
              <w:jc w:val="both"/>
              <w:rPr>
                <w:iCs/>
                <w:sz w:val="24"/>
                <w:szCs w:val="24"/>
              </w:rPr>
            </w:pPr>
            <w:r>
              <w:rPr>
                <w:rFonts w:eastAsia="Times New Roman" w:cs="Times New Roman"/>
                <w:iCs/>
                <w:kern w:val="0"/>
                <w:sz w:val="24"/>
                <w:szCs w:val="24"/>
                <w:lang w:val="ru-RU" w:eastAsia="ru-RU" w:bidi="ar-SA"/>
              </w:rPr>
              <w:t>Приложение № 11.3 к Положению о порядке получения статуса субъекта оптового рынка и ведения реестра субъектов оптового рынка электрической энергии и мощности «Порядок установления соответствия АИИС коммерческого учета техническим требованиям оптового рынка электрической энергии (мощности) и присвоения класса АИИС»;</w:t>
            </w:r>
          </w:p>
          <w:p>
            <w:pPr>
              <w:pStyle w:val="Normal"/>
              <w:widowControl w:val="false"/>
              <w:numPr>
                <w:ilvl w:val="0"/>
                <w:numId w:val="13"/>
              </w:numPr>
              <w:suppressAutoHyphens w:val="true"/>
              <w:spacing w:before="0" w:after="0"/>
              <w:ind w:left="0" w:hanging="0"/>
              <w:jc w:val="both"/>
              <w:rPr>
                <w:iCs/>
                <w:sz w:val="24"/>
                <w:szCs w:val="24"/>
              </w:rPr>
            </w:pPr>
            <w:r>
              <w:rPr>
                <w:rFonts w:eastAsia="Times New Roman" w:cs="Times New Roman"/>
                <w:iCs/>
                <w:kern w:val="0"/>
                <w:sz w:val="24"/>
                <w:szCs w:val="24"/>
                <w:lang w:val="ru-RU" w:eastAsia="ru-RU" w:bidi="ar-SA"/>
              </w:rPr>
              <w:t>Приложение № 11.5 к Положению о порядке получения статуса субъекта оптового рынка и ведения реестра субъектов оптового рынка электрической энергии и мощности «Требования к проведению испытаний автоматизированных информационно-измерительных систем коммерческого учета электрической энергии на соответствие техническим требованиям оптового рынка электрической энергии и мощности и присвоение класса соответствия системы»;</w:t>
            </w:r>
          </w:p>
        </w:tc>
        <w:tc>
          <w:tcPr>
            <w:tcW w:w="2540" w:type="dxa"/>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shd w:color="auto" w:fill="auto" w:val="clear"/>
          </w:tcPr>
          <w:p>
            <w:pPr>
              <w:pStyle w:val="ListParagraph"/>
              <w:widowControl w:val="false"/>
              <w:suppressAutoHyphens w:val="true"/>
              <w:spacing w:before="0" w:after="0"/>
              <w:ind w:left="0" w:hanging="1224"/>
              <w:contextualSpacing/>
              <w:jc w:val="both"/>
              <w:rPr>
                <w:iCs/>
              </w:rPr>
            </w:pPr>
            <w:r>
              <w:rPr>
                <w:rFonts w:cs="Times New Roman"/>
                <w:iCs/>
                <w:kern w:val="0"/>
                <w:lang w:val="ru-RU" w:eastAsia="ru-RU" w:bidi="ar-SA"/>
              </w:rPr>
              <w:t>-</w:t>
            </w:r>
          </w:p>
        </w:tc>
        <w:tc>
          <w:tcPr>
            <w:tcW w:w="1702" w:type="dxa"/>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shd w:color="auto" w:fill="auto" w:val="clear"/>
          </w:tcPr>
          <w:p>
            <w:pPr>
              <w:pStyle w:val="Normal"/>
              <w:widowControl w:val="false"/>
              <w:suppressAutoHyphens w:val="true"/>
              <w:spacing w:before="0" w:after="0"/>
              <w:jc w:val="left"/>
              <w:rPr>
                <w:bCs/>
                <w:color w:val="000000"/>
                <w:sz w:val="24"/>
                <w:szCs w:val="24"/>
              </w:rPr>
            </w:pPr>
            <w:r>
              <w:rPr>
                <w:rFonts w:eastAsia="Times New Roman" w:cs="Times New Roman"/>
                <w:bCs/>
                <w:color w:val="000000"/>
                <w:kern w:val="0"/>
                <w:sz w:val="24"/>
                <w:szCs w:val="24"/>
                <w:lang w:val="ru-RU" w:eastAsia="ru-RU" w:bidi="ar-SA"/>
              </w:rPr>
              <w:t>Очередность замены оборудования</w:t>
            </w:r>
          </w:p>
        </w:tc>
        <w:tc>
          <w:tcPr>
            <w:tcW w:w="4602" w:type="dxa"/>
            <w:tcBorders/>
            <w:shd w:color="auto" w:fill="auto" w:val="clear"/>
          </w:tcPr>
          <w:p>
            <w:pPr>
              <w:pStyle w:val="Default"/>
              <w:widowControl w:val="false"/>
              <w:suppressAutoHyphens w:val="true"/>
              <w:spacing w:before="0" w:after="0"/>
              <w:jc w:val="both"/>
              <w:rPr>
                <w:bCs/>
              </w:rPr>
            </w:pPr>
            <w:r>
              <w:rPr>
                <w:rFonts w:cs="Times New Roman"/>
                <w:bCs/>
                <w:kern w:val="0"/>
                <w:lang w:val="ru-RU" w:bidi="ar-SA"/>
              </w:rPr>
              <w:t xml:space="preserve">Замена действующего оборудования АИИСКТУЭ на новое должна производиться без потери готовности системы. </w:t>
            </w:r>
          </w:p>
          <w:p>
            <w:pPr>
              <w:pStyle w:val="Default"/>
              <w:widowControl w:val="false"/>
              <w:suppressAutoHyphens w:val="true"/>
              <w:spacing w:before="0" w:after="0"/>
              <w:jc w:val="both"/>
              <w:rPr>
                <w:rFonts w:cs="Calibri"/>
              </w:rPr>
            </w:pPr>
            <w:r>
              <w:rPr>
                <w:rFonts w:cs="Times New Roman"/>
                <w:bCs/>
                <w:kern w:val="0"/>
                <w:lang w:val="ru-RU" w:bidi="ar-SA"/>
              </w:rPr>
              <w:t>Порядок замены: установка нового оборудования, опробование, отключение старого.</w:t>
            </w:r>
          </w:p>
        </w:tc>
        <w:tc>
          <w:tcPr>
            <w:tcW w:w="2540" w:type="dxa"/>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shd w:color="auto" w:fill="auto" w:val="clear"/>
          </w:tcPr>
          <w:p>
            <w:pPr>
              <w:pStyle w:val="ListParagraph"/>
              <w:widowControl w:val="false"/>
              <w:suppressAutoHyphens w:val="true"/>
              <w:spacing w:before="0" w:after="0"/>
              <w:ind w:left="0" w:hanging="1224"/>
              <w:contextualSpacing/>
              <w:jc w:val="both"/>
              <w:rPr>
                <w:iCs/>
              </w:rPr>
            </w:pPr>
            <w:r>
              <w:rPr>
                <w:rFonts w:cs="Times New Roman"/>
                <w:iCs/>
                <w:kern w:val="0"/>
                <w:lang w:val="ru-RU" w:eastAsia="ru-RU" w:bidi="ar-SA"/>
              </w:rPr>
              <w:t>-</w:t>
            </w:r>
          </w:p>
        </w:tc>
        <w:tc>
          <w:tcPr>
            <w:tcW w:w="1702"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shd w:color="auto" w:fill="auto" w:val="clear"/>
          </w:tcPr>
          <w:p>
            <w:pPr>
              <w:pStyle w:val="Normal"/>
              <w:widowControl w:val="false"/>
              <w:suppressAutoHyphens w:val="true"/>
              <w:spacing w:before="0" w:after="0"/>
              <w:jc w:val="both"/>
              <w:rPr>
                <w:sz w:val="24"/>
                <w:szCs w:val="24"/>
              </w:rPr>
            </w:pPr>
            <w:r>
              <w:rPr>
                <w:rFonts w:eastAsia="Times New Roman" w:cs="Times New Roman"/>
                <w:bCs/>
                <w:color w:val="000000"/>
                <w:kern w:val="0"/>
                <w:sz w:val="24"/>
                <w:szCs w:val="24"/>
                <w:lang w:val="ru-RU" w:eastAsia="ru-RU" w:bidi="ar-SA"/>
              </w:rPr>
              <w:t>Условия производства работ</w:t>
            </w:r>
          </w:p>
        </w:tc>
        <w:tc>
          <w:tcPr>
            <w:tcW w:w="4602" w:type="dxa"/>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Производство работ в стесненных условиях: наличие в зоне производства работ действующего технологического оборудования (серверного и телекоммуникационного).</w:t>
            </w:r>
          </w:p>
        </w:tc>
        <w:tc>
          <w:tcPr>
            <w:tcW w:w="2540" w:type="dxa"/>
            <w:tcBorders/>
            <w:shd w:color="auto" w:fill="auto" w:val="clear"/>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shd w:color="auto" w:fill="auto" w:val="clear"/>
          </w:tcPr>
          <w:p>
            <w:pPr>
              <w:pStyle w:val="ListParagraph"/>
              <w:widowControl w:val="false"/>
              <w:suppressAutoHyphens w:val="true"/>
              <w:spacing w:before="0" w:after="0"/>
              <w:ind w:left="0" w:hanging="1224"/>
              <w:contextualSpacing/>
              <w:jc w:val="both"/>
              <w:rPr>
                <w:iCs/>
              </w:rPr>
            </w:pPr>
            <w:r>
              <w:rPr>
                <w:rFonts w:cs="Times New Roman"/>
                <w:iCs/>
                <w:kern w:val="0"/>
                <w:lang w:val="ru-RU" w:eastAsia="ru-RU" w:bidi="ar-SA"/>
              </w:rPr>
              <w:t>-</w:t>
            </w:r>
          </w:p>
        </w:tc>
        <w:tc>
          <w:tcPr>
            <w:tcW w:w="1702"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tcBorders>
              <w:top w:val="nil"/>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Принадлежность к ЛВС</w:t>
            </w:r>
          </w:p>
        </w:tc>
        <w:tc>
          <w:tcPr>
            <w:tcW w:w="4602" w:type="dxa"/>
            <w:tcBorders>
              <w:top w:val="nil"/>
            </w:tcBorders>
            <w:shd w:color="auto" w:fill="auto" w:val="clear"/>
          </w:tcPr>
          <w:p>
            <w:pPr>
              <w:pStyle w:val="Default"/>
              <w:widowControl w:val="false"/>
              <w:suppressAutoHyphens w:val="true"/>
              <w:spacing w:before="0" w:after="0"/>
              <w:jc w:val="both"/>
              <w:rPr>
                <w:rFonts w:ascii="Times New Roman" w:hAnsi="Times New Roman" w:cs="Times New Roman"/>
                <w:kern w:val="0"/>
                <w:lang w:val="ru-RU" w:bidi="ar-SA"/>
              </w:rPr>
            </w:pPr>
            <w:r>
              <w:rPr>
                <w:rFonts w:cs="Times New Roman"/>
                <w:bCs/>
                <w:kern w:val="0"/>
                <w:lang w:val="ru-RU" w:bidi="ar-SA"/>
              </w:rPr>
              <w:t>АИИСКТУЭ должна быть подключена к офисной сети Рыбинской и Угличской ГЭС.</w:t>
            </w:r>
            <w:r>
              <w:rPr>
                <w:rFonts w:cs="Times New Roman"/>
                <w:kern w:val="0"/>
                <w:lang w:val="ru-RU" w:bidi="ar-SA"/>
              </w:rPr>
              <w:t xml:space="preserve"> </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restart"/>
            <w:tcBorders>
              <w:top w:val="nil"/>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restart"/>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Размещение серверов АИИСКТУЭ</w:t>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Серверы АИИСКТУЭ должны быть размещены в разных шкафах.</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cPr>
          <w:p>
            <w:pPr>
              <w:pStyle w:val="ListParagraph"/>
              <w:widowControl w:val="false"/>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lang w:val="ru-RU" w:eastAsia="ru-RU" w:bidi="ar-SA"/>
              </w:rPr>
              <w:t>Оба сервера АИИСКТУЭ должны быть подключены к имеющимся консолям.</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cPr>
          <w:p>
            <w:pPr>
              <w:pStyle w:val="ListParagraph"/>
              <w:widowControl w:val="false"/>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lang w:val="ru-RU" w:eastAsia="ru-RU" w:bidi="ar-SA"/>
              </w:rPr>
              <w:t>Оба сервера АИИСКТУЭ должны быть подключены к СОЕВ, размещенной в шкафах ЦСОД.</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cPr>
          <w:p>
            <w:pPr>
              <w:pStyle w:val="ListParagraph"/>
              <w:widowControl w:val="false"/>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rPr>
            </w:pPr>
            <w:r>
              <w:rPr>
                <w:rFonts w:eastAsia="Times New Roman" w:cs="Times New Roman"/>
                <w:kern w:val="0"/>
                <w:sz w:val="24"/>
                <w:lang w:val="ru-RU" w:eastAsia="ru-RU" w:bidi="ar-SA"/>
              </w:rPr>
              <w:t xml:space="preserve">Рассмотреть возможность размещения серверов </w:t>
            </w:r>
            <w:r>
              <w:rPr>
                <w:rFonts w:eastAsia="Times New Roman" w:cs="Times New Roman"/>
                <w:kern w:val="0"/>
                <w:sz w:val="24"/>
                <w:szCs w:val="24"/>
                <w:lang w:val="ru-RU" w:eastAsia="ru-RU" w:bidi="ar-SA"/>
              </w:rPr>
              <w:t>АИИСКТУЭ на УГЭС</w:t>
            </w:r>
          </w:p>
        </w:tc>
        <w:tc>
          <w:tcPr>
            <w:tcW w:w="2540" w:type="dxa"/>
            <w:tcBorders>
              <w:top w:val="nil"/>
            </w:tcBorders>
            <w:shd w:color="auto" w:fill="auto" w:val="clear"/>
          </w:tcPr>
          <w:p>
            <w:pPr>
              <w:pStyle w:val="Normal"/>
              <w:widowControl w:val="false"/>
              <w:suppressAutoHyphens w:val="true"/>
              <w:spacing w:before="0" w:after="0"/>
              <w:jc w:val="center"/>
              <w:rPr>
                <w:iCs/>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rHeight w:val="3602" w:hRule="atLeast"/>
        </w:trPr>
        <w:tc>
          <w:tcPr>
            <w:tcW w:w="707" w:type="dxa"/>
            <w:vMerge w:val="restart"/>
            <w:tcBorders>
              <w:top w:val="nil"/>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restart"/>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Общие требования к АИИСКТУЭ</w:t>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АИИСКТУЭ должна соответствовать техническим требованиям, приведенным в</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Приложении N11.1.1 к Положению о порядке получения статуса субъекта оптового рынка и ведения реестра субъектов оптового рынка (https://www.np-sr.ru/sites/default/files/sr_regulation/reglaments/r1_01072023_26062023.docx).</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В соответствии с действующей Технической политикой Группы РусГидро АИИСКТУЭ должна охватывать все точки коммерческого и технического учета.</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АИИСКТУЭ должна обеспечивать: выполнение в точках поставки электрической энергии измерений приращений активной и реактивной электрической энергии с дискретизацией от 1 до 60 мин.</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Автоматический сбор данных измерений с заданной периодичностью и хранение их в базе данных в течение 3,5 лет с периодическим резервированием на внешних носителях информации.</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Снятие интервальных показаний (например, на начало суток, начало месяца) с контролируемых ИИК электрической энергии на единый момент времени.</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Контроль полноты и объема собранной информации с ИИК.</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диагностику функционирования технических и программных средств</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Конфигурирование и настройку параметров выполнения измерений и иных действий, при этом в журнале событий это событие должно фиксироваться с указанием даты и времени.</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Ведение системы единого времени, выработку текущего времени с погрешностью не более ± 5 с в сутки.</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Измерение показателей качества электрической энергии.</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Вычисление всех необходимых показателей энергопотребления, возможность изменения в процессе работы состава и числа учитываемых параметров, а также механизмов их вычислений, при этом в журнале событий это событие должно автоматически фиксироваться с указанием даты и времени.</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Генерация аварийных сигналов оператору/пользователю при появлении ошибок опроса, событий в журнале опроса и т. д.</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Осуществление коррекции хода часов элементов системы учета [сервера базы данных (БД), микропроцессорных счетчиков электрической энергии и других преобразователей] посредством СОЕВ (УССВ), получающего данные о точном времени от датчиков.</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Накопление учетных значений физических величин в БД персонального компьютера ЦСОД не менее чем за последние 3,5 года с возможностью последующей записи информации для архивного хранения.</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Формирование каналов группового контроля и учета с произвольным числом входящих в группу каналов прямых измерений.</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Автоматическое ведение протокола регистрации значимых событий по фактам срабатывания средств аварийной и технологической сигнализации.</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Контроль полноты и объема собранной информации с ИИК.</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Формирование различных видов отчетов: за сутки, месяц, произвольно выбранный период, по одному или группе каналов. Информация в отчетах должна быть представлена в табличной и/или графической формах и позволять также проводить аналитическую обработку данных по выбранным измерительным каналам с последующим выводом на печать.</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Защиту от несанкционированного доступа к ИВК на аппаратном и/или программном уровнях.</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Диагностирование работоспособности оборудования и линий связи.</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Автоматический и по запросу пользователя сбор технологической информации.</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Возможность индивидуального и группового удаленного конфигурирования ИИК и ИВКЭ, включая параметрирование тарифных расписаний счетчиков.</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113"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Возможность индивидуального и группового управления нагрузкой (отключение и ввод ограничения мощности) по команде пользователя.</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Операции по изменению параметров ИИК, в том числе групповые (смена тарифного расписания, изменение информации, отображаемой на дисплее счетчика, настройка каналов учета, отклонение/ ограничение потребителей).</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restart"/>
            <w:tcBorders>
              <w:top w:val="nil"/>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restart"/>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Требования к структуре АИИСКТУЭ</w:t>
            </w:r>
          </w:p>
        </w:tc>
        <w:tc>
          <w:tcPr>
            <w:tcW w:w="4602" w:type="dxa"/>
            <w:tcBorders>
              <w:top w:val="nil"/>
            </w:tcBorders>
            <w:shd w:color="auto" w:fill="auto" w:val="clear"/>
          </w:tcPr>
          <w:p>
            <w:pPr>
              <w:pStyle w:val="BodyText"/>
              <w:widowControl w:val="false"/>
              <w:tabs>
                <w:tab w:val="clear" w:pos="708"/>
                <w:tab w:val="left" w:pos="426" w:leader="none"/>
              </w:tabs>
              <w:suppressAutoHyphens w:val="true"/>
              <w:spacing w:before="0" w:after="0"/>
              <w:jc w:val="both"/>
              <w:rPr/>
            </w:pPr>
            <w:r>
              <w:rPr>
                <w:rStyle w:val="Strong2"/>
                <w:rFonts w:eastAsia="Times New Roman" w:cs="Times New Roman"/>
                <w:kern w:val="0"/>
                <w:sz w:val="24"/>
                <w:szCs w:val="24"/>
                <w:lang w:val="ru-RU" w:eastAsia="ru-RU" w:bidi="ar-SA"/>
              </w:rPr>
              <w:t>Структура АИИСКТУЭ включает в себя три уровня</w:t>
            </w:r>
            <w:r>
              <w:rPr>
                <w:rFonts w:eastAsia="Times New Roman" w:cs="Times New Roman"/>
                <w:kern w:val="0"/>
                <w:sz w:val="24"/>
                <w:szCs w:val="24"/>
                <w:lang w:val="ru-RU" w:eastAsia="ru-RU" w:bidi="ar-SA"/>
              </w:rPr>
              <w:t>: </w:t>
            </w:r>
          </w:p>
          <w:p>
            <w:pPr>
              <w:pStyle w:val="BodyText"/>
              <w:widowControl w:val="false"/>
              <w:numPr>
                <w:ilvl w:val="0"/>
                <w:numId w:val="24"/>
              </w:numPr>
              <w:tabs>
                <w:tab w:val="clear" w:pos="708"/>
                <w:tab w:val="left" w:pos="0" w:leader="none"/>
              </w:tabs>
              <w:suppressAutoHyphens w:val="true"/>
              <w:spacing w:before="120" w:after="120"/>
              <w:jc w:val="both"/>
              <w:rPr/>
            </w:pPr>
            <w:r>
              <w:rPr>
                <w:rStyle w:val="Strong2"/>
                <w:rFonts w:eastAsia="Times New Roman" w:cs="Times New Roman"/>
                <w:kern w:val="0"/>
                <w:sz w:val="24"/>
                <w:szCs w:val="24"/>
                <w:lang w:val="ru-RU" w:eastAsia="ru-RU" w:bidi="ar-SA"/>
              </w:rPr>
              <w:t>Базовый</w:t>
            </w:r>
            <w:r>
              <w:rPr>
                <w:rFonts w:eastAsia="Times New Roman" w:cs="Times New Roman"/>
                <w:kern w:val="0"/>
                <w:sz w:val="24"/>
                <w:szCs w:val="24"/>
                <w:lang w:val="ru-RU" w:eastAsia="ru-RU" w:bidi="ar-SA"/>
              </w:rPr>
              <w:t xml:space="preserve">. Состоит из интеллектуальных приборов учёта </w:t>
            </w:r>
            <w:r>
              <w:rPr>
                <w:rFonts w:eastAsia="Times New Roman" w:cs="Times New Roman"/>
                <w:kern w:val="0"/>
                <w:sz w:val="24"/>
                <w:szCs w:val="24"/>
                <w:lang w:val="ru-RU" w:eastAsia="ru-RU" w:bidi="ar-SA"/>
              </w:rPr>
              <w:t>(счётчики электроэнергии),</w:t>
            </w:r>
            <w:r>
              <w:rPr>
                <w:rFonts w:eastAsia="Times New Roman" w:cs="Times New Roman"/>
                <w:kern w:val="0"/>
                <w:sz w:val="24"/>
                <w:szCs w:val="24"/>
                <w:lang w:val="ru-RU" w:eastAsia="ru-RU" w:bidi="ar-SA"/>
              </w:rPr>
              <w:t xml:space="preserve"> оборудованных модулями связи. Долж</w:t>
            </w:r>
            <w:r>
              <w:rPr>
                <w:rFonts w:eastAsia="Times New Roman" w:cs="Times New Roman"/>
                <w:kern w:val="0"/>
                <w:sz w:val="24"/>
                <w:szCs w:val="24"/>
                <w:lang w:val="en-US" w:eastAsia="ru-RU" w:bidi="ar-SA"/>
              </w:rPr>
              <w:t>ны быть использованы имеющиеся приборы учёта электроэнергии</w:t>
            </w:r>
            <w:r>
              <w:rPr>
                <w:rFonts w:eastAsia="Times New Roman" w:cs="Times New Roman"/>
                <w:kern w:val="0"/>
                <w:sz w:val="24"/>
                <w:szCs w:val="24"/>
                <w:lang w:val="ru-RU" w:eastAsia="ru-RU" w:bidi="ar-SA"/>
              </w:rPr>
              <w:t>. </w:t>
            </w:r>
          </w:p>
          <w:p>
            <w:pPr>
              <w:pStyle w:val="BodyText"/>
              <w:widowControl w:val="false"/>
              <w:numPr>
                <w:ilvl w:val="0"/>
                <w:numId w:val="24"/>
              </w:numPr>
              <w:tabs>
                <w:tab w:val="clear" w:pos="708"/>
                <w:tab w:val="left" w:pos="0" w:leader="none"/>
              </w:tabs>
              <w:suppressAutoHyphens w:val="true"/>
              <w:spacing w:before="0" w:after="120"/>
              <w:jc w:val="both"/>
              <w:rPr/>
            </w:pPr>
            <w:r>
              <w:rPr>
                <w:rStyle w:val="Strong2"/>
                <w:rFonts w:eastAsia="Times New Roman" w:cs="Times New Roman"/>
                <w:kern w:val="0"/>
                <w:sz w:val="24"/>
                <w:szCs w:val="24"/>
                <w:lang w:val="ru-RU" w:eastAsia="ru-RU" w:bidi="ar-SA"/>
              </w:rPr>
              <w:t>Средний</w:t>
            </w:r>
            <w:r>
              <w:rPr>
                <w:rFonts w:eastAsia="Times New Roman" w:cs="Times New Roman"/>
                <w:kern w:val="0"/>
                <w:sz w:val="24"/>
                <w:szCs w:val="24"/>
                <w:lang w:val="ru-RU" w:eastAsia="ru-RU" w:bidi="ar-SA"/>
              </w:rPr>
              <w:t>. Это основной, связующий компонент системы. В него входят коммутаторы. </w:t>
            </w:r>
          </w:p>
          <w:p>
            <w:pPr>
              <w:pStyle w:val="BodyText"/>
              <w:widowControl w:val="false"/>
              <w:numPr>
                <w:ilvl w:val="0"/>
                <w:numId w:val="24"/>
              </w:numPr>
              <w:tabs>
                <w:tab w:val="clear" w:pos="708"/>
                <w:tab w:val="left" w:pos="0" w:leader="none"/>
              </w:tabs>
              <w:suppressAutoHyphens w:val="true"/>
              <w:spacing w:before="0" w:after="120"/>
              <w:jc w:val="both"/>
              <w:rPr/>
            </w:pPr>
            <w:r>
              <w:rPr>
                <w:rStyle w:val="Strong2"/>
                <w:rFonts w:eastAsia="Times New Roman" w:cs="Times New Roman"/>
                <w:kern w:val="0"/>
                <w:sz w:val="24"/>
                <w:szCs w:val="24"/>
                <w:lang w:val="ru-RU" w:eastAsia="ru-RU" w:bidi="ar-SA"/>
              </w:rPr>
              <w:t>Верхний</w:t>
            </w:r>
            <w:r>
              <w:rPr>
                <w:rFonts w:eastAsia="Times New Roman" w:cs="Times New Roman"/>
                <w:kern w:val="0"/>
                <w:sz w:val="24"/>
                <w:szCs w:val="24"/>
                <w:lang w:val="ru-RU" w:eastAsia="ru-RU" w:bidi="ar-SA"/>
              </w:rPr>
              <w:t>. Представляет собой обрабатывающий центр. На верхнем уровне идёт сбор данных со всех приборов, имеющихся в АИИСКТУЭ. При помощи специальных программ информация обрабатывается, анализируется, отображается визуально. На этом же уровне рассчитывается оплата за потребление энергоресурсов, формируются отчётные документы. Должны быть исключены УСПД.</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Каждый счетчик должен подключаться к двум коммутаторам. Каждый коммутатор должен подключаться к своему серверу АИИСКТУЭ.</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r>
          </w:p>
        </w:tc>
        <w:tc>
          <w:tcPr>
            <w:tcW w:w="4602" w:type="dxa"/>
            <w:tcBorders>
              <w:top w:val="nil"/>
            </w:tcBorders>
            <w:shd w:color="auto" w:fill="auto" w:val="clear"/>
          </w:tcPr>
          <w:p>
            <w:pPr>
              <w:pStyle w:val="Normal"/>
              <w:widowControl w:val="false"/>
              <w:tabs>
                <w:tab w:val="clear" w:pos="708"/>
                <w:tab w:val="left" w:pos="426" w:leader="none"/>
              </w:tabs>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color w:val="000000"/>
                <w:kern w:val="0"/>
                <w:sz w:val="24"/>
                <w:szCs w:val="24"/>
                <w:lang w:val="ru-RU" w:eastAsia="ru-RU" w:bidi="ar-SA"/>
              </w:rPr>
              <w:t>Счетчики должны синхронизировать своё время от станционной СОЕВ, размещенной в шкафах ЦСОД ВУ АСУ ТП. Для синхронизации использовать оптический  порт F02  серверов точного времени, установленных в шкафах ЦСОД.</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tcBorders>
              <w:top w:val="nil"/>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Требования к программному обеспечению</w:t>
            </w:r>
          </w:p>
        </w:tc>
        <w:tc>
          <w:tcPr>
            <w:tcW w:w="4602" w:type="dxa"/>
            <w:tcBorders>
              <w:top w:val="nil"/>
            </w:tcBorders>
            <w:shd w:color="auto" w:fill="auto" w:val="clear"/>
          </w:tcPr>
          <w:p>
            <w:pPr>
              <w:pStyle w:val="Annotationtext"/>
              <w:widowControl/>
              <w:suppressAutoHyphens w:val="true"/>
              <w:spacing w:before="0" w:after="0"/>
              <w:jc w:val="both"/>
              <w:rPr>
                <w:color w:val="000000"/>
                <w:sz w:val="24"/>
                <w:szCs w:val="24"/>
              </w:rPr>
            </w:pPr>
            <w:r>
              <w:rPr>
                <w:rFonts w:eastAsia="Times New Roman" w:cs="Times New Roman"/>
                <w:color w:val="000000"/>
                <w:kern w:val="0"/>
                <w:sz w:val="24"/>
                <w:szCs w:val="24"/>
                <w:lang w:val="ru-RU" w:eastAsia="ru-RU" w:bidi="ar-SA"/>
              </w:rPr>
              <w:t xml:space="preserve">Программное обеспечение должно быть разработано на территории Российской Федерации и должно быть включено в Единый реестр российского программного обеспечения. Федеральный закон </w:t>
            </w:r>
            <w:r>
              <w:rPr>
                <w:rFonts w:eastAsia="Times New Roman" w:cs="Times New Roman"/>
                <w:kern w:val="0"/>
                <w:sz w:val="24"/>
                <w:szCs w:val="24"/>
                <w:lang w:val="ru-RU" w:eastAsia="ru-RU" w:bidi="ar-SA"/>
              </w:rPr>
              <w:t>О</w:t>
            </w:r>
            <w:r>
              <w:rPr>
                <w:rFonts w:eastAsia="Times New Roman" w:cs="Times New Roman"/>
                <w:color w:val="000000"/>
                <w:kern w:val="0"/>
                <w:sz w:val="24"/>
                <w:szCs w:val="24"/>
                <w:lang w:val="ru-RU" w:eastAsia="ru-RU" w:bidi="ar-SA"/>
              </w:rPr>
              <w:t xml:space="preserve"> промышленной политике в Российской Федерации (с изменениями на 30 ноября 2024 года) (редакция, действующая с 20 декабря 2024 года) </w:t>
            </w:r>
            <w:r>
              <w:rPr>
                <w:rFonts w:eastAsia="Times New Roman" w:cs="Times New Roman"/>
                <w:kern w:val="0"/>
                <w:sz w:val="24"/>
                <w:szCs w:val="24"/>
                <w:lang w:val="ru-RU" w:eastAsia="ru-RU" w:bidi="ar-SA"/>
              </w:rPr>
              <w:t>Федеральный закон от 31.12.2014 N 488-ФЗ.</w:t>
            </w:r>
          </w:p>
          <w:p>
            <w:pPr>
              <w:pStyle w:val="BodyText"/>
              <w:widowControl w:val="false"/>
              <w:tabs>
                <w:tab w:val="clear" w:pos="708"/>
                <w:tab w:val="left" w:pos="426" w:leader="none"/>
              </w:tabs>
              <w:suppressAutoHyphens w:val="true"/>
              <w:spacing w:before="0" w:after="0"/>
              <w:jc w:val="both"/>
              <w:rPr>
                <w:color w:val="000000"/>
                <w:sz w:val="24"/>
                <w:szCs w:val="24"/>
              </w:rPr>
            </w:pPr>
            <w:r>
              <w:rPr>
                <w:rFonts w:eastAsia="Times New Roman" w:cs="Times New Roman"/>
                <w:color w:val="000000"/>
                <w:kern w:val="0"/>
                <w:sz w:val="24"/>
                <w:szCs w:val="24"/>
                <w:lang w:val="ru-RU" w:eastAsia="ru-RU" w:bidi="ar-SA"/>
              </w:rPr>
              <w:t>Требования к программному обеспечению  ПО должно сопровождаться документацией, соответствующей  документам, указанным в настоящих ТТ . Документация должна полно и однозначно описывать назначение, основные функции, структуру и другие необходимые параметры и характеристики ПО.  ПО микропроцессорных счетчиков электрической энергии и УСПД является встроенной составной компонентой этих устройств и поставляется в их составе предприятиями-изготовителями.  ПО ИВКЭ и ИВК АИИС КУЭ должно включать в себя: - системное ПО; - специализированное ПО; - служебное специализированное ПО.  Специализированное ПО ИВК должно выполнять все задачи, решаемые на верхнем уровне, и обеспечивать: - автоматизированный сбор и хранение результатов измерений; - автоматический сбор данных о состоянии схем и СИ; - контроль полноты и достоверности данных; - замещение и коррекцию недостоверных данных; - ручной ввод недостающих данных; - хранение результатов измерений, состояний схем и СИ в базе данных; - ведение «Журналов событий»; - формирование отчетных документов; - подготовку отчета в XML-формате для передачи требуемых данных по электронной почте оператору и другим заинтересованным субъектам (организациям); - возможность использования средств электронной цифровой подписи для передачи пользователям и другим заинтересованным субъектам результатов измерений и данных о состоянии средств и схем измерений; - ведение системного времени и календаря (переход на летнее и зимнее время); - синхронизацию и коррекцию единого времени в АИИС КУЭ; - безопасность хранения данных и ПО в соответствии с ГОСТ Р 52069.0 – 2013 Защита информации. Система информации. (Утвержден и введен в действие Приказом Федерального агентства по техническому</w:t>
            </w:r>
          </w:p>
          <w:p>
            <w:pPr>
              <w:pStyle w:val="BodyText"/>
              <w:widowControl w:val="false"/>
              <w:tabs>
                <w:tab w:val="clear" w:pos="708"/>
                <w:tab w:val="left" w:pos="426" w:leader="none"/>
              </w:tabs>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color w:val="000000"/>
                <w:kern w:val="0"/>
                <w:sz w:val="24"/>
                <w:szCs w:val="24"/>
                <w:lang w:val="ru-RU" w:eastAsia="ru-RU" w:bidi="ar-SA"/>
              </w:rPr>
              <w:t>регулированию и метрологии от 28 февраля 2013 г. N 3-ст); - конфигурирование (параметрирование) технических средств и ПО; - предоставление пользователям и эксплуатационному персоналу регламентированного доступа к визуальным, печатным и электронным данным.  Системное ПО, функции и состав специализированного ПО ИВКЭ должны быть указаны в проектной документации на АИИС КУЭ.  Системное ПО ИВК должно включать в себя лицензионные операционные системы, лицензионное офисное ПО, а также лицензионное ПО систем управления БД.  Служебное специализированное ПО должно включать в себя программы настройки и параметрирования микропроцессорных счетчиков.  Длительность хранения данных ИВК должна составлять не менее 3,5 лет. Программный комплекс должен использовать единые классификаторы объектов БД, фиксировать замену счетчиков электрической энергии в точках учета, задавать режимы их опроса, обеспечивать корректность данных и параметров, считываемых со счетчиков и помещаемых в БД, а также непрерывность и полноту данных в БД.  Для СИ, применяемых в сфере государственного регулирования в области обеспечения единства измерений, на этапе разработки рекомендуется выделение метрологически значимой части ПО (подпрограммы, процедуры, функции и т. д., которые используются при обработке данных измерений или влияют на них либо используются в таких вспомогательных функциях как защита и идентификация ПО), то есть выделение той его части, которая подлежит оценке соответствия.  Для проверки соответствия ПО установленным при подтверждении соответствия требованиям, а также для подтверждения его целостности и подлинности в технической документации на ПО должно быть приведено указание о необходимости его идентификации.  Идентификационные данные (признаки) должны иметь структуру, которая определяет метрологически значимое и метрологически незначимое ПО. При отсутствии или невозможности такого разделения ПО идентификации подлежит все ПО СИ.  Метрологически значимое ПО должно быть разработано таким образом, чтобы его невозможно было подвергнуть искажающему воздействию через интерфейсы пользователя и другие интерфейсы.  ПО должно содержать средства защиты и обнаружения, отображения и/или устранения сбоев (функциональных дефектов) и искажений, которые нарушают целостность метрологически значимой части ПО и данных.  ПО должно иметь возможность прямого доступа к просмотру и изменению параметров счетчика электрической энергии по существующим коммуникационным каналам без использования дополнительных программных средств.  Диагностические сообщения АИИС КУЭ о случаях вмешательства пользователей и сообщения при запуске, решении задач ПО, а также при работе пользователей с информационным обеспечением должны быть унифицированы. Конкретные требования к перечню и форме сообщений должны быть установлены в технической документации на АИИС КУЭ конкретного типа (вида). В ПО может быть предусмотрена возможность обновления (загрузки), требуемого, например, при обнаружении и исправлении ошибок в ПО, при расширении/модификации его функций, при обновлении служебных программных модулей.  ПО может быть обновлено с помощью известных интерфейсов связи.  Модули ПО, обеспечивающие обновление, должны быть недоступны для их обновления и содержать функции, обеспечивающие проверку соответствия требованиям по загрузке ПО.  Обновление ПО не должно приводить к изменению или нарушению уровня его защиты. Процесс загрузки не должен влиять на функционирование метрологически значимых функций ПО.  ПО, в котором может быть обеспечена возможность обновления, должно содержать средства проверки подлинности загружаемого ПО и может быть обновлено только после получения результатов проверки его подлинности. В случаях, когда метрологически значимое ПО использует данные, полученные вне места проведения измерений, возможны передача и хранение таких данных в незащищенной среде. В таких случаях к ПО и данным необходимо предъявлять следующие требования: - сохраняемые или передаваемые данные должны содержать необходимую информацию об измерении, в процессе которого они были получены; - данные должны быть защищены с помощью средств, обеспечивающих их подлинность и целостность; - ПО должно содержать средства защиты данных от прерывания передачи. В случае повреждения сети передачи данные не должны быть потеряны.  Прикладное ПО верхнего уровня АИИС КУЭ определяется ее назначением и в общем случае должно обеспечивать решение следующего комплекса задач: - коммерческие задачи — обеспечение расчетов за отпущенную/потребленную электрическую энергию между субъектами рынка электрической энергии (в перспективе) за расчетный период; - задачи оперативного контроля электрической энергии и мощности по точкам и объектам учета; - балансные задачи — обеспечение расчетов оперативных балансов электрической энергии и мощности по каждому объекту и субъекту учета; - задачи общих потерь — определение фактических балансных потерь электрической энергии и мощности по объектам и субъектам учета; - задачи технических потерь — обеспечение расчетов по электрической энергии фактических потерь в силовых трансформаторах и линиях электропередачи (технические потери составляют часть общих, но в частном случае могут совпасть с общими потерями); - задачи ограничения и регулирования — обеспечение системного ограничения потребления электрической энергии и мощности и регулирования нагрузки потребителей-регуляторов; - задачи технического контроля — обеспечение контроля технического состояния компонентов системы учета электрической энергии.  Периодичность решения коммерческих задач должна определяться величиной расчетного периода, установленного нормативным правовым актом или договором, а также действующей тарифной системой с учетом дифференцированных тарифов по зонам суток.</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tcBorders>
              <w:top w:val="nil"/>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Требования к коммутаторам</w:t>
            </w:r>
          </w:p>
        </w:tc>
        <w:tc>
          <w:tcPr>
            <w:tcW w:w="4602" w:type="dxa"/>
            <w:tcBorders>
              <w:top w:val="nil"/>
            </w:tcBorders>
            <w:shd w:color="auto" w:fill="auto" w:val="clear"/>
          </w:tcPr>
          <w:p>
            <w:pPr>
              <w:pStyle w:val="Normal"/>
              <w:widowControl w:val="false"/>
              <w:suppressAutoHyphens w:val="true"/>
              <w:spacing w:before="0" w:after="0"/>
              <w:jc w:val="both"/>
              <w:rPr/>
            </w:pPr>
            <w:r>
              <w:rPr>
                <w:rFonts w:eastAsia="Times New Roman" w:cs="Times New Roman"/>
                <w:kern w:val="0"/>
                <w:sz w:val="24"/>
                <w:lang w:val="ru-RU" w:eastAsia="ru-RU" w:bidi="ar-SA"/>
              </w:rPr>
              <w:t>Коммутаторы должны быть включены в Реестр российской промышленной продукции.(</w:t>
            </w:r>
            <w:hyperlink r:id="rId5">
              <w:r>
                <w:rPr>
                  <w:rStyle w:val="Hyperlink"/>
                  <w:rFonts w:eastAsia="Times New Roman" w:cs="Times New Roman"/>
                  <w:b/>
                  <w:color w:val="auto"/>
                  <w:kern w:val="0"/>
                  <w:sz w:val="24"/>
                  <w:lang w:val="ru-RU" w:eastAsia="ru-RU" w:bidi="ar-SA"/>
                </w:rPr>
                <w:t>https://gisp.gov.ru/pp719v2/pub/prod/</w:t>
              </w:r>
            </w:hyperlink>
            <w:r>
              <w:rPr>
                <w:rFonts w:eastAsia="Times New Roman" w:cs="Times New Roman"/>
                <w:kern w:val="0"/>
                <w:sz w:val="24"/>
                <w:lang w:val="ru-RU" w:eastAsia="ru-RU" w:bidi="ar-SA"/>
              </w:rPr>
              <w:t>).</w:t>
            </w:r>
          </w:p>
          <w:p>
            <w:pPr>
              <w:pStyle w:val="Normal"/>
              <w:widowControl w:val="false"/>
              <w:tabs>
                <w:tab w:val="clear" w:pos="708"/>
                <w:tab w:val="left" w:pos="426" w:leader="none"/>
              </w:tabs>
              <w:suppressAutoHyphens w:val="true"/>
              <w:spacing w:before="0" w:after="0"/>
              <w:ind w:left="57" w:hanging="57"/>
              <w:jc w:val="both"/>
              <w:rPr/>
            </w:pPr>
            <w:r>
              <w:rPr>
                <w:rFonts w:eastAsia="Times New Roman" w:cs="Times New Roman"/>
                <w:color w:val="000000"/>
                <w:kern w:val="0"/>
                <w:sz w:val="24"/>
                <w:szCs w:val="24"/>
                <w:lang w:val="ru-RU" w:eastAsia="ru-RU" w:bidi="ar-SA"/>
              </w:rPr>
              <w:t>Федеральный закон "О промышленной политике в Российской Федерации" от 31.12.2014 N 488-ФЗ. (с</w:t>
            </w:r>
            <w:hyperlink r:id="rId6">
              <w:r>
                <w:rPr>
                  <w:rStyle w:val="Hyperlink"/>
                  <w:rFonts w:eastAsia="Times New Roman" w:cs="Times New Roman"/>
                  <w:color w:val="000000"/>
                  <w:kern w:val="0"/>
                  <w:sz w:val="24"/>
                  <w:szCs w:val="24"/>
                  <w:u w:val="none"/>
                  <w:lang w:val="ru-RU" w:eastAsia="ru-RU" w:bidi="ar-SA"/>
                </w:rPr>
                <w:t>татья 17.1. Реестр российской промышленной продукции).</w:t>
              </w:r>
            </w:hyperlink>
            <w:r>
              <w:rPr>
                <w:rFonts w:eastAsia="Times New Roman" w:cs="Times New Roman"/>
                <w:color w:val="000000"/>
                <w:kern w:val="0"/>
                <w:sz w:val="24"/>
                <w:szCs w:val="24"/>
                <w:lang w:val="ru-RU" w:eastAsia="ru-RU" w:bidi="ar-SA"/>
              </w:rPr>
              <w:t xml:space="preserve"> </w:t>
            </w:r>
            <w:r>
              <w:rPr>
                <w:rFonts w:eastAsia="Times New Roman" w:cs="Times New Roman"/>
                <w:kern w:val="0"/>
                <w:sz w:val="24"/>
                <w:lang w:val="ru-RU" w:eastAsia="ru-RU" w:bidi="ar-SA"/>
              </w:rPr>
              <w:t>Коммутаторы должны иметь не менее 16 портов. Один из портов должен быть оптический для подключения к СОЕВ.</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tcBorders>
              <w:top w:val="nil"/>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Требования к серверам АИИСКТУЭ</w:t>
            </w:r>
          </w:p>
        </w:tc>
        <w:tc>
          <w:tcPr>
            <w:tcW w:w="4602" w:type="dxa"/>
            <w:tcBorders>
              <w:top w:val="nil"/>
            </w:tcBorders>
            <w:shd w:color="auto" w:fill="auto" w:val="clear"/>
          </w:tcPr>
          <w:p>
            <w:pPr>
              <w:pStyle w:val="Normal"/>
              <w:widowControl w:val="false"/>
              <w:suppressAutoHyphens w:val="true"/>
              <w:spacing w:before="0" w:after="0"/>
              <w:jc w:val="left"/>
              <w:rPr>
                <w:sz w:val="24"/>
              </w:rPr>
            </w:pPr>
            <w:r>
              <w:rPr>
                <w:rFonts w:eastAsia="Times New Roman" w:cs="Times New Roman"/>
                <w:kern w:val="0"/>
                <w:sz w:val="24"/>
                <w:lang w:val="ru-RU" w:eastAsia="ru-RU" w:bidi="ar-SA"/>
              </w:rPr>
              <w:t>Сервера должны быть включены в Реестр российской промышленной продукции (</w:t>
            </w:r>
            <w:hyperlink r:id="rId7">
              <w:r>
                <w:rPr>
                  <w:rStyle w:val="Hyperlink"/>
                  <w:rFonts w:eastAsia="Times New Roman" w:cs="Times New Roman"/>
                  <w:b/>
                  <w:color w:val="auto"/>
                  <w:kern w:val="0"/>
                  <w:sz w:val="24"/>
                  <w:lang w:val="ru-RU" w:eastAsia="ru-RU" w:bidi="ar-SA"/>
                </w:rPr>
                <w:t>https://gisp.gov.ru/pp719v2/pub/prod/</w:t>
              </w:r>
            </w:hyperlink>
            <w:r>
              <w:rPr>
                <w:rFonts w:eastAsia="Times New Roman" w:cs="Times New Roman"/>
                <w:kern w:val="0"/>
                <w:sz w:val="24"/>
                <w:lang w:val="ru-RU" w:eastAsia="ru-RU" w:bidi="ar-SA"/>
              </w:rPr>
              <w:t>).</w:t>
            </w:r>
          </w:p>
          <w:p>
            <w:pPr>
              <w:pStyle w:val="Normal"/>
              <w:widowControl w:val="false"/>
              <w:tabs>
                <w:tab w:val="clear" w:pos="708"/>
                <w:tab w:val="left" w:pos="426" w:leader="none"/>
              </w:tabs>
              <w:suppressAutoHyphens w:val="true"/>
              <w:spacing w:before="0" w:after="0"/>
              <w:jc w:val="both"/>
              <w:rPr/>
            </w:pPr>
            <w:r>
              <w:rPr>
                <w:rFonts w:eastAsia="Times New Roman" w:cs="Times New Roman"/>
                <w:color w:val="000000"/>
                <w:kern w:val="0"/>
                <w:sz w:val="24"/>
                <w:szCs w:val="24"/>
                <w:lang w:val="ru-RU" w:eastAsia="ru-RU" w:bidi="ar-SA"/>
              </w:rPr>
              <w:t>Федеральный закон "О промышленной политике в Российской Федерации" от 31.12.2014 N 488-ФЗ (с изменениями 30.11.2024 г.) (с</w:t>
            </w:r>
            <w:hyperlink r:id="rId8">
              <w:r>
                <w:rPr>
                  <w:rStyle w:val="Hyperlink"/>
                  <w:rFonts w:eastAsia="Times New Roman" w:cs="Times New Roman"/>
                  <w:color w:val="000000"/>
                  <w:kern w:val="0"/>
                  <w:sz w:val="24"/>
                  <w:szCs w:val="24"/>
                  <w:u w:val="none"/>
                  <w:lang w:val="ru-RU" w:eastAsia="ru-RU" w:bidi="ar-SA"/>
                </w:rPr>
                <w:t>татья 17.1. Реестр российской промышленной продукции).</w:t>
              </w:r>
            </w:hyperlink>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tcBorders>
              <w:top w:val="nil"/>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op w:val="nil"/>
            </w:tcBorders>
            <w:shd w:color="auto" w:fill="auto" w:val="clea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 xml:space="preserve">Требования к кабелям </w:t>
            </w:r>
          </w:p>
        </w:tc>
        <w:tc>
          <w:tcPr>
            <w:tcW w:w="4602" w:type="dxa"/>
            <w:tcBorders>
              <w:top w:val="nil"/>
            </w:tcBorders>
            <w:shd w:color="auto" w:fill="auto" w:val="clear"/>
          </w:tcPr>
          <w:p>
            <w:pPr>
              <w:pStyle w:val="Normal"/>
              <w:widowControl w:val="false"/>
              <w:suppressAutoHyphens w:val="true"/>
              <w:spacing w:before="0" w:after="0"/>
              <w:jc w:val="both"/>
              <w:rPr/>
            </w:pPr>
            <w:r>
              <w:rPr>
                <w:rFonts w:eastAsia="Times New Roman" w:cs="Times New Roman"/>
                <w:kern w:val="0"/>
                <w:sz w:val="24"/>
                <w:lang w:val="ru-RU" w:eastAsia="ru-RU" w:bidi="ar-SA"/>
              </w:rPr>
              <w:t>Кабели должны быть включены в Реестр российской промышленной продукции (</w:t>
            </w:r>
            <w:hyperlink r:id="rId9">
              <w:r>
                <w:rPr>
                  <w:rFonts w:eastAsia="Times New Roman" w:cs="Times New Roman"/>
                  <w:kern w:val="0"/>
                  <w:sz w:val="24"/>
                  <w:lang w:val="ru-RU" w:eastAsia="ru-RU" w:bidi="ar-SA"/>
                </w:rPr>
                <w:t>https://gisp.gov.ru/pp719v2/pub/prod/</w:t>
              </w:r>
            </w:hyperlink>
            <w:r>
              <w:rPr>
                <w:rFonts w:eastAsia="Times New Roman" w:cs="Times New Roman"/>
                <w:kern w:val="0"/>
                <w:sz w:val="24"/>
                <w:lang w:val="ru-RU" w:eastAsia="ru-RU" w:bidi="ar-SA"/>
              </w:rPr>
              <w:t xml:space="preserve">). </w:t>
            </w:r>
          </w:p>
          <w:p>
            <w:pPr>
              <w:pStyle w:val="Normal"/>
              <w:widowControl w:val="false"/>
              <w:tabs>
                <w:tab w:val="clear" w:pos="708"/>
                <w:tab w:val="left" w:pos="426" w:leader="none"/>
              </w:tabs>
              <w:suppressAutoHyphens w:val="true"/>
              <w:spacing w:before="0" w:after="0"/>
              <w:jc w:val="both"/>
              <w:rPr/>
            </w:pPr>
            <w:r>
              <w:rPr>
                <w:rFonts w:eastAsia="Times New Roman" w:cs="Times New Roman"/>
                <w:color w:val="000000"/>
                <w:kern w:val="0"/>
                <w:sz w:val="24"/>
                <w:szCs w:val="24"/>
                <w:lang w:val="ru-RU" w:eastAsia="ru-RU" w:bidi="ar-SA"/>
              </w:rPr>
              <w:t>Федеральный закон "О промышленной политике в Российской Федерации" от 31.12.2014 N 488-ФЗ (с изменениями 30.11.2024 г.). (с</w:t>
            </w:r>
            <w:hyperlink r:id="rId10">
              <w:r>
                <w:rPr>
                  <w:rStyle w:val="Hyperlink"/>
                  <w:rFonts w:eastAsia="Times New Roman" w:cs="Times New Roman"/>
                  <w:color w:val="000000"/>
                  <w:kern w:val="0"/>
                  <w:sz w:val="24"/>
                  <w:szCs w:val="24"/>
                  <w:u w:val="none"/>
                  <w:lang w:val="ru-RU" w:eastAsia="ru-RU" w:bidi="ar-SA"/>
                </w:rPr>
                <w:t>татья 17.1. Реестр российской промышленной продукции).</w:t>
              </w:r>
            </w:hyperlink>
          </w:p>
          <w:p>
            <w:pPr>
              <w:pStyle w:val="Normal"/>
              <w:widowControl w:val="false"/>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kern w:val="0"/>
                <w:sz w:val="24"/>
                <w:lang w:val="ru-RU" w:eastAsia="ru-RU" w:bidi="ar-SA"/>
              </w:rPr>
              <w:t>Все кабели от серверов до счетчиков должны быть заменены на новые.</w:t>
            </w:r>
          </w:p>
          <w:p>
            <w:pPr>
              <w:pStyle w:val="Normal"/>
              <w:widowControl w:val="false"/>
              <w:tabs>
                <w:tab w:val="clear" w:pos="708"/>
                <w:tab w:val="left" w:pos="426" w:leader="none"/>
              </w:tabs>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kern w:val="0"/>
                <w:sz w:val="24"/>
                <w:lang w:val="ru-RU" w:eastAsia="ru-RU" w:bidi="ar-SA"/>
              </w:rPr>
              <w:t>Кабели, включая витые пары, должны быть негорючие и малодымные.</w:t>
            </w:r>
          </w:p>
          <w:p>
            <w:pPr>
              <w:pStyle w:val="Normal"/>
              <w:widowControl w:val="false"/>
              <w:tabs>
                <w:tab w:val="clear" w:pos="708"/>
                <w:tab w:val="left" w:pos="426" w:leader="none"/>
              </w:tabs>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kern w:val="0"/>
                <w:sz w:val="24"/>
                <w:lang w:val="ru-RU" w:eastAsia="ru-RU" w:bidi="ar-SA"/>
              </w:rPr>
              <w:t>Разъемы RJ45(</w:t>
            </w:r>
            <w:bookmarkStart w:id="66" w:name="2._Misconceptions_of_“8P8C”_from_“RJ45”_"/>
            <w:bookmarkEnd w:id="66"/>
            <w:r>
              <w:rPr>
                <w:rFonts w:eastAsia="Times New Roman" w:cs="Times New Roman"/>
                <w:kern w:val="0"/>
                <w:sz w:val="24"/>
                <w:lang w:val="ru-RU" w:eastAsia="ru-RU" w:bidi="ar-SA"/>
              </w:rPr>
              <w:t>8p8c) должны быть экранированными.</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sz w:val="24"/>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tcBorders>
              <w:top w:val="nil"/>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op w:val="nil"/>
            </w:tcBorders>
            <w:shd w:color="auto" w:fill="auto" w:val="clear"/>
          </w:tcPr>
          <w:p>
            <w:pPr>
              <w:pStyle w:val="Normal"/>
              <w:widowControl w:val="false"/>
              <w:suppressAutoHyphens w:val="true"/>
              <w:spacing w:before="0" w:after="0"/>
              <w:jc w:val="both"/>
              <w:rPr>
                <w:sz w:val="26"/>
                <w:szCs w:val="22"/>
              </w:rPr>
            </w:pPr>
            <w:r>
              <w:rPr>
                <w:rFonts w:eastAsia="Times New Roman" w:cs="Times New Roman"/>
                <w:kern w:val="0"/>
                <w:sz w:val="26"/>
                <w:szCs w:val="22"/>
                <w:lang w:val="ru-RU" w:eastAsia="ru-RU" w:bidi="ar-SA"/>
              </w:rPr>
              <w:t>Требования к метрологическому обеспечению.</w:t>
            </w:r>
          </w:p>
        </w:tc>
        <w:tc>
          <w:tcPr>
            <w:tcW w:w="4602" w:type="dxa"/>
            <w:tcBorders>
              <w:top w:val="nil"/>
            </w:tcBorders>
            <w:shd w:color="auto" w:fill="auto" w:val="clear"/>
          </w:tcPr>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 xml:space="preserve">Метрологическое обеспечение информационно-измерительных систем (ИИС) должно удовлетворять требованиям Закона Российской Федерации №102-ФЗ </w:t>
            </w:r>
            <w:r>
              <w:rPr>
                <w:rFonts w:eastAsia="Times New Roman" w:cs="Times New Roman"/>
                <w:kern w:val="0"/>
                <w:sz w:val="24"/>
                <w:szCs w:val="24"/>
                <w:lang w:val="ru-RU" w:eastAsia="ru-RU" w:bidi="ar-SA"/>
              </w:rPr>
              <w:t>"Об обеспечении единства измерений (с изменениями на 8 августа 2024 года) (редакция, действующая с 1 марта 2025 года)",</w:t>
            </w:r>
            <w:r>
              <w:rPr>
                <w:rFonts w:eastAsia="Times New Roman" w:cs="Times New Roman"/>
                <w:kern w:val="0"/>
                <w:sz w:val="24"/>
                <w:szCs w:val="22"/>
                <w:lang w:val="ru-RU" w:eastAsia="ru-RU" w:bidi="ar-SA"/>
              </w:rPr>
              <w:t xml:space="preserve"> а также ГОСТ Р 8.563-2009 «Государственная система обеспечения единства измерений. Методики (методы) измерений». (Утвержден и введен в действие Приказом Ростехрегулирования от 15 декабря 2009 г. N 1253-ст); Приказом от 28.08.2020 г. №2905 О</w:t>
            </w:r>
            <w:r>
              <w:rPr>
                <w:rFonts w:eastAsia="Times New Roman" w:cs="Times New Roman"/>
                <w:kern w:val="0"/>
                <w:sz w:val="24"/>
                <w:szCs w:val="24"/>
                <w:lang w:val="ru-RU" w:eastAsia="ru-RU" w:bidi="ar-SA"/>
              </w:rPr>
              <w:t>б утверждении порядка проведения испытаний стандартных образцов или средств измерений в целях утверждения типа, порядка утверждения типа стандартных образцов или типа средств измерений, внесения изменений в сведения о них, порядка выдачи сертификатов об утверждении типа стандартных образцов или типа средств измерений, формы сертификатов об утверждении типа стандартных образцов или типа средств измерений, требований к знакам утверждения типа стандартных образцов или типа средств измерений и порядка их нанесения;</w:t>
            </w:r>
            <w:r>
              <w:rPr>
                <w:rFonts w:eastAsia="Times New Roman" w:cs="Arial" w:ascii="Arial" w:hAnsi="Arial"/>
                <w:kern w:val="0"/>
                <w:sz w:val="24"/>
                <w:szCs w:val="24"/>
                <w:lang w:val="ru-RU" w:eastAsia="ru-RU" w:bidi="ar-SA"/>
              </w:rPr>
              <w:t xml:space="preserve"> </w:t>
            </w:r>
            <w:r>
              <w:rPr>
                <w:rFonts w:eastAsia="Times New Roman" w:cs="Times New Roman"/>
                <w:kern w:val="0"/>
                <w:sz w:val="24"/>
                <w:szCs w:val="22"/>
                <w:lang w:val="ru-RU" w:eastAsia="ru-RU" w:bidi="ar-SA"/>
              </w:rPr>
              <w:t xml:space="preserve">ГОСТ Р 8.596-2002 «Государственная система обеспечения единства измерений. Метрологическое обеспечение измерительных систем. Основные положения».(Принят и введен в действие Постановлением Госстандарта России от 30 сентября 2002 г. N 357-ст). </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Должны быть выполнены следующие требования к метрологическому обеспечению:</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 xml:space="preserve"> </w:t>
            </w:r>
            <w:r>
              <w:rPr>
                <w:rFonts w:eastAsia="Times New Roman" w:cs="Times New Roman"/>
                <w:kern w:val="0"/>
                <w:sz w:val="24"/>
                <w:szCs w:val="22"/>
                <w:lang w:val="ru-RU" w:eastAsia="ru-RU" w:bidi="ar-SA"/>
              </w:rPr>
              <w:t>Дата изготовления СИ на момент доставки не должна превышать одного года;</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 xml:space="preserve"> </w:t>
            </w:r>
            <w:r>
              <w:rPr>
                <w:rFonts w:eastAsia="Times New Roman" w:cs="Times New Roman"/>
                <w:kern w:val="0"/>
                <w:sz w:val="24"/>
                <w:szCs w:val="22"/>
                <w:lang w:val="ru-RU" w:eastAsia="ru-RU" w:bidi="ar-SA"/>
              </w:rPr>
              <w:t>Межповерочный (межкалибровочный) интервал, приобретаемых СИ, должен быть не менее периода вывода основного оборудования на техническое обслуживание (ремонт), как максимум - соизмерим с полным сроком службы основного оборудования или отсутствовать;</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Шкалы вновь приобретаемых СИ, должны быть выражены в единицах величин международной системы единиц (СИ);</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СИ, приобретаемые в составе измерительных каналов (далее – ИК) ИИС, могут применяться без первичной поверки (калибровки), так как метрологические характеристики нормируются на измерительный канал в целом;</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ИИС, приобретаемые для применения в сфере государственного регулирования, должны доставляться с первичной поверкой измерительных каналов; Допускается выполнять первичную поверку ИК ИИС, после окончания опытной эксплуатации, перед вводом в промышленную;</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ИИС, приобретаемые для применения вне сферы государственного регулирования, должны доставляться:</w:t>
            </w:r>
          </w:p>
          <w:p>
            <w:pPr>
              <w:pStyle w:val="Normal"/>
              <w:widowControl w:val="false"/>
              <w:numPr>
                <w:ilvl w:val="3"/>
                <w:numId w:val="26"/>
              </w:numPr>
              <w:tabs>
                <w:tab w:val="clear" w:pos="708"/>
                <w:tab w:val="left" w:pos="258" w:leader="none"/>
              </w:tabs>
              <w:suppressAutoHyphens w:val="true"/>
              <w:spacing w:before="0" w:after="0"/>
              <w:ind w:left="258" w:hanging="284"/>
              <w:jc w:val="both"/>
              <w:rPr>
                <w:sz w:val="24"/>
                <w:szCs w:val="22"/>
              </w:rPr>
            </w:pPr>
            <w:r>
              <w:rPr>
                <w:rFonts w:eastAsia="Times New Roman" w:cs="Times New Roman"/>
                <w:kern w:val="0"/>
                <w:sz w:val="24"/>
                <w:szCs w:val="22"/>
                <w:lang w:val="ru-RU" w:eastAsia="ru-RU" w:bidi="ar-SA"/>
              </w:rPr>
              <w:t xml:space="preserve">с первичной поверкой ИИС (ИК ИИС), для ИИС добровольно утверждённых как тип единичного средства измерений (как для сферы государственного регулирования); </w:t>
            </w:r>
          </w:p>
          <w:p>
            <w:pPr>
              <w:pStyle w:val="Normal"/>
              <w:widowControl w:val="false"/>
              <w:numPr>
                <w:ilvl w:val="3"/>
                <w:numId w:val="26"/>
              </w:numPr>
              <w:tabs>
                <w:tab w:val="clear" w:pos="708"/>
                <w:tab w:val="left" w:pos="258" w:leader="none"/>
              </w:tabs>
              <w:suppressAutoHyphens w:val="true"/>
              <w:spacing w:before="0" w:after="0"/>
              <w:ind w:left="258" w:hanging="284"/>
              <w:jc w:val="both"/>
              <w:rPr>
                <w:sz w:val="24"/>
                <w:szCs w:val="22"/>
              </w:rPr>
            </w:pPr>
            <w:r>
              <w:rPr>
                <w:rFonts w:eastAsia="Times New Roman" w:cs="Times New Roman"/>
                <w:kern w:val="0"/>
                <w:sz w:val="24"/>
                <w:szCs w:val="22"/>
                <w:lang w:val="ru-RU" w:eastAsia="ru-RU" w:bidi="ar-SA"/>
              </w:rPr>
              <w:t>с «первичной» калибровкой ИИС (ИК ИИС), для ИИС, измерительные каналы которых состоят из компонентов (СИ), внесенных в государственный реестр; Допускается, для ИИС компонуемых только на объекте эксплуатации, выполнять первичную калибровку ИИС (ИК ИИС), после окончания опытной эксплуатации, перед вводом в промышленную.</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Все приобретаемые СИ и ИИС должны в обязательном порядке комплектоваться документами, в которых нормированы метрологические характеристики каждого СИ и ИК ИИС.</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Проверку наличия документов СИ, проводят при его приемке на объект Заказчика, для ИИС комплектуемых на объектах Заказчика – документы предоставляются исполнителем доставки, после проведения первичной поверки (калибровки).</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СИ, приобретаемые как самостоятельные СИ, комплектуются следующими документами: заводской паспорт, свидетельство о первичной поверке, либо отметка (клеймо) в паспорте о первичной поверке; методика поверки (калибровки); руководство по эксплуатации СИ.</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ИИС, независимо от того, входят они в сферу государственного регулирования или нет, комплектуются следующими документами: свидетельство об утверждении типа ИИС (копия), свидетельство о первичной поверке ИИС, методика поверки ИИС; руководство по эксплуатации ИИС.</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 xml:space="preserve">В рамках технической эксплуатации СИ (ИИС), при проведении периодической поверки и калибровки - выдаются новые свидетельства (сертификат) о проведении периодической поверки (калибровки) СИ (ИИС). </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Основная приведённая погрешность измерительных приборов должна быть не более:</w:t>
            </w:r>
          </w:p>
          <w:p>
            <w:pPr>
              <w:pStyle w:val="Normal"/>
              <w:widowControl w:val="false"/>
              <w:numPr>
                <w:ilvl w:val="3"/>
                <w:numId w:val="26"/>
              </w:numPr>
              <w:tabs>
                <w:tab w:val="clear" w:pos="708"/>
                <w:tab w:val="left" w:pos="258" w:leader="none"/>
              </w:tabs>
              <w:suppressAutoHyphens w:val="true"/>
              <w:spacing w:before="0" w:after="0"/>
              <w:ind w:left="258" w:hanging="284"/>
              <w:jc w:val="both"/>
              <w:rPr>
                <w:sz w:val="24"/>
                <w:szCs w:val="22"/>
                <w:lang w:val="en-US"/>
              </w:rPr>
            </w:pPr>
            <w:r>
              <w:rPr>
                <w:rFonts w:eastAsia="Times New Roman" w:cs="Times New Roman"/>
                <w:kern w:val="0"/>
                <w:sz w:val="24"/>
                <w:szCs w:val="22"/>
                <w:lang w:val="en-US" w:eastAsia="ru-RU" w:bidi="ar-SA"/>
              </w:rPr>
              <w:t>для электрических сигналов - 0,5 %;</w:t>
            </w:r>
          </w:p>
          <w:p>
            <w:pPr>
              <w:pStyle w:val="Normal"/>
              <w:widowControl w:val="false"/>
              <w:numPr>
                <w:ilvl w:val="3"/>
                <w:numId w:val="26"/>
              </w:numPr>
              <w:tabs>
                <w:tab w:val="clear" w:pos="708"/>
                <w:tab w:val="left" w:pos="258" w:leader="none"/>
              </w:tabs>
              <w:suppressAutoHyphens w:val="true"/>
              <w:spacing w:before="0" w:after="0"/>
              <w:ind w:left="258" w:hanging="284"/>
              <w:jc w:val="both"/>
              <w:rPr>
                <w:sz w:val="24"/>
                <w:szCs w:val="22"/>
                <w:lang w:val="en-US"/>
              </w:rPr>
            </w:pPr>
            <w:r>
              <w:rPr>
                <w:rFonts w:eastAsia="Times New Roman" w:cs="Times New Roman"/>
                <w:kern w:val="0"/>
                <w:sz w:val="24"/>
                <w:szCs w:val="22"/>
                <w:lang w:val="en-US" w:eastAsia="ru-RU" w:bidi="ar-SA"/>
              </w:rPr>
              <w:t>для неэлектрических параметров - 1,0 %.</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Для повышения точности измерений использовать алгоритмы повышения точности, использующие избыточную информацию, имеющуюся в системе управления.</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У Участника должны быть в собственности или арендованы специальные технические и программные средства для калибровки измерительных каналов и СИ.</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Значения контролируемых параметров (технологического процесса, технологического оборудования) должны быть выражены в соответствии с ГОСТ 8.417-2024 — межгосударственный стандарт «Государственная система обеспечения единства измерений. Единицы величин»</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Все методики измерения, используемые в сфере государственного регулирования ОЕИ, должны быть аттестованы.</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Для поверки и калибровки измерительных каналов и СИ должна быть предусмотрена возможность доступа ко всем элементам системы для подключения образцовых приборов (калибраторов).</w:t>
            </w:r>
          </w:p>
          <w:p>
            <w:pPr>
              <w:pStyle w:val="Normal"/>
              <w:widowControl w:val="false"/>
              <w:suppressAutoHyphens w:val="true"/>
              <w:spacing w:before="0" w:after="0"/>
              <w:jc w:val="both"/>
              <w:rPr>
                <w:sz w:val="24"/>
                <w:szCs w:val="22"/>
              </w:rPr>
            </w:pPr>
            <w:r>
              <w:rPr>
                <w:rFonts w:eastAsia="Times New Roman" w:cs="Times New Roman"/>
                <w:kern w:val="0"/>
                <w:sz w:val="24"/>
                <w:szCs w:val="22"/>
                <w:lang w:val="ru-RU" w:eastAsia="ru-RU" w:bidi="ar-SA"/>
              </w:rPr>
              <w:t>Значения диапазонов измерений и допускаемые приведенные погрешности должны быть определяющими при выборе оборудования и Подрядчика.</w:t>
            </w:r>
          </w:p>
        </w:tc>
        <w:tc>
          <w:tcPr>
            <w:tcW w:w="2540" w:type="dxa"/>
            <w:tcBorders>
              <w:top w:val="nil"/>
            </w:tcBorders>
            <w:shd w:color="auto" w:fill="auto" w:val="clear"/>
          </w:tcPr>
          <w:p>
            <w:pPr>
              <w:pStyle w:val="Normal"/>
              <w:widowControl w:val="false"/>
              <w:suppressAutoHyphens w:val="true"/>
              <w:spacing w:before="0" w:after="0"/>
              <w:jc w:val="center"/>
              <w:rPr>
                <w:sz w:val="24"/>
              </w:rPr>
            </w:pPr>
            <w:r>
              <w:rPr>
                <w:rFonts w:eastAsia="Times New Roman" w:cs="Times New Roman"/>
                <w:iCs/>
                <w:kern w:val="0"/>
                <w:lang w:val="ru-RU" w:eastAsia="ru-RU" w:bidi="ar-SA"/>
              </w:rPr>
              <w:t>Согласие с требованием</w:t>
            </w:r>
          </w:p>
        </w:tc>
        <w:tc>
          <w:tcPr>
            <w:tcW w:w="256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организации работ / услуг</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b/>
                <w:sz w:val="24"/>
                <w:szCs w:val="24"/>
              </w:rPr>
            </w:pPr>
            <w:r>
              <w:rPr>
                <w:rFonts w:eastAsia="Times New Roman" w:cs="Times New Roman"/>
                <w:bCs/>
                <w:kern w:val="0"/>
                <w:sz w:val="24"/>
                <w:szCs w:val="24"/>
                <w:lang w:val="ru-RU" w:eastAsia="ru-RU" w:bidi="ar-SA"/>
              </w:rPr>
              <w:t>Разработка рабочей документации</w:t>
            </w:r>
          </w:p>
        </w:tc>
        <w:tc>
          <w:tcPr>
            <w:tcW w:w="4602" w:type="dxa"/>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Разработка рабочей документации подрядчиком начинается после того, как заказчик п</w:t>
            </w:r>
            <w:r>
              <w:rPr>
                <w:rFonts w:eastAsia="Times New Roman" w:cs="Times New Roman"/>
                <w:kern w:val="0"/>
                <w:sz w:val="24"/>
                <w:szCs w:val="24"/>
                <w:lang w:val="ru-RU" w:eastAsia="ru-RU" w:bidi="ar-SA"/>
              </w:rPr>
              <w:t>редложи</w:t>
            </w:r>
            <w:r>
              <w:rPr>
                <w:rFonts w:eastAsia="Times New Roman" w:cs="Times New Roman"/>
                <w:kern w:val="0"/>
                <w:sz w:val="24"/>
                <w:szCs w:val="24"/>
                <w:lang w:val="ru-RU" w:eastAsia="ru-RU" w:bidi="ar-SA"/>
              </w:rPr>
              <w:t xml:space="preserve">т информацию о производителе оборудования и согласует предложенное оборудование </w:t>
            </w:r>
            <w:r>
              <w:rPr>
                <w:rFonts w:eastAsia="Times New Roman" w:cs="Times New Roman"/>
                <w:kern w:val="0"/>
                <w:sz w:val="24"/>
                <w:szCs w:val="24"/>
                <w:lang w:val="ru-RU" w:eastAsia="ru-RU" w:bidi="ar-SA"/>
              </w:rPr>
              <w:t>с заказчиком</w:t>
            </w:r>
            <w:r>
              <w:rPr>
                <w:rFonts w:eastAsia="Times New Roman" w:cs="Times New Roman"/>
                <w:kern w:val="0"/>
                <w:sz w:val="24"/>
                <w:szCs w:val="24"/>
                <w:lang w:val="ru-RU" w:eastAsia="ru-RU" w:bidi="ar-SA"/>
              </w:rPr>
              <w:t>.</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Вся рабочая документация разрабатывается в соответствии с действующими национальными и отраслевыми НТД:</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 xml:space="preserve">- ГОСТ Р 21.101-2020. </w:t>
            </w:r>
            <w:r>
              <w:rPr>
                <w:rFonts w:eastAsia="Times New Roman" w:cs="Times New Roman"/>
                <w:kern w:val="0"/>
                <w:sz w:val="24"/>
                <w:lang w:val="ru-RU" w:eastAsia="ru-RU" w:bidi="ar-SA"/>
              </w:rPr>
              <w:t>Система проектной документации для строительства (СПДС). Основные требования к проектной и рабочей документации (с Поправкой).</w:t>
            </w:r>
          </w:p>
          <w:p>
            <w:pPr>
              <w:pStyle w:val="Normal"/>
              <w:widowControl w:val="false"/>
              <w:tabs>
                <w:tab w:val="clear" w:pos="708"/>
                <w:tab w:val="left" w:pos="-3240" w:leader="none"/>
                <w:tab w:val="left" w:pos="0" w:leader="none"/>
              </w:tabs>
              <w:suppressAutoHyphens w:val="true"/>
              <w:spacing w:before="0" w:after="0"/>
              <w:jc w:val="both"/>
              <w:rPr>
                <w:sz w:val="24"/>
                <w:szCs w:val="24"/>
              </w:rPr>
            </w:pPr>
            <w:r>
              <w:rPr>
                <w:rFonts w:eastAsia="Times New Roman" w:cs="Times New Roman"/>
                <w:kern w:val="0"/>
                <w:sz w:val="24"/>
                <w:szCs w:val="24"/>
                <w:lang w:val="ru-RU" w:eastAsia="ru-RU" w:bidi="ar-SA"/>
              </w:rPr>
              <w:t>- Правила устройства электроустановок (ред. от 20.12.2017).</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 И 1.13-07 Инструкция по оформлению приемо-сдаточной документации по электромонтажным работам (с поправками).</w:t>
            </w:r>
          </w:p>
          <w:p>
            <w:pPr>
              <w:pStyle w:val="Normal"/>
              <w:widowControl w:val="false"/>
              <w:tabs>
                <w:tab w:val="clear" w:pos="708"/>
                <w:tab w:val="left" w:pos="-3240" w:leader="none"/>
                <w:tab w:val="left" w:pos="0" w:leader="none"/>
                <w:tab w:val="left" w:pos="601" w:leader="none"/>
              </w:tabs>
              <w:suppressAutoHyphens w:val="true"/>
              <w:spacing w:before="0" w:after="0"/>
              <w:jc w:val="both"/>
              <w:rPr>
                <w:rFonts w:eastAsia="Calibri"/>
                <w:sz w:val="24"/>
                <w:szCs w:val="24"/>
              </w:rPr>
            </w:pPr>
            <w:r>
              <w:rPr>
                <w:rFonts w:eastAsia="Times New Roman" w:cs="Times New Roman"/>
                <w:kern w:val="0"/>
                <w:sz w:val="24"/>
                <w:szCs w:val="24"/>
                <w:lang w:val="ru-RU" w:eastAsia="ru-RU" w:bidi="ar-SA"/>
              </w:rPr>
              <w:t>Разрабатываемая рабочая и сметная документация по результатам предварительного обследования должна быть основана на существующих рабочих проектах строительства АИИСКТУЭ</w:t>
            </w:r>
            <w:r>
              <w:rPr>
                <w:rFonts w:eastAsia="Calibri" w:cs="Times New Roman"/>
                <w:kern w:val="0"/>
                <w:sz w:val="24"/>
                <w:szCs w:val="24"/>
                <w:lang w:val="ru-RU" w:eastAsia="ru-RU" w:bidi="ar-SA"/>
              </w:rPr>
              <w:t xml:space="preserve"> РГЭС и УГЭС. Основной блок рабочей документации должен содержать:</w:t>
            </w:r>
          </w:p>
          <w:p>
            <w:pPr>
              <w:pStyle w:val="Normal"/>
              <w:widowControl w:val="false"/>
              <w:tabs>
                <w:tab w:val="clear" w:pos="708"/>
                <w:tab w:val="left" w:pos="-3240" w:leader="none"/>
                <w:tab w:val="left" w:pos="0" w:leader="none"/>
                <w:tab w:val="left" w:pos="601" w:leader="none"/>
              </w:tabs>
              <w:suppressAutoHyphens w:val="true"/>
              <w:spacing w:before="0" w:after="0"/>
              <w:jc w:val="both"/>
              <w:rPr>
                <w:rFonts w:eastAsia="Calibri"/>
                <w:sz w:val="24"/>
                <w:szCs w:val="24"/>
              </w:rPr>
            </w:pPr>
            <w:r>
              <w:rPr>
                <w:rFonts w:eastAsia="Calibri" w:cs="Times New Roman"/>
                <w:kern w:val="0"/>
                <w:sz w:val="24"/>
                <w:szCs w:val="24"/>
                <w:lang w:val="ru-RU" w:eastAsia="ru-RU" w:bidi="ar-SA"/>
              </w:rPr>
              <w:t>- пояснительную записку;</w:t>
            </w:r>
          </w:p>
          <w:p>
            <w:pPr>
              <w:pStyle w:val="Normal"/>
              <w:widowControl w:val="false"/>
              <w:tabs>
                <w:tab w:val="clear" w:pos="708"/>
                <w:tab w:val="left" w:pos="-3240" w:leader="none"/>
                <w:tab w:val="left" w:pos="0" w:leader="none"/>
                <w:tab w:val="left" w:pos="601" w:leader="none"/>
              </w:tabs>
              <w:suppressAutoHyphens w:val="true"/>
              <w:spacing w:before="0" w:after="0"/>
              <w:jc w:val="both"/>
              <w:rPr>
                <w:rFonts w:eastAsia="Calibri"/>
                <w:sz w:val="24"/>
                <w:szCs w:val="24"/>
              </w:rPr>
            </w:pPr>
            <w:r>
              <w:rPr>
                <w:rFonts w:eastAsia="Calibri" w:cs="Times New Roman"/>
                <w:kern w:val="0"/>
                <w:sz w:val="24"/>
                <w:szCs w:val="24"/>
                <w:lang w:val="ru-RU" w:eastAsia="ru-RU" w:bidi="ar-SA"/>
              </w:rPr>
              <w:t>- схемы организации связи;</w:t>
            </w:r>
          </w:p>
          <w:p>
            <w:pPr>
              <w:pStyle w:val="Normal"/>
              <w:widowControl w:val="false"/>
              <w:tabs>
                <w:tab w:val="clear" w:pos="708"/>
                <w:tab w:val="left" w:pos="-3240" w:leader="none"/>
                <w:tab w:val="left" w:pos="0" w:leader="none"/>
                <w:tab w:val="left" w:pos="601" w:leader="none"/>
              </w:tabs>
              <w:suppressAutoHyphens w:val="true"/>
              <w:spacing w:before="0" w:after="0"/>
              <w:jc w:val="both"/>
              <w:rPr>
                <w:rFonts w:eastAsia="Calibri"/>
                <w:sz w:val="24"/>
                <w:szCs w:val="24"/>
              </w:rPr>
            </w:pPr>
            <w:r>
              <w:rPr>
                <w:rFonts w:eastAsia="Calibri" w:cs="Times New Roman"/>
                <w:kern w:val="0"/>
                <w:sz w:val="24"/>
                <w:szCs w:val="24"/>
                <w:lang w:val="ru-RU" w:eastAsia="ru-RU" w:bidi="ar-SA"/>
              </w:rPr>
              <w:t>- спецификацию на оборудование, комплектующие, материалы, ПО;</w:t>
            </w:r>
          </w:p>
          <w:p>
            <w:pPr>
              <w:pStyle w:val="Normal"/>
              <w:widowControl w:val="false"/>
              <w:tabs>
                <w:tab w:val="clear" w:pos="708"/>
                <w:tab w:val="left" w:pos="-3240" w:leader="none"/>
                <w:tab w:val="left" w:pos="0" w:leader="none"/>
                <w:tab w:val="left" w:pos="601" w:leader="none"/>
              </w:tabs>
              <w:suppressAutoHyphens w:val="true"/>
              <w:spacing w:before="0" w:after="0"/>
              <w:jc w:val="both"/>
              <w:rPr>
                <w:rFonts w:eastAsia="Calibri"/>
                <w:sz w:val="24"/>
                <w:szCs w:val="24"/>
              </w:rPr>
            </w:pPr>
            <w:r>
              <w:rPr>
                <w:rFonts w:eastAsia="Calibri" w:cs="Times New Roman"/>
                <w:kern w:val="0"/>
                <w:sz w:val="24"/>
                <w:szCs w:val="24"/>
                <w:lang w:val="ru-RU" w:eastAsia="ru-RU" w:bidi="ar-SA"/>
              </w:rPr>
              <w:t>- планы расположения оборудования и прокладки кабелей;</w:t>
            </w:r>
          </w:p>
          <w:p>
            <w:pPr>
              <w:pStyle w:val="Normal"/>
              <w:widowControl w:val="false"/>
              <w:tabs>
                <w:tab w:val="clear" w:pos="708"/>
                <w:tab w:val="left" w:pos="-3240" w:leader="none"/>
                <w:tab w:val="left" w:pos="0" w:leader="none"/>
                <w:tab w:val="left" w:pos="601" w:leader="none"/>
              </w:tabs>
              <w:suppressAutoHyphens w:val="true"/>
              <w:spacing w:before="0" w:after="0"/>
              <w:jc w:val="both"/>
              <w:rPr>
                <w:rFonts w:eastAsia="Calibri"/>
                <w:sz w:val="24"/>
                <w:szCs w:val="24"/>
              </w:rPr>
            </w:pPr>
            <w:r>
              <w:rPr>
                <w:rFonts w:eastAsia="Calibri" w:cs="Times New Roman"/>
                <w:kern w:val="0"/>
                <w:sz w:val="24"/>
                <w:szCs w:val="24"/>
                <w:lang w:val="ru-RU" w:eastAsia="ru-RU" w:bidi="ar-SA"/>
              </w:rPr>
              <w:t>- принципиальные (полные) схемы соединений;</w:t>
            </w:r>
          </w:p>
          <w:p>
            <w:pPr>
              <w:pStyle w:val="Normal"/>
              <w:widowControl w:val="false"/>
              <w:tabs>
                <w:tab w:val="clear" w:pos="708"/>
                <w:tab w:val="left" w:pos="-3240" w:leader="none"/>
                <w:tab w:val="left" w:pos="0" w:leader="none"/>
                <w:tab w:val="left" w:pos="601" w:leader="none"/>
              </w:tabs>
              <w:suppressAutoHyphens w:val="true"/>
              <w:spacing w:before="0" w:after="0"/>
              <w:jc w:val="both"/>
              <w:rPr>
                <w:rFonts w:eastAsia="Calibri"/>
                <w:sz w:val="24"/>
                <w:szCs w:val="24"/>
              </w:rPr>
            </w:pPr>
            <w:r>
              <w:rPr>
                <w:rFonts w:eastAsia="Calibri" w:cs="Times New Roman"/>
                <w:kern w:val="0"/>
                <w:sz w:val="24"/>
                <w:szCs w:val="24"/>
                <w:lang w:val="ru-RU" w:eastAsia="ru-RU" w:bidi="ar-SA"/>
              </w:rPr>
              <w:t>- проверочный расчет электропитания;</w:t>
            </w:r>
          </w:p>
          <w:p>
            <w:pPr>
              <w:pStyle w:val="Normal"/>
              <w:widowControl w:val="false"/>
              <w:tabs>
                <w:tab w:val="clear" w:pos="708"/>
                <w:tab w:val="left" w:pos="-3240" w:leader="none"/>
                <w:tab w:val="left" w:pos="0" w:leader="none"/>
                <w:tab w:val="left" w:pos="601" w:leader="none"/>
              </w:tabs>
              <w:suppressAutoHyphens w:val="true"/>
              <w:spacing w:before="0" w:after="0"/>
              <w:jc w:val="both"/>
              <w:rPr>
                <w:rFonts w:eastAsia="Calibri"/>
                <w:sz w:val="24"/>
                <w:szCs w:val="24"/>
              </w:rPr>
            </w:pPr>
            <w:r>
              <w:rPr>
                <w:rFonts w:eastAsia="Calibri" w:cs="Times New Roman"/>
                <w:kern w:val="0"/>
                <w:sz w:val="24"/>
                <w:szCs w:val="24"/>
                <w:lang w:val="ru-RU" w:eastAsia="ru-RU" w:bidi="ar-SA"/>
              </w:rPr>
              <w:t>- монтажные схемы;</w:t>
            </w:r>
          </w:p>
          <w:p>
            <w:pPr>
              <w:pStyle w:val="Normal"/>
              <w:widowControl w:val="false"/>
              <w:tabs>
                <w:tab w:val="clear" w:pos="708"/>
                <w:tab w:val="left" w:pos="-3240" w:leader="none"/>
                <w:tab w:val="left" w:pos="0" w:leader="none"/>
                <w:tab w:val="left" w:pos="601" w:leader="none"/>
              </w:tabs>
              <w:suppressAutoHyphens w:val="true"/>
              <w:spacing w:before="0" w:after="0"/>
              <w:jc w:val="both"/>
              <w:rPr>
                <w:rFonts w:eastAsia="Calibri"/>
                <w:sz w:val="24"/>
                <w:szCs w:val="24"/>
              </w:rPr>
            </w:pPr>
            <w:r>
              <w:rPr>
                <w:rFonts w:eastAsia="Calibri" w:cs="Times New Roman"/>
                <w:kern w:val="0"/>
                <w:sz w:val="24"/>
                <w:szCs w:val="24"/>
                <w:lang w:val="ru-RU" w:eastAsia="ru-RU" w:bidi="ar-SA"/>
              </w:rPr>
              <w:t>- кабельные журналы со спецификацией на кабельную продукцию;</w:t>
            </w:r>
          </w:p>
          <w:p>
            <w:pPr>
              <w:pStyle w:val="Normal"/>
              <w:widowControl w:val="false"/>
              <w:tabs>
                <w:tab w:val="clear" w:pos="708"/>
                <w:tab w:val="left" w:pos="426" w:leader="none"/>
              </w:tabs>
              <w:suppressAutoHyphens w:val="true"/>
              <w:spacing w:before="0" w:after="0"/>
              <w:jc w:val="both"/>
              <w:rPr>
                <w:rFonts w:eastAsia="Calibri"/>
                <w:sz w:val="24"/>
                <w:szCs w:val="24"/>
              </w:rPr>
            </w:pPr>
            <w:r>
              <w:rPr>
                <w:rFonts w:eastAsia="Calibri" w:cs="Times New Roman"/>
                <w:kern w:val="0"/>
                <w:sz w:val="24"/>
                <w:szCs w:val="24"/>
                <w:lang w:val="ru-RU" w:eastAsia="ru-RU" w:bidi="ar-SA"/>
              </w:rPr>
              <w:t>- проекты акта определения класса защищенности и модели угроз безопасности информации АИИСКТУЭ РГЭС и УГЭС.</w:t>
            </w:r>
          </w:p>
          <w:p>
            <w:pPr>
              <w:pStyle w:val="Normal"/>
              <w:widowControl w:val="false"/>
              <w:tabs>
                <w:tab w:val="clear" w:pos="708"/>
                <w:tab w:val="left" w:pos="426" w:leader="none"/>
              </w:tabs>
              <w:suppressAutoHyphens w:val="true"/>
              <w:spacing w:before="0" w:after="0"/>
              <w:jc w:val="both"/>
              <w:rPr>
                <w:rFonts w:eastAsia="Calibri"/>
                <w:sz w:val="24"/>
                <w:szCs w:val="24"/>
              </w:rPr>
            </w:pPr>
            <w:r>
              <w:rPr>
                <w:rFonts w:eastAsia="Calibri" w:cs="Times New Roman"/>
                <w:kern w:val="0"/>
                <w:sz w:val="24"/>
                <w:szCs w:val="24"/>
                <w:lang w:val="ru-RU" w:eastAsia="ru-RU" w:bidi="ar-SA"/>
              </w:rPr>
              <w:t>В составе рабочей документации должен быть предусмотрен раздел, посвященный системе защиты информации.</w:t>
            </w:r>
          </w:p>
          <w:p>
            <w:pPr>
              <w:pStyle w:val="Normal"/>
              <w:widowControl w:val="false"/>
              <w:tabs>
                <w:tab w:val="clear" w:pos="708"/>
                <w:tab w:val="left" w:pos="426" w:leader="none"/>
              </w:tabs>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В составе РД в том числе подрядчик предоставляет информацию о составе и количестве:</w:t>
            </w:r>
          </w:p>
          <w:p>
            <w:pPr>
              <w:pStyle w:val="ListParagraph"/>
              <w:widowControl w:val="false"/>
              <w:numPr>
                <w:ilvl w:val="0"/>
                <w:numId w:val="22"/>
              </w:numPr>
              <w:tabs>
                <w:tab w:val="clear" w:pos="708"/>
                <w:tab w:val="left" w:pos="426" w:leader="none"/>
              </w:tabs>
              <w:suppressAutoHyphens w:val="true"/>
              <w:spacing w:before="0" w:after="0"/>
              <w:ind w:left="0" w:hanging="0"/>
              <w:contextualSpacing/>
              <w:jc w:val="both"/>
              <w:rPr>
                <w:rFonts w:ascii="Times New Roman" w:hAnsi="Times New Roman" w:cs="Times New Roman"/>
                <w:kern w:val="0"/>
                <w:lang w:val="ru-RU" w:eastAsia="ru-RU" w:bidi="ar-SA"/>
              </w:rPr>
            </w:pPr>
            <w:r>
              <w:rPr>
                <w:rFonts w:cs="Times New Roman"/>
                <w:kern w:val="0"/>
                <w:lang w:val="ru-RU" w:eastAsia="ru-RU" w:bidi="ar-SA"/>
              </w:rPr>
              <w:t>необходимых инструментов и принадлежностей, материалов, необходимых для эксплуатационного сопровождения АИИСКТУЭ;</w:t>
            </w:r>
          </w:p>
          <w:p>
            <w:pPr>
              <w:pStyle w:val="ListParagraph"/>
              <w:widowControl w:val="false"/>
              <w:numPr>
                <w:ilvl w:val="0"/>
                <w:numId w:val="22"/>
              </w:numPr>
              <w:tabs>
                <w:tab w:val="clear" w:pos="708"/>
                <w:tab w:val="left" w:pos="426" w:leader="none"/>
              </w:tabs>
              <w:suppressAutoHyphens w:val="true"/>
              <w:spacing w:before="0" w:after="0"/>
              <w:ind w:left="0" w:hanging="0"/>
              <w:contextualSpacing/>
              <w:jc w:val="both"/>
              <w:rPr>
                <w:rFonts w:ascii="Times New Roman" w:hAnsi="Times New Roman" w:cs="Times New Roman"/>
                <w:kern w:val="0"/>
                <w:lang w:val="ru-RU" w:eastAsia="ru-RU" w:bidi="ar-SA"/>
              </w:rPr>
            </w:pPr>
            <w:r>
              <w:rPr>
                <w:rFonts w:cs="Times New Roman"/>
                <w:kern w:val="0"/>
                <w:lang w:val="ru-RU" w:eastAsia="ru-RU" w:bidi="ar-SA"/>
              </w:rPr>
              <w:t>мероприятий технического обслуживания АИИСКТУЭ.</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b/>
              </w:rPr>
            </w:pPr>
            <w:r>
              <w:rPr>
                <w:rFonts w:eastAsia="Times New Roman" w:cs="Times New Roman"/>
                <w:kern w:val="0"/>
                <w:lang w:val="ru-RU" w:eastAsia="ru-RU" w:bidi="ar-SA"/>
              </w:rPr>
              <w:t>-</w:t>
            </w:r>
          </w:p>
        </w:tc>
        <w:tc>
          <w:tcPr>
            <w:tcW w:w="1702" w:type="dxa"/>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Разработка и согласование проекта производства работ с Заказчиком</w:t>
            </w:r>
          </w:p>
        </w:tc>
        <w:tc>
          <w:tcPr>
            <w:tcW w:w="4602" w:type="dxa"/>
            <w:tcBorders/>
          </w:tcPr>
          <w:p>
            <w:pPr>
              <w:pStyle w:val="Normal"/>
              <w:widowControl w:val="false"/>
              <w:tabs>
                <w:tab w:val="clear" w:pos="708"/>
                <w:tab w:val="left" w:pos="-49" w:leader="none"/>
              </w:tabs>
              <w:suppressAutoHyphens w:val="true"/>
              <w:spacing w:before="40" w:after="40"/>
              <w:ind w:left="51" w:hanging="51"/>
              <w:contextualSpacing/>
              <w:jc w:val="both"/>
              <w:rPr>
                <w:sz w:val="24"/>
                <w:szCs w:val="24"/>
              </w:rPr>
            </w:pPr>
            <w:r>
              <w:rPr>
                <w:rFonts w:eastAsia="Times New Roman" w:cs="Times New Roman"/>
                <w:kern w:val="0"/>
                <w:sz w:val="24"/>
                <w:szCs w:val="24"/>
                <w:lang w:val="ru-RU" w:eastAsia="ru-RU" w:bidi="ar-SA"/>
              </w:rPr>
              <w:t>ППР разрабатывается подрядчиком на основе РД. ППР должен включать:</w:t>
            </w:r>
          </w:p>
          <w:p>
            <w:pPr>
              <w:pStyle w:val="ListParagraph"/>
              <w:widowControl w:val="false"/>
              <w:numPr>
                <w:ilvl w:val="0"/>
                <w:numId w:val="23"/>
              </w:numPr>
              <w:tabs>
                <w:tab w:val="clear" w:pos="708"/>
                <w:tab w:val="left" w:pos="-49" w:leader="none"/>
              </w:tabs>
              <w:suppressAutoHyphens w:val="true"/>
              <w:spacing w:before="40" w:after="40"/>
              <w:ind w:left="51" w:hanging="51"/>
              <w:contextualSpacing/>
              <w:jc w:val="both"/>
              <w:rPr>
                <w:rFonts w:ascii="Times New Roman" w:hAnsi="Times New Roman" w:cs="Times New Roman"/>
                <w:kern w:val="0"/>
                <w:lang w:val="ru-RU" w:eastAsia="ru-RU" w:bidi="ar-SA"/>
              </w:rPr>
            </w:pPr>
            <w:r>
              <w:rPr>
                <w:rFonts w:cs="Times New Roman"/>
                <w:kern w:val="0"/>
                <w:lang w:val="ru-RU" w:eastAsia="ru-RU" w:bidi="ar-SA"/>
              </w:rPr>
              <w:t>технологические карты (схемы) на выполнение отдельных видов работ;</w:t>
            </w:r>
          </w:p>
          <w:p>
            <w:pPr>
              <w:pStyle w:val="ListParagraph"/>
              <w:widowControl w:val="false"/>
              <w:numPr>
                <w:ilvl w:val="0"/>
                <w:numId w:val="23"/>
              </w:numPr>
              <w:tabs>
                <w:tab w:val="clear" w:pos="708"/>
                <w:tab w:val="left" w:pos="-49" w:leader="none"/>
              </w:tabs>
              <w:suppressAutoHyphens w:val="true"/>
              <w:spacing w:before="40" w:after="40"/>
              <w:ind w:left="51" w:hanging="51"/>
              <w:contextualSpacing/>
              <w:jc w:val="both"/>
              <w:rPr>
                <w:rFonts w:ascii="Times New Roman" w:hAnsi="Times New Roman" w:cs="Times New Roman"/>
                <w:kern w:val="0"/>
                <w:lang w:val="ru-RU" w:eastAsia="ru-RU" w:bidi="ar-SA"/>
              </w:rPr>
            </w:pPr>
            <w:r>
              <w:rPr>
                <w:rFonts w:cs="Times New Roman"/>
                <w:kern w:val="0"/>
                <w:lang w:val="ru-RU" w:eastAsia="ru-RU" w:bidi="ar-SA"/>
              </w:rPr>
              <w:t>схемы организации рабочих мест с указанием методов и последовательности производства работ, определением необходимых средств механизации и технологической оснастки, определением способов подачи и мест хранения материалов, конструкций и изделий;</w:t>
            </w:r>
          </w:p>
          <w:p>
            <w:pPr>
              <w:pStyle w:val="ListParagraph"/>
              <w:widowControl w:val="false"/>
              <w:numPr>
                <w:ilvl w:val="0"/>
                <w:numId w:val="23"/>
              </w:numPr>
              <w:tabs>
                <w:tab w:val="clear" w:pos="708"/>
                <w:tab w:val="left" w:pos="-49" w:leader="none"/>
              </w:tabs>
              <w:suppressAutoHyphens w:val="true"/>
              <w:spacing w:before="40" w:after="40"/>
              <w:ind w:left="51" w:hanging="51"/>
              <w:contextualSpacing/>
              <w:jc w:val="both"/>
              <w:rPr>
                <w:rFonts w:ascii="Times New Roman" w:hAnsi="Times New Roman" w:cs="Times New Roman"/>
                <w:kern w:val="0"/>
                <w:lang w:val="ru-RU" w:eastAsia="ru-RU" w:bidi="ar-SA"/>
              </w:rPr>
            </w:pPr>
            <w:r>
              <w:rPr>
                <w:rFonts w:eastAsia="Times New Roman" w:cs="Times New Roman"/>
                <w:kern w:val="0"/>
                <w:lang w:val="ru-RU" w:eastAsia="ru-RU" w:bidi="ar-SA"/>
              </w:rPr>
              <w:t>пояснительную записку, содержащую необходимые обоснования и расчеты для выполнения работ, мероприятия по обеспечению пожарной безопасности, мероприятия по охране труда и</w:t>
            </w:r>
            <w:r>
              <w:rPr>
                <w:rFonts w:cs="Times New Roman"/>
                <w:kern w:val="0"/>
                <w:lang w:val="ru-RU" w:eastAsia="ru-RU" w:bidi="ar-SA"/>
              </w:rPr>
              <w:t xml:space="preserve"> безопасному выполнению СМР и ПНР.</w:t>
            </w:r>
          </w:p>
          <w:p>
            <w:pPr>
              <w:pStyle w:val="ListParagraph"/>
              <w:widowControl w:val="false"/>
              <w:tabs>
                <w:tab w:val="clear" w:pos="708"/>
                <w:tab w:val="left" w:pos="-49" w:leader="none"/>
              </w:tabs>
              <w:suppressAutoHyphens w:val="true"/>
              <w:spacing w:before="40" w:after="40"/>
              <w:ind w:left="51" w:hanging="51"/>
              <w:contextualSpacing/>
              <w:jc w:val="both"/>
              <w:rPr>
                <w:rFonts w:ascii="Times New Roman" w:hAnsi="Times New Roman" w:cs="Times New Roman"/>
                <w:kern w:val="0"/>
                <w:lang w:val="ru-RU" w:eastAsia="ru-RU" w:bidi="ar-SA"/>
              </w:rPr>
            </w:pPr>
            <w:r>
              <w:rPr>
                <w:rFonts w:cs="Times New Roman"/>
                <w:kern w:val="0"/>
                <w:lang w:val="ru-RU" w:eastAsia="ru-RU" w:bidi="ar-SA"/>
              </w:rPr>
              <w:t>Разработанный ППР должен быть согласован заказчиком.</w:t>
            </w:r>
          </w:p>
        </w:tc>
        <w:tc>
          <w:tcPr>
            <w:tcW w:w="2540"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w:t>
            </w:r>
          </w:p>
        </w:tc>
        <w:tc>
          <w:tcPr>
            <w:tcW w:w="1702" w:type="dxa"/>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Монтажные, пусконаладочные работы, испытания и ввод в эксплуатацию</w:t>
            </w:r>
          </w:p>
        </w:tc>
        <w:tc>
          <w:tcPr>
            <w:tcW w:w="4602" w:type="dxa"/>
            <w:tcBorders/>
          </w:tcPr>
          <w:p>
            <w:pPr>
              <w:pStyle w:val="Normal"/>
              <w:widowControl w:val="false"/>
              <w:suppressAutoHyphens w:val="true"/>
              <w:spacing w:before="0" w:after="120"/>
              <w:contextualSpacing/>
              <w:jc w:val="both"/>
              <w:rPr>
                <w:sz w:val="24"/>
                <w:szCs w:val="24"/>
              </w:rPr>
            </w:pPr>
            <w:r>
              <w:rPr>
                <w:rFonts w:eastAsia="Times New Roman" w:cs="Times New Roman"/>
                <w:kern w:val="0"/>
                <w:sz w:val="24"/>
                <w:szCs w:val="24"/>
                <w:lang w:val="ru-RU" w:eastAsia="ru-RU" w:bidi="ar-SA"/>
              </w:rPr>
              <w:t xml:space="preserve">Работы выполнять с соблюдением требований правил и инструкций, перечисленных в пп.1.1.1 Таблицы 4 настоящих ТТ в соответствии с заводскими инструкциями по монтажу, календарным графиком, утвержденной РД, ППР. </w:t>
            </w:r>
          </w:p>
          <w:p>
            <w:pPr>
              <w:pStyle w:val="Normal"/>
              <w:widowControl w:val="false"/>
              <w:suppressAutoHyphens w:val="true"/>
              <w:spacing w:before="0" w:after="120"/>
              <w:contextualSpacing/>
              <w:jc w:val="both"/>
              <w:rPr>
                <w:sz w:val="24"/>
                <w:szCs w:val="24"/>
              </w:rPr>
            </w:pPr>
            <w:r>
              <w:rPr>
                <w:rFonts w:eastAsia="Times New Roman" w:cs="Times New Roman"/>
                <w:kern w:val="0"/>
                <w:sz w:val="24"/>
                <w:szCs w:val="24"/>
                <w:lang w:val="ru-RU" w:eastAsia="ru-RU" w:bidi="ar-SA"/>
              </w:rPr>
              <w:t>Подготовку рабочих мест и допуск к выполнению работ выполняет персонал заказчика.</w:t>
            </w:r>
          </w:p>
        </w:tc>
        <w:tc>
          <w:tcPr>
            <w:tcW w:w="2540"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b/>
              </w:rPr>
            </w:pPr>
            <w:r>
              <w:rPr>
                <w:rFonts w:eastAsia="Times New Roman" w:cs="Times New Roman"/>
                <w:kern w:val="0"/>
                <w:lang w:val="ru-RU" w:eastAsia="ru-RU" w:bidi="ar-SA"/>
              </w:rPr>
              <w:t>-</w:t>
            </w:r>
          </w:p>
        </w:tc>
        <w:tc>
          <w:tcPr>
            <w:tcW w:w="1702" w:type="dxa"/>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применяемым при выполнении работ / оказании услуг оборудованию и материалам, технологиям, программно-аппаратным средствам</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rHeight w:val="314" w:hRule="atLeast"/>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Требования к используемым оборудованию и материалам</w:t>
            </w:r>
          </w:p>
        </w:tc>
        <w:tc>
          <w:tcPr>
            <w:tcW w:w="4602" w:type="dxa"/>
            <w:tcBorders/>
          </w:tcPr>
          <w:p>
            <w:pPr>
              <w:pStyle w:val="Normal"/>
              <w:widowControl w:val="false"/>
              <w:suppressAutoHyphens w:val="true"/>
              <w:spacing w:before="60" w:after="120"/>
              <w:jc w:val="both"/>
              <w:rPr>
                <w:sz w:val="24"/>
                <w:szCs w:val="24"/>
              </w:rPr>
            </w:pPr>
            <w:r>
              <w:rPr>
                <w:rFonts w:eastAsia="Times New Roman" w:cs="Times New Roman"/>
                <w:kern w:val="0"/>
                <w:sz w:val="24"/>
                <w:szCs w:val="24"/>
                <w:lang w:val="ru-RU" w:eastAsia="ru-RU" w:bidi="ar-SA"/>
              </w:rPr>
              <w:t>Все поставляемые и применяемые оборудование и материалы должны быть новыми, не использованными ранее.</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Поставляемое оборудование должно иметь заводскую сборку, выпускаться серийно и не должно входить в перечень оборудования, объявленного производителем к прекращению серийного производства</w:t>
            </w:r>
          </w:p>
        </w:tc>
        <w:tc>
          <w:tcPr>
            <w:tcW w:w="2540"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w:t>
            </w:r>
          </w:p>
        </w:tc>
        <w:tc>
          <w:tcPr>
            <w:tcW w:w="1702" w:type="dxa"/>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r>
          </w:p>
        </w:tc>
      </w:tr>
      <w:tr>
        <w:trPr>
          <w:trHeight w:val="314" w:hRule="atLeast"/>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Требования к самостоятельному приобретению подрядчиком используемых при выполнении работ / оказании услуг оборудования и материалов</w:t>
            </w:r>
          </w:p>
        </w:tc>
        <w:tc>
          <w:tcPr>
            <w:tcW w:w="4602"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Все вспомогательное оборудование, средства измерений и материалы, необходимые для производства СМР, ПНР и ПСИ приобретаются подрядчиком самостоятельно</w:t>
            </w:r>
          </w:p>
        </w:tc>
        <w:tc>
          <w:tcPr>
            <w:tcW w:w="2540"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w:t>
            </w:r>
          </w:p>
        </w:tc>
        <w:tc>
          <w:tcPr>
            <w:tcW w:w="1702" w:type="dxa"/>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Требования к программному обеспечению</w:t>
            </w:r>
          </w:p>
        </w:tc>
        <w:tc>
          <w:tcPr>
            <w:tcW w:w="4602" w:type="dxa"/>
            <w:tcBorders/>
          </w:tcPr>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Запрет на допуск программного обеспечения, происходящего из иностранных государств.</w:t>
            </w:r>
          </w:p>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Программное обеспечение должно быть включено в единый реестр российских программ для электронных вычислительных машин и баз данных</w:t>
            </w:r>
          </w:p>
        </w:tc>
        <w:tc>
          <w:tcPr>
            <w:tcW w:w="2540"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lang w:val="en-US"/>
              </w:rPr>
            </w:pPr>
            <w:r>
              <w:rPr>
                <w:rFonts w:eastAsia="Times New Roman" w:cs="Times New Roman"/>
                <w:kern w:val="0"/>
                <w:sz w:val="24"/>
                <w:szCs w:val="24"/>
                <w:lang w:val="ru-RU" w:eastAsia="ru-RU" w:bidi="ar-SA"/>
              </w:rPr>
              <w:t>Требования к защите электропроводок</w:t>
            </w:r>
          </w:p>
        </w:tc>
        <w:tc>
          <w:tcPr>
            <w:tcW w:w="4602"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Прокладка кабеля производится в пластиковой гофрированной огнестойкой трубе ПВХ (ПУЭ, табл.2.1.2)</w:t>
            </w:r>
          </w:p>
        </w:tc>
        <w:tc>
          <w:tcPr>
            <w:tcW w:w="2540"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sz w:val="24"/>
                <w:szCs w:val="24"/>
              </w:rPr>
            </w:pPr>
            <w:r>
              <w:rPr>
                <w:rFonts w:eastAsia="Times New Roman" w:cs="Times New Roman"/>
                <w:kern w:val="0"/>
                <w:lang w:val="ru-RU" w:eastAsia="ru-RU" w:bidi="ar-SA"/>
              </w:rPr>
              <w:t>-</w:t>
            </w:r>
          </w:p>
        </w:tc>
        <w:tc>
          <w:tcPr>
            <w:tcW w:w="1702" w:type="dxa"/>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контролю качества работ / услуг и материалов</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iCs/>
                <w:kern w:val="0"/>
                <w:sz w:val="24"/>
                <w:szCs w:val="24"/>
                <w:lang w:val="ru-RU" w:eastAsia="ru-RU" w:bidi="ar-SA"/>
              </w:rPr>
              <w:t>Контроль качества используемых материалов</w:t>
            </w:r>
          </w:p>
        </w:tc>
        <w:tc>
          <w:tcPr>
            <w:tcW w:w="4602" w:type="dxa"/>
            <w:tcBorders/>
          </w:tcPr>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Подрядчик должен обеспечить входной контроль поступающих материалов, включающий в себя проверку:</w:t>
            </w:r>
          </w:p>
          <w:p>
            <w:pPr>
              <w:pStyle w:val="ListParagraph"/>
              <w:widowControl w:val="false"/>
              <w:numPr>
                <w:ilvl w:val="0"/>
                <w:numId w:val="14"/>
              </w:numPr>
              <w:suppressAutoHyphens w:val="true"/>
              <w:spacing w:before="0" w:after="120"/>
              <w:ind w:left="0" w:hanging="0"/>
              <w:contextualSpacing w:val="false"/>
              <w:jc w:val="both"/>
              <w:rPr>
                <w:bCs/>
              </w:rPr>
            </w:pPr>
            <w:r>
              <w:rPr>
                <w:rFonts w:cs="Times New Roman"/>
                <w:bCs/>
                <w:kern w:val="0"/>
                <w:lang w:val="ru-RU" w:eastAsia="ru-RU" w:bidi="ar-SA"/>
              </w:rPr>
              <w:t>наличия соответствующих сертификатов в соответствии с требованиями постановления Правительства Российской Федерации от 23.12.2021 N 2425 «</w:t>
            </w:r>
            <w:r>
              <w:rPr>
                <w:rFonts w:cs="Times New Roman"/>
                <w:kern w:val="0"/>
                <w:lang w:val="ru-RU" w:eastAsia="ru-RU" w:bidi="ar-SA"/>
              </w:rPr>
              <w:t>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 (с изменениями на 17 августа 2024 года)</w:t>
            </w:r>
            <w:r>
              <w:rPr>
                <w:rFonts w:cs="Times New Roman"/>
                <w:bCs/>
                <w:kern w:val="0"/>
                <w:lang w:val="ru-RU" w:eastAsia="ru-RU" w:bidi="ar-SA"/>
              </w:rPr>
              <w:t>»;</w:t>
            </w:r>
          </w:p>
          <w:p>
            <w:pPr>
              <w:pStyle w:val="ListParagraph"/>
              <w:widowControl w:val="false"/>
              <w:numPr>
                <w:ilvl w:val="0"/>
                <w:numId w:val="14"/>
              </w:numPr>
              <w:suppressAutoHyphens w:val="true"/>
              <w:spacing w:before="0" w:after="120"/>
              <w:ind w:left="0" w:hanging="0"/>
              <w:contextualSpacing w:val="false"/>
              <w:jc w:val="both"/>
              <w:rPr>
                <w:rFonts w:eastAsia="Times New Roman"/>
                <w:bCs/>
              </w:rPr>
            </w:pPr>
            <w:r>
              <w:rPr>
                <w:rFonts w:eastAsia="Times New Roman" w:cs="Times New Roman"/>
                <w:bCs/>
                <w:kern w:val="0"/>
                <w:lang w:val="ru-RU" w:eastAsia="ru-RU" w:bidi="ar-SA"/>
              </w:rPr>
              <w:t>наличия и надлежащего заполнения документа о качестве и соответствии приведенных в нем данных -характеристикам, установленным в нормативном документе, регламентирующем технические требования к данной продукции;</w:t>
            </w:r>
          </w:p>
          <w:p>
            <w:pPr>
              <w:pStyle w:val="ListParagraph"/>
              <w:widowControl w:val="false"/>
              <w:numPr>
                <w:ilvl w:val="0"/>
                <w:numId w:val="14"/>
              </w:numPr>
              <w:suppressAutoHyphens w:val="true"/>
              <w:spacing w:before="0" w:after="120"/>
              <w:ind w:left="0" w:hanging="0"/>
              <w:contextualSpacing w:val="false"/>
              <w:jc w:val="both"/>
              <w:rPr>
                <w:rFonts w:eastAsia="Times New Roman"/>
                <w:bCs/>
              </w:rPr>
            </w:pPr>
            <w:r>
              <w:rPr>
                <w:rFonts w:eastAsia="Times New Roman" w:cs="Times New Roman"/>
                <w:bCs/>
                <w:kern w:val="0"/>
                <w:lang w:val="ru-RU" w:eastAsia="ru-RU" w:bidi="ar-SA"/>
              </w:rPr>
              <w:t>наличия маркировки, сохранности упаковки, наличия и сохранности защитных и окрасочных покрытий и т.п.;</w:t>
            </w:r>
          </w:p>
          <w:p>
            <w:pPr>
              <w:pStyle w:val="ListParagraph"/>
              <w:widowControl w:val="false"/>
              <w:numPr>
                <w:ilvl w:val="0"/>
                <w:numId w:val="14"/>
              </w:numPr>
              <w:suppressAutoHyphens w:val="true"/>
              <w:spacing w:before="0" w:after="120"/>
              <w:ind w:left="0" w:hanging="0"/>
              <w:contextualSpacing w:val="false"/>
              <w:jc w:val="both"/>
              <w:rPr>
                <w:bCs/>
              </w:rPr>
            </w:pPr>
            <w:r>
              <w:rPr>
                <w:rFonts w:eastAsia="Times New Roman" w:cs="Times New Roman"/>
                <w:bCs/>
                <w:kern w:val="0"/>
                <w:lang w:val="ru-RU" w:eastAsia="ru-RU" w:bidi="ar-SA"/>
              </w:rPr>
              <w:t>комплектности поставляемых материалов.</w:t>
            </w:r>
          </w:p>
        </w:tc>
        <w:tc>
          <w:tcPr>
            <w:tcW w:w="2540" w:type="dxa"/>
            <w:tcBorders/>
            <w:shd w:color="auto" w:fill="auto" w:val="clear"/>
          </w:tcPr>
          <w:p>
            <w:pPr>
              <w:pStyle w:val="Normal"/>
              <w:widowControl w:val="false"/>
              <w:suppressAutoHyphens w:val="true"/>
              <w:spacing w:before="0" w:after="0"/>
              <w:jc w:val="center"/>
              <w:rPr>
                <w:b/>
                <w:bCs/>
                <w:sz w:val="24"/>
                <w:szCs w:val="24"/>
              </w:rPr>
            </w:pPr>
            <w:r>
              <w:rPr>
                <w:rFonts w:eastAsia="Times New Roman" w:cs="Times New Roman"/>
                <w:kern w:val="0"/>
                <w:sz w:val="24"/>
                <w:szCs w:val="24"/>
                <w:lang w:val="ru-RU" w:eastAsia="ru-RU" w:bidi="ar-SA"/>
              </w:rPr>
              <w:t>Согласие с требованием</w:t>
            </w:r>
          </w:p>
        </w:tc>
        <w:tc>
          <w:tcPr>
            <w:tcW w:w="2563" w:type="dxa"/>
            <w:tcBorders/>
            <w:shd w:color="auto" w:fill="auto" w:val="clear"/>
          </w:tcPr>
          <w:p>
            <w:pPr>
              <w:pStyle w:val="Normal"/>
              <w:widowControl w:val="false"/>
              <w:suppressAutoHyphens w:val="true"/>
              <w:spacing w:before="0" w:after="0"/>
              <w:jc w:val="left"/>
              <w:rPr>
                <w:b/>
                <w:bCs/>
              </w:rPr>
            </w:pPr>
            <w:r>
              <w:rPr>
                <w:rFonts w:eastAsia="Times New Roman" w:cs="Times New Roman"/>
                <w:kern w:val="0"/>
                <w:lang w:val="ru-RU" w:eastAsia="ru-RU" w:bidi="ar-SA"/>
              </w:rPr>
              <w:t>-</w:t>
            </w:r>
          </w:p>
        </w:tc>
        <w:tc>
          <w:tcPr>
            <w:tcW w:w="1702" w:type="dxa"/>
            <w:tcBorders/>
          </w:tcPr>
          <w:p>
            <w:pPr>
              <w:pStyle w:val="Normal"/>
              <w:widowControl w:val="false"/>
              <w:tabs>
                <w:tab w:val="clear" w:pos="708"/>
                <w:tab w:val="left" w:pos="426" w:leader="none"/>
              </w:tabs>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персоналу подрядчика / исполнителя</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bCs/>
                <w:sz w:val="24"/>
                <w:szCs w:val="24"/>
              </w:rPr>
            </w:pPr>
            <w:r>
              <w:rPr>
                <w:rFonts w:eastAsia="Times New Roman" w:cs="Times New Roman"/>
                <w:bCs/>
                <w:kern w:val="0"/>
                <w:sz w:val="24"/>
                <w:szCs w:val="24"/>
                <w:lang w:val="ru-RU" w:eastAsia="ru-RU" w:bidi="ar-SA"/>
              </w:rPr>
              <w:t>Требования к персоналу</w:t>
            </w:r>
          </w:p>
        </w:tc>
        <w:tc>
          <w:tcPr>
            <w:tcW w:w="4602" w:type="dxa"/>
            <w:tcBorders/>
          </w:tcPr>
          <w:p>
            <w:pPr>
              <w:pStyle w:val="Normal"/>
              <w:widowControl w:val="false"/>
              <w:tabs>
                <w:tab w:val="clear" w:pos="708"/>
                <w:tab w:val="left" w:pos="567" w:leader="none"/>
                <w:tab w:val="left" w:pos="2880" w:leader="none"/>
              </w:tabs>
              <w:suppressAutoHyphens w:val="true"/>
              <w:spacing w:before="0" w:after="0"/>
              <w:jc w:val="both"/>
              <w:rPr>
                <w:sz w:val="24"/>
                <w:szCs w:val="24"/>
                <w:lang w:eastAsia="ar-SA"/>
              </w:rPr>
            </w:pPr>
            <w:r>
              <w:rPr>
                <w:rFonts w:eastAsia="Times New Roman" w:cs="Times New Roman"/>
                <w:kern w:val="0"/>
                <w:sz w:val="24"/>
                <w:szCs w:val="24"/>
                <w:lang w:val="ru-RU" w:eastAsia="ru-RU" w:bidi="ar-SA"/>
              </w:rPr>
              <w:t>После заключения договора до начала проведения работ подрядчик обязан предоставить список персонала, участвующего в выполнении работ, с указанием сведений о квалификации персонала, группе по электробезопасности, а также копии действующих удостоверений о проверке знаний правил работы в электроустановках, протоколы проверки знаний норм и правил работы в электроустановках в соответствии с требованиями      приказа ПАО "РусГидро" от 28.04.2023 № 300 «Об утверждении Регламента процесса «Допуск персонала подрядных организаций на объекты ПАО «РусГидро» (Приложение №6 к настоящим ТТ)</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b/>
              </w:rPr>
            </w:pPr>
            <w:r>
              <w:rPr>
                <w:rFonts w:eastAsia="Times New Roman" w:cs="Times New Roman"/>
                <w:kern w:val="0"/>
                <w:lang w:val="ru-RU" w:eastAsia="ru-RU" w:bidi="ar-SA"/>
              </w:rPr>
              <w:t>-</w:t>
            </w:r>
          </w:p>
        </w:tc>
        <w:tc>
          <w:tcPr>
            <w:tcW w:w="1702" w:type="dxa"/>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безопасности работ / услуг и охране труда</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b/>
                <w:sz w:val="24"/>
                <w:szCs w:val="24"/>
              </w:rPr>
            </w:pPr>
            <w:r>
              <w:rPr>
                <w:rFonts w:eastAsia="Times New Roman" w:cs="Times New Roman"/>
                <w:iCs/>
                <w:kern w:val="0"/>
                <w:sz w:val="24"/>
                <w:szCs w:val="24"/>
                <w:lang w:val="ru-RU" w:eastAsia="ru-RU" w:bidi="ar-SA"/>
              </w:rPr>
              <w:t>Требования к безопасности выполняемых работ</w:t>
            </w:r>
          </w:p>
        </w:tc>
        <w:tc>
          <w:tcPr>
            <w:tcW w:w="4602" w:type="dxa"/>
            <w:tcBorders/>
          </w:tcPr>
          <w:p>
            <w:pPr>
              <w:pStyle w:val="ListParagraph"/>
              <w:widowControl w:val="false"/>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Подрядчик должен:</w:t>
            </w:r>
          </w:p>
          <w:p>
            <w:pPr>
              <w:pStyle w:val="ListParagraph"/>
              <w:widowControl w:val="false"/>
              <w:numPr>
                <w:ilvl w:val="0"/>
                <w:numId w:val="27"/>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соблюдать требования действующего федерального законодательства Российской Федерации, нормативных правовых актов субъектов Российской Федерации, в том числе законодательство об охране окружающей среды, пожарной безопасности, охране труда, а также все прочие законы и нормативные акты, относящиеся к сфере деятельности; - соблюдать требования инструкций по охране труда и пожарной безопасности Филиала.</w:t>
            </w:r>
          </w:p>
          <w:p>
            <w:pPr>
              <w:pStyle w:val="ListParagraph"/>
              <w:widowControl w:val="false"/>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Подрядчик обязан направлять на объекты заказчика работников, обученных правилам безопасного ведения работ и имеющих все необходимые допуски к производству работ, а также представлять документы на русском языке, подтверждающие аттестацию работников на проведение соответствующих видов работ.</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b/>
              </w:rPr>
            </w:pPr>
            <w:r>
              <w:rPr>
                <w:rFonts w:eastAsia="Times New Roman" w:cs="Times New Roman"/>
                <w:kern w:val="0"/>
                <w:lang w:val="ru-RU" w:eastAsia="ru-RU" w:bidi="ar-SA"/>
              </w:rPr>
              <w:t>-</w:t>
            </w:r>
          </w:p>
        </w:tc>
        <w:tc>
          <w:tcPr>
            <w:tcW w:w="1702" w:type="dxa"/>
            <w:tcBorders/>
          </w:tcPr>
          <w:p>
            <w:pPr>
              <w:pStyle w:val="Style29"/>
              <w:keepNext w:val="false"/>
              <w:widowControl w:val="false"/>
              <w:numPr>
                <w:ilvl w:val="0"/>
                <w:numId w:val="0"/>
              </w:numPr>
              <w:suppressAutoHyphens w:val="true"/>
              <w:spacing w:before="0" w:after="0"/>
              <w:jc w:val="left"/>
              <w:outlineLvl w:val="2"/>
              <w:rPr>
                <w:rFonts w:eastAsia="Times New Roman"/>
                <w:b w:val="false"/>
                <w:lang w:val="ru-RU" w:eastAsia="ru-RU"/>
              </w:rPr>
            </w:pPr>
            <w:r>
              <w:rPr>
                <w:rFonts w:eastAsia="Times New Roman" w:cs="Times New Roman"/>
                <w:b w:val="false"/>
                <w:kern w:val="0"/>
                <w:sz w:val="20"/>
                <w:szCs w:val="20"/>
                <w:lang w:val="ru-RU" w:eastAsia="ru-RU" w:bidi="ar-SA"/>
              </w:rPr>
            </w:r>
          </w:p>
        </w:tc>
      </w:tr>
      <w:tr>
        <w:trPr/>
        <w:tc>
          <w:tcPr>
            <w:tcW w:w="707" w:type="dxa"/>
            <w:tcBorders/>
          </w:tcPr>
          <w:p>
            <w:pPr>
              <w:pStyle w:val="ListParagraph"/>
              <w:widowControl w:val="false"/>
              <w:numPr>
                <w:ilvl w:val="0"/>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 xml:space="preserve">Требования к МТР, поставляемым подрядчиком </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Требования к техническим и функциональным характеристикам (включая гарантируемые показатели)</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bCs/>
                <w:kern w:val="0"/>
                <w:sz w:val="24"/>
                <w:szCs w:val="24"/>
                <w:lang w:val="ru-RU" w:eastAsia="ru-RU" w:bidi="ar-SA"/>
              </w:rPr>
              <w:t>Требования к защите информации</w:t>
            </w:r>
          </w:p>
        </w:tc>
        <w:tc>
          <w:tcPr>
            <w:tcW w:w="4602" w:type="dxa"/>
            <w:tcBorders/>
          </w:tcPr>
          <w:p>
            <w:pPr>
              <w:pStyle w:val="Normal"/>
              <w:widowControl w:val="false"/>
              <w:tabs>
                <w:tab w:val="clear" w:pos="708"/>
                <w:tab w:val="left" w:pos="601" w:leader="none"/>
              </w:tabs>
              <w:suppressAutoHyphens w:val="true"/>
              <w:spacing w:lineRule="auto" w:line="252" w:before="0" w:after="0"/>
              <w:jc w:val="both"/>
              <w:rPr>
                <w:rFonts w:eastAsia="Calibri"/>
                <w:bCs/>
                <w:sz w:val="24"/>
                <w:szCs w:val="24"/>
              </w:rPr>
            </w:pPr>
            <w:r>
              <w:rPr>
                <w:rFonts w:eastAsia="Calibri" w:cs="Times New Roman"/>
                <w:bCs/>
                <w:kern w:val="0"/>
                <w:sz w:val="24"/>
                <w:szCs w:val="24"/>
                <w:lang w:val="ru-RU" w:eastAsia="ru-RU" w:bidi="ar-SA"/>
              </w:rPr>
              <w:t>АИИСКТУЭ должна соответствовать Требованиям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 потенциально опасных объектах, а также объектах, представляющих повышенную опасность для жизни и здоровья людей и для окружающей природной среды, утвержденным приказом ФСТЭК России от 14.03.2014 № 31</w:t>
            </w:r>
            <w:r>
              <w:rPr>
                <w:rFonts w:eastAsia="Times New Roman" w:cs="Times New Roman"/>
                <w:kern w:val="0"/>
                <w:lang w:val="ru-RU" w:eastAsia="ru-RU" w:bidi="ar-SA"/>
              </w:rPr>
              <w:t xml:space="preserve"> </w:t>
            </w:r>
            <w:r>
              <w:rPr>
                <w:rFonts w:eastAsia="Calibri" w:cs="Times New Roman"/>
                <w:bCs/>
                <w:kern w:val="0"/>
                <w:sz w:val="24"/>
                <w:szCs w:val="24"/>
                <w:lang w:val="ru-RU" w:eastAsia="ru-RU" w:bidi="ar-SA"/>
              </w:rPr>
              <w:t>(с изменениями на 15 марта 2021 года)</w:t>
            </w:r>
          </w:p>
        </w:tc>
        <w:tc>
          <w:tcPr>
            <w:tcW w:w="2540" w:type="dxa"/>
            <w:tcBorders/>
          </w:tcPr>
          <w:p>
            <w:pPr>
              <w:pStyle w:val="Normal"/>
              <w:widowControl w:val="false"/>
              <w:tabs>
                <w:tab w:val="clear" w:pos="708"/>
                <w:tab w:val="left" w:pos="426" w:leader="none"/>
              </w:tabs>
              <w:suppressAutoHyphens w:val="true"/>
              <w:spacing w:before="0" w:after="0"/>
              <w:jc w:val="center"/>
              <w:rPr>
                <w:iCs/>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vMerge w:val="restart"/>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restart"/>
            <w:tcBorders/>
          </w:tcPr>
          <w:p>
            <w:pPr>
              <w:pStyle w:val="Normal"/>
              <w:widowControl w:val="false"/>
              <w:tabs>
                <w:tab w:val="clear" w:pos="708"/>
                <w:tab w:val="left" w:pos="426" w:leader="none"/>
              </w:tabs>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Сервер АИИСКТУЭ</w:t>
            </w:r>
          </w:p>
        </w:tc>
        <w:tc>
          <w:tcPr>
            <w:tcW w:w="4602" w:type="dxa"/>
            <w:tcBorders/>
          </w:tcPr>
          <w:p>
            <w:pPr>
              <w:pStyle w:val="Normal"/>
              <w:widowControl w:val="false"/>
              <w:suppressAutoHyphens w:val="true"/>
              <w:spacing w:before="0" w:after="0"/>
              <w:jc w:val="both"/>
              <w:rPr>
                <w:sz w:val="24"/>
                <w:szCs w:val="24"/>
                <w:highlight w:val="yellow"/>
              </w:rPr>
            </w:pPr>
            <w:r>
              <w:rPr>
                <w:rFonts w:eastAsia="Times New Roman" w:cs="Times New Roman"/>
                <w:kern w:val="0"/>
                <w:sz w:val="24"/>
                <w:szCs w:val="24"/>
                <w:lang w:val="ru-RU" w:eastAsia="ru-RU" w:bidi="ar-SA"/>
              </w:rPr>
              <w:t xml:space="preserve">Промышленный сервер, бесперебойная работа 24/7. </w:t>
            </w:r>
          </w:p>
          <w:p>
            <w:pPr>
              <w:pStyle w:val="Normal"/>
              <w:widowControl w:val="false"/>
              <w:suppressAutoHyphens w:val="true"/>
              <w:spacing w:before="0" w:after="0"/>
              <w:jc w:val="both"/>
              <w:rPr>
                <w:bCs/>
                <w:sz w:val="24"/>
                <w:szCs w:val="24"/>
              </w:rPr>
            </w:pPr>
            <w:r>
              <w:rPr>
                <w:rFonts w:eastAsia="Times New Roman" w:cs="Times New Roman"/>
                <w:kern w:val="0"/>
                <w:sz w:val="24"/>
                <w:szCs w:val="24"/>
                <w:lang w:val="ru-RU" w:eastAsia="ru-RU" w:bidi="ar-SA"/>
              </w:rPr>
              <w:t>Резервированное</w:t>
            </w:r>
            <w:r>
              <w:rPr>
                <w:rFonts w:eastAsia="Times New Roman" w:cs="Times New Roman"/>
                <w:bCs/>
                <w:kern w:val="0"/>
                <w:sz w:val="24"/>
                <w:szCs w:val="24"/>
                <w:lang w:val="ru-RU" w:eastAsia="ru-RU" w:bidi="ar-SA"/>
              </w:rPr>
              <w:t xml:space="preserve"> электропитание по схеме active-active (1+1). </w:t>
            </w:r>
          </w:p>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Наличие резервного копирования (зеркалирование).</w:t>
            </w:r>
          </w:p>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 xml:space="preserve">Наличие удаленного подключения к серверу, управления (мониторинга) и администрирования (технология IPMI). </w:t>
            </w:r>
          </w:p>
          <w:p>
            <w:pPr>
              <w:pStyle w:val="Normal"/>
              <w:widowControl w:val="false"/>
              <w:tabs>
                <w:tab w:val="clear" w:pos="708"/>
                <w:tab w:val="left" w:pos="426" w:leader="none"/>
              </w:tabs>
              <w:suppressAutoHyphens w:val="true"/>
              <w:spacing w:before="0" w:after="0"/>
              <w:jc w:val="both"/>
              <w:rPr>
                <w:bCs/>
                <w:sz w:val="24"/>
                <w:szCs w:val="24"/>
              </w:rPr>
            </w:pPr>
            <w:r>
              <w:rPr>
                <w:rFonts w:eastAsia="Times New Roman" w:cs="Times New Roman"/>
                <w:bCs/>
                <w:kern w:val="0"/>
                <w:sz w:val="24"/>
                <w:szCs w:val="24"/>
                <w:lang w:val="ru-RU" w:eastAsia="ru-RU" w:bidi="ar-SA"/>
              </w:rPr>
              <w:t xml:space="preserve">Автоматическое включение сервера при восстановлении питающего напряжения (после аварийного выключения, пропадании питающего напряжения). </w:t>
            </w:r>
          </w:p>
          <w:p>
            <w:pPr>
              <w:pStyle w:val="Normal"/>
              <w:widowControl w:val="false"/>
              <w:tabs>
                <w:tab w:val="clear" w:pos="708"/>
                <w:tab w:val="left" w:pos="426" w:leader="none"/>
              </w:tabs>
              <w:suppressAutoHyphens w:val="true"/>
              <w:spacing w:before="0" w:after="0"/>
              <w:jc w:val="both"/>
              <w:rPr>
                <w:bCs/>
                <w:sz w:val="24"/>
                <w:szCs w:val="24"/>
              </w:rPr>
            </w:pPr>
            <w:r>
              <w:rPr>
                <w:rFonts w:eastAsia="Times New Roman" w:cs="Times New Roman"/>
                <w:bCs/>
                <w:kern w:val="0"/>
                <w:sz w:val="24"/>
                <w:szCs w:val="24"/>
                <w:lang w:val="ru-RU" w:eastAsia="ru-RU" w:bidi="ar-SA"/>
              </w:rPr>
              <w:t>Монтаж в стойку19"</w:t>
            </w:r>
          </w:p>
        </w:tc>
        <w:tc>
          <w:tcPr>
            <w:tcW w:w="2540" w:type="dxa"/>
            <w:tcBorders/>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iCs/>
                <w:kern w:val="0"/>
                <w:sz w:val="24"/>
                <w:szCs w:val="24"/>
                <w:lang w:val="ru-RU" w:eastAsia="ru-RU" w:bidi="ar-SA"/>
              </w:rPr>
              <w:t xml:space="preserve">Предоставить предложения по характеристикам </w:t>
            </w:r>
          </w:p>
        </w:tc>
        <w:tc>
          <w:tcPr>
            <w:tcW w:w="2563" w:type="dxa"/>
            <w:tcBorders/>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vMerge w:val="continue"/>
            <w:tcBorders>
              <w:top w:val="nil"/>
            </w:tcBorders>
          </w:tcPr>
          <w:p>
            <w:pPr>
              <w:pStyle w:val="ListParagraph"/>
              <w:widowControl w:val="false"/>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vMerge w:val="continue"/>
            <w:tcBorders>
              <w:top w:val="nil"/>
            </w:tcBorders>
          </w:tcPr>
          <w:p>
            <w:pPr>
              <w:pStyle w:val="Normal"/>
              <w:widowControl w:val="false"/>
              <w:tabs>
                <w:tab w:val="clear" w:pos="708"/>
                <w:tab w:val="left" w:pos="426" w:leader="none"/>
              </w:tabs>
              <w:suppressAutoHyphens w:val="true"/>
              <w:spacing w:before="0" w:after="0"/>
              <w:jc w:val="both"/>
              <w:rPr>
                <w:shd w:fill="FFFF00" w:val="clear"/>
              </w:rPr>
            </w:pPr>
            <w:r>
              <w:rPr>
                <w:rFonts w:eastAsia="Times New Roman" w:cs="Times New Roman"/>
                <w:kern w:val="0"/>
                <w:shd w:fill="FFFF00" w:val="clear"/>
                <w:lang w:val="ru-RU" w:eastAsia="ru-RU" w:bidi="ar-SA"/>
              </w:rPr>
            </w:r>
          </w:p>
        </w:tc>
        <w:tc>
          <w:tcPr>
            <w:tcW w:w="4602" w:type="dxa"/>
            <w:tcBorders>
              <w:top w:val="nil"/>
            </w:tcBorders>
          </w:tcPr>
          <w:p>
            <w:pPr>
              <w:pStyle w:val="Normal"/>
              <w:widowControl w:val="false"/>
              <w:tabs>
                <w:tab w:val="clear" w:pos="708"/>
                <w:tab w:val="left" w:pos="426" w:leader="none"/>
              </w:tabs>
              <w:suppressAutoHyphens w:val="true"/>
              <w:spacing w:before="0" w:after="0"/>
              <w:ind w:left="57" w:hanging="57"/>
              <w:jc w:val="left"/>
              <w:rPr>
                <w:sz w:val="24"/>
                <w:szCs w:val="24"/>
              </w:rPr>
            </w:pPr>
            <w:r>
              <w:rPr>
                <w:rFonts w:eastAsia="Times New Roman" w:cs="Times New Roman"/>
                <w:kern w:val="0"/>
                <w:sz w:val="24"/>
                <w:szCs w:val="24"/>
                <w:lang w:val="ru-RU" w:eastAsia="ru-RU" w:bidi="ar-SA"/>
              </w:rPr>
              <w:t>Не менее 16 Гб ОЗУ</w:t>
            </w:r>
          </w:p>
          <w:p>
            <w:pPr>
              <w:pStyle w:val="Normal"/>
              <w:widowControl w:val="false"/>
              <w:tabs>
                <w:tab w:val="clear" w:pos="708"/>
                <w:tab w:val="left" w:pos="426" w:leader="none"/>
              </w:tabs>
              <w:suppressAutoHyphens w:val="true"/>
              <w:spacing w:before="0" w:after="0"/>
              <w:ind w:left="57" w:hanging="57"/>
              <w:jc w:val="left"/>
              <w:rPr>
                <w:sz w:val="24"/>
                <w:szCs w:val="24"/>
              </w:rPr>
            </w:pPr>
            <w:r>
              <w:rPr>
                <w:rFonts w:eastAsia="Times New Roman" w:cs="Times New Roman"/>
                <w:kern w:val="0"/>
                <w:sz w:val="24"/>
                <w:szCs w:val="24"/>
                <w:lang w:val="ru-RU" w:eastAsia="ru-RU" w:bidi="ar-SA"/>
              </w:rPr>
              <w:t>Частота процессора не менее 3 ГГц.</w:t>
            </w:r>
          </w:p>
          <w:p>
            <w:pPr>
              <w:pStyle w:val="Normal"/>
              <w:widowControl w:val="false"/>
              <w:tabs>
                <w:tab w:val="clear" w:pos="708"/>
                <w:tab w:val="left" w:pos="426" w:leader="none"/>
              </w:tabs>
              <w:suppressAutoHyphens w:val="true"/>
              <w:spacing w:before="0" w:after="0"/>
              <w:ind w:left="57" w:hanging="57"/>
              <w:jc w:val="left"/>
              <w:rPr>
                <w:sz w:val="24"/>
                <w:szCs w:val="24"/>
              </w:rPr>
            </w:pPr>
            <w:r>
              <w:rPr>
                <w:rFonts w:eastAsia="Times New Roman" w:cs="Times New Roman"/>
                <w:kern w:val="0"/>
                <w:sz w:val="24"/>
                <w:szCs w:val="24"/>
                <w:lang w:val="ru-RU" w:eastAsia="ru-RU" w:bidi="ar-SA"/>
              </w:rPr>
              <w:t>Не менее 500 Гб НЖМД.</w:t>
            </w:r>
          </w:p>
          <w:p>
            <w:pPr>
              <w:pStyle w:val="Normal"/>
              <w:widowControl w:val="false"/>
              <w:tabs>
                <w:tab w:val="clear" w:pos="708"/>
                <w:tab w:val="left" w:pos="426" w:leader="none"/>
              </w:tabs>
              <w:suppressAutoHyphens w:val="true"/>
              <w:spacing w:before="0" w:after="0"/>
              <w:ind w:left="57" w:hanging="57"/>
              <w:jc w:val="left"/>
              <w:rPr>
                <w:sz w:val="24"/>
                <w:szCs w:val="24"/>
              </w:rPr>
            </w:pPr>
            <w:r>
              <w:rPr>
                <w:rFonts w:eastAsia="Times New Roman" w:cs="Times New Roman"/>
                <w:kern w:val="0"/>
                <w:sz w:val="24"/>
                <w:szCs w:val="24"/>
                <w:lang w:val="ru-RU" w:eastAsia="ru-RU" w:bidi="ar-SA"/>
              </w:rPr>
              <w:t>Не менее 2 процессоров в сервере.</w:t>
            </w:r>
          </w:p>
          <w:p>
            <w:pPr>
              <w:pStyle w:val="Normal"/>
              <w:widowControl w:val="false"/>
              <w:tabs>
                <w:tab w:val="clear" w:pos="708"/>
                <w:tab w:val="left" w:pos="426" w:leader="none"/>
              </w:tabs>
              <w:suppressAutoHyphens w:val="true"/>
              <w:spacing w:before="0" w:after="0"/>
              <w:ind w:left="57" w:hanging="57"/>
              <w:jc w:val="left"/>
              <w:rPr>
                <w:rFonts w:ascii="Times New Roman" w:hAnsi="Times New Roman" w:eastAsia="Times New Roman" w:cs="Times New Roman"/>
                <w:kern w:val="0"/>
                <w:lang w:val="ru-RU" w:eastAsia="ru-RU" w:bidi="ar-SA"/>
              </w:rPr>
            </w:pPr>
            <w:r>
              <w:rPr>
                <w:rFonts w:eastAsia="Times New Roman" w:cs="Times New Roman"/>
                <w:bCs/>
                <w:kern w:val="0"/>
                <w:sz w:val="24"/>
                <w:szCs w:val="24"/>
                <w:lang w:val="ru-RU" w:eastAsia="ru-RU" w:bidi="ar-SA"/>
              </w:rPr>
              <w:t>Не менее 12 ядер на процессор.</w:t>
            </w:r>
          </w:p>
        </w:tc>
        <w:tc>
          <w:tcPr>
            <w:tcW w:w="2540" w:type="dxa"/>
            <w:tcBorders>
              <w:top w:val="nil"/>
            </w:tcBorders>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iCs/>
                <w:kern w:val="0"/>
                <w:sz w:val="24"/>
                <w:szCs w:val="24"/>
                <w:lang w:val="ru-RU" w:eastAsia="ru-RU" w:bidi="ar-SA"/>
              </w:rPr>
              <w:t>Предоставить предложения по характеристикам</w:t>
            </w:r>
          </w:p>
        </w:tc>
        <w:tc>
          <w:tcPr>
            <w:tcW w:w="2563" w:type="dxa"/>
            <w:tcBorders>
              <w:top w:val="nil"/>
            </w:tcBorders>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kern w:val="0"/>
                <w:sz w:val="24"/>
                <w:szCs w:val="24"/>
                <w:lang w:val="ru-RU" w:eastAsia="ru-RU" w:bidi="ar-SA"/>
              </w:rPr>
            </w:r>
          </w:p>
        </w:tc>
        <w:tc>
          <w:tcPr>
            <w:tcW w:w="1702" w:type="dxa"/>
            <w:tcBorders>
              <w:top w:val="nil"/>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Электропитание</w:t>
            </w:r>
          </w:p>
        </w:tc>
        <w:tc>
          <w:tcPr>
            <w:tcW w:w="4602" w:type="dxa"/>
            <w:tcBorders/>
          </w:tcPr>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Гарантированное:</w:t>
            </w:r>
          </w:p>
          <w:p>
            <w:pPr>
              <w:pStyle w:val="ListParagraph"/>
              <w:widowControl w:val="false"/>
              <w:numPr>
                <w:ilvl w:val="0"/>
                <w:numId w:val="21"/>
              </w:numPr>
              <w:suppressAutoHyphens w:val="true"/>
              <w:spacing w:before="0" w:after="0"/>
              <w:ind w:left="-49" w:hanging="0"/>
              <w:contextualSpacing/>
              <w:jc w:val="both"/>
              <w:rPr>
                <w:rFonts w:eastAsia="Times New Roman"/>
                <w:bCs/>
              </w:rPr>
            </w:pPr>
            <w:r>
              <w:rPr>
                <w:rFonts w:eastAsia="Times New Roman" w:cs="Times New Roman"/>
                <w:bCs/>
                <w:kern w:val="0"/>
                <w:lang w:val="ru-RU" w:eastAsia="ru-RU" w:bidi="ar-SA"/>
              </w:rPr>
              <w:t>существующее на объектах размещения серверов АИИСКТУЭ.</w:t>
            </w:r>
          </w:p>
        </w:tc>
        <w:tc>
          <w:tcPr>
            <w:tcW w:w="2540" w:type="dxa"/>
            <w:tcBorders/>
          </w:tcPr>
          <w:p>
            <w:pPr>
              <w:pStyle w:val="Normal"/>
              <w:widowControl w:val="false"/>
              <w:suppressAutoHyphens w:val="true"/>
              <w:spacing w:before="0" w:after="0"/>
              <w:jc w:val="center"/>
              <w:rPr>
                <w:iCs/>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suppressAutoHyphens w:val="true"/>
              <w:spacing w:before="0" w:after="0"/>
              <w:jc w:val="both"/>
              <w:rPr>
                <w:sz w:val="24"/>
                <w:szCs w:val="24"/>
              </w:rPr>
            </w:pPr>
            <w:r>
              <w:rPr>
                <w:rFonts w:eastAsia="Times New Roman" w:cs="Times New Roman"/>
                <w:bCs/>
                <w:kern w:val="0"/>
                <w:sz w:val="24"/>
                <w:szCs w:val="24"/>
                <w:lang w:val="ru-RU" w:eastAsia="ru-RU" w:bidi="ar-SA"/>
              </w:rPr>
              <w:t>Подсистема мониторинга технологического состояния системы</w:t>
            </w:r>
          </w:p>
        </w:tc>
        <w:tc>
          <w:tcPr>
            <w:tcW w:w="4602" w:type="dxa"/>
            <w:tcBorders/>
          </w:tcPr>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Подрядчик должен обеспечить возможность контроля функционирования сервера АИИСКТУЭ системой мониторинга Филиала СМОС (Zabbix)</w:t>
            </w:r>
          </w:p>
        </w:tc>
        <w:tc>
          <w:tcPr>
            <w:tcW w:w="2540" w:type="dxa"/>
            <w:tcBorders/>
          </w:tcPr>
          <w:p>
            <w:pPr>
              <w:pStyle w:val="Normal"/>
              <w:widowControl w:val="false"/>
              <w:suppressAutoHyphens w:val="true"/>
              <w:spacing w:before="0" w:after="0"/>
              <w:jc w:val="center"/>
              <w:rPr>
                <w:b/>
                <w:bCs/>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b/>
                <w:bCs/>
                <w:sz w:val="24"/>
                <w:szCs w:val="24"/>
              </w:rPr>
            </w:pPr>
            <w:r>
              <w:rPr>
                <w:rFonts w:eastAsia="Times New Roman" w:cs="Times New Roman"/>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Cs/>
                <w:sz w:val="24"/>
                <w:szCs w:val="24"/>
              </w:rPr>
            </w:pPr>
            <w:r>
              <w:rPr>
                <w:rFonts w:eastAsia="Times New Roman" w:cs="Times New Roman"/>
                <w:bCs/>
                <w:kern w:val="0"/>
                <w:sz w:val="24"/>
                <w:szCs w:val="24"/>
                <w:lang w:val="ru-RU" w:eastAsia="ru-RU" w:bidi="ar-SA"/>
              </w:rPr>
              <w:t xml:space="preserve">Требования к конструкции, изготовлению и материалам </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Обязательное предоставление сертификатов соответствия на поставляемое оборудование и материалы</w:t>
            </w:r>
          </w:p>
        </w:tc>
        <w:tc>
          <w:tcPr>
            <w:tcW w:w="2540" w:type="dxa"/>
            <w:tcBorders/>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Дата изготовления оборудования на момент покупки не должна превышать одного года</w:t>
            </w:r>
          </w:p>
        </w:tc>
        <w:tc>
          <w:tcPr>
            <w:tcW w:w="2540" w:type="dxa"/>
            <w:tcBorders/>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 xml:space="preserve">Оборудование монтируется в существующие телекоммуникационные шкафы </w:t>
            </w:r>
            <w:hyperlink r:id="rId11" w:tgtFrame="_blank">
              <w:r>
                <w:rPr>
                  <w:rFonts w:eastAsia="Times New Roman" w:cs="Times New Roman"/>
                  <w:kern w:val="0"/>
                  <w:sz w:val="24"/>
                  <w:szCs w:val="24"/>
                  <w:lang w:val="ru-RU" w:eastAsia="ru-RU" w:bidi="ar-SA"/>
                </w:rPr>
                <w:t>19"</w:t>
              </w:r>
            </w:hyperlink>
          </w:p>
        </w:tc>
        <w:tc>
          <w:tcPr>
            <w:tcW w:w="2540" w:type="dxa"/>
            <w:tcBorders/>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both"/>
              <w:rPr>
                <w:sz w:val="24"/>
                <w:szCs w:val="24"/>
              </w:rPr>
            </w:pPr>
            <w:r>
              <w:rPr>
                <w:rFonts w:eastAsia="Times New Roman" w:cs="Times New Roman"/>
                <w:b/>
                <w:kern w:val="0"/>
                <w:sz w:val="24"/>
                <w:szCs w:val="24"/>
                <w:lang w:val="ru-RU" w:eastAsia="ru-RU" w:bidi="ar-SA"/>
              </w:rPr>
              <w:t>Требования к безопасности</w:t>
            </w:r>
          </w:p>
        </w:tc>
        <w:tc>
          <w:tcPr>
            <w:tcW w:w="2540" w:type="dxa"/>
            <w:tcBorders/>
          </w:tcPr>
          <w:p>
            <w:pPr>
              <w:pStyle w:val="Normal"/>
              <w:widowControl w:val="false"/>
              <w:suppressAutoHyphens w:val="true"/>
              <w:spacing w:before="0" w:after="0"/>
              <w:jc w:val="center"/>
              <w:rPr>
                <w:iCs/>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iCs/>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20"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Требования безопасности персонала от воздействия оборудования, требования по охране труда</w:t>
            </w:r>
          </w:p>
        </w:tc>
        <w:tc>
          <w:tcPr>
            <w:tcW w:w="4677" w:type="dxa"/>
            <w:gridSpan w:val="2"/>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АИИСКТУЭ должна соответствовать требованиям технической документации и обеспечивать безопасность персонала при ее эксплуатации (использовании).</w:t>
            </w:r>
          </w:p>
        </w:tc>
        <w:tc>
          <w:tcPr>
            <w:tcW w:w="2540"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iCs/>
                <w:sz w:val="24"/>
                <w:szCs w:val="24"/>
              </w:rPr>
            </w:pPr>
            <w:r>
              <w:rPr>
                <w:rFonts w:eastAsia="Times New Roman" w:cs="Times New Roman"/>
                <w:i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Место поставки</w:t>
            </w:r>
          </w:p>
        </w:tc>
        <w:tc>
          <w:tcPr>
            <w:tcW w:w="4602"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 xml:space="preserve">Продукция должна быть доставлена до складов заказчика по адресам: </w:t>
            </w:r>
          </w:p>
          <w:p>
            <w:pPr>
              <w:pStyle w:val="ListParagraph"/>
              <w:widowControl w:val="false"/>
              <w:numPr>
                <w:ilvl w:val="3"/>
                <w:numId w:val="15"/>
              </w:numPr>
              <w:suppressAutoHyphens w:val="true"/>
              <w:spacing w:before="0" w:after="0"/>
              <w:ind w:left="0" w:hanging="0"/>
              <w:contextualSpacing/>
              <w:jc w:val="both"/>
              <w:rPr>
                <w:rFonts w:ascii="Times New Roman" w:hAnsi="Times New Roman" w:cs="Times New Roman"/>
                <w:kern w:val="0"/>
                <w:lang w:val="ru-RU" w:eastAsia="ru-RU" w:bidi="ar-SA"/>
              </w:rPr>
            </w:pPr>
            <w:r>
              <w:rPr>
                <w:rFonts w:cs="Times New Roman"/>
                <w:kern w:val="0"/>
                <w:lang w:val="ru-RU" w:eastAsia="ru-RU" w:bidi="ar-SA"/>
              </w:rPr>
              <w:t>152917, Российская Федерация, Ярославская область, г. Рыбинск, ул.Вяземского, д. 31, Рыбинская ГЭС;</w:t>
            </w:r>
          </w:p>
          <w:p>
            <w:pPr>
              <w:pStyle w:val="ListParagraph"/>
              <w:widowControl w:val="false"/>
              <w:numPr>
                <w:ilvl w:val="3"/>
                <w:numId w:val="15"/>
              </w:numPr>
              <w:suppressAutoHyphens w:val="true"/>
              <w:spacing w:before="0" w:after="0"/>
              <w:ind w:left="0" w:hanging="0"/>
              <w:contextualSpacing/>
              <w:jc w:val="both"/>
              <w:rPr>
                <w:rFonts w:cs="Calibri"/>
              </w:rPr>
            </w:pPr>
            <w:r>
              <w:rPr>
                <w:rFonts w:cs="Calibri"/>
                <w:kern w:val="0"/>
                <w:lang w:val="ru-RU" w:eastAsia="ru-RU" w:bidi="ar-SA"/>
              </w:rPr>
              <w:t>152612, Российская Федерация, Ярославская область, г. Углич, ул.Спасская, д.33, Угличская ГЭС.</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 xml:space="preserve">Грузополучатель: </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Филиал ПАО «РусГидро» - «Каскад Верхневолжских ГЭС»</w:t>
            </w:r>
          </w:p>
        </w:tc>
        <w:tc>
          <w:tcPr>
            <w:tcW w:w="2540" w:type="dxa"/>
            <w:tcBorders/>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b/>
                <w:bCs/>
                <w:sz w:val="24"/>
                <w:szCs w:val="24"/>
              </w:rPr>
            </w:pPr>
            <w:r>
              <w:rPr>
                <w:rFonts w:eastAsia="Times New Roman" w:cs="Times New Roman"/>
                <w:i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bCs/>
                <w:kern w:val="0"/>
                <w:sz w:val="24"/>
                <w:szCs w:val="24"/>
                <w:lang w:val="ru-RU" w:eastAsia="ru-RU" w:bidi="ar-SA"/>
              </w:rPr>
              <w:t>Условия поставки</w:t>
            </w:r>
          </w:p>
        </w:tc>
        <w:tc>
          <w:tcPr>
            <w:tcW w:w="4602"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 xml:space="preserve">Доставка оборудования выполняется силами и средствами подрядчика. </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Поставка из-за границы РФ должна осуществляется по правилам Инкотермс 2010 на условиях DDP</w:t>
            </w:r>
          </w:p>
        </w:tc>
        <w:tc>
          <w:tcPr>
            <w:tcW w:w="2540" w:type="dxa"/>
            <w:tcBorders/>
          </w:tcPr>
          <w:p>
            <w:pPr>
              <w:pStyle w:val="Normal"/>
              <w:widowControl w:val="false"/>
              <w:tabs>
                <w:tab w:val="clear" w:pos="708"/>
                <w:tab w:val="left" w:pos="426" w:leader="none"/>
              </w:tabs>
              <w:suppressAutoHyphens w:val="true"/>
              <w:spacing w:before="0" w:after="0"/>
              <w:jc w:val="center"/>
              <w:rPr>
                <w:iCs/>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iCs/>
                <w:sz w:val="24"/>
                <w:szCs w:val="24"/>
              </w:rPr>
            </w:pPr>
            <w:r>
              <w:rPr>
                <w:rFonts w:eastAsia="Times New Roman" w:cs="Times New Roman"/>
                <w:i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 xml:space="preserve">Требования к эксплуатации, обеспечению и утилизации </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Климатические условия работы ТСО, эксплуатируемые в стационарном отапливаемом помещении, защитном сооружении</w:t>
            </w:r>
          </w:p>
        </w:tc>
        <w:tc>
          <w:tcPr>
            <w:tcW w:w="4602" w:type="dxa"/>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Температура окружающего воздуха:</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от +5</w:t>
            </w:r>
            <w:r>
              <w:rPr>
                <w:rStyle w:val="Style8"/>
                <w:rFonts w:eastAsia="Times New Roman" w:cs="Times New Roman"/>
                <w:b w:val="false"/>
                <w:iCs/>
                <w:kern w:val="0"/>
                <w:sz w:val="24"/>
                <w:szCs w:val="24"/>
                <w:shd w:fill="auto" w:val="clear"/>
                <w:lang w:val="ru-RU" w:eastAsia="ru-RU" w:bidi="ar-SA"/>
              </w:rPr>
              <w:t>º</w:t>
            </w:r>
            <w:r>
              <w:rPr>
                <w:rFonts w:eastAsia="Times New Roman" w:cs="Times New Roman"/>
                <w:kern w:val="0"/>
                <w:sz w:val="24"/>
                <w:szCs w:val="24"/>
                <w:lang w:val="ru-RU" w:eastAsia="ru-RU" w:bidi="ar-SA"/>
              </w:rPr>
              <w:t>C до +35</w:t>
            </w:r>
            <w:r>
              <w:rPr>
                <w:rStyle w:val="Style8"/>
                <w:rFonts w:eastAsia="Times New Roman" w:cs="Times New Roman"/>
                <w:b w:val="false"/>
                <w:iCs/>
                <w:kern w:val="0"/>
                <w:sz w:val="24"/>
                <w:szCs w:val="24"/>
                <w:shd w:fill="auto" w:val="clear"/>
                <w:lang w:val="ru-RU" w:eastAsia="ru-RU" w:bidi="ar-SA"/>
              </w:rPr>
              <w:t>º</w:t>
            </w:r>
            <w:r>
              <w:rPr>
                <w:rFonts w:eastAsia="Times New Roman" w:cs="Times New Roman"/>
                <w:kern w:val="0"/>
                <w:sz w:val="24"/>
                <w:szCs w:val="24"/>
                <w:lang w:val="ru-RU" w:eastAsia="ru-RU" w:bidi="ar-SA"/>
              </w:rPr>
              <w:t xml:space="preserve">C; </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 xml:space="preserve">относительная влажность: от 45 до 75% </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(п.5.1.6 ГОСТ Р 42.3.01-2021)</w:t>
            </w:r>
          </w:p>
        </w:tc>
        <w:tc>
          <w:tcPr>
            <w:tcW w:w="2540" w:type="dxa"/>
            <w:tcBorders/>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suppressAutoHyphens w:val="true"/>
              <w:spacing w:before="0" w:after="0"/>
              <w:jc w:val="both"/>
              <w:rPr>
                <w:b/>
                <w:bCs/>
                <w:sz w:val="24"/>
                <w:szCs w:val="24"/>
              </w:rPr>
            </w:pPr>
            <w:r>
              <w:rPr>
                <w:rFonts w:eastAsia="Times New Roman" w:cs="Times New Roman"/>
                <w:kern w:val="0"/>
                <w:sz w:val="24"/>
                <w:szCs w:val="24"/>
                <w:lang w:val="ru-RU" w:eastAsia="ru-RU" w:bidi="ar-SA"/>
              </w:rPr>
              <w:t xml:space="preserve">Техническое обслуживание </w:t>
            </w:r>
          </w:p>
        </w:tc>
        <w:tc>
          <w:tcPr>
            <w:tcW w:w="4602"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Техническое обслуживание должно выполняться в сроки и в порядке согласно эксплуатационной документации.</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В составе сдаточной документации подрядчик обязан предоставить заполненные формы документов технического обслуживания по каждому объекту (АИИСКТУЭ РГЭС и УГЭС по отдельности)</w:t>
            </w:r>
          </w:p>
        </w:tc>
        <w:tc>
          <w:tcPr>
            <w:tcW w:w="2540" w:type="dxa"/>
            <w:tcBorders/>
          </w:tcPr>
          <w:p>
            <w:pPr>
              <w:pStyle w:val="Normal"/>
              <w:widowControl w:val="false"/>
              <w:suppressAutoHyphens w:val="true"/>
              <w:spacing w:before="0" w:after="0"/>
              <w:jc w:val="center"/>
              <w:rPr>
                <w:b/>
                <w:bCs/>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r>
              <w:rPr>
                <w:rFonts w:eastAsia="Times New Roman" w:cs="Times New Roman"/>
                <w:b/>
                <w:bCs/>
                <w:kern w:val="0"/>
                <w:sz w:val="24"/>
                <w:szCs w:val="24"/>
                <w:lang w:val="ru-RU" w:eastAsia="ru-RU" w:bidi="ar-SA"/>
              </w:rPr>
              <w:t>Требования к гарантиям, гарантийному и послегарантийному обслуживанию</w:t>
            </w:r>
            <w:r>
              <w:rPr>
                <w:rFonts w:eastAsia="Times New Roman" w:cs="Times New Roman"/>
                <w:b/>
                <w:kern w:val="0"/>
                <w:sz w:val="24"/>
                <w:szCs w:val="24"/>
                <w:lang w:val="ru-RU" w:eastAsia="ru-RU" w:bidi="ar-SA"/>
              </w:rPr>
              <w:t xml:space="preserve"> </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suppressAutoHyphens w:val="true"/>
              <w:spacing w:before="0" w:after="0"/>
              <w:jc w:val="both"/>
              <w:rPr>
                <w:b/>
                <w:bCs/>
                <w:sz w:val="24"/>
                <w:szCs w:val="24"/>
              </w:rPr>
            </w:pPr>
            <w:r>
              <w:rPr>
                <w:rFonts w:eastAsia="Times New Roman" w:cs="Times New Roman"/>
                <w:bCs/>
                <w:kern w:val="0"/>
                <w:sz w:val="24"/>
                <w:szCs w:val="24"/>
                <w:lang w:val="ru-RU" w:eastAsia="ru-RU" w:bidi="ar-SA"/>
              </w:rPr>
              <w:t>Срок гарантии</w:t>
            </w:r>
          </w:p>
        </w:tc>
        <w:tc>
          <w:tcPr>
            <w:tcW w:w="4602" w:type="dxa"/>
            <w:tcBorders/>
          </w:tcPr>
          <w:p>
            <w:pPr>
              <w:pStyle w:val="Normal"/>
              <w:widowControl w:val="false"/>
              <w:suppressAutoHyphens w:val="true"/>
              <w:spacing w:before="0" w:after="0"/>
              <w:jc w:val="both"/>
              <w:rPr>
                <w:b/>
                <w:bCs/>
                <w:sz w:val="24"/>
                <w:szCs w:val="24"/>
              </w:rPr>
            </w:pPr>
            <w:r>
              <w:rPr>
                <w:rFonts w:eastAsia="Times New Roman" w:cs="Times New Roman"/>
                <w:kern w:val="0"/>
                <w:sz w:val="24"/>
                <w:szCs w:val="24"/>
                <w:lang w:val="ru-RU" w:eastAsia="ru-RU" w:bidi="ar-SA"/>
              </w:rPr>
              <w:t>Гарантия качества на вновь установленное оборудование АИИСКТУЭ РГЭС и УГЭС и результат работ в целом действует не менее 36 месяцев с даты подписания сторонами акта приемки законченного строительством объекта (по форме КС-11).</w:t>
            </w:r>
          </w:p>
        </w:tc>
        <w:tc>
          <w:tcPr>
            <w:tcW w:w="2540" w:type="dxa"/>
            <w:tcBorders/>
          </w:tcPr>
          <w:p>
            <w:pPr>
              <w:pStyle w:val="Normal"/>
              <w:widowControl w:val="false"/>
              <w:suppressAutoHyphens w:val="true"/>
              <w:spacing w:before="0" w:after="0"/>
              <w:jc w:val="center"/>
              <w:rPr>
                <w:iCs/>
                <w:sz w:val="24"/>
                <w:szCs w:val="24"/>
              </w:rPr>
            </w:pPr>
            <w:r>
              <w:rPr>
                <w:rFonts w:eastAsia="Times New Roman" w:cs="Times New Roman"/>
                <w:iCs/>
                <w:kern w:val="0"/>
                <w:sz w:val="24"/>
                <w:szCs w:val="24"/>
                <w:lang w:val="ru-RU" w:eastAsia="ru-RU" w:bidi="ar-SA"/>
              </w:rPr>
              <w:t>Предложение по срокам гарантии</w:t>
            </w:r>
          </w:p>
        </w:tc>
        <w:tc>
          <w:tcPr>
            <w:tcW w:w="2563"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both"/>
              <w:rPr>
                <w:b/>
                <w:sz w:val="24"/>
                <w:szCs w:val="24"/>
              </w:rPr>
            </w:pPr>
            <w:r>
              <w:rPr>
                <w:rFonts w:eastAsia="Times New Roman" w:cs="Times New Roman"/>
                <w:b/>
                <w:kern w:val="0"/>
                <w:sz w:val="24"/>
                <w:szCs w:val="24"/>
                <w:lang w:val="ru-RU" w:eastAsia="ru-RU" w:bidi="ar-SA"/>
              </w:rPr>
              <w:t xml:space="preserve">Требования к комплектации и документам, поставляемым вместе с МТР </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Объем поставки</w:t>
            </w:r>
          </w:p>
        </w:tc>
        <w:tc>
          <w:tcPr>
            <w:tcW w:w="4602" w:type="dxa"/>
            <w:tcBorders/>
          </w:tcPr>
          <w:p>
            <w:pPr>
              <w:pStyle w:val="Normal"/>
              <w:widowControl w:val="false"/>
              <w:suppressAutoHyphens w:val="true"/>
              <w:spacing w:before="0" w:after="120"/>
              <w:contextualSpacing/>
              <w:jc w:val="both"/>
              <w:rPr>
                <w:sz w:val="24"/>
                <w:szCs w:val="24"/>
                <w:highlight w:val="yellow"/>
              </w:rPr>
            </w:pPr>
            <w:r>
              <w:rPr>
                <w:rFonts w:eastAsia="Times New Roman" w:cs="Times New Roman"/>
                <w:kern w:val="0"/>
                <w:sz w:val="24"/>
                <w:szCs w:val="24"/>
                <w:lang w:val="ru-RU" w:eastAsia="ru-RU" w:bidi="ar-SA"/>
              </w:rPr>
              <w:t>Объем поставки по каждой АИИСКТУЭ (РГЭС и УГЭС по отдельности) должен соответствовать перечню, с учетом вновь разработанной РД.</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Закупка необходимого оборудования должна осуществляться на основании договоров с заводами- изготовителями или иными организациями, официально подтверждающими гарантии заводов- изготовителей на поставляемую продукцию.</w:t>
            </w:r>
          </w:p>
        </w:tc>
        <w:tc>
          <w:tcPr>
            <w:tcW w:w="2540" w:type="dxa"/>
            <w:tcBorders/>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b/>
                <w:b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suppressAutoHyphens w:val="true"/>
              <w:spacing w:before="0" w:after="0"/>
              <w:jc w:val="both"/>
              <w:rPr>
                <w:b/>
                <w:bCs/>
                <w:sz w:val="24"/>
                <w:szCs w:val="24"/>
              </w:rPr>
            </w:pPr>
            <w:r>
              <w:rPr>
                <w:rFonts w:eastAsia="Times New Roman" w:cs="Times New Roman"/>
                <w:iCs/>
                <w:kern w:val="0"/>
                <w:sz w:val="24"/>
                <w:szCs w:val="24"/>
                <w:lang w:val="ru-RU" w:eastAsia="ru-RU" w:bidi="ar-SA"/>
              </w:rPr>
              <w:t>Документы, передаваемые вместе с оборудованием</w:t>
            </w:r>
          </w:p>
        </w:tc>
        <w:tc>
          <w:tcPr>
            <w:tcW w:w="4602"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Комплект документации должен содержать:</w:t>
            </w:r>
          </w:p>
          <w:p>
            <w:pPr>
              <w:pStyle w:val="Normal"/>
              <w:widowControl w:val="false"/>
              <w:numPr>
                <w:ilvl w:val="0"/>
                <w:numId w:val="17"/>
              </w:numPr>
              <w:suppressAutoHyphens w:val="true"/>
              <w:spacing w:before="0" w:after="0"/>
              <w:ind w:left="0" w:hanging="0"/>
              <w:jc w:val="both"/>
              <w:rPr>
                <w:sz w:val="24"/>
                <w:szCs w:val="24"/>
              </w:rPr>
            </w:pPr>
            <w:r>
              <w:rPr>
                <w:rFonts w:eastAsia="Times New Roman" w:cs="Times New Roman"/>
                <w:kern w:val="0"/>
                <w:sz w:val="24"/>
                <w:szCs w:val="24"/>
                <w:lang w:val="ru-RU" w:eastAsia="ru-RU" w:bidi="ar-SA"/>
              </w:rPr>
              <w:t>технический паспорт на оборудование АИИСКТУЭ;</w:t>
            </w:r>
          </w:p>
          <w:p>
            <w:pPr>
              <w:pStyle w:val="Normal"/>
              <w:widowControl w:val="false"/>
              <w:numPr>
                <w:ilvl w:val="0"/>
                <w:numId w:val="17"/>
              </w:numPr>
              <w:tabs>
                <w:tab w:val="clear" w:pos="708"/>
                <w:tab w:val="left" w:pos="796" w:leader="none"/>
              </w:tabs>
              <w:suppressAutoHyphens w:val="true"/>
              <w:spacing w:before="0" w:after="0"/>
              <w:ind w:left="0" w:hanging="0"/>
              <w:jc w:val="both"/>
              <w:rPr>
                <w:sz w:val="24"/>
                <w:szCs w:val="24"/>
              </w:rPr>
            </w:pPr>
            <w:r>
              <w:rPr>
                <w:rFonts w:eastAsia="Times New Roman" w:cs="Times New Roman"/>
                <w:kern w:val="0"/>
                <w:sz w:val="24"/>
                <w:szCs w:val="24"/>
                <w:lang w:val="ru-RU" w:eastAsia="ru-RU" w:bidi="ar-SA"/>
              </w:rPr>
              <w:t>инструкции по эксплуатации, которые включают в себя:</w:t>
            </w:r>
          </w:p>
          <w:p>
            <w:pPr>
              <w:pStyle w:val="Normal"/>
              <w:widowControl w:val="false"/>
              <w:numPr>
                <w:ilvl w:val="0"/>
                <w:numId w:val="16"/>
              </w:numPr>
              <w:suppressAutoHyphens w:val="true"/>
              <w:spacing w:before="0" w:after="0"/>
              <w:ind w:left="0" w:hanging="0"/>
              <w:jc w:val="both"/>
              <w:rPr>
                <w:sz w:val="24"/>
                <w:szCs w:val="24"/>
              </w:rPr>
            </w:pPr>
            <w:r>
              <w:rPr>
                <w:rFonts w:eastAsia="Times New Roman" w:cs="Times New Roman"/>
                <w:kern w:val="0"/>
                <w:sz w:val="24"/>
                <w:szCs w:val="24"/>
                <w:lang w:val="ru-RU" w:eastAsia="ru-RU" w:bidi="ar-SA"/>
              </w:rPr>
              <w:t>сведения о конструкции, принципе (алгоритмы) действия, характеристиках (свойствах) оборудования, технологические, электрические схемы;</w:t>
            </w:r>
          </w:p>
          <w:p>
            <w:pPr>
              <w:pStyle w:val="Normal"/>
              <w:widowControl w:val="false"/>
              <w:numPr>
                <w:ilvl w:val="0"/>
                <w:numId w:val="16"/>
              </w:numPr>
              <w:suppressAutoHyphens w:val="true"/>
              <w:spacing w:before="0" w:after="0"/>
              <w:ind w:left="0" w:hanging="0"/>
              <w:jc w:val="both"/>
              <w:rPr>
                <w:sz w:val="24"/>
                <w:szCs w:val="24"/>
              </w:rPr>
            </w:pPr>
            <w:r>
              <w:rPr>
                <w:rFonts w:eastAsia="Times New Roman" w:cs="Times New Roman"/>
                <w:kern w:val="0"/>
                <w:sz w:val="24"/>
                <w:szCs w:val="24"/>
                <w:lang w:val="ru-RU" w:eastAsia="ru-RU" w:bidi="ar-SA"/>
              </w:rPr>
              <w:t xml:space="preserve">указания по монтажу или сборке, наладке или регулировке, по использованию или эксплуатации; </w:t>
            </w:r>
          </w:p>
          <w:p>
            <w:pPr>
              <w:pStyle w:val="Normal"/>
              <w:widowControl w:val="false"/>
              <w:numPr>
                <w:ilvl w:val="0"/>
                <w:numId w:val="16"/>
              </w:numPr>
              <w:suppressAutoHyphens w:val="true"/>
              <w:spacing w:before="0" w:after="0"/>
              <w:ind w:left="0" w:hanging="0"/>
              <w:jc w:val="both"/>
              <w:rPr>
                <w:sz w:val="24"/>
                <w:szCs w:val="24"/>
              </w:rPr>
            </w:pPr>
            <w:r>
              <w:rPr>
                <w:rFonts w:eastAsia="Times New Roman" w:cs="Times New Roman"/>
                <w:kern w:val="0"/>
                <w:sz w:val="24"/>
                <w:szCs w:val="24"/>
                <w:lang w:val="ru-RU" w:eastAsia="ru-RU" w:bidi="ar-SA"/>
              </w:rPr>
              <w:t>меры по обеспечению безопасности эксплуатации;</w:t>
            </w:r>
          </w:p>
          <w:p>
            <w:pPr>
              <w:pStyle w:val="Normal"/>
              <w:widowControl w:val="false"/>
              <w:numPr>
                <w:ilvl w:val="0"/>
                <w:numId w:val="16"/>
              </w:numPr>
              <w:suppressAutoHyphens w:val="true"/>
              <w:spacing w:before="0" w:after="0"/>
              <w:ind w:left="0" w:hanging="0"/>
              <w:jc w:val="both"/>
              <w:rPr>
                <w:sz w:val="24"/>
                <w:szCs w:val="24"/>
              </w:rPr>
            </w:pPr>
            <w:r>
              <w:rPr>
                <w:rFonts w:eastAsia="Times New Roman" w:cs="Times New Roman"/>
                <w:kern w:val="0"/>
                <w:sz w:val="24"/>
                <w:szCs w:val="24"/>
                <w:lang w:val="ru-RU" w:eastAsia="ru-RU" w:bidi="ar-SA"/>
              </w:rPr>
              <w:t xml:space="preserve">мероприятия по обеспечению защиты информации; </w:t>
            </w:r>
          </w:p>
          <w:p>
            <w:pPr>
              <w:pStyle w:val="Normal"/>
              <w:widowControl w:val="false"/>
              <w:numPr>
                <w:ilvl w:val="0"/>
                <w:numId w:val="16"/>
              </w:numPr>
              <w:suppressAutoHyphens w:val="true"/>
              <w:spacing w:before="0" w:after="0"/>
              <w:ind w:left="0" w:hanging="0"/>
              <w:jc w:val="both"/>
              <w:rPr>
                <w:sz w:val="24"/>
                <w:szCs w:val="24"/>
              </w:rPr>
            </w:pPr>
            <w:r>
              <w:rPr>
                <w:rFonts w:eastAsia="Times New Roman" w:cs="Times New Roman"/>
                <w:kern w:val="0"/>
                <w:sz w:val="24"/>
                <w:szCs w:val="24"/>
                <w:lang w:val="ru-RU" w:eastAsia="ru-RU" w:bidi="ar-SA"/>
              </w:rPr>
              <w:t>указания по ремонту и техническому обслуживанию;</w:t>
            </w:r>
          </w:p>
          <w:p>
            <w:pPr>
              <w:pStyle w:val="Normal"/>
              <w:widowControl w:val="false"/>
              <w:numPr>
                <w:ilvl w:val="0"/>
                <w:numId w:val="17"/>
              </w:numPr>
              <w:tabs>
                <w:tab w:val="clear" w:pos="708"/>
                <w:tab w:val="left" w:pos="796" w:leader="none"/>
              </w:tabs>
              <w:suppressAutoHyphens w:val="true"/>
              <w:spacing w:before="0" w:after="0"/>
              <w:ind w:left="0" w:hanging="0"/>
              <w:jc w:val="both"/>
              <w:rPr>
                <w:b/>
                <w:bCs/>
                <w:sz w:val="24"/>
                <w:szCs w:val="24"/>
              </w:rPr>
            </w:pPr>
            <w:r>
              <w:rPr>
                <w:rFonts w:eastAsia="Times New Roman" w:cs="Times New Roman"/>
                <w:kern w:val="0"/>
                <w:sz w:val="24"/>
                <w:szCs w:val="24"/>
                <w:lang w:val="ru-RU" w:eastAsia="ru-RU" w:bidi="ar-SA"/>
              </w:rPr>
              <w:t>сертификаты или декларации соответствия требованиям Технического регламента таможенного союза ТР ТС 004/2011 "О безопасности низковольтного оборудования" (ред. от 10.06.2022)</w:t>
            </w:r>
          </w:p>
        </w:tc>
        <w:tc>
          <w:tcPr>
            <w:tcW w:w="2540" w:type="dxa"/>
            <w:tcBorders/>
          </w:tcPr>
          <w:p>
            <w:pPr>
              <w:pStyle w:val="Normal"/>
              <w:widowControl w:val="false"/>
              <w:suppressAutoHyphens w:val="true"/>
              <w:spacing w:before="0" w:after="0"/>
              <w:jc w:val="center"/>
              <w:rPr>
                <w:b/>
                <w:bCs/>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bookmarkStart w:id="67" w:name="_Hlk47446269"/>
            <w:r>
              <w:rPr>
                <w:rFonts w:eastAsia="Times New Roman" w:cs="Times New Roman"/>
                <w:b/>
                <w:kern w:val="0"/>
                <w:sz w:val="24"/>
                <w:szCs w:val="24"/>
                <w:lang w:val="ru-RU" w:eastAsia="ru-RU" w:bidi="ar-SA"/>
              </w:rPr>
              <w:t xml:space="preserve">Требования к экономическим параметрам </w:t>
            </w:r>
            <w:bookmarkEnd w:id="67"/>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 xml:space="preserve">Срок службы  </w:t>
            </w:r>
          </w:p>
        </w:tc>
        <w:tc>
          <w:tcPr>
            <w:tcW w:w="4602" w:type="dxa"/>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Не менее 12 лет</w:t>
            </w:r>
          </w:p>
        </w:tc>
        <w:tc>
          <w:tcPr>
            <w:tcW w:w="2540" w:type="dxa"/>
            <w:tcBorders/>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60" w:after="60"/>
              <w:jc w:val="left"/>
              <w:rPr>
                <w:b/>
                <w:sz w:val="24"/>
                <w:szCs w:val="24"/>
              </w:rPr>
            </w:pPr>
            <w:r>
              <w:rPr>
                <w:rFonts w:eastAsia="Times New Roman" w:cs="Times New Roman"/>
                <w:b/>
                <w:kern w:val="0"/>
                <w:sz w:val="24"/>
                <w:szCs w:val="24"/>
                <w:lang w:val="ru-RU" w:eastAsia="ru-RU" w:bidi="ar-SA"/>
              </w:rPr>
              <w:t>Прочие (дополнительные) требования к МТР</w:t>
            </w:r>
          </w:p>
        </w:tc>
        <w:tc>
          <w:tcPr>
            <w:tcW w:w="2540" w:type="dxa"/>
            <w:tcBorders/>
          </w:tcPr>
          <w:p>
            <w:pPr>
              <w:pStyle w:val="Normal"/>
              <w:widowControl w:val="false"/>
              <w:tabs>
                <w:tab w:val="clear" w:pos="708"/>
                <w:tab w:val="left" w:pos="426" w:leader="none"/>
              </w:tabs>
              <w:suppressAutoHyphens w:val="true"/>
              <w:spacing w:before="0" w:after="0"/>
              <w:jc w:val="center"/>
              <w:rPr>
                <w:iCs/>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suppressAutoHyphens w:val="true"/>
              <w:spacing w:before="0" w:after="120"/>
              <w:jc w:val="left"/>
              <w:rPr>
                <w:i/>
                <w:i/>
                <w:iCs/>
                <w:sz w:val="24"/>
                <w:szCs w:val="24"/>
              </w:rPr>
            </w:pPr>
            <w:r>
              <w:rPr>
                <w:rFonts w:eastAsia="Times New Roman" w:cs="Times New Roman"/>
                <w:kern w:val="0"/>
                <w:sz w:val="24"/>
                <w:szCs w:val="24"/>
                <w:lang w:val="ru-RU" w:eastAsia="ru-RU" w:bidi="ar-SA"/>
              </w:rPr>
              <w:t>Требования к происхождению поставляемой продукции</w:t>
            </w:r>
            <w:r>
              <w:rPr>
                <w:rFonts w:eastAsia="Times New Roman" w:cs="Times New Roman"/>
                <w:i/>
                <w:iCs/>
                <w:kern w:val="0"/>
                <w:sz w:val="24"/>
                <w:szCs w:val="24"/>
                <w:lang w:val="ru-RU" w:eastAsia="ru-RU" w:bidi="ar-SA"/>
              </w:rPr>
              <w:t xml:space="preserve"> </w:t>
            </w:r>
          </w:p>
        </w:tc>
        <w:tc>
          <w:tcPr>
            <w:tcW w:w="4602" w:type="dxa"/>
            <w:tcBorders/>
          </w:tcPr>
          <w:p>
            <w:pPr>
              <w:pStyle w:val="Normal"/>
              <w:widowControl w:val="false"/>
              <w:suppressAutoHyphens w:val="true"/>
              <w:spacing w:before="0" w:after="0"/>
              <w:jc w:val="both"/>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 xml:space="preserve">Поставляемая продукция должна быть российского происхождения – должна быть включена в реестры, предусмотренные пунктом 2 постановления Правительства Российской Федерации постановления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от 23 декабря 2024 г. №1875, а именно: </w:t>
              <w:br/>
              <w:t xml:space="preserve">1) реестр промышленной продукции, произведенной на территории Российской Федерации; </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2) реестр промышленной продукции, произведенной на территории государства - члена Евразийского экономического союза, за исключением Российской Федерации;</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3) единый реестр российской радиоэлектронной продукции.</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 xml:space="preserve">реестр (3) предусмотрен постановлением Правительства Российской Федерации от 10 июля 2019 г.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 (с изменениями на 23 декабря 2024 года)»  </w:t>
            </w:r>
          </w:p>
        </w:tc>
        <w:tc>
          <w:tcPr>
            <w:tcW w:w="2540" w:type="dxa"/>
            <w:tcBorders/>
          </w:tcPr>
          <w:p>
            <w:pPr>
              <w:pStyle w:val="Normal"/>
              <w:widowControl w:val="false"/>
              <w:tabs>
                <w:tab w:val="clear" w:pos="708"/>
                <w:tab w:val="left" w:pos="426" w:leader="none"/>
              </w:tabs>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Предоставить информацию о номере (номерах) реестровой записи (реестровых записей) соответствующих реестров</w:t>
            </w:r>
          </w:p>
        </w:tc>
        <w:tc>
          <w:tcPr>
            <w:tcW w:w="1702" w:type="dxa"/>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r>
          </w:p>
        </w:tc>
      </w:tr>
      <w:tr>
        <w:trPr/>
        <w:tc>
          <w:tcPr>
            <w:tcW w:w="707" w:type="dxa"/>
            <w:tcBorders/>
          </w:tcPr>
          <w:p>
            <w:pPr>
              <w:pStyle w:val="ListParagraph"/>
              <w:widowControl w:val="false"/>
              <w:numPr>
                <w:ilvl w:val="0"/>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Требования к результатам выпол</w:t>
            </w:r>
            <w:r>
              <w:rPr>
                <w:rFonts w:eastAsia="Times New Roman" w:cs="Times New Roman"/>
                <w:b/>
                <w:kern w:val="0"/>
                <w:sz w:val="24"/>
                <w:szCs w:val="24"/>
                <w:lang w:val="ru-RU" w:eastAsia="ru-RU" w:bidi="ar-SA"/>
              </w:rPr>
              <w:t>нения договора</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Общие требования к результатам выполнения договора</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iCs/>
                <w:kern w:val="0"/>
                <w:sz w:val="24"/>
                <w:szCs w:val="24"/>
                <w:lang w:val="ru-RU" w:eastAsia="ru-RU" w:bidi="ar-SA"/>
              </w:rPr>
              <w:t>Результат работ</w:t>
            </w:r>
          </w:p>
        </w:tc>
        <w:tc>
          <w:tcPr>
            <w:tcW w:w="4602" w:type="dxa"/>
            <w:tcBorders/>
          </w:tcPr>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Замена морально и физически устаревшего оборудования АИИСКТУЭ.</w:t>
            </w:r>
          </w:p>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Мониторинг состояния оборудования АИИСКТУЭ.</w:t>
            </w:r>
          </w:p>
          <w:p>
            <w:pPr>
              <w:pStyle w:val="Normal"/>
              <w:widowControl w:val="false"/>
              <w:suppressAutoHyphens w:val="true"/>
              <w:spacing w:before="0" w:after="0"/>
              <w:jc w:val="both"/>
              <w:rPr>
                <w:bCs/>
                <w:sz w:val="24"/>
                <w:szCs w:val="24"/>
              </w:rPr>
            </w:pPr>
            <w:r>
              <w:rPr>
                <w:rFonts w:eastAsia="Times New Roman" w:cs="Times New Roman"/>
                <w:bCs/>
                <w:kern w:val="0"/>
                <w:sz w:val="24"/>
                <w:szCs w:val="24"/>
                <w:lang w:val="ru-RU" w:eastAsia="ru-RU" w:bidi="ar-SA"/>
              </w:rPr>
              <w:t>Внедрение мер защиты информации.</w:t>
            </w:r>
          </w:p>
          <w:p>
            <w:pPr>
              <w:pStyle w:val="Normal"/>
              <w:widowControl w:val="false"/>
              <w:suppressAutoHyphens w:val="true"/>
              <w:spacing w:before="0" w:after="0"/>
              <w:jc w:val="both"/>
              <w:rPr>
                <w:sz w:val="24"/>
                <w:szCs w:val="24"/>
              </w:rPr>
            </w:pPr>
            <w:r>
              <w:rPr>
                <w:rFonts w:eastAsia="Times New Roman" w:cs="Times New Roman"/>
                <w:bCs/>
                <w:kern w:val="0"/>
                <w:sz w:val="24"/>
                <w:szCs w:val="24"/>
                <w:lang w:val="ru-RU" w:eastAsia="ru-RU" w:bidi="ar-SA"/>
              </w:rPr>
              <w:t>Режим функционирования АИИСКТУЭ: 24 часа в сутки, семь дней в неделю</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w:t>
            </w:r>
          </w:p>
        </w:tc>
        <w:tc>
          <w:tcPr>
            <w:tcW w:w="1702" w:type="dxa"/>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sz w:val="24"/>
                <w:szCs w:val="24"/>
              </w:rPr>
            </w:pPr>
            <w:r>
              <w:rPr>
                <w:rFonts w:eastAsia="Times New Roman" w:cs="Times New Roman"/>
                <w:b/>
                <w:kern w:val="0"/>
                <w:sz w:val="24"/>
                <w:szCs w:val="24"/>
                <w:lang w:val="ru-RU" w:eastAsia="ru-RU" w:bidi="ar-SA"/>
              </w:rPr>
              <w:t>Требования к техническим и функциональным характеристикам объекта, которые должны быть достигнуты в результате выполнения договора, включая гарантируемые показатели</w:t>
            </w:r>
            <w:r>
              <w:rPr>
                <w:rStyle w:val="Style8"/>
                <w:rFonts w:eastAsia="Times New Roman" w:cs="Times New Roman"/>
                <w:i w:val="false"/>
                <w:kern w:val="0"/>
                <w:sz w:val="24"/>
                <w:szCs w:val="24"/>
                <w:shd w:fill="auto" w:val="clear"/>
                <w:lang w:val="ru-RU" w:eastAsia="ru-RU" w:bidi="ar-SA"/>
              </w:rPr>
              <w:t xml:space="preserve"> </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Cs/>
                <w:sz w:val="24"/>
                <w:szCs w:val="24"/>
              </w:rPr>
            </w:pPr>
            <w:r>
              <w:rPr>
                <w:rFonts w:eastAsia="Times New Roman" w:cs="Times New Roman"/>
                <w:b/>
                <w:bCs/>
                <w:kern w:val="0"/>
                <w:sz w:val="24"/>
                <w:szCs w:val="24"/>
                <w:lang w:val="ru-RU" w:eastAsia="ru-RU" w:bidi="ar-SA"/>
              </w:rPr>
              <w:t xml:space="preserve">Требования к порядку приемки результатов </w:t>
            </w:r>
            <w:r>
              <w:rPr>
                <w:rFonts w:eastAsia="Times New Roman" w:cs="Times New Roman"/>
                <w:b/>
                <w:kern w:val="0"/>
                <w:sz w:val="24"/>
                <w:szCs w:val="24"/>
                <w:lang w:val="ru-RU" w:eastAsia="ru-RU" w:bidi="ar-SA"/>
              </w:rPr>
              <w:t>выполнения договора</w:t>
            </w:r>
            <w:r>
              <w:rPr>
                <w:rStyle w:val="Style8"/>
                <w:rFonts w:eastAsia="Times New Roman" w:cs="Times New Roman"/>
                <w:b w:val="false"/>
                <w:bCs/>
                <w:i w:val="false"/>
                <w:kern w:val="0"/>
                <w:sz w:val="24"/>
                <w:szCs w:val="24"/>
                <w:shd w:fill="auto" w:val="clear"/>
                <w:lang w:val="ru-RU" w:eastAsia="ru-RU" w:bidi="ar-SA"/>
              </w:rPr>
              <w:t xml:space="preserve"> </w:t>
            </w:r>
          </w:p>
        </w:tc>
        <w:tc>
          <w:tcPr>
            <w:tcW w:w="2540"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563"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1702"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tabs>
                <w:tab w:val="clear" w:pos="708"/>
                <w:tab w:val="left" w:pos="426" w:leader="none"/>
              </w:tabs>
              <w:suppressAutoHyphens w:val="true"/>
              <w:spacing w:before="0" w:after="0"/>
              <w:jc w:val="both"/>
              <w:rPr>
                <w:iCs/>
                <w:sz w:val="24"/>
                <w:szCs w:val="24"/>
              </w:rPr>
            </w:pPr>
            <w:r>
              <w:rPr>
                <w:rFonts w:eastAsia="Times New Roman" w:cs="Times New Roman"/>
                <w:iCs/>
                <w:kern w:val="0"/>
                <w:sz w:val="24"/>
                <w:szCs w:val="24"/>
                <w:lang w:val="ru-RU" w:eastAsia="ru-RU" w:bidi="ar-SA"/>
              </w:rPr>
              <w:t>Требования к приемке и вводу в промышленную эксплуатацию</w:t>
            </w:r>
          </w:p>
        </w:tc>
        <w:tc>
          <w:tcPr>
            <w:tcW w:w="4602" w:type="dxa"/>
            <w:tcBorders/>
          </w:tcPr>
          <w:p>
            <w:pPr>
              <w:pStyle w:val="Normal"/>
              <w:widowControl w:val="false"/>
              <w:tabs>
                <w:tab w:val="clear" w:pos="708"/>
                <w:tab w:val="left" w:pos="426" w:leader="none"/>
              </w:tabs>
              <w:suppressAutoHyphens w:val="true"/>
              <w:spacing w:before="0" w:after="0"/>
              <w:jc w:val="both"/>
              <w:rPr>
                <w:iCs/>
                <w:sz w:val="24"/>
                <w:szCs w:val="24"/>
              </w:rPr>
            </w:pPr>
            <w:r>
              <w:rPr>
                <w:rFonts w:eastAsia="Times New Roman" w:cs="Times New Roman"/>
                <w:iCs/>
                <w:kern w:val="0"/>
                <w:sz w:val="24"/>
                <w:szCs w:val="24"/>
                <w:lang w:val="ru-RU" w:eastAsia="ru-RU" w:bidi="ar-SA"/>
              </w:rPr>
              <w:t xml:space="preserve">На этапе ПНР комиссией из представителей подрядчика и заказчика произвести испытания модернизированной АИИСКТУЭ по разработанной и утвержденной программе и методике испытаний. </w:t>
            </w:r>
          </w:p>
          <w:p>
            <w:pPr>
              <w:pStyle w:val="Normal"/>
              <w:widowControl w:val="false"/>
              <w:tabs>
                <w:tab w:val="clear" w:pos="708"/>
                <w:tab w:val="left" w:pos="426" w:leader="none"/>
              </w:tabs>
              <w:suppressAutoHyphens w:val="true"/>
              <w:spacing w:before="0" w:after="0"/>
              <w:jc w:val="both"/>
              <w:rPr>
                <w:iCs/>
                <w:sz w:val="24"/>
                <w:szCs w:val="24"/>
              </w:rPr>
            </w:pPr>
            <w:r>
              <w:rPr>
                <w:rFonts w:eastAsia="Times New Roman" w:cs="Times New Roman"/>
                <w:kern w:val="0"/>
                <w:sz w:val="24"/>
                <w:szCs w:val="24"/>
                <w:lang w:val="ru-RU" w:eastAsia="ru-RU" w:bidi="ar-SA"/>
              </w:rPr>
              <w:t>Испытания производятся комиссией, в которую включаются представители заказчика и подрядчика.</w:t>
            </w:r>
            <w:r>
              <w:rPr>
                <w:rFonts w:eastAsia="Times New Roman" w:cs="Times New Roman"/>
                <w:iCs/>
                <w:kern w:val="0"/>
                <w:sz w:val="24"/>
                <w:szCs w:val="24"/>
                <w:lang w:val="ru-RU" w:eastAsia="ru-RU" w:bidi="ar-SA"/>
              </w:rPr>
              <w:t xml:space="preserve"> </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iCs/>
                <w:kern w:val="0"/>
                <w:sz w:val="24"/>
                <w:szCs w:val="24"/>
                <w:lang w:val="ru-RU" w:eastAsia="ru-RU" w:bidi="ar-SA"/>
              </w:rPr>
              <w:t>Результат испытаний оформляется соответствующим актом, к которому прилагаются протоколы испытаний.</w:t>
            </w:r>
            <w:r>
              <w:rPr>
                <w:rFonts w:eastAsia="Times New Roman" w:cs="Times New Roman"/>
                <w:kern w:val="0"/>
                <w:sz w:val="24"/>
                <w:szCs w:val="24"/>
                <w:lang w:val="ru-RU" w:eastAsia="ru-RU" w:bidi="ar-SA"/>
              </w:rPr>
              <w:t xml:space="preserve"> </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В случае выявления комиссией недостатков, связанных с качеством монтажа или ПНР в обязанности подрядчика входит устранение выявленных недостатков в установленный срок в течение опытной эксплуатации (не менее 60 календарных дней), внесение изменений в исполнительную документацию, согласование и утверждение внесенных изменений заказчиком с контролем выполнения в установленном порядке.</w:t>
            </w:r>
          </w:p>
          <w:p>
            <w:pPr>
              <w:pStyle w:val="Normal"/>
              <w:widowControl w:val="false"/>
              <w:tabs>
                <w:tab w:val="clear" w:pos="708"/>
                <w:tab w:val="left" w:pos="426" w:leader="none"/>
              </w:tabs>
              <w:suppressAutoHyphens w:val="true"/>
              <w:spacing w:before="0" w:after="0"/>
              <w:jc w:val="both"/>
              <w:rPr>
                <w:sz w:val="24"/>
                <w:szCs w:val="24"/>
              </w:rPr>
            </w:pPr>
            <w:r>
              <w:rPr>
                <w:rFonts w:eastAsia="Times New Roman" w:cs="Times New Roman"/>
                <w:kern w:val="0"/>
                <w:sz w:val="24"/>
                <w:szCs w:val="24"/>
                <w:lang w:val="ru-RU" w:eastAsia="ru-RU" w:bidi="ar-SA"/>
              </w:rPr>
              <w:t>По результатам опытной эксплуатации модернизированная система  принимается в промышленную эксплуатацию.</w:t>
            </w:r>
          </w:p>
          <w:p>
            <w:pPr>
              <w:pStyle w:val="Normal"/>
              <w:widowControl w:val="false"/>
              <w:tabs>
                <w:tab w:val="clear" w:pos="708"/>
                <w:tab w:val="left" w:pos="426" w:leader="none"/>
              </w:tabs>
              <w:suppressAutoHyphens w:val="true"/>
              <w:spacing w:before="0" w:after="0"/>
              <w:jc w:val="both"/>
              <w:rPr>
                <w:iCs/>
                <w:sz w:val="24"/>
                <w:szCs w:val="24"/>
              </w:rPr>
            </w:pPr>
            <w:r>
              <w:rPr>
                <w:rFonts w:eastAsia="Times New Roman" w:cs="Times New Roman"/>
                <w:kern w:val="0"/>
                <w:sz w:val="24"/>
                <w:szCs w:val="24"/>
                <w:lang w:val="ru-RU" w:eastAsia="ru-RU" w:bidi="ar-SA"/>
              </w:rPr>
              <w:t>Ввод в промышленную эксплуатацию оформляется актом и распорядительным документом заказчика.</w:t>
            </w:r>
          </w:p>
        </w:tc>
        <w:tc>
          <w:tcPr>
            <w:tcW w:w="2540" w:type="dxa"/>
            <w:tcBorders/>
          </w:tcPr>
          <w:p>
            <w:pPr>
              <w:pStyle w:val="Normal"/>
              <w:widowControl w:val="false"/>
              <w:suppressAutoHyphens w:val="true"/>
              <w:spacing w:before="0" w:after="0"/>
              <w:jc w:val="center"/>
              <w:rPr>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w:t>
            </w:r>
          </w:p>
        </w:tc>
        <w:tc>
          <w:tcPr>
            <w:tcW w:w="1702" w:type="dxa"/>
            <w:tcBorders/>
          </w:tcPr>
          <w:p>
            <w:pPr>
              <w:pStyle w:val="Normal"/>
              <w:widowControl w:val="false"/>
              <w:tabs>
                <w:tab w:val="clear" w:pos="708"/>
                <w:tab w:val="left" w:pos="426" w:leader="none"/>
              </w:tabs>
              <w:suppressAutoHyphens w:val="true"/>
              <w:spacing w:before="0" w:after="0"/>
              <w:jc w:val="left"/>
              <w:rPr>
                <w:b/>
                <w:sz w:val="24"/>
                <w:szCs w:val="24"/>
              </w:rPr>
            </w:pPr>
            <w:r>
              <w:rPr>
                <w:rFonts w:eastAsia="Times New Roman" w:cs="Times New Roman"/>
                <w:b/>
                <w:kern w:val="0"/>
                <w:sz w:val="24"/>
                <w:szCs w:val="24"/>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оформлению документации</w:t>
            </w:r>
          </w:p>
        </w:tc>
        <w:tc>
          <w:tcPr>
            <w:tcW w:w="2540" w:type="dxa"/>
            <w:tcBorders/>
          </w:tcPr>
          <w:p>
            <w:pPr>
              <w:pStyle w:val="ListParagraph"/>
              <w:widowControl w:val="false"/>
              <w:numPr>
                <w:ilvl w:val="0"/>
                <w:numId w:val="18"/>
              </w:numPr>
              <w:tabs>
                <w:tab w:val="clear" w:pos="708"/>
                <w:tab w:val="left" w:pos="93" w:leader="none"/>
              </w:tabs>
              <w:suppressAutoHyphens w:val="true"/>
              <w:spacing w:before="0" w:after="0"/>
              <w:ind w:left="0" w:hanging="0"/>
              <w:contextualSpacing/>
              <w:jc w:val="both"/>
              <w:rPr>
                <w:rFonts w:eastAsia="Times New Roman"/>
              </w:rPr>
            </w:pPr>
            <w:r>
              <w:rPr>
                <w:rFonts w:eastAsia="Times New Roman" w:cs="Times New Roman"/>
                <w:kern w:val="0"/>
                <w:lang w:val="ru-RU" w:eastAsia="ru-RU" w:bidi="ar-SA"/>
              </w:rPr>
              <w:t>-//-</w:t>
            </w:r>
          </w:p>
        </w:tc>
        <w:tc>
          <w:tcPr>
            <w:tcW w:w="2563" w:type="dxa"/>
            <w:tcBorders/>
          </w:tcPr>
          <w:p>
            <w:pPr>
              <w:pStyle w:val="ListParagraph"/>
              <w:widowControl w:val="false"/>
              <w:numPr>
                <w:ilvl w:val="0"/>
                <w:numId w:val="18"/>
              </w:numPr>
              <w:tabs>
                <w:tab w:val="clear" w:pos="708"/>
                <w:tab w:val="left" w:pos="93" w:leader="none"/>
              </w:tabs>
              <w:suppressAutoHyphens w:val="true"/>
              <w:spacing w:before="0" w:after="0"/>
              <w:ind w:left="0" w:hanging="0"/>
              <w:contextualSpacing/>
              <w:jc w:val="both"/>
              <w:rPr>
                <w:rFonts w:eastAsia="Times New Roman"/>
              </w:rPr>
            </w:pPr>
            <w:r>
              <w:rPr>
                <w:rFonts w:eastAsia="Times New Roman" w:cs="Times New Roman"/>
                <w:kern w:val="0"/>
                <w:lang w:val="ru-RU" w:eastAsia="ru-RU" w:bidi="ar-SA"/>
              </w:rPr>
              <w:t>-//-</w:t>
            </w:r>
          </w:p>
        </w:tc>
        <w:tc>
          <w:tcPr>
            <w:tcW w:w="1702" w:type="dxa"/>
            <w:tcBorders/>
          </w:tcPr>
          <w:p>
            <w:pPr>
              <w:pStyle w:val="ListParagraph"/>
              <w:widowControl w:val="false"/>
              <w:numPr>
                <w:ilvl w:val="0"/>
                <w:numId w:val="18"/>
              </w:numPr>
              <w:tabs>
                <w:tab w:val="clear" w:pos="708"/>
                <w:tab w:val="left" w:pos="93" w:leader="none"/>
              </w:tabs>
              <w:suppressAutoHyphens w:val="true"/>
              <w:spacing w:before="0" w:after="0"/>
              <w:ind w:left="0" w:hanging="0"/>
              <w:contextualSpacing/>
              <w:jc w:val="both"/>
              <w:rPr>
                <w:rFonts w:eastAsia="Times New Roman"/>
              </w:rPr>
            </w:pPr>
            <w:r>
              <w:rPr>
                <w:rFonts w:eastAsia="Times New Roman" w:cs="Times New Roman"/>
                <w:kern w:val="0"/>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suppressAutoHyphens w:val="true"/>
              <w:spacing w:before="0" w:after="0"/>
              <w:jc w:val="both"/>
              <w:rPr>
                <w:sz w:val="24"/>
                <w:szCs w:val="24"/>
              </w:rPr>
            </w:pPr>
            <w:r>
              <w:rPr>
                <w:rFonts w:eastAsia="Times New Roman" w:cs="Times New Roman"/>
                <w:iCs/>
                <w:kern w:val="0"/>
                <w:sz w:val="24"/>
                <w:szCs w:val="24"/>
                <w:lang w:val="ru-RU" w:eastAsia="ru-RU" w:bidi="ar-SA"/>
              </w:rPr>
              <w:t>Документы, передаваемые заказчику по результатам выполненных работ</w:t>
            </w:r>
          </w:p>
        </w:tc>
        <w:tc>
          <w:tcPr>
            <w:tcW w:w="4602" w:type="dxa"/>
            <w:tcBorders/>
          </w:tcPr>
          <w:p>
            <w:pPr>
              <w:pStyle w:val="Normal"/>
              <w:widowControl w:val="false"/>
              <w:suppressAutoHyphens w:val="true"/>
              <w:spacing w:before="0" w:after="0"/>
              <w:jc w:val="both"/>
              <w:rPr>
                <w:iCs/>
                <w:sz w:val="24"/>
                <w:szCs w:val="24"/>
              </w:rPr>
            </w:pPr>
            <w:r>
              <w:rPr>
                <w:rFonts w:eastAsia="Times New Roman" w:cs="Times New Roman"/>
                <w:iCs/>
                <w:kern w:val="0"/>
                <w:sz w:val="24"/>
                <w:szCs w:val="24"/>
                <w:lang w:val="ru-RU" w:eastAsia="ru-RU" w:bidi="ar-SA"/>
              </w:rPr>
              <w:t>Подрядчик обязан предоставить для каждого объекта (РГЭС и УГЭС по отдельности) следующие документы:</w:t>
            </w:r>
          </w:p>
          <w:p>
            <w:pPr>
              <w:pStyle w:val="ListParagraph"/>
              <w:widowControl w:val="false"/>
              <w:numPr>
                <w:ilvl w:val="0"/>
                <w:numId w:val="18"/>
              </w:numPr>
              <w:tabs>
                <w:tab w:val="clear" w:pos="708"/>
                <w:tab w:val="left" w:pos="93" w:leader="none"/>
              </w:tabs>
              <w:suppressAutoHyphens w:val="true"/>
              <w:spacing w:before="0" w:after="0"/>
              <w:ind w:left="0" w:hanging="0"/>
              <w:contextualSpacing/>
              <w:jc w:val="both"/>
              <w:rPr>
                <w:rFonts w:eastAsia="Times New Roman"/>
              </w:rPr>
            </w:pPr>
            <w:r>
              <w:rPr>
                <w:rFonts w:eastAsia="Times New Roman" w:cs="Times New Roman"/>
                <w:kern w:val="0"/>
                <w:lang w:val="ru-RU" w:eastAsia="ru-RU" w:bidi="ar-SA"/>
              </w:rPr>
              <w:t>рабочая документация (в электронном виде (рекомендуемые форматы: DWG-AvtoCad, VSD-Visio, DOC-Word, XLS-Exel, PDF) в количестве 1-го экземпляра; на бумажном носителе в количестве 2-х экземпляров;</w:t>
            </w:r>
          </w:p>
          <w:p>
            <w:pPr>
              <w:pStyle w:val="ListParagraph"/>
              <w:widowControl w:val="false"/>
              <w:numPr>
                <w:ilvl w:val="0"/>
                <w:numId w:val="18"/>
              </w:numPr>
              <w:tabs>
                <w:tab w:val="clear" w:pos="708"/>
                <w:tab w:val="left" w:pos="426" w:leader="none"/>
              </w:tabs>
              <w:suppressAutoHyphens w:val="true"/>
              <w:spacing w:before="0" w:after="0"/>
              <w:ind w:left="0" w:hanging="0"/>
              <w:contextualSpacing/>
              <w:jc w:val="both"/>
              <w:rPr>
                <w:rFonts w:eastAsia="Times New Roman"/>
              </w:rPr>
            </w:pPr>
            <w:r>
              <w:rPr>
                <w:rFonts w:eastAsia="Times New Roman" w:cs="Times New Roman"/>
                <w:kern w:val="0"/>
                <w:lang w:val="ru-RU" w:eastAsia="ru-RU" w:bidi="ar-SA"/>
              </w:rPr>
              <w:t>исполнительная документация (в электронном виде (рекомендуемые форматы: DWG-AvtoCad, VSD-Visio, DOC-Word, XLS-Exel; PDF) в количестве 1-го экземпляра; на бумажном носителе в количестве 2-х экземпляров;</w:t>
            </w:r>
          </w:p>
          <w:p>
            <w:pPr>
              <w:pStyle w:val="ListParagraph"/>
              <w:widowControl w:val="false"/>
              <w:numPr>
                <w:ilvl w:val="0"/>
                <w:numId w:val="18"/>
              </w:numPr>
              <w:tabs>
                <w:tab w:val="clear" w:pos="708"/>
                <w:tab w:val="left" w:pos="426" w:leader="none"/>
              </w:tabs>
              <w:suppressAutoHyphens w:val="true"/>
              <w:spacing w:before="0" w:after="0"/>
              <w:ind w:left="0" w:hanging="0"/>
              <w:contextualSpacing/>
              <w:jc w:val="both"/>
              <w:rPr>
                <w:rFonts w:eastAsia="Times New Roman"/>
              </w:rPr>
            </w:pPr>
            <w:r>
              <w:rPr>
                <w:rFonts w:eastAsia="Times New Roman" w:cs="Times New Roman"/>
                <w:kern w:val="0"/>
                <w:lang w:val="ru-RU" w:eastAsia="ru-RU" w:bidi="ar-SA"/>
              </w:rPr>
              <w:t>программа и методика испытаний;</w:t>
            </w:r>
          </w:p>
          <w:p>
            <w:pPr>
              <w:pStyle w:val="ListParagraph"/>
              <w:widowControl w:val="false"/>
              <w:numPr>
                <w:ilvl w:val="0"/>
                <w:numId w:val="18"/>
              </w:numPr>
              <w:tabs>
                <w:tab w:val="clear" w:pos="708"/>
                <w:tab w:val="left" w:pos="426" w:leader="none"/>
              </w:tabs>
              <w:suppressAutoHyphens w:val="true"/>
              <w:spacing w:before="0" w:after="0"/>
              <w:ind w:left="0" w:hanging="0"/>
              <w:contextualSpacing/>
              <w:jc w:val="both"/>
              <w:rPr>
                <w:rFonts w:eastAsia="Times New Roman"/>
              </w:rPr>
            </w:pPr>
            <w:r>
              <w:rPr>
                <w:rFonts w:eastAsia="Times New Roman" w:cs="Times New Roman"/>
                <w:kern w:val="0"/>
                <w:lang w:val="ru-RU" w:eastAsia="ru-RU" w:bidi="ar-SA"/>
              </w:rPr>
              <w:t>акты и протоколы испытаний;</w:t>
            </w:r>
          </w:p>
          <w:p>
            <w:pPr>
              <w:pStyle w:val="ListParagraph"/>
              <w:widowControl w:val="false"/>
              <w:numPr>
                <w:ilvl w:val="0"/>
                <w:numId w:val="18"/>
              </w:numPr>
              <w:suppressAutoHyphens w:val="true"/>
              <w:spacing w:before="0" w:after="0"/>
              <w:ind w:left="0" w:hanging="0"/>
              <w:contextualSpacing/>
              <w:jc w:val="both"/>
              <w:rPr>
                <w:rFonts w:eastAsia="Times New Roman"/>
                <w:iCs/>
              </w:rPr>
            </w:pPr>
            <w:r>
              <w:rPr>
                <w:rFonts w:eastAsia="Times New Roman" w:cs="Times New Roman"/>
                <w:iCs/>
                <w:kern w:val="0"/>
                <w:lang w:val="ru-RU" w:eastAsia="ru-RU" w:bidi="ar-SA"/>
              </w:rPr>
              <w:t>сертификаты, подтверждающие качество и соответствие требованиям конструкторской и нормативно-технической документации материалов (форма завода-изготовителя);</w:t>
            </w:r>
          </w:p>
          <w:p>
            <w:pPr>
              <w:pStyle w:val="ListParagraph"/>
              <w:widowControl w:val="false"/>
              <w:numPr>
                <w:ilvl w:val="0"/>
                <w:numId w:val="18"/>
              </w:numPr>
              <w:tabs>
                <w:tab w:val="clear" w:pos="708"/>
                <w:tab w:val="left" w:pos="426" w:leader="none"/>
              </w:tabs>
              <w:suppressAutoHyphens w:val="true"/>
              <w:spacing w:before="0" w:after="0"/>
              <w:ind w:left="0" w:hanging="0"/>
              <w:contextualSpacing/>
              <w:jc w:val="both"/>
              <w:rPr>
                <w:iCs/>
              </w:rPr>
            </w:pPr>
            <w:r>
              <w:rPr>
                <w:rFonts w:eastAsia="Times New Roman" w:cs="Times New Roman"/>
                <w:kern w:val="0"/>
                <w:lang w:val="ru-RU" w:eastAsia="ru-RU" w:bidi="ar-SA"/>
              </w:rPr>
              <w:t>инструкции по эксплуатации и администрированию, регламент технического обслуживания АИИСКТУЭ (для РГЭС и УГЭС по отдельности)</w:t>
            </w:r>
          </w:p>
        </w:tc>
        <w:tc>
          <w:tcPr>
            <w:tcW w:w="2540" w:type="dxa"/>
            <w:tcBorders/>
          </w:tcPr>
          <w:p>
            <w:pPr>
              <w:pStyle w:val="Normal"/>
              <w:widowControl w:val="false"/>
              <w:suppressAutoHyphens w:val="true"/>
              <w:spacing w:before="0" w:after="0"/>
              <w:jc w:val="center"/>
              <w:rPr>
                <w:iCs/>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lang w:val="en-US"/>
              </w:rPr>
            </w:pPr>
            <w:r>
              <w:rPr>
                <w:rFonts w:eastAsia="Times New Roman" w:cs="Times New Roman"/>
                <w:kern w:val="0"/>
                <w:lang w:val="en-US" w:eastAsia="ru-RU" w:bidi="ar-SA"/>
              </w:rPr>
              <w:t>-</w:t>
            </w:r>
          </w:p>
        </w:tc>
        <w:tc>
          <w:tcPr>
            <w:tcW w:w="1702" w:type="dxa"/>
            <w:tcBorders/>
          </w:tcPr>
          <w:p>
            <w:pPr>
              <w:pStyle w:val="Style29"/>
              <w:keepNext w:val="false"/>
              <w:widowControl w:val="false"/>
              <w:numPr>
                <w:ilvl w:val="0"/>
                <w:numId w:val="0"/>
              </w:numPr>
              <w:suppressAutoHyphens w:val="true"/>
              <w:spacing w:before="0" w:after="0"/>
              <w:jc w:val="left"/>
              <w:outlineLvl w:val="2"/>
              <w:rPr>
                <w:rFonts w:eastAsia="Times New Roman"/>
                <w:sz w:val="20"/>
                <w:szCs w:val="20"/>
                <w:lang w:val="ru-RU" w:eastAsia="ru-RU"/>
              </w:rPr>
            </w:pPr>
            <w:r>
              <w:rPr>
                <w:rFonts w:eastAsia="Times New Roman" w:cs="Times New Roman"/>
                <w:kern w:val="0"/>
                <w:sz w:val="20"/>
                <w:szCs w:val="20"/>
                <w:lang w:val="ru-RU" w:eastAsia="ru-RU" w:bidi="ar-SA"/>
              </w:rPr>
            </w:r>
          </w:p>
        </w:tc>
      </w:tr>
      <w:tr>
        <w:trPr/>
        <w:tc>
          <w:tcPr>
            <w:tcW w:w="707" w:type="dxa"/>
            <w:tcBorders/>
          </w:tcPr>
          <w:p>
            <w:pPr>
              <w:pStyle w:val="ListParagraph"/>
              <w:widowControl w:val="false"/>
              <w:numPr>
                <w:ilvl w:val="1"/>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797" w:type="dxa"/>
            <w:gridSpan w:val="3"/>
            <w:tcBorders/>
          </w:tcPr>
          <w:p>
            <w:pPr>
              <w:pStyle w:val="Normal"/>
              <w:widowControl w:val="false"/>
              <w:suppressAutoHyphens w:val="true"/>
              <w:spacing w:before="60" w:after="60"/>
              <w:jc w:val="left"/>
              <w:rPr>
                <w:b/>
                <w:sz w:val="24"/>
                <w:szCs w:val="24"/>
              </w:rPr>
            </w:pPr>
            <w:r>
              <w:rPr>
                <w:rFonts w:eastAsia="Times New Roman" w:cs="Times New Roman"/>
                <w:b/>
                <w:kern w:val="0"/>
                <w:sz w:val="24"/>
                <w:szCs w:val="24"/>
                <w:lang w:val="ru-RU" w:eastAsia="ru-RU" w:bidi="ar-SA"/>
              </w:rPr>
              <w:t>Прочие требования</w:t>
            </w:r>
          </w:p>
        </w:tc>
        <w:tc>
          <w:tcPr>
            <w:tcW w:w="2540"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w:t>
            </w:r>
          </w:p>
        </w:tc>
        <w:tc>
          <w:tcPr>
            <w:tcW w:w="2563"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w:t>
            </w:r>
          </w:p>
        </w:tc>
        <w:tc>
          <w:tcPr>
            <w:tcW w:w="1702"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w:t>
            </w:r>
          </w:p>
        </w:tc>
      </w:tr>
      <w:tr>
        <w:trPr/>
        <w:tc>
          <w:tcPr>
            <w:tcW w:w="707" w:type="dxa"/>
            <w:tcBorders/>
          </w:tcPr>
          <w:p>
            <w:pPr>
              <w:pStyle w:val="ListParagraph"/>
              <w:widowControl w:val="false"/>
              <w:numPr>
                <w:ilvl w:val="2"/>
                <w:numId w:val="6"/>
              </w:numPr>
              <w:suppressAutoHyphens w:val="true"/>
              <w:spacing w:before="0" w:after="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3195" w:type="dxa"/>
            <w:gridSpan w:val="2"/>
            <w:tcBorders/>
          </w:tcPr>
          <w:p>
            <w:pPr>
              <w:pStyle w:val="Normal"/>
              <w:widowControl w:val="false"/>
              <w:suppressAutoHyphens w:val="true"/>
              <w:spacing w:before="0" w:after="0"/>
              <w:jc w:val="both"/>
              <w:rPr>
                <w:iCs/>
                <w:sz w:val="24"/>
                <w:szCs w:val="24"/>
              </w:rPr>
            </w:pPr>
            <w:r>
              <w:rPr>
                <w:rFonts w:eastAsia="Times New Roman" w:cs="Times New Roman"/>
                <w:iCs/>
                <w:kern w:val="0"/>
                <w:sz w:val="24"/>
                <w:szCs w:val="24"/>
                <w:lang w:val="ru-RU" w:eastAsia="ru-RU" w:bidi="ar-SA"/>
              </w:rPr>
              <w:t>Подготовка персонала заказчика</w:t>
            </w:r>
          </w:p>
        </w:tc>
        <w:tc>
          <w:tcPr>
            <w:tcW w:w="4602" w:type="dxa"/>
            <w:tcBorders/>
          </w:tcPr>
          <w:p>
            <w:pPr>
              <w:pStyle w:val="Normal"/>
              <w:widowControl w:val="false"/>
              <w:suppressAutoHyphens w:val="true"/>
              <w:spacing w:before="0" w:after="0"/>
              <w:jc w:val="both"/>
              <w:rPr>
                <w:iCs/>
                <w:sz w:val="24"/>
                <w:szCs w:val="24"/>
              </w:rPr>
            </w:pPr>
            <w:r>
              <w:rPr>
                <w:rFonts w:eastAsia="Times New Roman" w:cs="Times New Roman"/>
                <w:bCs/>
                <w:color w:val="000000"/>
                <w:kern w:val="0"/>
                <w:sz w:val="24"/>
                <w:szCs w:val="24"/>
                <w:lang w:val="ru-RU" w:eastAsia="ru-RU" w:bidi="ar-SA"/>
              </w:rPr>
              <w:t xml:space="preserve">Во время монтажа, ПНР, ПСИ, опытной эксплуатации </w:t>
            </w:r>
            <w:r>
              <w:rPr>
                <w:rFonts w:eastAsia="Times New Roman" w:cs="Times New Roman"/>
                <w:kern w:val="0"/>
                <w:sz w:val="24"/>
                <w:szCs w:val="24"/>
                <w:lang w:val="ru-RU" w:eastAsia="ru-RU" w:bidi="ar-SA"/>
              </w:rPr>
              <w:t xml:space="preserve">подрядчик обязан производить </w:t>
            </w:r>
            <w:r>
              <w:rPr>
                <w:rFonts w:eastAsia="Times New Roman" w:cs="Times New Roman"/>
                <w:bCs/>
                <w:color w:val="000000"/>
                <w:kern w:val="0"/>
                <w:sz w:val="24"/>
                <w:szCs w:val="24"/>
                <w:lang w:val="ru-RU" w:eastAsia="ru-RU" w:bidi="ar-SA"/>
              </w:rPr>
              <w:t xml:space="preserve">консультирование персонала заказчика, ответственного за эксплуатацию  АИИСКТУЭ РГЭС и УГЭС, </w:t>
            </w:r>
            <w:r>
              <w:rPr>
                <w:rFonts w:eastAsia="Times New Roman" w:cs="Times New Roman"/>
                <w:kern w:val="0"/>
                <w:sz w:val="24"/>
                <w:szCs w:val="24"/>
                <w:lang w:val="ru-RU" w:eastAsia="ru-RU" w:bidi="ar-SA"/>
              </w:rPr>
              <w:t>по вопросам общетехнических сведений о структуре, составе, назначении и характеристиках вводимого оборудования, инструктаж по приемам работы с ним (администрирование, эксплуатация, поиск и устранение неисправностей).</w:t>
            </w:r>
          </w:p>
        </w:tc>
        <w:tc>
          <w:tcPr>
            <w:tcW w:w="2540" w:type="dxa"/>
            <w:tcBorders/>
          </w:tcPr>
          <w:p>
            <w:pPr>
              <w:pStyle w:val="Normal"/>
              <w:widowControl w:val="false"/>
              <w:suppressAutoHyphens w:val="true"/>
              <w:spacing w:before="0" w:after="0"/>
              <w:jc w:val="center"/>
              <w:rPr>
                <w:iCs/>
                <w:sz w:val="24"/>
                <w:szCs w:val="24"/>
              </w:rPr>
            </w:pPr>
            <w:r>
              <w:rPr>
                <w:rFonts w:eastAsia="Times New Roman" w:cs="Times New Roman"/>
                <w:iCs/>
                <w:kern w:val="0"/>
                <w:sz w:val="24"/>
                <w:szCs w:val="24"/>
                <w:lang w:val="ru-RU" w:eastAsia="ru-RU" w:bidi="ar-SA"/>
              </w:rPr>
              <w:t>Согласие с требованием</w:t>
            </w:r>
          </w:p>
        </w:tc>
        <w:tc>
          <w:tcPr>
            <w:tcW w:w="2563"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w:t>
            </w:r>
          </w:p>
        </w:tc>
        <w:tc>
          <w:tcPr>
            <w:tcW w:w="1702" w:type="dxa"/>
            <w:tcBorders/>
          </w:tcPr>
          <w:p>
            <w:pPr>
              <w:pStyle w:val="Style29"/>
              <w:keepNext w:val="false"/>
              <w:widowControl w:val="false"/>
              <w:numPr>
                <w:ilvl w:val="0"/>
                <w:numId w:val="0"/>
              </w:numPr>
              <w:suppressAutoHyphens w:val="true"/>
              <w:spacing w:before="0" w:after="0"/>
              <w:jc w:val="left"/>
              <w:outlineLvl w:val="2"/>
              <w:rPr>
                <w:rFonts w:eastAsia="Times New Roman"/>
                <w:sz w:val="20"/>
                <w:szCs w:val="20"/>
                <w:lang w:val="ru-RU" w:eastAsia="ru-RU"/>
              </w:rPr>
            </w:pPr>
            <w:r>
              <w:rPr>
                <w:rFonts w:eastAsia="Times New Roman" w:cs="Times New Roman"/>
                <w:kern w:val="0"/>
                <w:sz w:val="20"/>
                <w:szCs w:val="20"/>
                <w:lang w:val="ru-RU" w:eastAsia="ru-RU" w:bidi="ar-SA"/>
              </w:rPr>
            </w:r>
          </w:p>
        </w:tc>
      </w:tr>
    </w:tbl>
    <w:p>
      <w:pPr>
        <w:sectPr>
          <w:headerReference w:type="default" r:id="rId12"/>
          <w:headerReference w:type="first" r:id="rId13"/>
          <w:type w:val="nextPage"/>
          <w:pgSz w:orient="landscape" w:w="16838" w:h="11906"/>
          <w:pgMar w:left="992" w:right="567" w:gutter="0" w:header="680" w:top="851" w:footer="0" w:bottom="851"/>
          <w:pgNumType w:fmt="decimal"/>
          <w:formProt w:val="false"/>
          <w:textDirection w:val="lrTb"/>
          <w:docGrid w:type="default" w:linePitch="381" w:charSpace="0"/>
        </w:sectPr>
      </w:pPr>
    </w:p>
    <w:p>
      <w:pPr>
        <w:pStyle w:val="Heading1"/>
        <w:numPr>
          <w:ilvl w:val="0"/>
          <w:numId w:val="3"/>
        </w:numPr>
        <w:ind w:left="851" w:hanging="284"/>
        <w:jc w:val="center"/>
        <w:rPr>
          <w:sz w:val="24"/>
        </w:rPr>
      </w:pPr>
      <w:bookmarkStart w:id="68" w:name="_Toc204348240"/>
      <w:bookmarkStart w:id="69" w:name="_Toc54646411"/>
      <w:bookmarkStart w:id="70" w:name="_Toc201061833"/>
      <w:bookmarkStart w:id="71" w:name="_Toc53393312"/>
      <w:r>
        <w:rPr>
          <w:sz w:val="24"/>
        </w:rPr>
        <w:t>Требования к документации по ценообразованию</w:t>
      </w:r>
      <w:bookmarkEnd w:id="71"/>
      <w:r>
        <w:rPr>
          <w:sz w:val="24"/>
        </w:rPr>
        <w:t xml:space="preserve"> на этапе закупки</w:t>
      </w:r>
      <w:bookmarkEnd w:id="68"/>
      <w:bookmarkEnd w:id="69"/>
      <w:bookmarkEnd w:id="70"/>
    </w:p>
    <w:p>
      <w:pPr>
        <w:pStyle w:val="Normal"/>
        <w:jc w:val="both"/>
        <w:rPr>
          <w:sz w:val="24"/>
          <w:szCs w:val="24"/>
        </w:rPr>
      </w:pPr>
      <w:r>
        <w:rPr>
          <w:sz w:val="24"/>
          <w:szCs w:val="24"/>
        </w:rPr>
        <w:t xml:space="preserve">3.1.      Требования к обоснованию стоимости заявки Участника. </w:t>
      </w:r>
    </w:p>
    <w:p>
      <w:pPr>
        <w:pStyle w:val="Normal"/>
        <w:jc w:val="both"/>
        <w:rPr>
          <w:sz w:val="24"/>
          <w:szCs w:val="24"/>
        </w:rPr>
      </w:pPr>
      <w:r>
        <w:rPr>
          <w:sz w:val="24"/>
          <w:szCs w:val="24"/>
        </w:rPr>
        <w:t>Для обоснования стоимости заявки Участник должен представить Коммерческое предложение по форме (с учетом прилагаемой к ней инструкции по заполнению), приведенной в Документации о закупке.</w:t>
      </w:r>
    </w:p>
    <w:p>
      <w:pPr>
        <w:pStyle w:val="Normal"/>
        <w:jc w:val="both"/>
        <w:rPr>
          <w:sz w:val="24"/>
          <w:szCs w:val="24"/>
        </w:rPr>
      </w:pPr>
      <w:r>
        <w:rPr>
          <w:sz w:val="24"/>
          <w:szCs w:val="24"/>
        </w:rPr>
        <w:t>3.2.      Дополнительные документы по ценообразованию (сметная документация) в состав заявки Участника не включаются.</w:t>
      </w:r>
    </w:p>
    <w:p>
      <w:pPr>
        <w:pStyle w:val="Heading1"/>
        <w:numPr>
          <w:ilvl w:val="0"/>
          <w:numId w:val="3"/>
        </w:numPr>
        <w:ind w:left="1134" w:hanging="425"/>
        <w:jc w:val="center"/>
        <w:rPr>
          <w:sz w:val="24"/>
        </w:rPr>
      </w:pPr>
      <w:bookmarkStart w:id="72" w:name="_Toc204348241"/>
      <w:bookmarkStart w:id="73" w:name="_Toc54646412"/>
      <w:bookmarkStart w:id="74" w:name="_Toc201061834"/>
      <w:r>
        <w:rPr>
          <w:sz w:val="24"/>
        </w:rPr>
        <w:t>Требования к документации по ценообразованию на этапе заключения (исполнения) договора</w:t>
      </w:r>
      <w:bookmarkEnd w:id="72"/>
      <w:bookmarkEnd w:id="73"/>
      <w:bookmarkEnd w:id="74"/>
    </w:p>
    <w:p>
      <w:pPr>
        <w:pStyle w:val="Normal"/>
        <w:jc w:val="both"/>
        <w:rPr>
          <w:sz w:val="22"/>
          <w:szCs w:val="22"/>
        </w:rPr>
      </w:pPr>
      <w:r>
        <w:rPr>
          <w:sz w:val="24"/>
          <w:szCs w:val="24"/>
        </w:rPr>
        <w:t>4.1.      В рамках заключения и реализации договора по результатам настоящей закупки необходимо составлять и оформлять сметную документацию в обоснование стоимости работ в соответствии с требованиями, указанными в приложениях №№ 1 и 2 к настоящим Техническим требованиям.</w:t>
      </w:r>
    </w:p>
    <w:p>
      <w:pPr>
        <w:pStyle w:val="Heading1"/>
        <w:numPr>
          <w:ilvl w:val="0"/>
          <w:numId w:val="3"/>
        </w:numPr>
        <w:ind w:left="3969" w:hanging="283"/>
        <w:rPr>
          <w:caps/>
          <w:sz w:val="24"/>
        </w:rPr>
      </w:pPr>
      <w:bookmarkStart w:id="75" w:name="_Toc204348242"/>
      <w:bookmarkStart w:id="76" w:name="_Toc51339699"/>
      <w:bookmarkStart w:id="77" w:name="_Toc46743519"/>
      <w:bookmarkStart w:id="78" w:name="_Toc54646413"/>
      <w:bookmarkStart w:id="79" w:name="_Toc201061835"/>
      <w:r>
        <w:rPr>
          <w:sz w:val="24"/>
        </w:rPr>
        <w:t>Приложения</w:t>
      </w:r>
      <w:bookmarkEnd w:id="75"/>
      <w:bookmarkEnd w:id="76"/>
      <w:bookmarkEnd w:id="77"/>
      <w:bookmarkEnd w:id="78"/>
      <w:bookmarkEnd w:id="79"/>
    </w:p>
    <w:p>
      <w:pPr>
        <w:pStyle w:val="ListParagraph"/>
        <w:numPr>
          <w:ilvl w:val="0"/>
          <w:numId w:val="19"/>
        </w:numPr>
        <w:ind w:left="0" w:hanging="0"/>
        <w:jc w:val="both"/>
        <w:rPr/>
      </w:pPr>
      <w:r>
        <w:rPr/>
        <w:t xml:space="preserve">Требования </w:t>
      </w:r>
      <w:r>
        <w:rPr>
          <w:rFonts w:eastAsia="Times New Roman"/>
          <w:color w:val="000000"/>
        </w:rPr>
        <w:t>к оформлению и составлению сметной документации на выполнение строительно-монтажных работ по программе ремонтов, реконструкции и техническому перевооружению (не относящихся к работам, стоимость которых определяется в соответствии со Статьей 8.3 Градостроительного кодекса РФ).</w:t>
      </w:r>
    </w:p>
    <w:p>
      <w:pPr>
        <w:pStyle w:val="ListParagraph"/>
        <w:numPr>
          <w:ilvl w:val="0"/>
          <w:numId w:val="19"/>
        </w:numPr>
        <w:ind w:left="0" w:hanging="0"/>
        <w:jc w:val="both"/>
        <w:rPr/>
      </w:pPr>
      <w:r>
        <w:rPr/>
        <w:t>Требования к оформлению и составлению сметной документации на выполнение проектных и изыскательских работ.</w:t>
      </w:r>
    </w:p>
    <w:p>
      <w:pPr>
        <w:pStyle w:val="ListParagraph"/>
        <w:numPr>
          <w:ilvl w:val="0"/>
          <w:numId w:val="19"/>
        </w:numPr>
        <w:ind w:left="0" w:hanging="0"/>
        <w:jc w:val="both"/>
        <w:rPr>
          <w:iCs/>
        </w:rPr>
      </w:pPr>
      <w:r>
        <w:rPr/>
        <w:t>Схема структурная комплекса технических средств РГЭС.</w:t>
      </w:r>
    </w:p>
    <w:p>
      <w:pPr>
        <w:pStyle w:val="ListParagraph"/>
        <w:numPr>
          <w:ilvl w:val="0"/>
          <w:numId w:val="19"/>
        </w:numPr>
        <w:ind w:left="0" w:hanging="0"/>
        <w:jc w:val="both"/>
        <w:rPr>
          <w:iCs/>
        </w:rPr>
      </w:pPr>
      <w:r>
        <w:rPr/>
        <w:t>Схема структурная комплекса технических средств УГЭС.</w:t>
      </w:r>
    </w:p>
    <w:p>
      <w:pPr>
        <w:pStyle w:val="ListParagraph"/>
        <w:numPr>
          <w:ilvl w:val="0"/>
          <w:numId w:val="19"/>
        </w:numPr>
        <w:ind w:left="0" w:hanging="0"/>
        <w:jc w:val="both"/>
        <w:rPr>
          <w:iCs/>
        </w:rPr>
      </w:pPr>
      <w:r>
        <w:rPr>
          <w:rFonts w:eastAsia="Times New Roman"/>
          <w:iCs/>
        </w:rPr>
        <w:t>Перечень счётчиков и их места установки.</w:t>
      </w:r>
    </w:p>
    <w:p>
      <w:pPr>
        <w:pStyle w:val="ListParagraph"/>
        <w:numPr>
          <w:ilvl w:val="0"/>
          <w:numId w:val="19"/>
        </w:numPr>
        <w:ind w:left="0" w:hanging="0"/>
        <w:jc w:val="both"/>
        <w:rPr>
          <w:iCs/>
        </w:rPr>
      </w:pPr>
      <w:r>
        <w:rPr>
          <w:rFonts w:eastAsia="Times New Roman"/>
          <w:iCs/>
        </w:rPr>
        <w:t>Инструкция о мерах пожарной безопасности здания управления филиала ПАО «РусГидро»-«Каскад Верхневолжских ГЭС».</w:t>
      </w:r>
    </w:p>
    <w:p>
      <w:pPr>
        <w:pStyle w:val="ListParagraph"/>
        <w:numPr>
          <w:ilvl w:val="0"/>
          <w:numId w:val="19"/>
        </w:numPr>
        <w:ind w:left="0" w:hanging="0"/>
        <w:jc w:val="both"/>
        <w:rPr>
          <w:iCs/>
        </w:rPr>
      </w:pPr>
      <w:r>
        <w:rPr>
          <w:rFonts w:eastAsia="Times New Roman"/>
          <w:iCs/>
        </w:rPr>
        <w:t>Инструкцией о мерах пожарной безопасности в здании Рыбинской ГЭС филиала ПАО «РусГидро»-«Каскад Верхневолжских ГЭС».</w:t>
      </w:r>
    </w:p>
    <w:p>
      <w:pPr>
        <w:pStyle w:val="ListParagraph"/>
        <w:numPr>
          <w:ilvl w:val="0"/>
          <w:numId w:val="19"/>
        </w:numPr>
        <w:ind w:left="0" w:hanging="0"/>
        <w:jc w:val="both"/>
        <w:rPr>
          <w:iCs/>
        </w:rPr>
      </w:pPr>
      <w:r>
        <w:rPr>
          <w:rFonts w:eastAsia="Times New Roman"/>
          <w:iCs/>
        </w:rPr>
        <w:t>Инструкция о мерах пожарной безопасности в здании Угличской ГЭС филиала ПАО «РусГидро»-«Каскад Верхневолжских ГЭС».</w:t>
      </w:r>
    </w:p>
    <w:p>
      <w:pPr>
        <w:pStyle w:val="ListParagraph"/>
        <w:numPr>
          <w:ilvl w:val="0"/>
          <w:numId w:val="19"/>
        </w:numPr>
        <w:ind w:left="0" w:hanging="0"/>
        <w:jc w:val="both"/>
        <w:rPr>
          <w:iCs/>
        </w:rPr>
      </w:pPr>
      <w:r>
        <w:rPr/>
        <w:t>Инструкция по обращению с отходами производства и потребления на Рыбинской ГЭС филиала ПАО «РусГидро»-«Каскад Верхневолжских ГЭС».</w:t>
      </w:r>
    </w:p>
    <w:p>
      <w:pPr>
        <w:pStyle w:val="ListParagraph"/>
        <w:widowControl w:val="false"/>
        <w:numPr>
          <w:ilvl w:val="0"/>
          <w:numId w:val="19"/>
        </w:numPr>
        <w:tabs>
          <w:tab w:val="clear" w:pos="708"/>
          <w:tab w:val="left" w:pos="426" w:leader="none"/>
        </w:tabs>
        <w:spacing w:before="120" w:after="120"/>
        <w:ind w:left="0" w:hanging="0"/>
        <w:contextualSpacing/>
        <w:jc w:val="both"/>
        <w:rPr>
          <w:bCs/>
          <w:i/>
          <w:i/>
          <w:iCs/>
          <w:shd w:fill="FFFF99" w:val="clear"/>
        </w:rPr>
      </w:pPr>
      <w:r>
        <w:rPr/>
        <w:t>Инструкция по обращению с отходами производства и потребления в обособленном подразделении ПАО «РусГидро»-«Угличская ГЭС».</w:t>
      </w:r>
    </w:p>
    <w:p>
      <w:pPr>
        <w:pStyle w:val="ListParagraph"/>
        <w:numPr>
          <w:ilvl w:val="0"/>
          <w:numId w:val="19"/>
        </w:numPr>
        <w:ind w:left="0" w:hanging="0"/>
        <w:jc w:val="both"/>
        <w:rPr/>
      </w:pPr>
      <w:r>
        <w:rPr/>
        <w:t>Методика допуска персонала подрядных организаций к выполнению работ на объектах Общества, Приложение 2 к Регламенту процесса «Допуск персонала подрядных организаций на объекты ПАО «РусГидро» (утв. приказом ПАО «РусГидро» от 28.04.2023 № 300).</w:t>
      </w:r>
    </w:p>
    <w:p>
      <w:pPr>
        <w:pStyle w:val="ListParagraph"/>
        <w:widowControl w:val="false"/>
        <w:tabs>
          <w:tab w:val="clear" w:pos="708"/>
          <w:tab w:val="left" w:pos="426" w:leader="none"/>
        </w:tabs>
        <w:spacing w:before="120" w:after="120"/>
        <w:ind w:left="0" w:hanging="0"/>
        <w:contextualSpacing/>
        <w:jc w:val="both"/>
        <w:rPr>
          <w:bCs/>
          <w:i/>
          <w:i/>
          <w:iCs/>
          <w:shd w:fill="FFFF99" w:val="clear"/>
        </w:rPr>
      </w:pPr>
      <w:r>
        <w:rPr/>
      </w:r>
    </w:p>
    <w:sectPr>
      <w:headerReference w:type="default" r:id="rId14"/>
      <w:headerReference w:type="first" r:id="rId15"/>
      <w:type w:val="nextPage"/>
      <w:pgSz w:w="11906" w:h="16838"/>
      <w:pgMar w:left="1134" w:right="851" w:gutter="0" w:header="680" w:top="1134" w:footer="0" w:bottom="992"/>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Wingdings">
    <w:charset w:val="01"/>
    <w:family w:val="roman"/>
    <w:pitch w:val="variable"/>
  </w:font>
  <w:font w:name="Courier New">
    <w:charset w:val="01"/>
    <w:family w:val="roman"/>
    <w:pitch w:val="variable"/>
  </w:font>
  <w:font w:name="Symbol">
    <w:charset w:val="01"/>
    <w:family w:val="roman"/>
    <w:pitch w:val="variable"/>
  </w:font>
  <w:font w:name="OpenSymbol">
    <w:altName w:val="Arial Unicode MS"/>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Liberation Mono">
    <w:altName w:val="Courier New"/>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2" wp14:anchorId="4C27F5D6">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4C27F5D6">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42</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43</w:t>
    </w:r>
    <w:r>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 %1 "/>
      <w:lvlJc w:val="left"/>
      <w:pPr>
        <w:tabs>
          <w:tab w:val="num" w:pos="0"/>
        </w:tabs>
        <w:ind w:left="5038" w:hanging="360"/>
      </w:pPr>
      <w:rPr/>
    </w:lvl>
    <w:lvl w:ilvl="1">
      <w:start w:val="1"/>
      <w:numFmt w:val="decimal"/>
      <w:lvlText w:val=" %1.%2 "/>
      <w:lvlJc w:val="left"/>
      <w:pPr>
        <w:tabs>
          <w:tab w:val="num" w:pos="0"/>
        </w:tabs>
        <w:ind w:left="432" w:hanging="432"/>
      </w:pPr>
      <w:rPr/>
    </w:lvl>
    <w:lvl w:ilvl="2">
      <w:start w:val="1"/>
      <w:numFmt w:val="decimal"/>
      <w:lvlText w:val=" %1.%2.%3 "/>
      <w:lvlJc w:val="left"/>
      <w:pPr>
        <w:tabs>
          <w:tab w:val="num" w:pos="0"/>
        </w:tabs>
        <w:ind w:left="1224" w:hanging="504"/>
      </w:pPr>
      <w:rPr/>
    </w:lvl>
    <w:lvl w:ilvl="3">
      <w:start w:val="1"/>
      <w:numFmt w:val="decimal"/>
      <w:lvlText w:val=" %1.%2.%3.%4 "/>
      <w:lvlJc w:val="left"/>
      <w:pPr>
        <w:tabs>
          <w:tab w:val="num" w:pos="0"/>
        </w:tabs>
        <w:ind w:left="1728" w:hanging="648"/>
      </w:pPr>
      <w:rPr/>
    </w:lvl>
    <w:lvl w:ilvl="4">
      <w:start w:val="1"/>
      <w:numFmt w:val="decimal"/>
      <w:lvlText w:val=" %1.%2.%3.%4.%5 "/>
      <w:lvlJc w:val="left"/>
      <w:pPr>
        <w:tabs>
          <w:tab w:val="num" w:pos="0"/>
        </w:tabs>
        <w:ind w:left="2232" w:hanging="792"/>
      </w:pPr>
      <w:rPr/>
    </w:lvl>
    <w:lvl w:ilvl="5">
      <w:start w:val="1"/>
      <w:numFmt w:val="decimal"/>
      <w:lvlText w:val=" %1.%2.%3.%4.%5.%6 "/>
      <w:lvlJc w:val="left"/>
      <w:pPr>
        <w:tabs>
          <w:tab w:val="num" w:pos="0"/>
        </w:tabs>
        <w:ind w:left="2736" w:hanging="936"/>
      </w:pPr>
      <w:rPr/>
    </w:lvl>
    <w:lvl w:ilvl="6">
      <w:start w:val="1"/>
      <w:numFmt w:val="decimal"/>
      <w:lvlText w:val=" %1.%2.%3.%4.%5.%6.%7 "/>
      <w:lvlJc w:val="left"/>
      <w:pPr>
        <w:tabs>
          <w:tab w:val="num" w:pos="0"/>
        </w:tabs>
        <w:ind w:left="3240" w:hanging="1080"/>
      </w:pPr>
      <w:rPr/>
    </w:lvl>
    <w:lvl w:ilvl="7">
      <w:start w:val="1"/>
      <w:numFmt w:val="decimal"/>
      <w:lvlText w:val=" %1.%2.%3.%4.%5.%6.%7.%8 "/>
      <w:lvlJc w:val="left"/>
      <w:pPr>
        <w:tabs>
          <w:tab w:val="num" w:pos="0"/>
        </w:tabs>
        <w:ind w:left="3744" w:hanging="1224"/>
      </w:pPr>
      <w:rPr/>
    </w:lvl>
    <w:lvl w:ilvl="8">
      <w:start w:val="1"/>
      <w:numFmt w:val="decimal"/>
      <w:lvlText w:val=" %1.%2.%3.%4.%5.%6.%7.%8.%9 "/>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930"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450" w:hanging="450"/>
      </w:pPr>
      <w:rPr>
        <w:rFonts w:ascii="Symbol" w:hAnsi="Symbol" w:cs="Symbol" w:hint="default"/>
        <w:b w:val="false"/>
      </w:r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rPr>
        <w:b w:val="false"/>
      </w:rPr>
    </w:lvl>
    <w:lvl w:ilvl="3">
      <w:start w:val="1"/>
      <w:numFmt w:val="decimal"/>
      <w:lvlText w:val="%1.%2.%3.%4."/>
      <w:lvlJc w:val="left"/>
      <w:pPr>
        <w:tabs>
          <w:tab w:val="num" w:pos="0"/>
        </w:tabs>
        <w:ind w:left="3240" w:hanging="1080"/>
      </w:pPr>
      <w:rPr>
        <w:b w:val="false"/>
      </w:rPr>
    </w:lvl>
    <w:lvl w:ilvl="4">
      <w:start w:val="1"/>
      <w:numFmt w:val="decimal"/>
      <w:lvlText w:val="%1.%2.%3.%4.%5."/>
      <w:lvlJc w:val="left"/>
      <w:pPr>
        <w:tabs>
          <w:tab w:val="num" w:pos="0"/>
        </w:tabs>
        <w:ind w:left="3960" w:hanging="1080"/>
      </w:pPr>
      <w:rPr>
        <w:b w:val="false"/>
      </w:rPr>
    </w:lvl>
    <w:lvl w:ilvl="5">
      <w:start w:val="1"/>
      <w:numFmt w:val="decimal"/>
      <w:lvlText w:val="%1.%2.%3.%4.%5.%6."/>
      <w:lvlJc w:val="left"/>
      <w:pPr>
        <w:tabs>
          <w:tab w:val="num" w:pos="0"/>
        </w:tabs>
        <w:ind w:left="5040" w:hanging="1440"/>
      </w:pPr>
      <w:rPr>
        <w:b w:val="false"/>
      </w:rPr>
    </w:lvl>
    <w:lvl w:ilvl="6">
      <w:start w:val="1"/>
      <w:numFmt w:val="decimal"/>
      <w:lvlText w:val="%1.%2.%3.%4.%5.%6.%7."/>
      <w:lvlJc w:val="left"/>
      <w:pPr>
        <w:tabs>
          <w:tab w:val="num" w:pos="0"/>
        </w:tabs>
        <w:ind w:left="6120" w:hanging="1800"/>
      </w:pPr>
      <w:rPr>
        <w:b w:val="false"/>
      </w:rPr>
    </w:lvl>
    <w:lvl w:ilvl="7">
      <w:start w:val="1"/>
      <w:numFmt w:val="decimal"/>
      <w:lvlText w:val="%1.%2.%3.%4.%5.%6.%7.%8."/>
      <w:lvlJc w:val="left"/>
      <w:pPr>
        <w:tabs>
          <w:tab w:val="num" w:pos="0"/>
        </w:tabs>
        <w:ind w:left="6840" w:hanging="1800"/>
      </w:pPr>
      <w:rPr>
        <w:b w:val="false"/>
      </w:rPr>
    </w:lvl>
    <w:lvl w:ilvl="8">
      <w:start w:val="1"/>
      <w:numFmt w:val="decimal"/>
      <w:lvlText w:val="%1.%2.%3.%4.%5.%6.%7.%8.%9."/>
      <w:lvlJc w:val="left"/>
      <w:pPr>
        <w:tabs>
          <w:tab w:val="num" w:pos="0"/>
        </w:tabs>
        <w:ind w:left="7920" w:hanging="2160"/>
      </w:pPr>
      <w:rPr>
        <w:b w:val="false"/>
      </w:rPr>
    </w:lvl>
  </w:abstractNum>
  <w:abstractNum w:abstractNumId="11">
    <w:lvl w:ilvl="0">
      <w:start w:val="1"/>
      <w:numFmt w:val="decimal"/>
      <w:lvlText w:val="%1"/>
      <w:lvlJc w:val="left"/>
      <w:pPr>
        <w:tabs>
          <w:tab w:val="num" w:pos="0"/>
        </w:tabs>
        <w:ind w:left="480" w:hanging="480"/>
      </w:pPr>
      <w:rPr/>
    </w:lvl>
    <w:lvl w:ilvl="1">
      <w:start w:val="5"/>
      <w:numFmt w:val="decimal"/>
      <w:lvlText w:val="%1.%2"/>
      <w:lvlJc w:val="left"/>
      <w:pPr>
        <w:tabs>
          <w:tab w:val="num" w:pos="0"/>
        </w:tabs>
        <w:ind w:left="480" w:hanging="48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decimal"/>
      <w:lvlText w:val="%1."/>
      <w:lvlJc w:val="left"/>
      <w:pPr>
        <w:tabs>
          <w:tab w:val="num" w:pos="0"/>
        </w:tabs>
        <w:ind w:left="720" w:hanging="360"/>
      </w:pPr>
      <w:rPr>
        <w:i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bullet"/>
      <w:lvlText w:val=""/>
      <w:lvlJc w:val="left"/>
      <w:pPr>
        <w:tabs>
          <w:tab w:val="num" w:pos="0"/>
        </w:tabs>
        <w:ind w:left="813" w:hanging="360"/>
      </w:pPr>
      <w:rPr>
        <w:rFonts w:ascii="Symbol" w:hAnsi="Symbol" w:cs="Symbol" w:hint="default"/>
      </w:rPr>
    </w:lvl>
    <w:lvl w:ilvl="1">
      <w:start w:val="1"/>
      <w:numFmt w:val="bullet"/>
      <w:lvlText w:val="o"/>
      <w:lvlJc w:val="left"/>
      <w:pPr>
        <w:tabs>
          <w:tab w:val="num" w:pos="0"/>
        </w:tabs>
        <w:ind w:left="1533" w:hanging="360"/>
      </w:pPr>
      <w:rPr>
        <w:rFonts w:ascii="Courier New" w:hAnsi="Courier New" w:cs="Courier New" w:hint="default"/>
      </w:rPr>
    </w:lvl>
    <w:lvl w:ilvl="2">
      <w:start w:val="1"/>
      <w:numFmt w:val="bullet"/>
      <w:lvlText w:val=""/>
      <w:lvlJc w:val="left"/>
      <w:pPr>
        <w:tabs>
          <w:tab w:val="num" w:pos="0"/>
        </w:tabs>
        <w:ind w:left="2253" w:hanging="360"/>
      </w:pPr>
      <w:rPr>
        <w:rFonts w:ascii="Wingdings" w:hAnsi="Wingdings" w:cs="Wingdings" w:hint="default"/>
      </w:rPr>
    </w:lvl>
    <w:lvl w:ilvl="3">
      <w:start w:val="1"/>
      <w:numFmt w:val="bullet"/>
      <w:lvlText w:val=""/>
      <w:lvlJc w:val="left"/>
      <w:pPr>
        <w:tabs>
          <w:tab w:val="num" w:pos="0"/>
        </w:tabs>
        <w:ind w:left="2973" w:hanging="360"/>
      </w:pPr>
      <w:rPr>
        <w:rFonts w:ascii="Symbol" w:hAnsi="Symbol" w:cs="Symbol" w:hint="default"/>
      </w:rPr>
    </w:lvl>
    <w:lvl w:ilvl="4">
      <w:start w:val="1"/>
      <w:numFmt w:val="bullet"/>
      <w:lvlText w:val="o"/>
      <w:lvlJc w:val="left"/>
      <w:pPr>
        <w:tabs>
          <w:tab w:val="num" w:pos="0"/>
        </w:tabs>
        <w:ind w:left="3693" w:hanging="360"/>
      </w:pPr>
      <w:rPr>
        <w:rFonts w:ascii="Courier New" w:hAnsi="Courier New" w:cs="Courier New" w:hint="default"/>
      </w:rPr>
    </w:lvl>
    <w:lvl w:ilvl="5">
      <w:start w:val="1"/>
      <w:numFmt w:val="bullet"/>
      <w:lvlText w:val=""/>
      <w:lvlJc w:val="left"/>
      <w:pPr>
        <w:tabs>
          <w:tab w:val="num" w:pos="0"/>
        </w:tabs>
        <w:ind w:left="4413" w:hanging="360"/>
      </w:pPr>
      <w:rPr>
        <w:rFonts w:ascii="Wingdings" w:hAnsi="Wingdings" w:cs="Wingdings" w:hint="default"/>
      </w:rPr>
    </w:lvl>
    <w:lvl w:ilvl="6">
      <w:start w:val="1"/>
      <w:numFmt w:val="bullet"/>
      <w:lvlText w:val=""/>
      <w:lvlJc w:val="left"/>
      <w:pPr>
        <w:tabs>
          <w:tab w:val="num" w:pos="0"/>
        </w:tabs>
        <w:ind w:left="5133" w:hanging="360"/>
      </w:pPr>
      <w:rPr>
        <w:rFonts w:ascii="Symbol" w:hAnsi="Symbol" w:cs="Symbol" w:hint="default"/>
      </w:rPr>
    </w:lvl>
    <w:lvl w:ilvl="7">
      <w:start w:val="1"/>
      <w:numFmt w:val="bullet"/>
      <w:lvlText w:val="o"/>
      <w:lvlJc w:val="left"/>
      <w:pPr>
        <w:tabs>
          <w:tab w:val="num" w:pos="0"/>
        </w:tabs>
        <w:ind w:left="5853" w:hanging="360"/>
      </w:pPr>
      <w:rPr>
        <w:rFonts w:ascii="Courier New" w:hAnsi="Courier New" w:cs="Courier New" w:hint="default"/>
      </w:rPr>
    </w:lvl>
    <w:lvl w:ilvl="8">
      <w:start w:val="1"/>
      <w:numFmt w:val="bullet"/>
      <w:lvlText w:val=""/>
      <w:lvlJc w:val="left"/>
      <w:pPr>
        <w:tabs>
          <w:tab w:val="num" w:pos="0"/>
        </w:tabs>
        <w:ind w:left="6573" w:hanging="360"/>
      </w:pPr>
      <w:rPr>
        <w:rFonts w:ascii="Wingdings" w:hAnsi="Wingdings" w:cs="Wingdings" w:hint="default"/>
      </w:rPr>
    </w:lvl>
  </w:abstractNum>
  <w:abstractNum w:abstractNumId="24">
    <w:lvl w:ilvl="0">
      <w:start w:val="1"/>
      <w:numFmt w:val="decimal"/>
      <w:suff w:val="nothing"/>
      <w:lvlText w:val="%1."/>
      <w:lvlJc w:val="left"/>
      <w:pPr>
        <w:tabs>
          <w:tab w:val="num" w:pos="0"/>
        </w:tabs>
        <w:ind w:left="0" w:hanging="0"/>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5">
    <w:lvl w:ilvl="0">
      <w:start w:val="1"/>
      <w:numFmt w:val="bullet"/>
      <w:lvlText w:val=""/>
      <w:lvlJc w:val="left"/>
      <w:pPr>
        <w:tabs>
          <w:tab w:val="num" w:pos="1400"/>
        </w:tabs>
        <w:ind w:left="140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1"/>
      <w:numFmt w:val="decimal"/>
      <w:lvlText w:val="%1"/>
      <w:lvlJc w:val="left"/>
      <w:pPr>
        <w:tabs>
          <w:tab w:val="num" w:pos="999"/>
        </w:tabs>
        <w:ind w:left="999" w:hanging="432"/>
      </w:pPr>
      <w:rPr/>
    </w:lvl>
    <w:lvl w:ilvl="1">
      <w:start w:val="1"/>
      <w:numFmt w:val="decimal"/>
      <w:lvlText w:val="%1.%2"/>
      <w:lvlJc w:val="left"/>
      <w:pPr>
        <w:tabs>
          <w:tab w:val="num" w:pos="576"/>
        </w:tabs>
        <w:ind w:left="576" w:hanging="576"/>
      </w:pPr>
      <w:rPr/>
    </w:lvl>
    <w:lvl w:ilvl="2">
      <w:start w:val="1"/>
      <w:numFmt w:val="decimal"/>
      <w:lvlText w:val="%1.%2.%3"/>
      <w:lvlJc w:val="left"/>
      <w:pPr>
        <w:tabs>
          <w:tab w:val="num" w:pos="720"/>
        </w:tabs>
        <w:ind w:left="720" w:hanging="720"/>
      </w:pPr>
      <w:rPr>
        <w:b w:val="false"/>
      </w:rPr>
    </w:lvl>
    <w:lvl w:ilvl="3">
      <w:start w:val="1"/>
      <w:numFmt w:val="bullet"/>
      <w:lvlText w:val=""/>
      <w:lvlJc w:val="left"/>
      <w:pPr>
        <w:tabs>
          <w:tab w:val="num" w:pos="864"/>
        </w:tabs>
        <w:ind w:left="864" w:hanging="864"/>
      </w:pPr>
      <w:rPr>
        <w:rFonts w:ascii="Symbol" w:hAnsi="Symbol" w:cs="Symbol" w:hint="default"/>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27">
    <w:lvl w:ilvl="0">
      <w:numFmt w:val="bullet"/>
      <w:lvlText w:val="-"/>
      <w:lvlJc w:val="left"/>
      <w:pPr>
        <w:tabs>
          <w:tab w:val="num" w:pos="0"/>
        </w:tabs>
        <w:ind w:left="310" w:hanging="360"/>
      </w:pPr>
      <w:rPr>
        <w:rFonts w:ascii="Times New Roman" w:hAnsi="Times New Roman" w:cs="Times New Roman" w:hint="default"/>
      </w:rPr>
    </w:lvl>
    <w:lvl w:ilvl="1">
      <w:start w:val="1"/>
      <w:numFmt w:val="bullet"/>
      <w:lvlText w:val="o"/>
      <w:lvlJc w:val="left"/>
      <w:pPr>
        <w:tabs>
          <w:tab w:val="num" w:pos="0"/>
        </w:tabs>
        <w:ind w:left="1030" w:hanging="360"/>
      </w:pPr>
      <w:rPr>
        <w:rFonts w:ascii="Courier New" w:hAnsi="Courier New" w:cs="Courier New" w:hint="default"/>
      </w:rPr>
    </w:lvl>
    <w:lvl w:ilvl="2">
      <w:start w:val="1"/>
      <w:numFmt w:val="bullet"/>
      <w:lvlText w:val=""/>
      <w:lvlJc w:val="left"/>
      <w:pPr>
        <w:tabs>
          <w:tab w:val="num" w:pos="0"/>
        </w:tabs>
        <w:ind w:left="1750" w:hanging="360"/>
      </w:pPr>
      <w:rPr>
        <w:rFonts w:ascii="Wingdings" w:hAnsi="Wingdings" w:cs="Wingdings" w:hint="default"/>
      </w:rPr>
    </w:lvl>
    <w:lvl w:ilvl="3">
      <w:start w:val="1"/>
      <w:numFmt w:val="bullet"/>
      <w:lvlText w:val=""/>
      <w:lvlJc w:val="left"/>
      <w:pPr>
        <w:tabs>
          <w:tab w:val="num" w:pos="0"/>
        </w:tabs>
        <w:ind w:left="2470" w:hanging="360"/>
      </w:pPr>
      <w:rPr>
        <w:rFonts w:ascii="Symbol" w:hAnsi="Symbol" w:cs="Symbol" w:hint="default"/>
      </w:rPr>
    </w:lvl>
    <w:lvl w:ilvl="4">
      <w:start w:val="1"/>
      <w:numFmt w:val="bullet"/>
      <w:lvlText w:val="o"/>
      <w:lvlJc w:val="left"/>
      <w:pPr>
        <w:tabs>
          <w:tab w:val="num" w:pos="0"/>
        </w:tabs>
        <w:ind w:left="3190" w:hanging="360"/>
      </w:pPr>
      <w:rPr>
        <w:rFonts w:ascii="Courier New" w:hAnsi="Courier New" w:cs="Courier New" w:hint="default"/>
      </w:rPr>
    </w:lvl>
    <w:lvl w:ilvl="5">
      <w:start w:val="1"/>
      <w:numFmt w:val="bullet"/>
      <w:lvlText w:val=""/>
      <w:lvlJc w:val="left"/>
      <w:pPr>
        <w:tabs>
          <w:tab w:val="num" w:pos="0"/>
        </w:tabs>
        <w:ind w:left="3910" w:hanging="360"/>
      </w:pPr>
      <w:rPr>
        <w:rFonts w:ascii="Wingdings" w:hAnsi="Wingdings" w:cs="Wingdings" w:hint="default"/>
      </w:rPr>
    </w:lvl>
    <w:lvl w:ilvl="6">
      <w:start w:val="1"/>
      <w:numFmt w:val="bullet"/>
      <w:lvlText w:val=""/>
      <w:lvlJc w:val="left"/>
      <w:pPr>
        <w:tabs>
          <w:tab w:val="num" w:pos="0"/>
        </w:tabs>
        <w:ind w:left="4630" w:hanging="360"/>
      </w:pPr>
      <w:rPr>
        <w:rFonts w:ascii="Symbol" w:hAnsi="Symbol" w:cs="Symbol" w:hint="default"/>
      </w:rPr>
    </w:lvl>
    <w:lvl w:ilvl="7">
      <w:start w:val="1"/>
      <w:numFmt w:val="bullet"/>
      <w:lvlText w:val="o"/>
      <w:lvlJc w:val="left"/>
      <w:pPr>
        <w:tabs>
          <w:tab w:val="num" w:pos="0"/>
        </w:tabs>
        <w:ind w:left="5350" w:hanging="360"/>
      </w:pPr>
      <w:rPr>
        <w:rFonts w:ascii="Courier New" w:hAnsi="Courier New" w:cs="Courier New" w:hint="default"/>
      </w:rPr>
    </w:lvl>
    <w:lvl w:ilvl="8">
      <w:start w:val="1"/>
      <w:numFmt w:val="bullet"/>
      <w:lvlText w:val=""/>
      <w:lvlJc w:val="left"/>
      <w:pPr>
        <w:tabs>
          <w:tab w:val="num" w:pos="0"/>
        </w:tabs>
        <w:ind w:left="6070" w:hanging="360"/>
      </w:pPr>
      <w:rPr>
        <w:rFonts w:ascii="Wingdings" w:hAnsi="Wingdings" w:cs="Wingdings" w:hint="default"/>
      </w:rPr>
    </w:lvl>
  </w:abstractNum>
  <w:abstractNum w:abstractNumId="2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TW"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6f3945"/>
    <w:pPr>
      <w:keepNext w:val="true"/>
      <w:tabs>
        <w:tab w:val="clear" w:pos="708"/>
        <w:tab w:val="left" w:pos="0" w:leader="none"/>
      </w:tabs>
      <w:spacing w:before="120" w:after="120"/>
      <w:ind w:left="1224" w:hanging="1224"/>
      <w:jc w:val="both"/>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1" w:customStyle="1">
    <w:name w:val="Strong1"/>
    <w:uiPriority w:val="22"/>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6f3945"/>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5"/>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3"/>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31"/>
    <w:qFormat/>
    <w:locked/>
    <w:rsid w:val="0025139e"/>
    <w:rPr>
      <w:sz w:val="26"/>
      <w:szCs w:val="26"/>
    </w:rPr>
  </w:style>
  <w:style w:type="character" w:styleId="31" w:customStyle="1">
    <w:name w:val="УРОВЕНЬ_Абзац_тип3 Знак"/>
    <w:link w:val="35"/>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9"/>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4f0b32"/>
    <w:rPr>
      <w:color w:val="605E5C"/>
      <w:shd w:fill="E1DFDD" w:val="clear"/>
    </w:rPr>
  </w:style>
  <w:style w:type="character" w:styleId="Style14" w:customStyle="1">
    <w:name w:val="Ссылка указателя"/>
    <w:qFormat/>
    <w:rPr/>
  </w:style>
  <w:style w:type="character" w:styleId="Strong2" w:customStyle="1">
    <w:name w:val="Strong2"/>
    <w:qFormat/>
    <w:rPr>
      <w:b/>
      <w:bCs/>
    </w:rPr>
  </w:style>
  <w:style w:type="character" w:styleId="Style15" w:customStyle="1">
    <w:name w:val="Символ нумерации"/>
    <w:qFormat/>
    <w:rPr/>
  </w:style>
  <w:style w:type="character" w:styleId="WW8Num16z0" w:customStyle="1">
    <w:name w:val="WW8Num16z0"/>
    <w:qFormat/>
    <w:rPr>
      <w:rFonts w:ascii="Wingdings" w:hAnsi="Wingdings" w:cs="Wingdings"/>
    </w:rPr>
  </w:style>
  <w:style w:type="character" w:styleId="WW8Num16z1" w:customStyle="1">
    <w:name w:val="WW8Num16z1"/>
    <w:qFormat/>
    <w:rPr>
      <w:rFonts w:ascii="Courier New" w:hAnsi="Courier New" w:cs="Courier New"/>
    </w:rPr>
  </w:style>
  <w:style w:type="character" w:styleId="WW8Num16z3" w:customStyle="1">
    <w:name w:val="WW8Num16z3"/>
    <w:qFormat/>
    <w:rPr>
      <w:rFonts w:ascii="Symbol" w:hAnsi="Symbol" w:cs="Symbol"/>
    </w:rPr>
  </w:style>
  <w:style w:type="character" w:styleId="WW8Num25z0" w:customStyle="1">
    <w:name w:val="WW8Num25z0"/>
    <w:qFormat/>
    <w:rPr>
      <w:rFonts w:ascii="Wingdings" w:hAnsi="Wingdings" w:cs="Wingdings"/>
    </w:rPr>
  </w:style>
  <w:style w:type="character" w:styleId="WW8Num25z1" w:customStyle="1">
    <w:name w:val="WW8Num25z1"/>
    <w:qFormat/>
    <w:rPr>
      <w:rFonts w:ascii="Courier New" w:hAnsi="Courier New" w:cs="Courier New"/>
    </w:rPr>
  </w:style>
  <w:style w:type="character" w:styleId="WW8Num25z3" w:customStyle="1">
    <w:name w:val="WW8Num25z3"/>
    <w:qFormat/>
    <w:rPr>
      <w:rFonts w:ascii="Symbol" w:hAnsi="Symbol" w:cs="Symbol"/>
    </w:rPr>
  </w:style>
  <w:style w:type="character" w:styleId="Strong">
    <w:name w:val="Strong"/>
    <w:qFormat/>
    <w:rPr>
      <w:b/>
      <w:bCs/>
    </w:rPr>
  </w:style>
  <w:style w:type="character" w:styleId="WW8Num28z0" w:customStyle="1">
    <w:name w:val="WW8Num28z0"/>
    <w:qFormat/>
    <w:rPr/>
  </w:style>
  <w:style w:type="character" w:styleId="WW8Num28z2" w:customStyle="1">
    <w:name w:val="WW8Num28z2"/>
    <w:qFormat/>
    <w:rPr>
      <w:b w:val="false"/>
    </w:rPr>
  </w:style>
  <w:style w:type="character" w:styleId="WW8Num28z3" w:customStyle="1">
    <w:name w:val="WW8Num28z3"/>
    <w:qFormat/>
    <w:rPr>
      <w:rFonts w:ascii="Symbol" w:hAnsi="Symbol" w:cs="Symbol"/>
    </w:rPr>
  </w:style>
  <w:style w:type="character" w:styleId="Style16" w:customStyle="1">
    <w:name w:val="Маркеры"/>
    <w:qFormat/>
    <w:rPr>
      <w:rFonts w:ascii="OpenSymbol" w:hAnsi="OpenSymbol" w:eastAsia="OpenSymbol" w:cs="OpenSymbol"/>
    </w:rPr>
  </w:style>
  <w:style w:type="character" w:styleId="FollowedHyperlink">
    <w:name w:val="FollowedHyperlink"/>
    <w:rPr>
      <w:color w:val="800000"/>
      <w:u w:val="single"/>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Caption11111" w:customStyle="1">
    <w:name w:val="caption11111"/>
    <w:basedOn w:val="Normal"/>
    <w:qFormat/>
    <w:pPr>
      <w:suppressLineNumbers/>
      <w:spacing w:before="120" w:after="120"/>
    </w:pPr>
    <w:rPr>
      <w:i/>
      <w:iCs/>
      <w:sz w:val="24"/>
      <w:szCs w:val="24"/>
    </w:rPr>
  </w:style>
  <w:style w:type="paragraph" w:styleId="Indexheading11111" w:customStyle="1">
    <w:name w:val="index heading11111"/>
    <w:basedOn w:val="Title"/>
    <w:qFormat/>
    <w:pPr/>
    <w:rPr/>
  </w:style>
  <w:style w:type="paragraph" w:styleId="Caption111111" w:customStyle="1">
    <w:name w:val="caption111111"/>
    <w:basedOn w:val="Normal"/>
    <w:qFormat/>
    <w:pPr>
      <w:suppressLineNumbers/>
      <w:spacing w:before="120" w:after="120"/>
    </w:pPr>
    <w:rPr>
      <w:i/>
      <w:iCs/>
      <w:sz w:val="24"/>
      <w:szCs w:val="24"/>
    </w:rPr>
  </w:style>
  <w:style w:type="paragraph" w:styleId="Indexheading111111" w:customStyle="1">
    <w:name w:val="index heading111111"/>
    <w:basedOn w:val="Title"/>
    <w:qFormat/>
    <w:pPr/>
    <w:rPr/>
  </w:style>
  <w:style w:type="paragraph" w:styleId="Style19" w:customStyle="1">
    <w:name w:val="Название раздела инструкции"/>
    <w:basedOn w:val="Normal"/>
    <w:autoRedefine/>
    <w:qFormat/>
    <w:rsid w:val="00275328"/>
    <w:pPr>
      <w:jc w:val="center"/>
    </w:pPr>
    <w:rPr>
      <w:b/>
    </w:rPr>
  </w:style>
  <w:style w:type="paragraph" w:styleId="Style20"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21"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4"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2"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uiPriority w:val="10"/>
    <w:qFormat/>
    <w:rsid w:val="00bd4014"/>
    <w:pPr>
      <w:jc w:val="center"/>
    </w:pPr>
    <w:rPr>
      <w:szCs w:val="20"/>
      <w:lang w:val="x-none" w:eastAsia="x-none"/>
    </w:rPr>
  </w:style>
  <w:style w:type="paragraph" w:styleId="Style22" w:customStyle="1">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left="360" w:hanging="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3" w:customStyle="1">
    <w:name w:val="Подпункт"/>
    <w:basedOn w:val="Normal"/>
    <w:link w:val="11"/>
    <w:qFormat/>
    <w:rsid w:val="0076353a"/>
    <w:pPr>
      <w:tabs>
        <w:tab w:val="clear" w:pos="708"/>
        <w:tab w:val="left" w:pos="1134" w:leader="none"/>
      </w:tabs>
      <w:snapToGrid w:val="false"/>
      <w:spacing w:lineRule="auto" w:line="360"/>
      <w:ind w:left="1134" w:hanging="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napToGrid w:val="false"/>
      <w:spacing w:before="240" w:after="120"/>
      <w:ind w:left="1134" w:hanging="1134"/>
      <w:outlineLvl w:val="2"/>
    </w:pPr>
    <w:rPr>
      <w:b/>
      <w:szCs w:val="20"/>
    </w:rPr>
  </w:style>
  <w:style w:type="paragraph" w:styleId="TOC1">
    <w:name w:val="TOC 1"/>
    <w:basedOn w:val="Normal"/>
    <w:next w:val="Normal"/>
    <w:autoRedefine/>
    <w:uiPriority w:val="39"/>
    <w:rsid w:val="002c257b"/>
    <w:pPr>
      <w:tabs>
        <w:tab w:val="clear" w:pos="708"/>
        <w:tab w:val="left" w:pos="851" w:leader="none"/>
        <w:tab w:val="right" w:pos="9911" w:leader="dot"/>
      </w:tabs>
      <w:spacing w:before="120" w:after="0"/>
      <w:ind w:left="567" w:hanging="0"/>
    </w:pPr>
    <w:rPr>
      <w:rFonts w:cs="Calibri Light (Заголовки)"/>
      <w:b/>
      <w:bCs/>
      <w:sz w:val="24"/>
      <w:szCs w:val="24"/>
    </w:rPr>
  </w:style>
  <w:style w:type="paragraph" w:styleId="TOC3">
    <w:name w:val="TOC 3"/>
    <w:basedOn w:val="Normal"/>
    <w:next w:val="Normal"/>
    <w:autoRedefine/>
    <w:uiPriority w:val="39"/>
    <w:rsid w:val="002c257b"/>
    <w:pPr>
      <w:tabs>
        <w:tab w:val="clear" w:pos="708"/>
        <w:tab w:val="left" w:pos="1120" w:leader="none"/>
        <w:tab w:val="right" w:pos="9911" w:leader="dot"/>
      </w:tabs>
      <w:ind w:left="1134" w:hanging="425"/>
    </w:pPr>
    <w:rPr>
      <w:rFonts w:cs="Calibri" w:cstheme="minorHAnsi"/>
      <w:sz w:val="20"/>
      <w:szCs w:val="20"/>
    </w:rPr>
  </w:style>
  <w:style w:type="paragraph" w:styleId="Style24" w:customStyle="1">
    <w:name w:val="Раздел регламента"/>
    <w:basedOn w:val="Normal"/>
    <w:qFormat/>
    <w:rsid w:val="00e228fa"/>
    <w:pPr/>
    <w:rPr/>
  </w:style>
  <w:style w:type="paragraph" w:styleId="Style25"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6"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left="560" w:hanging="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6"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111111" w:customStyle="1">
    <w:name w:val="caption111111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7"/>
    <w:pPr/>
    <w:rPr/>
  </w:style>
  <w:style w:type="paragraph" w:styleId="TOCHeading">
    <w:name w:val="TOC Heading"/>
    <w:basedOn w:val="Heading1"/>
    <w:next w:val="Normal"/>
    <w:uiPriority w:val="39"/>
    <w:qFormat/>
    <w:rsid w:val="00d22f6d"/>
    <w:pPr>
      <w:keepLines/>
      <w:spacing w:before="480" w:after="12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7"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3"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311" w:customStyle="1">
    <w:name w:val="Список 31"/>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eastAsia="Calibri" w:ascii="Times New Roman" w:hAnsi="Times New Roman"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34"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8" w:customStyle="1">
    <w:name w:val="Пункт"/>
    <w:basedOn w:val="Normal"/>
    <w:qFormat/>
    <w:rsid w:val="00d22f6d"/>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7"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29"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30" w:customStyle="1">
    <w:name w:val="Таблица шапка"/>
    <w:basedOn w:val="Normal"/>
    <w:qFormat/>
    <w:rsid w:val="00f64089"/>
    <w:pPr>
      <w:keepNext w:val="true"/>
      <w:spacing w:before="40" w:after="40"/>
      <w:ind w:left="57" w:right="57" w:hanging="0"/>
    </w:pPr>
    <w:rPr>
      <w:sz w:val="22"/>
      <w:szCs w:val="26"/>
    </w:rPr>
  </w:style>
  <w:style w:type="paragraph" w:styleId="Style31" w:customStyle="1">
    <w:name w:val="Подподпункт"/>
    <w:basedOn w:val="Style23"/>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2"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5"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3"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rsid w:val="005773b2"/>
    <w:pPr>
      <w:keepLines/>
      <w:tabs>
        <w:tab w:val="clear" w:pos="0"/>
        <w:tab w:val="left" w:pos="567" w:leader="none"/>
      </w:tabs>
      <w:spacing w:before="480" w:after="240"/>
      <w:ind w:left="567" w:hanging="567"/>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pacing w:before="120" w:after="120"/>
      <w:jc w:val="both"/>
      <w:outlineLvl w:val="0"/>
    </w:pPr>
    <w:rPr>
      <w:b/>
      <w:kern w:val="2"/>
      <w:sz w:val="24"/>
      <w:szCs w:val="20"/>
      <w:lang w:eastAsia="x-none"/>
    </w:rPr>
  </w:style>
  <w:style w:type="paragraph" w:styleId="Style34"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9" w:customStyle="1">
    <w:name w:val="УРОВЕНЬ_1."/>
    <w:basedOn w:val="ListParagraph"/>
    <w:link w:val="12"/>
    <w:qFormat/>
    <w:rsid w:val="004a17ae"/>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111" w:customStyle="1">
    <w:name w:val="Стиль 1.1.1."/>
    <w:autoRedefine/>
    <w:qFormat/>
    <w:rsid w:val="005f1d26"/>
    <w:pPr>
      <w:keepLines/>
      <w:widowControl/>
      <w:suppressAutoHyphens w:val="true"/>
      <w:bidi w:val="0"/>
      <w:spacing w:before="0" w:after="0"/>
      <w:jc w:val="both"/>
    </w:pPr>
    <w:rPr>
      <w:rFonts w:ascii="Times New Roman" w:hAnsi="Times New Roman" w:eastAsia="Times New Roman" w:cs="Times New Roman"/>
      <w:color w:val="auto"/>
      <w:kern w:val="0"/>
      <w:sz w:val="24"/>
      <w:szCs w:val="24"/>
      <w:lang w:val="ru-RU" w:eastAsia="ru-RU" w:bidi="ar-SA"/>
    </w:rPr>
  </w:style>
  <w:style w:type="paragraph" w:styleId="Default" w:customStyle="1">
    <w:name w:val="Default"/>
    <w:qFormat/>
    <w:rsid w:val="0025247b"/>
    <w:pPr>
      <w:widowControl/>
      <w:suppressAutoHyphens w:val="true"/>
      <w:bidi w:val="0"/>
      <w:spacing w:before="0" w:after="0"/>
      <w:jc w:val="left"/>
    </w:pPr>
    <w:rPr>
      <w:rFonts w:eastAsia="Calibri" w:eastAsiaTheme="minorHAnsi" w:ascii="Times New Roman" w:hAnsi="Times New Roman" w:cs="Times New Roman"/>
      <w:color w:val="000000"/>
      <w:kern w:val="0"/>
      <w:sz w:val="24"/>
      <w:szCs w:val="24"/>
      <w:lang w:eastAsia="en-US" w:val="ru-RU" w:bidi="ar-SA"/>
    </w:rPr>
  </w:style>
  <w:style w:type="paragraph" w:styleId="Style35" w:customStyle="1">
    <w:name w:val="Содержимое врезки"/>
    <w:basedOn w:val="Normal"/>
    <w:qFormat/>
    <w:pPr/>
    <w:rPr/>
  </w:style>
  <w:style w:type="paragraph" w:styleId="Style36" w:customStyle="1">
    <w:name w:val="Содержимое таблицы"/>
    <w:basedOn w:val="Normal"/>
    <w:qFormat/>
    <w:pPr>
      <w:widowControl w:val="false"/>
      <w:suppressLineNumbers/>
    </w:pPr>
    <w:rPr/>
  </w:style>
  <w:style w:type="paragraph" w:styleId="Style37" w:customStyle="1">
    <w:name w:val="Заголовок таблицы"/>
    <w:basedOn w:val="Style36"/>
    <w:qFormat/>
    <w:pPr>
      <w:jc w:val="center"/>
    </w:pPr>
    <w:rPr>
      <w:b/>
      <w:bCs/>
    </w:rPr>
  </w:style>
  <w:style w:type="paragraph" w:styleId="Style38" w:customStyle="1">
    <w:name w:val="Текст в заданном формате"/>
    <w:basedOn w:val="Normal"/>
    <w:qFormat/>
    <w:pPr/>
    <w:rPr>
      <w:rFonts w:ascii="Liberation Mono" w:hAnsi="Liberation Mono" w:eastAsia="Liberation Mono" w:cs="Liberation Mono"/>
      <w:sz w:val="20"/>
      <w:szCs w:val="20"/>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9" w:customStyle="1">
    <w:name w:val="Стиль2"/>
    <w:uiPriority w:val="99"/>
    <w:qFormat/>
    <w:rsid w:val="006629c9"/>
  </w:style>
  <w:style w:type="numbering" w:styleId="WW8Num16" w:customStyle="1">
    <w:name w:val="WW8Num16"/>
    <w:qFormat/>
  </w:style>
  <w:style w:type="numbering" w:styleId="WW8Num25" w:customStyle="1">
    <w:name w:val="WW8Num25"/>
    <w:qFormat/>
  </w:style>
  <w:style w:type="numbering" w:styleId="WW8Num28" w:customStyle="1">
    <w:name w:val="WW8Num28"/>
    <w:qFormat/>
  </w:style>
  <w:style w:type="table" w:default="1" w:styleId="a5">
    <w:name w:val="Normal Table"/>
    <w:uiPriority w:val="99"/>
    <w:semiHidden/>
    <w:unhideWhenUsed/>
    <w:tblPr>
      <w:tblCellMar>
        <w:top w:w="0" w:type="dxa"/>
        <w:left w:w="108" w:type="dxa"/>
        <w:bottom w:w="0" w:type="dxa"/>
        <w:right w:w="108" w:type="dxa"/>
      </w:tblCellMar>
    </w:tblPr>
  </w:style>
  <w:style w:type="table" w:styleId="affffb">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yperlink" Target="https://gisp.gov.ru/pp719v2/pub/prod/" TargetMode="External"/><Relationship Id="rId6" Type="http://schemas.openxmlformats.org/officeDocument/2006/relationships/hyperlink" Target="https://www.consultant.ru/document/cons_doc_LAW_173119/9821483d3009cbc4f93b5b8bc92edd72fd3da626/" TargetMode="External"/><Relationship Id="rId7" Type="http://schemas.openxmlformats.org/officeDocument/2006/relationships/hyperlink" Target="https://gisp.gov.ru/pp719v2/pub/prod/" TargetMode="External"/><Relationship Id="rId8" Type="http://schemas.openxmlformats.org/officeDocument/2006/relationships/hyperlink" Target="https://www.consultant.ru/document/cons_doc_LAW_173119/9821483d3009cbc4f93b5b8bc92edd72fd3da626/" TargetMode="External"/><Relationship Id="rId9" Type="http://schemas.openxmlformats.org/officeDocument/2006/relationships/hyperlink" Target="https://gisp.gov.ru/pp719v2/pub/prod/" TargetMode="External"/><Relationship Id="rId10" Type="http://schemas.openxmlformats.org/officeDocument/2006/relationships/hyperlink" Target="https://www.consultant.ru/document/cons_doc_LAW_173119/9821483d3009cbc4f93b5b8bc92edd72fd3da626/" TargetMode="External"/><Relationship Id="rId11" Type="http://schemas.openxmlformats.org/officeDocument/2006/relationships/hyperlink" Target="https://market.yandex.ru/catalog--telekommunikatsionnye-shkafy-i-stoiki/27004970/list?hid=17995110&amp;glfilter=18007171%3A18007172" TargetMode="Externa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C6B3F-2727-4900-A810-013F102A6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9340</TotalTime>
  <Application>AlterOffice/3.4.0.9$Linux_X86_64 LibreOffice_project/b8daf9e823b1a5463a2f48435ddc2e8696e7d4fc</Application>
  <AppVersion>15.0000</AppVersion>
  <Pages>43</Pages>
  <Words>7120</Words>
  <Characters>49988</Characters>
  <CharactersWithSpaces>56393</CharactersWithSpaces>
  <Paragraphs>792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2024-04-08T12:23:00Z</dcterms:created>
  <dc:creator>Быстров Олег Геннадьевич</dc:creator>
  <dc:description/>
  <dc:language>ru-RU</dc:language>
  <cp:lastModifiedBy>Илья Сергеевич Панферьев</cp:lastModifiedBy>
  <cp:lastPrinted>2025-06-25T16:41:00Z</cp:lastPrinted>
  <dcterms:modified xsi:type="dcterms:W3CDTF">2025-07-28T16:45:25Z</dcterms:modified>
  <cp:revision>158</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