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5812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Запрос технико коммерческого предложения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Fonts w:eastAsia="Calibri"/>
          <w:i w:val="false"/>
          <w:iCs w:val="false"/>
          <w:sz w:val="26"/>
          <w:szCs w:val="26"/>
        </w:rPr>
        <w:t>«</w:t>
      </w:r>
      <w:r>
        <w:rPr>
          <w:rStyle w:val="Style8"/>
          <w:rFonts w:eastAsia="Calibri"/>
          <w:i w:val="false"/>
          <w:iCs w:val="false"/>
          <w:sz w:val="26"/>
          <w:szCs w:val="26"/>
          <w:shd w:fill="auto" w:val="clear"/>
        </w:rPr>
        <w:t>ОКВЭД2 93.29.</w:t>
      </w:r>
      <w:r>
        <w:rPr>
          <w:rStyle w:val="Style8"/>
          <w:rFonts w:eastAsia="Calibri"/>
          <w:i w:val="false"/>
          <w:iCs w:val="false"/>
          <w:sz w:val="26"/>
          <w:szCs w:val="26"/>
          <w:shd w:fill="auto" w:val="clear"/>
        </w:rPr>
        <w:t>2</w:t>
      </w:r>
      <w:r>
        <w:rPr>
          <w:rStyle w:val="Style8"/>
          <w:rFonts w:eastAsia="Calibri"/>
          <w:i w:val="false"/>
          <w:iCs w:val="false"/>
          <w:sz w:val="26"/>
          <w:szCs w:val="26"/>
          <w:shd w:fill="auto" w:val="clear"/>
        </w:rPr>
        <w:t>9 Организация праздника в честь 55-летнего юбилея Кубанской ГЭС-2 «Энергия поколений</w:t>
      </w:r>
      <w:r>
        <w:rPr>
          <w:rFonts w:eastAsia="Calibri"/>
          <w:b/>
          <w:i w:val="false"/>
          <w:iCs w:val="false"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rStyle w:val="Style8"/>
          <w:rFonts w:eastAsia="Calibri"/>
          <w:b/>
          <w:i w:val="false"/>
          <w:i w:val="false"/>
          <w:iCs w:val="false"/>
          <w:sz w:val="26"/>
          <w:szCs w:val="26"/>
          <w:shd w:fill="auto" w:val="clear"/>
        </w:rPr>
      </w:pPr>
      <w:r>
        <w:rPr>
          <w:rFonts w:eastAsia="Calibri"/>
          <w:b/>
          <w:i w:val="false"/>
          <w:iCs w:val="false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646_2909764035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48_2909764035">
            <w:r>
              <w:rPr>
                <w:webHidden/>
                <w:rStyle w:val="Style14"/>
                <w:vanish w:val="false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50_2909764035">
            <w:r>
              <w:rPr>
                <w:webHidden/>
                <w:rStyle w:val="Style14"/>
                <w:vanish w:val="false"/>
              </w:rPr>
              <w:t>1.2.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52_2909764035">
            <w:r>
              <w:rPr>
                <w:webHidden/>
                <w:rStyle w:val="Style14"/>
                <w:vanish w:val="false"/>
              </w:rPr>
              <w:t>1.3.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56_2909764035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58_2909764035">
            <w:r>
              <w:rPr>
                <w:webHidden/>
                <w:rStyle w:val="Style14"/>
                <w:vanish w:val="false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60_2909764035">
            <w:r>
              <w:rPr>
                <w:webHidden/>
                <w:rStyle w:val="Style14"/>
                <w:vanish w:val="false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2_290976403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64_2909764035">
            <w:r>
              <w:rPr>
                <w:webHidden/>
                <w:rStyle w:val="Style14"/>
                <w:vanish w:val="false"/>
              </w:rPr>
              <w:t>2.1.2. Требования к срокам оказания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6_2909764035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68_2909764035">
            <w:r>
              <w:rPr>
                <w:webHidden/>
                <w:rStyle w:val="Style14"/>
                <w:vanish w:val="false"/>
              </w:rPr>
              <w:t>2.2. Требования к качеству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70_2909764035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4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3"/>
        <w:widowControl/>
        <w:tabs>
          <w:tab w:val="clear" w:pos="708"/>
          <w:tab w:val="right" w:pos="9921" w:leader="dot"/>
        </w:tabs>
        <w:suppressAutoHyphens w:val="true"/>
        <w:bidi w:val="0"/>
        <w:spacing w:before="0" w:after="0"/>
        <w:ind w:left="280" w:hanging="0"/>
        <w:jc w:val="left"/>
        <w:rPr/>
      </w:pPr>
      <w:r>
        <w:rPr/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_RefHeading___Toc1646_2909764035"/>
      <w:bookmarkStart w:id="1" w:name="_Toc54643694"/>
      <w:bookmarkEnd w:id="0"/>
      <w:r>
        <w:rPr>
          <w:sz w:val="24"/>
          <w:szCs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2" w:name="__RefHeading___Toc1648_2909764035"/>
      <w:bookmarkStart w:id="3" w:name="_Toc46743506"/>
      <w:bookmarkStart w:id="4" w:name="_Toc54643696"/>
      <w:bookmarkEnd w:id="2"/>
      <w:r>
        <w:rPr>
          <w:sz w:val="24"/>
          <w:szCs w:val="24"/>
        </w:rPr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/>
      </w:pPr>
      <w:bookmarkStart w:id="5" w:name="_Toc46743507"/>
      <w:r>
        <w:rPr>
          <w:rFonts w:eastAsia="Calibri"/>
          <w:i w:val="false"/>
          <w:iCs w:val="false"/>
          <w:sz w:val="24"/>
          <w:szCs w:val="24"/>
          <w:lang w:eastAsia="x-none"/>
        </w:rPr>
        <w:t>«</w:t>
      </w:r>
      <w:r>
        <w:rPr>
          <w:rStyle w:val="Style8"/>
          <w:rFonts w:eastAsia="Calibri" w:cs="Times New Roman"/>
          <w:b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ОКВЭД2 93.29.</w:t>
      </w:r>
      <w:r>
        <w:rPr>
          <w:rStyle w:val="Style8"/>
          <w:rFonts w:eastAsia="Calibri" w:cs="Times New Roman"/>
          <w:b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2</w:t>
      </w:r>
      <w:r>
        <w:rPr>
          <w:rStyle w:val="Style8"/>
          <w:rFonts w:eastAsia="Calibri" w:cs="Times New Roman"/>
          <w:b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9 Организация праздника в честь 55-летнего юбилея Кубанской ГЭС-2 «Энергия поколений</w:t>
      </w:r>
      <w:r>
        <w:rPr>
          <w:rFonts w:eastAsia="Calibri"/>
          <w:i w:val="false"/>
          <w:iCs w:val="false"/>
          <w:sz w:val="24"/>
          <w:szCs w:val="24"/>
          <w:lang w:eastAsia="x-none"/>
        </w:rPr>
        <w:t>».</w:t>
      </w:r>
      <w:bookmarkEnd w:id="5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6" w:name="__RefHeading___Toc1650_2909764035"/>
      <w:bookmarkEnd w:id="6"/>
      <w:r>
        <w:rPr>
          <w:sz w:val="24"/>
          <w:szCs w:val="24"/>
        </w:rPr>
        <w:t>Цель оказания услуг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Организация праздника в честь 55-летнего юбилея Кубанской ГЭС-2 «Энергия поколений» для нужд филиала ПАО «РусГидро»-«Каскад Кубанских ГЭС»</w:t>
      </w:r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7" w:name="__RefHeading___Toc1652_2909764035"/>
      <w:bookmarkStart w:id="8" w:name="_Hlk49857604"/>
      <w:bookmarkStart w:id="9" w:name="_Toc46743509"/>
      <w:bookmarkStart w:id="10" w:name="_Toc54643700"/>
      <w:bookmarkEnd w:id="7"/>
      <w:bookmarkEnd w:id="10"/>
      <w:r>
        <w:rPr>
          <w:sz w:val="24"/>
          <w:szCs w:val="24"/>
        </w:rPr>
        <w:t xml:space="preserve">Информация в отношении исполнения договора, </w:t>
      </w:r>
      <w:bookmarkStart w:id="11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11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8"/>
      <w:bookmarkEnd w:id="9"/>
    </w:p>
    <w:p>
      <w:pPr>
        <w:pStyle w:val="BodyText"/>
        <w:suppressAutoHyphens w:val="false"/>
        <w:spacing w:lineRule="auto" w:line="240"/>
        <w:ind w:left="0" w:right="0" w:firstLine="567"/>
        <w:jc w:val="both"/>
        <w:rPr>
          <w:sz w:val="24"/>
          <w:szCs w:val="24"/>
        </w:rPr>
      </w:pPr>
      <w:bookmarkStart w:id="12" w:name="__RefHeading___Toc1654_2909764035"/>
      <w:bookmarkEnd w:id="12"/>
      <w:r>
        <w:rPr>
          <w:rFonts w:eastAsia="Times New Roman" w:cs="Times New Roman"/>
          <w:color w:val="auto"/>
          <w:sz w:val="24"/>
          <w:szCs w:val="24"/>
          <w:lang w:val="ru-RU" w:eastAsia="ru-RU" w:bidi="ar-SA"/>
        </w:rPr>
        <w:t>Меню и порядок проводимого мероприятия согласовывается Исполнителем с Заказчиком в момент подачи заявки на проведение мероприятия, согласно указанному в Заявке количеству человек, времени и месту проведения мероприятия. Корректировка Исполнителем меню проводимого мероприятия в обязательном порядке согласовывается с Заказчиком (уполномоченным представителем).</w:t>
      </w:r>
      <w:bookmarkStart w:id="13" w:name="_Toc50125126"/>
      <w:bookmarkStart w:id="14" w:name="_Hlk48209761"/>
      <w:bookmarkEnd w:id="14"/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5" w:name="__RefHeading___Toc1656_2909764035"/>
      <w:bookmarkStart w:id="16" w:name="_Toc51339693"/>
      <w:bookmarkStart w:id="17" w:name="_Toc54643702"/>
      <w:bookmarkEnd w:id="15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18" w:name="__RefHeading___Toc1658_2909764035"/>
      <w:bookmarkStart w:id="19" w:name="_Toc54643703"/>
      <w:bookmarkEnd w:id="18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оказания услуг</w:t>
      </w:r>
      <w:bookmarkEnd w:id="19"/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20" w:name="__RefHeading___Toc1660_2909764035"/>
      <w:bookmarkStart w:id="21" w:name="_Toc54643704"/>
      <w:bookmarkEnd w:id="20"/>
      <w:r>
        <w:rPr>
          <w:sz w:val="24"/>
          <w:szCs w:val="24"/>
          <w:lang w:val="ru-RU"/>
        </w:rPr>
        <w:t>Требования к перечню и объему услуг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22" w:name="__RefHeading___Toc1662_2909764035"/>
      <w:bookmarkStart w:id="23" w:name="_Toc54643705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оказываемых услуг</w:t>
      </w:r>
      <w:bookmarkEnd w:id="2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en-US"/>
              </w:rPr>
              <w:t>Организация праздника в честь 55-летнего юбилея Кубанской ГЭС-2 «Энергия поколений»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усл. ед.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25" w:name="__RefHeading___Toc1664_2909764035"/>
      <w:bookmarkStart w:id="26" w:name="_Toc54643706"/>
      <w:bookmarkStart w:id="27" w:name="_Toc51339696"/>
      <w:bookmarkEnd w:id="25"/>
      <w:r>
        <w:rPr>
          <w:sz w:val="24"/>
          <w:szCs w:val="24"/>
          <w:lang w:val="ru-RU"/>
        </w:rPr>
        <w:t xml:space="preserve">Требования </w:t>
      </w:r>
      <w:bookmarkEnd w:id="27"/>
      <w:r>
        <w:rPr>
          <w:sz w:val="24"/>
          <w:szCs w:val="24"/>
          <w:lang w:val="ru-RU"/>
        </w:rPr>
        <w:t>к срокам оказания услуг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28" w:name="__RefHeading___Toc1666_2909764035"/>
      <w:bookmarkStart w:id="29" w:name="_Toc54643707"/>
      <w:bookmarkStart w:id="30" w:name="_Toc50125127"/>
      <w:bookmarkStart w:id="31" w:name="_Toc51339697"/>
      <w:bookmarkEnd w:id="13"/>
      <w:bookmarkEnd w:id="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0"/>
      <w:bookmarkEnd w:id="31"/>
      <w:bookmarkEnd w:id="32"/>
      <w:r>
        <w:rPr>
          <w:sz w:val="24"/>
          <w:szCs w:val="24"/>
          <w:lang w:val="ru-RU"/>
        </w:rPr>
        <w:t>оказания услуг</w:t>
      </w:r>
      <w:bookmarkEnd w:id="2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31"/>
        <w:gridCol w:w="3525"/>
        <w:gridCol w:w="2552"/>
        <w:gridCol w:w="2967"/>
      </w:tblGrid>
      <w:tr>
        <w:trPr/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en-US"/>
              </w:rPr>
              <w:t>Организация праздника в честь 55-летнего юбилея Кубанской ГЭС-2 «Энергия поколений»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25.11.2026г.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33" w:name="__RefHeading___Toc1668_2909764035"/>
      <w:bookmarkStart w:id="34" w:name="_Toc54643709"/>
      <w:bookmarkStart w:id="35" w:name="_Toc51339698"/>
      <w:bookmarkStart w:id="36" w:name="_Toc54643708"/>
      <w:bookmarkStart w:id="37" w:name="_Toc46743511"/>
      <w:bookmarkEnd w:id="33"/>
      <w:r>
        <w:rPr>
          <w:sz w:val="24"/>
          <w:szCs w:val="24"/>
        </w:rPr>
        <w:t xml:space="preserve">Требования к </w:t>
      </w:r>
      <w:bookmarkEnd w:id="37"/>
      <w:r>
        <w:rPr>
          <w:sz w:val="24"/>
          <w:szCs w:val="24"/>
          <w:lang w:val="ru-RU"/>
        </w:rPr>
        <w:t>качеству услуг</w:t>
      </w:r>
      <w:bookmarkEnd w:id="36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38" w:name="__RefHeading___Toc1670_2909764035"/>
      <w:bookmarkEnd w:id="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5"/>
      <w:r>
        <w:rPr>
          <w:sz w:val="24"/>
          <w:szCs w:val="24"/>
          <w:lang w:val="ru-RU"/>
        </w:rPr>
        <w:t>качеству услуг</w:t>
      </w:r>
      <w:bookmarkEnd w:id="34"/>
      <w:r>
        <w:rPr>
          <w:sz w:val="24"/>
          <w:szCs w:val="24"/>
        </w:rPr>
        <w:t xml:space="preserve"> </w:t>
      </w:r>
    </w:p>
    <w:p>
      <w:pPr>
        <w:pStyle w:val="Normal"/>
        <w:rPr/>
      </w:pPr>
      <w:r>
        <w:rPr>
          <w:b/>
          <w:bCs/>
          <w:i w:val="false"/>
          <w:iCs w:val="false"/>
          <w:sz w:val="24"/>
          <w:szCs w:val="24"/>
        </w:rPr>
        <w:t xml:space="preserve">Наименование услуг/этапа услуг (позиция № </w:t>
      </w:r>
      <w:r>
        <w:rPr>
          <w:rStyle w:val="Style8"/>
          <w:b/>
          <w:bCs/>
          <w:i w:val="false"/>
          <w:iCs w:val="false"/>
          <w:sz w:val="24"/>
          <w:szCs w:val="24"/>
          <w:shd w:fill="auto" w:val="clear"/>
        </w:rPr>
        <w:t xml:space="preserve">1 </w:t>
      </w:r>
      <w:r>
        <w:rPr>
          <w:b/>
          <w:bCs/>
          <w:i w:val="false"/>
          <w:iCs w:val="false"/>
          <w:sz w:val="24"/>
          <w:szCs w:val="24"/>
        </w:rPr>
        <w:t>Таблицы 2):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Организация праздника в честь 55-летнего юбилея Кубанской ГЭС-2 «Энергия поколений»</w:t>
      </w:r>
    </w:p>
    <w:tbl>
      <w:tblPr>
        <w:tblStyle w:val="af"/>
        <w:tblW w:w="148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8"/>
        <w:gridCol w:w="4250"/>
        <w:gridCol w:w="2287"/>
        <w:gridCol w:w="3038"/>
        <w:gridCol w:w="2193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2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3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2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3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9"/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2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287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3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287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3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1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suppressAutoHyphens w:val="false"/>
              <w:jc w:val="both"/>
              <w:rPr>
                <w:sz w:val="24"/>
                <w:szCs w:val="24"/>
              </w:rPr>
            </w:pPr>
            <w:bookmarkStart w:id="40" w:name="__RefHeading___Toc1672_2909764035"/>
            <w:bookmarkEnd w:id="40"/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eastAsia="ru-RU" w:bidi="ar-SA"/>
              </w:rPr>
              <w:t>1. Время проведения – с 09.00 до 20.00 часов.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eastAsia="ru-RU" w:bidi="ar-SA"/>
              </w:rPr>
              <w:t>3. Праздничное оформление территории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eastAsia="ru-RU" w:bidi="ar-SA"/>
              </w:rPr>
              <w:t>2. Праздничное оформление фойе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eastAsia="ru-RU" w:bidi="ar-SA"/>
              </w:rPr>
              <w:t xml:space="preserve">3. Обеспечение работы технического персонала 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eastAsia="ru-RU" w:bidi="ar-SA"/>
              </w:rPr>
              <w:t>4. Музыкальное сопровождение фуршета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5. Праздничное оформление закусок в соответствии с утвержденным меню (бутерброды, закуски, чай, кофе и т.п. для не менее 100 чел.)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Доставка необходимых для оформления территории и помещений материалов производится силами Исполнителя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 xml:space="preserve">6. Допуск персонала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Исполнителя в Административное здание управления</w:t>
            </w:r>
            <w:r>
              <w:rPr>
                <w:sz w:val="24"/>
                <w:szCs w:val="24"/>
                <w:shd w:fill="auto" w:val="clear"/>
              </w:rPr>
              <w:t xml:space="preserve"> осуществляется в соответствии с Положением о пропускном и внутриобъектовом режимах в административных зданиях ПАО «РусГидро»</w:t>
            </w:r>
          </w:p>
          <w:p>
            <w:pPr>
              <w:pStyle w:val="Normal"/>
              <w:widowControl w:val="false"/>
              <w:suppressAutoHyphens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 xml:space="preserve">(приложение к приказу ПАО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«РусГидро» от 07.12.21 №1117)</w:t>
            </w:r>
          </w:p>
        </w:tc>
        <w:tc>
          <w:tcPr>
            <w:tcW w:w="22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38" w:type="dxa"/>
            <w:tcBorders/>
            <w:shd w:color="auto" w:fill="auto" w:val="clear"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287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3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Предоставление по окончании оказания услуг Акта оказанных услуг по форме Приложения № 3 к Договору</w:t>
            </w:r>
          </w:p>
        </w:tc>
        <w:tc>
          <w:tcPr>
            <w:tcW w:w="22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93" w:type="dxa"/>
            <w:tcBorders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numPr>
          <w:ilvl w:val="0"/>
          <w:numId w:val="0"/>
        </w:numPr>
        <w:ind w:left="0" w:hanging="0"/>
        <w:jc w:val="both"/>
        <w:rPr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LineNumber">
    <w:name w:val="Line Number"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Application>AlterOffice/3.4.0.9$Linux_X86_64 LibreOffice_project/b8daf9e823b1a5463a2f48435ddc2e8696e7d4fc</Application>
  <AppVersion>15.0000</AppVersion>
  <Pages>5</Pages>
  <Words>544</Words>
  <Characters>3409</Characters>
  <CharactersWithSpaces>3848</CharactersWithSpaces>
  <Paragraphs>101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Иван Анатольевич Лебедев</cp:lastModifiedBy>
  <cp:lastPrinted>2026-10-08T16:04:45Z</cp:lastPrinted>
  <dcterms:modified xsi:type="dcterms:W3CDTF">2026-10-09T16:02:22Z</dcterms:modified>
  <cp:revision>41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