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41696704"/>
      <w:bookmarkStart w:id="1" w:name="_Toc137554584"/>
      <w:bookmarkStart w:id="2" w:name="_Toc139856287"/>
      <w:bookmarkStart w:id="3" w:name="_Toc141696704"/>
      <w:bookmarkStart w:id="4" w:name="_Toc13755458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6" w:name="_Toc141696704"/>
      <w:bookmarkStart w:id="7" w:name="_Toc137554584"/>
      <w:bookmarkStart w:id="8" w:name="_Toc139856287"/>
      <w:bookmarkStart w:id="9" w:name="_Toc141696704"/>
      <w:bookmarkStart w:id="10" w:name="_Toc137554584"/>
      <w:bookmarkStart w:id="11" w:name="_Toc139856287"/>
      <w:bookmarkEnd w:id="9"/>
      <w:bookmarkEnd w:id="10"/>
      <w:bookmarkEnd w:id="11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sz w:val="26"/>
          <w:szCs w:val="26"/>
        </w:rPr>
      </w:pPr>
      <w:r>
        <w:rPr>
          <w:rFonts w:eastAsia="Calibri"/>
          <w:sz w:val="26"/>
          <w:szCs w:val="26"/>
        </w:rPr>
        <w:t>ОКПД 2: 28.92.27 Поставка экскаватора-погрузчика для нужд Камчатского филиала АО «ТК РусГидро»</w:t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6"/>
          <w:szCs w:val="26"/>
        </w:rPr>
      </w:pPr>
      <w:r>
        <w:rPr>
          <w:rFonts w:eastAsia="Calibri"/>
          <w:sz w:val="26"/>
          <w:szCs w:val="26"/>
        </w:rPr>
        <w:t xml:space="preserve">Лот № 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0"/>
        </w:numPr>
        <w:ind w:hanging="0" w:left="5038"/>
        <w:rPr/>
      </w:pPr>
      <w:r>
        <w:rPr/>
      </w:r>
      <w:bookmarkStart w:id="12" w:name="_Toc75446566"/>
      <w:bookmarkStart w:id="13" w:name="_Toc51339692"/>
      <w:bookmarkStart w:id="14" w:name="_Toc75446566"/>
      <w:bookmarkStart w:id="15" w:name="_Toc51339692"/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PMingLiU" w:cs="Times New Roman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rFonts w:cs="Times New Roman"/>
            </w:rPr>
            <w:instrText xml:space="preserve"> TOC \z \o "1-4" \u \h</w:instrText>
          </w:r>
          <w:r>
            <w:rPr>
              <w:webHidden/>
              <w:rStyle w:val="Style14"/>
              <w:rFonts w:cs="Times New Roman"/>
            </w:rPr>
            <w:fldChar w:fldCharType="separate"/>
          </w:r>
          <w:hyperlink w:anchor="_Toc120695196">
            <w:r>
              <w:rPr>
                <w:webHidden/>
                <w:rStyle w:val="Style14"/>
                <w:rFonts w:cs="Times New Roman"/>
              </w:rPr>
              <w:t>1.</w:t>
            </w:r>
            <w:r>
              <w:rPr>
                <w:rStyle w:val="Style14"/>
                <w:rFonts w:eastAsia="PMingLiU" w:cs="Times New Roman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_Toc120695196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>…………………………………………………………………………………3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PMingLiU" w:cs="Times New Roman"/>
              <w:sz w:val="24"/>
              <w:szCs w:val="24"/>
            </w:rPr>
          </w:pPr>
          <w:hyperlink w:anchor="_Toc120695197">
            <w:r>
              <w:rPr>
                <w:webHidden/>
                <w:rStyle w:val="Style14"/>
                <w:rFonts w:cs="Times New Roman"/>
                <w:iCs/>
                <w:sz w:val="24"/>
                <w:szCs w:val="24"/>
              </w:rPr>
              <w:t>1.1.</w:t>
            </w:r>
            <w:r>
              <w:rPr>
                <w:rStyle w:val="Style14"/>
                <w:rFonts w:eastAsia="PMingLiU" w:cs="Times New Roman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_Toc120695197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>……………………………………………………………….3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PMingLiU" w:cs="Times New Roman"/>
              <w:sz w:val="24"/>
              <w:szCs w:val="24"/>
            </w:rPr>
          </w:pPr>
          <w:hyperlink w:anchor="_Toc120695198">
            <w:r>
              <w:rPr>
                <w:webHidden/>
                <w:rStyle w:val="Style14"/>
                <w:rFonts w:cs="Times New Roman"/>
                <w:iCs/>
                <w:sz w:val="24"/>
                <w:szCs w:val="24"/>
              </w:rPr>
              <w:t>1.2.</w:t>
            </w:r>
            <w:r>
              <w:rPr>
                <w:rStyle w:val="Style14"/>
                <w:rFonts w:eastAsia="PMingLiU" w:cs="Times New Roman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Наименование закупаемой продукции</w:t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>…………………………………………………...</w:t>
            </w:r>
          </w:hyperlink>
          <w:r>
            <w:rPr>
              <w:rFonts w:cs="Times New Roman"/>
              <w:sz w:val="24"/>
              <w:szCs w:val="24"/>
            </w:rPr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PMingLiU" w:cs="Times New Roman"/>
              <w:sz w:val="24"/>
              <w:szCs w:val="24"/>
            </w:rPr>
          </w:pPr>
          <w:hyperlink w:anchor="_Toc120695199">
            <w:r>
              <w:rPr>
                <w:webHidden/>
                <w:rStyle w:val="Style14"/>
                <w:rFonts w:cs="Times New Roman"/>
                <w:iCs/>
                <w:sz w:val="24"/>
                <w:szCs w:val="24"/>
              </w:rPr>
              <w:t>1.3.</w:t>
            </w:r>
            <w:r>
              <w:rPr>
                <w:rStyle w:val="Style14"/>
                <w:rFonts w:eastAsia="PMingLiU" w:cs="Times New Roman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_Toc120695199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>…………………………………………….4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PMingLiU" w:cs="Times New Roman"/>
              <w:b w:val="false"/>
              <w:bCs w:val="false"/>
            </w:rPr>
          </w:pPr>
          <w:hyperlink w:anchor="_Toc120695203">
            <w:r>
              <w:rPr>
                <w:webHidden/>
                <w:rStyle w:val="Style14"/>
                <w:rFonts w:cs="Times New Roman"/>
              </w:rPr>
              <w:t>2.</w:t>
            </w:r>
            <w:r>
              <w:rPr>
                <w:rStyle w:val="Style14"/>
                <w:rFonts w:eastAsia="PMingLiU" w:cs="Times New Roman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_Toc120695203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PMingLiU" w:cs="Times New Roman"/>
              <w:sz w:val="24"/>
              <w:szCs w:val="24"/>
            </w:rPr>
          </w:pPr>
          <w:hyperlink w:anchor="_Toc120695204">
            <w:r>
              <w:rPr>
                <w:webHidden/>
                <w:rStyle w:val="Style14"/>
                <w:rFonts w:cs="Times New Roman"/>
                <w:iCs/>
                <w:sz w:val="24"/>
                <w:szCs w:val="24"/>
              </w:rPr>
              <w:t>2.1.</w:t>
            </w:r>
            <w:r>
              <w:rPr>
                <w:rStyle w:val="Style14"/>
                <w:rFonts w:eastAsia="PMingLiU" w:cs="Times New Roman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_Toc120695204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PMingLiU" w:cs="Times New Roman"/>
              <w:sz w:val="24"/>
              <w:szCs w:val="24"/>
            </w:rPr>
          </w:pPr>
          <w:hyperlink w:anchor="_Toc120695205">
            <w:r>
              <w:rPr>
                <w:webHidden/>
                <w:rStyle w:val="Style14"/>
                <w:rFonts w:cs="Times New Roman"/>
                <w:sz w:val="24"/>
                <w:szCs w:val="24"/>
              </w:rPr>
              <w:t>2.1.1.</w:t>
            </w:r>
            <w:r>
              <w:rPr>
                <w:rStyle w:val="Style14"/>
                <w:rFonts w:eastAsia="PMingLiU" w:cs="Times New Roman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_Toc120695205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PMingLiU" w:cs="Times New Roman"/>
              <w:b w:val="false"/>
              <w:bCs w:val="false"/>
            </w:rPr>
          </w:pPr>
          <w:hyperlink w:anchor="_Toc120695206">
            <w:r>
              <w:rPr>
                <w:webHidden/>
                <w:rStyle w:val="Style14"/>
                <w:rFonts w:cs="Times New Roman"/>
              </w:rPr>
              <w:t>Таблица 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_Toc120695206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PMingLiU" w:cs="Times New Roman"/>
              <w:sz w:val="24"/>
              <w:szCs w:val="24"/>
            </w:rPr>
          </w:pPr>
          <w:hyperlink w:anchor="_Toc120695208">
            <w:r>
              <w:rPr>
                <w:webHidden/>
                <w:rStyle w:val="Style14"/>
                <w:rFonts w:cs="Times New Roman"/>
                <w:sz w:val="24"/>
                <w:szCs w:val="24"/>
              </w:rPr>
              <w:t>2.1.2.</w:t>
            </w:r>
            <w:r>
              <w:rPr>
                <w:rStyle w:val="Style14"/>
                <w:rFonts w:eastAsia="PMingLiU" w:cs="Times New Roman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_Toc120695208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b/>
                <w:vanish w:val="false"/>
                <w:sz w:val="24"/>
                <w:szCs w:val="2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PMingLiU" w:cs="Times New Roman"/>
              <w:b w:val="false"/>
              <w:bCs w:val="false"/>
            </w:rPr>
          </w:pPr>
          <w:hyperlink w:anchor="_Toc120695209">
            <w:r>
              <w:rPr>
                <w:webHidden/>
                <w:rStyle w:val="Style14"/>
                <w:rFonts w:cs="Times New Roman"/>
              </w:rPr>
              <w:t>Таблица 2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_Toc120695209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cs="Times New Roman"/>
              <w:b/>
              <w:sz w:val="24"/>
              <w:szCs w:val="24"/>
            </w:rPr>
          </w:pPr>
          <w:hyperlink w:anchor="_Toc120695210">
            <w:r>
              <w:rPr>
                <w:webHidden/>
                <w:rStyle w:val="Style14"/>
                <w:rFonts w:cs="Times New Roman"/>
                <w:iCs/>
                <w:sz w:val="24"/>
                <w:szCs w:val="24"/>
              </w:rPr>
              <w:t>2.2.</w:t>
            </w:r>
            <w:r>
              <w:rPr>
                <w:rStyle w:val="Style14"/>
                <w:rFonts w:eastAsia="PMingLiU" w:cs="Times New Roman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качеству продукции</w:t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_Toc120695210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b/>
                <w:vanish w:val="false"/>
                <w:sz w:val="24"/>
                <w:szCs w:val="24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eastAsia="PMingLiU"/>
              <w:b/>
              <w:sz w:val="24"/>
              <w:szCs w:val="24"/>
            </w:rPr>
          </w:pPr>
          <w:r>
            <w:rPr>
              <w:rFonts w:eastAsia="PMingLiU"/>
              <w:b/>
              <w:sz w:val="24"/>
              <w:szCs w:val="24"/>
            </w:rPr>
            <w:t>Таблица 3 Требования к качеству продукции …………………………………………………...6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cs="Times New Roman"/>
            </w:rPr>
          </w:pPr>
          <w:hyperlink w:anchor="_Toc120695213">
            <w:r>
              <w:rPr>
                <w:webHidden/>
                <w:rStyle w:val="Style14"/>
                <w:rFonts w:cs="Times New Roman"/>
              </w:rPr>
              <w:t>3.</w:t>
            </w:r>
            <w:r>
              <w:rPr>
                <w:rStyle w:val="Style14"/>
                <w:rFonts w:eastAsia="PMingLiU" w:cs="Times New Roman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_Toc120695213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spacing w:before="0" w:after="120"/>
            <w:rPr>
              <w:rFonts w:eastAsia="Calibri"/>
              <w:b/>
              <w:sz w:val="24"/>
              <w:szCs w:val="24"/>
              <w:lang w:eastAsia="x-none"/>
            </w:rPr>
          </w:pPr>
          <w:r>
            <w:rPr>
              <w:rFonts w:eastAsia="Calibri"/>
              <w:b/>
              <w:sz w:val="24"/>
              <w:szCs w:val="24"/>
              <w:lang w:eastAsia="x-none"/>
            </w:rPr>
          </w:r>
        </w:p>
        <w:p>
          <w:pPr>
            <w:pStyle w:val="Normal"/>
            <w:spacing w:before="0" w:after="120"/>
            <w:rPr>
              <w:rFonts w:eastAsia="Calibri"/>
              <w:b/>
              <w:sz w:val="24"/>
              <w:szCs w:val="24"/>
              <w:lang w:eastAsia="x-none"/>
            </w:rPr>
          </w:pPr>
          <w:r>
            <w:rPr>
              <w:rFonts w:eastAsia="Calibri"/>
              <w:b/>
              <w:sz w:val="24"/>
              <w:szCs w:val="24"/>
              <w:lang w:eastAsia="x-none"/>
            </w:rPr>
            <w:t xml:space="preserve">4. </w:t>
          </w:r>
          <w:r>
            <w:rPr>
              <w:rFonts w:eastAsia="Calibri"/>
              <w:b/>
              <w:sz w:val="24"/>
              <w:szCs w:val="24"/>
              <w:lang w:val="x-none" w:eastAsia="x-none"/>
            </w:rPr>
            <w:t>Требования к документации по ценообразованию на этапе заключения (исполнения) договора</w:t>
          </w:r>
          <w:r>
            <w:rPr>
              <w:rFonts w:eastAsia="Calibri"/>
              <w:b/>
              <w:sz w:val="24"/>
              <w:szCs w:val="24"/>
              <w:lang w:eastAsia="x-none"/>
            </w:rPr>
            <w:t>……………………………………………………………………………………………….20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PMingLiU" w:cs="Times New Roman"/>
              <w:sz w:val="24"/>
              <w:szCs w:val="24"/>
            </w:rPr>
          </w:pPr>
          <w:r>
            <w:rPr/>
          </w:r>
          <w:r>
            <w:rPr/>
            <w:fldChar w:fldCharType="end"/>
          </w:r>
        </w:p>
      </w:sdtContent>
    </w:sdt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numPr>
          <w:ilvl w:val="0"/>
          <w:numId w:val="3"/>
        </w:numPr>
        <w:ind w:hanging="0" w:left="0"/>
        <w:rPr>
          <w:caps/>
        </w:rPr>
      </w:pPr>
      <w:bookmarkStart w:id="16" w:name="_Toc75446566"/>
      <w:bookmarkStart w:id="17" w:name="_Toc51339692"/>
      <w:r>
        <w:rPr/>
        <w:t>Общие сведения</w:t>
      </w:r>
      <w:bookmarkEnd w:id="16"/>
      <w:bookmarkEnd w:id="17"/>
    </w:p>
    <w:p>
      <w:pPr>
        <w:pStyle w:val="Heading4"/>
        <w:numPr>
          <w:ilvl w:val="1"/>
          <w:numId w:val="3"/>
        </w:numPr>
        <w:ind w:hanging="0" w:left="0"/>
        <w:rPr>
          <w:rStyle w:val="Style8"/>
          <w:b/>
          <w:i w:val="false"/>
          <w:i w:val="false"/>
          <w:shd w:fill="auto" w:val="clear"/>
        </w:rPr>
      </w:pPr>
      <w:bookmarkStart w:id="18" w:name="_Toc75446567"/>
      <w:bookmarkStart w:id="19" w:name="_Toc46743505"/>
      <w:r>
        <w:rPr/>
        <w:t>Обозначения и сокращения</w:t>
      </w:r>
      <w:bookmarkEnd w:id="18"/>
      <w:bookmarkEnd w:id="19"/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41"/>
        <w:gridCol w:w="7441"/>
      </w:tblGrid>
      <w:tr>
        <w:trPr>
          <w:trHeight w:val="358" w:hRule="atLeast"/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«ТК РусГидро»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Акционерное общество «Транспортная компания РусГидро»</w:t>
            </w:r>
          </w:p>
        </w:tc>
      </w:tr>
      <w:tr>
        <w:trPr>
          <w:trHeight w:val="358" w:hRule="atLeast"/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</w:tr>
      <w:tr>
        <w:trPr>
          <w:trHeight w:val="358" w:hRule="atLeast"/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358" w:hRule="atLeast"/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VIN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Идентификационный номер транспортного средства</w:t>
            </w:r>
          </w:p>
        </w:tc>
      </w:tr>
      <w:tr>
        <w:trPr>
          <w:trHeight w:val="251" w:hRule="atLeast"/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Проект договора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ТР ТС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Технический регламент Таможенного союза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ФЗ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Федеральный закон Российской Федерации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Постановление Правительства Российской Федерации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Государственный стандарт 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 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335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Коробка переключения передач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ГЛОНАСС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Глобальная навигационная спутниковая система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СанПин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Санитарные нормы и правила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ПСМ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Паспорт самоходной машины</w:t>
            </w:r>
          </w:p>
        </w:tc>
      </w:tr>
      <w:tr>
        <w:trPr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ЭПСМ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Электронный паспорт самоходной машины</w:t>
            </w:r>
          </w:p>
        </w:tc>
      </w:tr>
      <w:tr>
        <w:trPr>
          <w:trHeight w:val="70" w:hRule="atLeast"/>
          <w:cantSplit w:val="true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МЧС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bookmarkStart w:id="20" w:name="_Toc46743506"/>
      <w:bookmarkStart w:id="21" w:name="_Toc46743506"/>
      <w:r>
        <w:br w:type="page"/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22" w:name="_Toc46743506"/>
      <w:bookmarkStart w:id="23" w:name="_Toc75446568"/>
      <w:r>
        <w:rPr/>
        <w:t>Наименование закупаемой продукции</w:t>
      </w:r>
      <w:bookmarkEnd w:id="22"/>
      <w:bookmarkEnd w:id="2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426"/>
        <w:jc w:val="both"/>
        <w:rPr>
          <w:i/>
          <w:i/>
          <w:sz w:val="24"/>
          <w:szCs w:val="24"/>
        </w:rPr>
      </w:pPr>
      <w:r>
        <w:rPr>
          <w:rFonts w:eastAsia="Calibri"/>
          <w:sz w:val="24"/>
          <w:szCs w:val="24"/>
        </w:rPr>
        <w:t>ОКПД 2: 28.92.27 Поставка экскаватора-погрузчика для нужд Камчатского филиала АО «ТК РусГидро»</w:t>
      </w:r>
      <w:r>
        <w:rPr>
          <w:sz w:val="24"/>
          <w:szCs w:val="24"/>
        </w:rPr>
        <w:t>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24" w:name="_Toc75446569"/>
      <w:bookmarkStart w:id="25" w:name="_Toc46743507"/>
      <w:r>
        <w:rPr/>
        <w:t xml:space="preserve">Цель </w:t>
      </w:r>
      <w:bookmarkEnd w:id="25"/>
      <w:r>
        <w:rPr/>
        <w:t>использования закупаемой продукции</w:t>
      </w:r>
      <w:bookmarkEnd w:id="2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sz w:val="24"/>
          <w:szCs w:val="24"/>
        </w:rPr>
        <w:tab/>
        <w:t>Обеспечение подвижным составом Камчатского Филиала АО «ТК РусГидро» в целях исполнения обязательств по договору оказания транспортных услуг.</w:t>
      </w:r>
    </w:p>
    <w:p>
      <w:pPr>
        <w:pStyle w:val="Heading4"/>
        <w:numPr>
          <w:ilvl w:val="1"/>
          <w:numId w:val="3"/>
        </w:numPr>
        <w:ind w:hanging="0" w:left="0"/>
        <w:rPr>
          <w:rStyle w:val="Style8"/>
          <w:b/>
          <w:lang w:val="ru-RU"/>
        </w:rPr>
      </w:pPr>
      <w:bookmarkStart w:id="26" w:name="_Toc75446571"/>
      <w:bookmarkStart w:id="27" w:name="_Hlk49857604"/>
      <w:bookmarkStart w:id="28" w:name="_Toc46743509"/>
      <w:r>
        <w:rPr/>
        <w:t xml:space="preserve">Информация в отношении исполнения договора, </w:t>
      </w:r>
      <w:bookmarkStart w:id="29" w:name="_Hlk46492347"/>
      <w:r>
        <w:rPr/>
        <w:t xml:space="preserve">которая должна быть учтена при подготовке заявки </w:t>
      </w:r>
      <w:bookmarkEnd w:id="29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Start w:id="30" w:name="_Hlk48209761"/>
      <w:bookmarkEnd w:id="26"/>
      <w:bookmarkEnd w:id="27"/>
      <w:bookmarkEnd w:id="28"/>
    </w:p>
    <w:p>
      <w:pPr>
        <w:pStyle w:val="Heading3"/>
        <w:numPr>
          <w:ilvl w:val="2"/>
          <w:numId w:val="3"/>
        </w:numPr>
        <w:ind w:hanging="0" w:left="0"/>
        <w:rPr>
          <w:b w:val="false"/>
        </w:rPr>
      </w:pPr>
      <w:r>
        <w:rPr>
          <w:b w:val="false"/>
        </w:rPr>
        <w:t>Поставляемая Продукция, должна иметь сертификат одобрения типа транспортного средства, выданного органом сертификации транспортных средств Российской Федерации (в составе предложения, участник представляет копию указанного сертификата).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31" w:name="_Toc46743510"/>
      <w:bookmarkStart w:id="32" w:name="_Toc50125126"/>
      <w:bookmarkStart w:id="33" w:name="_Toc75446572"/>
      <w:bookmarkEnd w:id="30"/>
      <w:bookmarkEnd w:id="31"/>
      <w:bookmarkEnd w:id="32"/>
      <w:r>
        <w:rPr/>
        <w:t>Иные требования и сведения общего характера</w:t>
      </w:r>
      <w:bookmarkEnd w:id="33"/>
    </w:p>
    <w:p>
      <w:pPr>
        <w:pStyle w:val="Heading3"/>
        <w:numPr>
          <w:ilvl w:val="2"/>
          <w:numId w:val="3"/>
        </w:numPr>
        <w:ind w:hanging="0" w:left="0"/>
        <w:rPr>
          <w:b w:val="false"/>
        </w:rPr>
      </w:pPr>
      <w:r>
        <w:rPr>
          <w:b w:val="false"/>
        </w:rPr>
        <w:t>Продукция должна быть новой и ранее не используемой.</w:t>
      </w:r>
    </w:p>
    <w:p>
      <w:pPr>
        <w:pStyle w:val="Heading3"/>
        <w:numPr>
          <w:ilvl w:val="2"/>
          <w:numId w:val="3"/>
        </w:numPr>
        <w:ind w:hanging="0" w:left="0"/>
        <w:rPr>
          <w:b w:val="false"/>
        </w:rPr>
      </w:pPr>
      <w:r>
        <w:rPr>
          <w:b w:val="false"/>
        </w:rPr>
        <w:t>В случае указания в настоящих ТТ (включая приложения к ним) товарных знаков, марок, производителей, Участник вправе предложить эквиваленты с характеристиками, соответствующими заявленным в Таблице 3.</w:t>
      </w:r>
    </w:p>
    <w:p>
      <w:pPr>
        <w:pStyle w:val="Heading3"/>
        <w:numPr>
          <w:ilvl w:val="2"/>
          <w:numId w:val="3"/>
        </w:numPr>
        <w:ind w:hanging="0" w:left="0"/>
        <w:rPr>
          <w:b w:val="false"/>
        </w:rPr>
      </w:pPr>
      <w:r>
        <w:rPr>
          <w:b w:val="false"/>
        </w:rPr>
        <w:t>Всё дополнительное оборудование должно быть установлено на ТС, иметь срок гарантии не менее срока гарантии завода изготовителя ТС, быть в рабочем состоянии. В сервисной книжке должны быть сделаны соответствующие отметки об установленном доп. оборудовании.</w:t>
      </w:r>
    </w:p>
    <w:p>
      <w:pPr>
        <w:pStyle w:val="Heading3"/>
        <w:numPr>
          <w:ilvl w:val="2"/>
          <w:numId w:val="3"/>
        </w:numPr>
        <w:ind w:hanging="0" w:left="0"/>
        <w:rPr>
          <w:b w:val="false"/>
        </w:rPr>
      </w:pPr>
      <w:r>
        <w:rPr>
          <w:b w:val="false"/>
        </w:rPr>
        <w:t>Поставщику необходимо выполнить предпродажную подготовку (протяжка, проверка всех уровней жидкостей и т.д.), подтвердить выполнение работ по гарантийному и предпродажному обслуживанию поставляемой Продукции на любом авторизованном техническом центре.</w:t>
      </w:r>
    </w:p>
    <w:p>
      <w:pPr>
        <w:pStyle w:val="Heading1"/>
        <w:numPr>
          <w:ilvl w:val="0"/>
          <w:numId w:val="3"/>
        </w:numPr>
        <w:ind w:hanging="283" w:left="3402"/>
        <w:rPr>
          <w:caps/>
          <w:lang w:val="ru-RU"/>
        </w:rPr>
      </w:pPr>
      <w:bookmarkStart w:id="34" w:name="_Toc75446573"/>
      <w:bookmarkStart w:id="35" w:name="_Toc51339693"/>
      <w:r>
        <w:rPr/>
        <w:t>Требования к продукции</w:t>
      </w:r>
      <w:bookmarkEnd w:id="34"/>
      <w:bookmarkEnd w:id="35"/>
    </w:p>
    <w:p>
      <w:pPr>
        <w:pStyle w:val="Heading4"/>
        <w:numPr>
          <w:ilvl w:val="1"/>
          <w:numId w:val="3"/>
        </w:numPr>
        <w:ind w:hanging="0" w:left="0"/>
        <w:rPr/>
      </w:pPr>
      <w:bookmarkStart w:id="3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6"/>
    </w:p>
    <w:p>
      <w:pPr>
        <w:pStyle w:val="Heading3"/>
        <w:numPr>
          <w:ilvl w:val="2"/>
          <w:numId w:val="3"/>
        </w:numPr>
        <w:ind w:hanging="0" w:left="0"/>
        <w:rPr/>
      </w:pPr>
      <w:bookmarkStart w:id="37" w:name="_Toc75446575"/>
      <w:r>
        <w:rPr/>
        <w:t>Перечень и объем закупаемой продукции</w:t>
      </w:r>
      <w:bookmarkEnd w:id="37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38" w:name="_Toc75446576"/>
      <w:bookmarkStart w:id="39" w:name="_Toc51339695"/>
      <w:r>
        <w:rPr>
          <w:sz w:val="24"/>
          <w:szCs w:val="24"/>
        </w:rPr>
        <w:t xml:space="preserve">Таблица 1.1 Перечень </w:t>
      </w:r>
      <w:bookmarkEnd w:id="39"/>
      <w:r>
        <w:rPr>
          <w:sz w:val="24"/>
          <w:szCs w:val="24"/>
        </w:rPr>
        <w:t>и объем закупаемой продукции</w:t>
      </w:r>
      <w:bookmarkEnd w:id="38"/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8"/>
        <w:gridCol w:w="6127"/>
        <w:gridCol w:w="1418"/>
        <w:gridCol w:w="1418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28.92.27 Экскаватор-погрузчик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40" w:name="_Toc75446578"/>
      <w:bookmarkStart w:id="41" w:name="_Toc51339696"/>
      <w:r>
        <w:rPr/>
        <w:t xml:space="preserve">Требования </w:t>
      </w:r>
      <w:bookmarkEnd w:id="41"/>
      <w:r>
        <w:rPr/>
        <w:t>к срокам поставки продукции и оказания сопутствующих услуг</w:t>
      </w:r>
      <w:bookmarkEnd w:id="40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42" w:name="_Toc50125126"/>
      <w:bookmarkStart w:id="43" w:name="_Toc50125127"/>
      <w:bookmarkStart w:id="44" w:name="_Toc75446579"/>
      <w:bookmarkStart w:id="45" w:name="_Toc51339697"/>
      <w:bookmarkEnd w:id="4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6" w:name="_Hlk50465284"/>
      <w:r>
        <w:rPr>
          <w:sz w:val="24"/>
          <w:szCs w:val="24"/>
        </w:rPr>
        <w:t xml:space="preserve">Требования по срокам </w:t>
      </w:r>
      <w:bookmarkEnd w:id="43"/>
      <w:bookmarkEnd w:id="45"/>
      <w:bookmarkEnd w:id="46"/>
      <w:r>
        <w:rPr>
          <w:sz w:val="24"/>
          <w:szCs w:val="24"/>
          <w:lang w:val="ru-RU"/>
        </w:rPr>
        <w:t>поставки продукци</w:t>
      </w:r>
      <w:bookmarkEnd w:id="44"/>
      <w:r>
        <w:rPr>
          <w:sz w:val="24"/>
          <w:szCs w:val="24"/>
          <w:lang w:val="ru-RU"/>
        </w:rPr>
        <w:t>и</w:t>
      </w:r>
    </w:p>
    <w:tbl>
      <w:tblPr>
        <w:tblW w:w="977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Экскаватор-погрузчик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90 календарных дней с даты подписания договора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0"/>
        <w:rPr/>
      </w:pPr>
      <w:r>
        <w:rPr/>
      </w:r>
      <w:bookmarkStart w:id="47" w:name="_Toc46743510"/>
      <w:bookmarkStart w:id="48" w:name="_Toc54785622"/>
      <w:bookmarkStart w:id="49" w:name="_Toc46743510"/>
      <w:bookmarkStart w:id="50" w:name="_Toc54785622"/>
      <w:bookmarkEnd w:id="49"/>
      <w:bookmarkEnd w:id="50"/>
    </w:p>
    <w:p>
      <w:pPr>
        <w:pStyle w:val="ListParagraph"/>
        <w:numPr>
          <w:ilvl w:val="1"/>
          <w:numId w:val="8"/>
        </w:numPr>
        <w:outlineLvl w:val="1"/>
        <w:rPr>
          <w:b/>
        </w:rPr>
      </w:pPr>
      <w:r>
        <w:rPr>
          <w:b/>
        </w:rPr>
        <w:t>Требования к месту поставки Продукции.</w:t>
      </w:r>
    </w:p>
    <w:p>
      <w:pPr>
        <w:pStyle w:val="ListParagraph"/>
        <w:numPr>
          <w:ilvl w:val="0"/>
          <w:numId w:val="0"/>
        </w:numPr>
        <w:ind w:left="0"/>
        <w:outlineLvl w:val="1"/>
        <w:rPr>
          <w:b/>
        </w:rPr>
      </w:pPr>
      <w:bookmarkStart w:id="51" w:name="_Toc125021670"/>
      <w:bookmarkStart w:id="52" w:name="_Toc124337401"/>
      <w:r>
        <w:rPr>
          <w:b/>
        </w:rPr>
        <w:t>Таблица 2.2. «Требование к месту поставки продукции»</w:t>
      </w:r>
      <w:bookmarkEnd w:id="51"/>
      <w:bookmarkEnd w:id="52"/>
    </w:p>
    <w:tbl>
      <w:tblPr>
        <w:tblW w:w="100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8"/>
        <w:gridCol w:w="3940"/>
        <w:gridCol w:w="2128"/>
        <w:gridCol w:w="3259"/>
      </w:tblGrid>
      <w:tr>
        <w:trPr>
          <w:trHeight w:val="698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единиц Продукции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поставки Продукции</w:t>
            </w:r>
          </w:p>
        </w:tc>
      </w:tr>
      <w:tr>
        <w:trPr>
          <w:trHeight w:val="182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82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28.92.27 Экскаватор-погрузчик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РФ, Камчатский край, </w:t>
            </w:r>
          </w:p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Петропавловск-Камчатский, ул. Солнечная, 16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8"/>
        </w:numPr>
        <w:rPr/>
      </w:pPr>
      <w:bookmarkStart w:id="53" w:name="_Toc51339698"/>
      <w:bookmarkStart w:id="54" w:name="_Toc75446581"/>
      <w:bookmarkStart w:id="55" w:name="_Toc46743511"/>
      <w:r>
        <w:rPr/>
        <w:t xml:space="preserve">Требования к </w:t>
      </w:r>
      <w:bookmarkEnd w:id="55"/>
      <w:r>
        <w:rPr/>
        <w:t>качеству продукции</w:t>
      </w:r>
      <w:bookmarkEnd w:id="54"/>
    </w:p>
    <w:p>
      <w:pPr>
        <w:pStyle w:val="Heading1"/>
        <w:numPr>
          <w:ilvl w:val="0"/>
          <w:numId w:val="0"/>
        </w:numPr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/>
        <w:t xml:space="preserve"> </w:t>
      </w:r>
      <w:bookmarkStart w:id="56" w:name="_Toc75446582"/>
      <w:r>
        <w:rPr/>
        <w:t>Таблица </w:t>
      </w:r>
      <w:r>
        <w:rPr>
          <w:lang w:val="ru-RU"/>
        </w:rPr>
        <w:t>3</w:t>
      </w:r>
      <w:r>
        <w:rPr/>
        <w:t xml:space="preserve">. Требования к </w:t>
      </w:r>
      <w:r>
        <w:rPr>
          <w:lang w:val="ru-RU"/>
        </w:rPr>
        <w:t>продукции</w:t>
      </w:r>
      <w:bookmarkEnd w:id="56"/>
      <w:r>
        <w:rPr/>
        <w:t xml:space="preserve"> </w:t>
      </w:r>
      <w:bookmarkEnd w:id="53"/>
    </w:p>
    <w:p>
      <w:pPr>
        <w:pStyle w:val="Normal"/>
        <w:rPr>
          <w:rStyle w:val="Style8"/>
          <w:b w:val="false"/>
          <w:sz w:val="24"/>
          <w:szCs w:val="24"/>
        </w:rPr>
      </w:pPr>
      <w:r>
        <w:rPr>
          <w:rStyle w:val="Style8"/>
          <w:b w:val="false"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</w:rPr>
        <w:t xml:space="preserve">3.1. Наименование продукции (позиция №1 Таблицы 1.1.): </w:t>
      </w:r>
      <w:r>
        <w:rPr>
          <w:sz w:val="24"/>
          <w:szCs w:val="24"/>
          <w:u w:val="single"/>
        </w:rPr>
        <w:t>ОКПД 2: 28.92.27 Экскаватор-погрузчик для нужд Камчатского филиала АО «ТК РусГидро»</w:t>
      </w:r>
    </w:p>
    <w:tbl>
      <w:tblPr>
        <w:tblW w:w="495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0"/>
        <w:gridCol w:w="4253"/>
        <w:gridCol w:w="3878"/>
        <w:gridCol w:w="2082"/>
        <w:gridCol w:w="2317"/>
        <w:gridCol w:w="12"/>
        <w:gridCol w:w="1733"/>
      </w:tblGrid>
      <w:tr>
        <w:trPr>
          <w:trHeight w:val="647" w:hRule="atLeast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</w:t>
            </w:r>
          </w:p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параметра</w:t>
            </w:r>
          </w:p>
        </w:tc>
        <w:tc>
          <w:tcPr>
            <w:tcW w:w="3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</w:t>
            </w:r>
          </w:p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Заказчика*</w:t>
            </w:r>
          </w:p>
        </w:tc>
        <w:tc>
          <w:tcPr>
            <w:tcW w:w="4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участником соответствия </w:t>
            </w:r>
          </w:p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требованиям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1650" w:hRule="atLeast"/>
        </w:trPr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2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8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требованием/</w:t>
            </w:r>
          </w:p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Общие требования к Продукции  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5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Поставляемые ТС в отношении используемого шасси, должны соответствовать требованиям технического регламента таможенного союза ТР ТС 018/2011 «О безопасности колесных транспортных средств» и иметь действующий сертификат соответствия (ОТТС), выданный органом сертификации Российской Федерации.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установленному требованию подтверждается путем представления Участником закупки в составе своей заявки скан копии указанного сертификата со всеми приложениями в формате PortableDocumentFormat (*.pdf)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действующего сертификата/декларации в соответствии с требованиями тех.регламента Таможенного Союза  ТР ТС 018/2011 «О безопасности колесных транспортных средств»</w:t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5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момент поставки ТС должны иметь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самоходной машины или Электронный самоходной машины, руководство по эксплуатации, Сервисная книжка.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5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гарантии на Продукцию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на транспортное средство соответствует гарантийному сроку, установленному заводом-изготовителем, но не менее 12 (двенадцати) месяцев с даты продажи Заказчику.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5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предпродажной подготовке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Поставщику необходимо выполнить предпродажную подготовку (протяжка, проверка всех уровней жидкостей), (</w:t>
            </w:r>
            <w:r>
              <w:rPr>
                <w:i/>
                <w:sz w:val="24"/>
                <w:szCs w:val="24"/>
              </w:rPr>
              <w:t>Подтверждается отметкой в сервисной книжке либо Заказ-нарядом, Актом выполненных работ по предпродажному обслуживанию на любом авторизованном техническом центре)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соответствующих подтверждающих документов</w:t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7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Размеры и вес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7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Экскаватор-погрузчик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7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6000 и не более 7100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7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без учета боковых зеркал,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2300 и не более 2400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7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Высота, мм 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3600 и не более 3750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7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Эксплуатационная  масса, кг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9500 и не более 9800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Двигатель 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4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объем, см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4400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4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мощность, кВт 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70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4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крутящий момент, Нм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4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двигателя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Дизельный, 4-х тактный, рядный, с турбонаддувом, с жидкостным охлаждением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4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Экологический стандарт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Tier 3 / Stage IIIA </w:t>
            </w:r>
            <w:r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выше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7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Потребление топлива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3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топлива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Дизельное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3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Вместимость топливного бака, л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130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7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Трансмиссия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2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КПП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Гидромеханическая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2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Колесная формула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4х4, 4</w:t>
            </w:r>
            <w:r>
              <w:rPr>
                <w:sz w:val="24"/>
                <w:szCs w:val="24"/>
                <w:lang w:val="en-US"/>
              </w:rPr>
              <w:t>WS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2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передач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 вперед, 4 назад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2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Радиус поворота по внешнему колесу,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4850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2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Радиус поворота по кромке ковша,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5200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Рулевое управление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1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усилителем руля и регулировкой по углу наклона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7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Тормозная система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рабочего тормоза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Мокрый, дисковый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Привод рабочего тормоза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Гидравлический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Колеса и шины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9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шин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Камерного или бескамерного типа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9"/>
              </w:numPr>
              <w:ind w:hanging="313" w:left="313"/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шин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16.9-28 12</w:t>
            </w:r>
            <w:r>
              <w:rPr>
                <w:sz w:val="24"/>
                <w:szCs w:val="24"/>
                <w:lang w:val="en-US"/>
              </w:rPr>
              <w:t>RP TL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9"/>
              </w:numPr>
              <w:jc w:val="both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 шин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Зимние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6"/>
              </w:numPr>
              <w:ind w:hanging="0" w:left="0"/>
              <w:jc w:val="center"/>
              <w:rPr/>
            </w:pP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Гидравлическая система</w:t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9.1.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давление гидравлической жидкости в системе, Бар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230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9.2.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гидравлический насос, производительность, л/мин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Аксиально-поршневой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9.3.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Производительность главного гидравлического насоса, л/мин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165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43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6"/>
              </w:numPr>
              <w:ind w:hanging="0" w:left="0"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Характеристики погрузочного оборудования</w:t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ковша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Челюстной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Емкость ковша,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1.1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ковша,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2400 и не более 2500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Грузоподъемность на максимальной высоте, кН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Вырывное усилие ковша, кН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высота выгрузки,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2700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Максимальный угол выгрузки на максимальной высоте, </w:t>
            </w:r>
            <w:r>
              <w:rPr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Не менее 45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выгрузки на максимальной высоте,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550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Грузоподъемность на уровне земли, кН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10.10.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глубина заглубления,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</w:rPr>
            </w:pPr>
            <w:r>
              <w:rPr>
                <w:b/>
              </w:rPr>
              <w:t>Характеристики экскаваторного оборудования</w:t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11.1.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Вместимость ковша по </w:t>
            </w:r>
            <w:r>
              <w:rPr>
                <w:sz w:val="24"/>
                <w:szCs w:val="24"/>
                <w:lang w:val="en-US"/>
              </w:rPr>
              <w:t>ISO</w:t>
            </w:r>
            <w:r>
              <w:rPr>
                <w:sz w:val="24"/>
                <w:szCs w:val="24"/>
              </w:rPr>
              <w:t xml:space="preserve"> с шапкой,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0,2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11.2.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ковша,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600 и не более 650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11.3.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Усилие выемки грунта на ковше, кН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11.4.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Усилие выемки грунта на рукояти, кН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11.5.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выгрузки,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4300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11.6.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Угол поворота ковша, </w:t>
            </w:r>
            <w:r>
              <w:rPr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Не менее 180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11.7.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радиуса выгрузки на максимальной высоте от поворотного шарнира стрелы, мм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3900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11.8.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рукояти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Телескопическая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11.9.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оснащение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21"/>
              </w:numPr>
              <w:ind w:hanging="0" w:left="26"/>
              <w:rPr/>
            </w:pPr>
            <w:r>
              <w:rPr/>
              <w:t>Быстросъёмный механизм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2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21"/>
              </w:numPr>
              <w:ind w:hanging="0" w:left="26"/>
              <w:rPr/>
            </w:pPr>
            <w:r>
              <w:rPr/>
              <w:t>Гидролиния на рукояти, для подключения дополнительного оборудования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2" w:hRule="atLeast"/>
        </w:trPr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2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21"/>
              </w:numPr>
              <w:ind w:hanging="0" w:left="26"/>
              <w:rPr/>
            </w:pPr>
            <w:r>
              <w:rPr/>
              <w:t xml:space="preserve">Гидромолот с рабочими характеристиками: </w:t>
            </w:r>
          </w:p>
          <w:p>
            <w:pPr>
              <w:pStyle w:val="ListParagraph"/>
              <w:numPr>
                <w:ilvl w:val="1"/>
                <w:numId w:val="21"/>
              </w:numPr>
              <w:ind w:hanging="0" w:left="26"/>
              <w:rPr/>
            </w:pPr>
            <w:r>
              <w:rPr/>
              <w:t>Рабочий поток гидравлической жидкости не менее 40 л./мин.;</w:t>
            </w:r>
          </w:p>
          <w:p>
            <w:pPr>
              <w:pStyle w:val="ListParagraph"/>
              <w:numPr>
                <w:ilvl w:val="1"/>
                <w:numId w:val="21"/>
              </w:numPr>
              <w:ind w:hanging="0" w:left="26"/>
              <w:rPr/>
            </w:pPr>
            <w:r>
              <w:rPr/>
              <w:t>Минимальный уровень ударов не менее 450 мм, Максимальный уровень ударов не менее 900 мм;</w:t>
            </w:r>
          </w:p>
          <w:p>
            <w:pPr>
              <w:pStyle w:val="ListParagraph"/>
              <w:numPr>
                <w:ilvl w:val="1"/>
                <w:numId w:val="21"/>
              </w:numPr>
              <w:ind w:hanging="0" w:left="26"/>
              <w:rPr/>
            </w:pPr>
            <w:r>
              <w:rPr/>
              <w:t>Рабочее давление не менее 120 бар.</w:t>
            </w:r>
            <w:bookmarkStart w:id="57" w:name="_GoBack"/>
            <w:bookmarkEnd w:id="57"/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6"/>
              </w:numPr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Требования к комплектации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12.1.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Безопасность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8"/>
              </w:numPr>
              <w:tabs>
                <w:tab w:val="clear" w:pos="708"/>
                <w:tab w:val="left" w:pos="317" w:leader="none"/>
              </w:tabs>
              <w:rPr/>
            </w:pPr>
            <w:r>
              <w:rPr/>
              <w:t>Антиблокировочная система AB</w:t>
            </w:r>
            <w:r>
              <w:rPr>
                <w:lang w:val="en-US"/>
              </w:rPr>
              <w:t>S</w:t>
            </w:r>
          </w:p>
          <w:p>
            <w:pPr>
              <w:pStyle w:val="ListParagraph"/>
              <w:numPr>
                <w:ilvl w:val="0"/>
                <w:numId w:val="18"/>
              </w:numPr>
              <w:tabs>
                <w:tab w:val="clear" w:pos="708"/>
                <w:tab w:val="left" w:pos="317" w:leader="none"/>
              </w:tabs>
              <w:rPr/>
            </w:pPr>
            <w:r>
              <w:rPr/>
              <w:t>Система оповещения экстренных служб «ЭРА-ГЛОНАСС» (согласно действующему ОТТС).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firstLine="17" w:left="8"/>
              <w:jc w:val="both"/>
              <w:rPr>
                <w:sz w:val="22"/>
              </w:rPr>
            </w:pPr>
            <w:r>
              <w:rPr>
                <w:sz w:val="22"/>
              </w:rPr>
              <w:t>12.2.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поставки на ед.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 xml:space="preserve">Медицинская автоаптечка (Приказ Минздравсоцразвития России от 08 октября 2020 года N 1080н); 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Огнетушители (Приложение «В» к Приказу МЧС России №179 от 25.03.2009 года) не менее 1 шт;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 xml:space="preserve">ПСМ/ЭПСМ транспортного средства; 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 xml:space="preserve">Инструкция по эксплуатации транспортного средства и дополнительного оборудования на русском языке, сервисная книжка на русском языке; 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Домкрат;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 xml:space="preserve">Ключ баллонный; 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Знак аварийной остановки;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Противооткатный упор – 1 шт.;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Комплект ТО-0 и ТО-1: Фильтр масляный – 2 шт; фильтр воздушный – 2 шт;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Комплект салонных ковриков на резиновой или полиуретановой основе – 1 комплект;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Штатная магнитола;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Кондиционер штатный с функциями обогрева и охлаждения;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 xml:space="preserve"> </w:t>
            </w:r>
            <w:r>
              <w:rPr/>
              <w:t>Проблесковый маяк;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Система стабилизации фронтальной стрелы штатная;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Дополнительная гидролиния экскаватора;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Звуковой сигнал движения задним ходом штатный;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val="clear" w:pos="708"/>
                <w:tab w:val="left" w:pos="317" w:leader="none"/>
              </w:tabs>
              <w:ind w:hanging="6" w:left="68"/>
              <w:jc w:val="both"/>
              <w:rPr/>
            </w:pPr>
            <w:r>
              <w:rPr/>
              <w:t>Табличка регистрационного знака с подсветкой.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Прочее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13.1.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ранее 2025 года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13.2.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кузова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</w:t>
            </w:r>
          </w:p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sz w:val="24"/>
              </w:rPr>
            </w:pPr>
            <w:r>
              <w:rPr>
                <w:sz w:val="24"/>
              </w:rPr>
              <w:t>13.3.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салона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Темных тонов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</w:t>
            </w:r>
          </w:p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16"/>
              </w:numPr>
              <w:spacing w:before="0" w:after="0"/>
              <w:ind w:hanging="8" w:left="0"/>
              <w:contextualSpacing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Требования к доставке</w:t>
            </w:r>
          </w:p>
        </w:tc>
      </w:tr>
      <w:tr>
        <w:trPr>
          <w:trHeight w:val="20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ind w:left="0"/>
              <w:jc w:val="both"/>
              <w:rPr/>
            </w:pPr>
            <w:r>
              <w:rPr/>
              <w:t>14.1.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доставки до места поставки (получения)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ind w:left="0"/>
              <w:outlineLvl w:val="1"/>
              <w:rPr/>
            </w:pPr>
            <w:r>
              <w:rPr/>
              <w:t>Доставка осуществляется силами и за счёт Поставщика до места поставки (Таблица 2.2. «Требование к месту поставки продукции»</w:t>
            </w:r>
          </w:p>
          <w:p>
            <w:pPr>
              <w:pStyle w:val="Normal"/>
              <w:tabs>
                <w:tab w:val="clear" w:pos="708"/>
                <w:tab w:val="left" w:pos="317" w:leader="none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);</w:t>
            </w:r>
          </w:p>
          <w:p>
            <w:pPr>
              <w:pStyle w:val="ListParagraph"/>
              <w:numPr>
                <w:ilvl w:val="0"/>
                <w:numId w:val="19"/>
              </w:numPr>
              <w:tabs>
                <w:tab w:val="clear" w:pos="708"/>
                <w:tab w:val="left" w:pos="317" w:leader="none"/>
              </w:tabs>
              <w:rPr/>
            </w:pPr>
            <w:r>
              <w:rPr/>
              <w:t>Доставка до места поставки осуществляется рекомендованными способами завода изготовителя, в случаях перегона ТС своим ходом, должно проводиться техническое обслуживание согласно инструкции по эксплуатации с отметками в сервисной книжке;</w:t>
            </w:r>
          </w:p>
          <w:p>
            <w:pPr>
              <w:pStyle w:val="ListParagraph"/>
              <w:numPr>
                <w:ilvl w:val="0"/>
                <w:numId w:val="19"/>
              </w:numPr>
              <w:tabs>
                <w:tab w:val="clear" w:pos="708"/>
                <w:tab w:val="left" w:pos="317" w:leader="none"/>
              </w:tabs>
              <w:rPr/>
            </w:pPr>
            <w:r>
              <w:rPr/>
              <w:t>Затраты Поставщика на доставку товара к месту поставки включаются в общую стоимость товара;</w:t>
            </w:r>
          </w:p>
          <w:p>
            <w:pPr>
              <w:pStyle w:val="ListParagraph"/>
              <w:numPr>
                <w:ilvl w:val="0"/>
                <w:numId w:val="19"/>
              </w:numPr>
              <w:tabs>
                <w:tab w:val="clear" w:pos="708"/>
                <w:tab w:val="left" w:pos="317" w:leader="none"/>
              </w:tabs>
              <w:rPr/>
            </w:pPr>
            <w:r>
              <w:rPr/>
              <w:t>Акты выполненных работ по техническому обслуживанию (скан копии, подписанные и заверенные ответственным лицом), предоставляются при передаче ТС Заказчику.</w:t>
            </w:r>
          </w:p>
          <w:p>
            <w:pPr>
              <w:pStyle w:val="ListParagraph"/>
              <w:numPr>
                <w:ilvl w:val="0"/>
                <w:numId w:val="19"/>
              </w:numPr>
              <w:tabs>
                <w:tab w:val="clear" w:pos="708"/>
                <w:tab w:val="left" w:pos="317" w:leader="none"/>
              </w:tabs>
              <w:rPr/>
            </w:pPr>
            <w:r>
              <w:rPr/>
              <w:t>Фото с фиксацией пробега (название файла VIN ТС) при каждом техническом обслуживании до места поставки, предоставляются при передаче ТС Заказчику.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актов на соответствующие виды работ</w:t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i/>
          <w:i/>
          <w:sz w:val="24"/>
          <w:szCs w:val="24"/>
        </w:rPr>
      </w:pPr>
      <w:r>
        <w:rPr>
          <w:i/>
          <w:sz w:val="24"/>
          <w:szCs w:val="24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требования.</w:t>
      </w:r>
      <w:r>
        <w:rPr>
          <w:b/>
          <w:i/>
          <w:sz w:val="24"/>
          <w:szCs w:val="24"/>
        </w:rPr>
        <w:t xml:space="preserve"> </w:t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left="0"/>
        <w:jc w:val="both"/>
        <w:outlineLvl w:val="1"/>
        <w:rPr/>
      </w:pPr>
      <w:r>
        <w:rPr/>
      </w:r>
    </w:p>
    <w:p>
      <w:pPr>
        <w:pStyle w:val="ListParagraph"/>
        <w:numPr>
          <w:ilvl w:val="0"/>
          <w:numId w:val="0"/>
        </w:numPr>
        <w:ind w:left="0"/>
        <w:jc w:val="both"/>
        <w:outlineLvl w:val="1"/>
        <w:rPr/>
      </w:pPr>
      <w:r>
        <w:rPr/>
      </w:r>
    </w:p>
    <w:p>
      <w:pPr>
        <w:pStyle w:val="Heading1"/>
        <w:numPr>
          <w:ilvl w:val="0"/>
          <w:numId w:val="8"/>
        </w:numPr>
        <w:rPr>
          <w:sz w:val="24"/>
          <w:szCs w:val="24"/>
        </w:rPr>
      </w:pPr>
      <w:bookmarkStart w:id="58" w:name="_Toc51339699"/>
      <w:bookmarkStart w:id="59" w:name="_Toc46743519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58"/>
      <w:bookmarkEnd w:id="59"/>
    </w:p>
    <w:p>
      <w:pPr>
        <w:pStyle w:val="Style18"/>
        <w:numPr>
          <w:ilvl w:val="1"/>
          <w:numId w:val="8"/>
        </w:numPr>
        <w:jc w:val="both"/>
        <w:rPr>
          <w:rFonts w:eastAsia="Calibri"/>
          <w:b w:val="false"/>
          <w:bCs/>
          <w:sz w:val="24"/>
          <w:szCs w:val="24"/>
          <w:lang w:val="x-none" w:eastAsia="x-none"/>
        </w:rPr>
      </w:pPr>
      <w:r>
        <w:rPr>
          <w:rFonts w:eastAsia="Calibri"/>
          <w:b w:val="false"/>
          <w:bCs/>
          <w:sz w:val="24"/>
          <w:szCs w:val="24"/>
          <w:lang w:val="x-none"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Style18"/>
        <w:numPr>
          <w:ilvl w:val="1"/>
          <w:numId w:val="8"/>
        </w:numPr>
        <w:jc w:val="both"/>
        <w:rPr>
          <w:rFonts w:eastAsia="Calibri"/>
          <w:b w:val="false"/>
          <w:bCs/>
          <w:sz w:val="24"/>
          <w:szCs w:val="24"/>
          <w:lang w:val="x-none" w:eastAsia="x-none"/>
        </w:rPr>
      </w:pPr>
      <w:r>
        <w:rPr>
          <w:rFonts w:eastAsia="Calibri"/>
          <w:b w:val="false"/>
          <w:bCs/>
          <w:sz w:val="24"/>
          <w:szCs w:val="24"/>
          <w:lang w:val="x-none" w:eastAsia="x-none"/>
        </w:rPr>
        <w:t>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к Документации о закупке)».</w:t>
      </w:r>
    </w:p>
    <w:p>
      <w:pPr>
        <w:pStyle w:val="Style18"/>
        <w:numPr>
          <w:ilvl w:val="0"/>
          <w:numId w:val="0"/>
        </w:numPr>
        <w:ind w:hanging="360" w:left="360"/>
        <w:jc w:val="left"/>
        <w:rPr>
          <w:lang w:val="x-none"/>
        </w:rPr>
      </w:pPr>
      <w:r>
        <w:rPr>
          <w:lang w:val="x-none"/>
        </w:rPr>
      </w:r>
    </w:p>
    <w:p>
      <w:pPr>
        <w:pStyle w:val="Normal"/>
        <w:rPr>
          <w:rFonts w:eastAsia="Calibri"/>
          <w:b/>
          <w:iCs/>
          <w:sz w:val="24"/>
          <w:szCs w:val="24"/>
          <w:lang w:val="x-none" w:eastAsia="x-none"/>
        </w:rPr>
      </w:pPr>
      <w:r>
        <w:rPr>
          <w:rFonts w:eastAsia="Calibri"/>
          <w:b/>
          <w:iCs/>
          <w:sz w:val="24"/>
          <w:szCs w:val="24"/>
          <w:lang w:val="x-none" w:eastAsia="x-none"/>
        </w:rPr>
      </w:r>
      <w:bookmarkStart w:id="60" w:name="_Toc54643711"/>
      <w:bookmarkStart w:id="61" w:name="_Toc54281228"/>
      <w:bookmarkStart w:id="62" w:name="_Toc54643711"/>
      <w:bookmarkStart w:id="63" w:name="_Toc54281228"/>
      <w:bookmarkEnd w:id="62"/>
      <w:bookmarkEnd w:id="63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9">
    <w:lvl w:ilvl="0">
      <w:start w:val="1"/>
      <w:numFmt w:val="decimal"/>
      <w:lvlText w:val="8.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0">
    <w:lvl w:ilvl="0">
      <w:start w:val="1"/>
      <w:numFmt w:val="decimal"/>
      <w:lvlText w:val="7.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1">
    <w:lvl w:ilvl="0">
      <w:start w:val="1"/>
      <w:numFmt w:val="decimal"/>
      <w:lvlText w:val="6.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2">
    <w:lvl w:ilvl="0">
      <w:start w:val="1"/>
      <w:numFmt w:val="decimal"/>
      <w:lvlText w:val="5.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3">
    <w:lvl w:ilvl="0">
      <w:start w:val="1"/>
      <w:numFmt w:val="decimal"/>
      <w:lvlText w:val="4.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4">
    <w:lvl w:ilvl="0">
      <w:start w:val="1"/>
      <w:numFmt w:val="decimal"/>
      <w:lvlText w:val="3.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5">
    <w:lvl w:ilvl="0">
      <w:start w:val="1"/>
      <w:numFmt w:val="decimal"/>
      <w:lvlText w:val="1.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6">
    <w:lvl w:ilvl="0">
      <w:start w:val="1"/>
      <w:numFmt w:val="decimal"/>
      <w:suff w:val="nothing"/>
      <w:lvlText w:val="%1."/>
      <w:lvlJc w:val="right"/>
      <w:pPr>
        <w:tabs>
          <w:tab w:val="num" w:pos="0"/>
        </w:tabs>
        <w:ind w:left="1080" w:hanging="360"/>
      </w:pPr>
      <w:rPr>
        <w:i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80" w:hanging="2160"/>
      </w:pPr>
      <w:rPr/>
    </w:lvl>
  </w:abstractNum>
  <w:abstractNum w:abstractNumId="17">
    <w:lvl w:ilvl="0">
      <w:start w:val="1"/>
      <w:numFmt w:val="decimal"/>
      <w:lvlText w:val="2.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8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9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0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7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9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1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3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5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7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9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1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37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d483a"/>
    <w:pPr>
      <w:keepNext w:val="true"/>
      <w:numPr>
        <w:ilvl w:val="2"/>
        <w:numId w:val="3"/>
      </w:numPr>
      <w:spacing w:before="120" w:after="60"/>
      <w:ind w:hanging="0" w:left="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6d483a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3" w:customStyle="1">
    <w:name w:val="List 3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3d4fa2"/>
    <w:pPr>
      <w:widowControl/>
      <w:bidi w:val="0"/>
      <w:spacing w:before="0" w:after="0"/>
      <w:jc w:val="left"/>
    </w:pPr>
    <w:rPr>
      <w:rFonts w:ascii="Calibri" w:hAnsi="Calibri" w:cs="Calibri" w:eastAsia="Times New Roman"/>
      <w:color w:val="000000"/>
      <w:kern w:val="0"/>
      <w:sz w:val="24"/>
      <w:szCs w:val="24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821CA-0D89-4A96-97D5-60D871670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Application>AlterOffice/2026.2.0.0$Linux_X86_64 LibreOffice_project/bc4ef1adf80b36c7a6365f8ed6cbf29021361edd</Application>
  <AppVersion>15.0000</AppVersion>
  <Pages>14</Pages>
  <Words>1766</Words>
  <Characters>11814</Characters>
  <CharactersWithSpaces>13153</CharactersWithSpaces>
  <Paragraphs>459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2025-10-13T23:40:00Z</dcterms:created>
  <dc:creator>Быстров Олег Геннадьевич</dc:creator>
  <dc:description/>
  <dc:language>ru-RU</dc:language>
  <cp:lastModifiedBy>oleinikovadv@corp.gidroogk.com</cp:lastModifiedBy>
  <cp:lastPrinted>2023-05-19T04:03:00Z</cp:lastPrinted>
  <dcterms:modified xsi:type="dcterms:W3CDTF">2026-10-12T10:45:28Z</dcterms:modified>
  <cp:revision>18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