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true"/>
        <w:keepLines/>
        <w:jc w:val="right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right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right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right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right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rPr>
          <w:color w:val="000000"/>
          <w:sz w:val="22"/>
          <w:lang w:val="en-US"/>
        </w:rPr>
      </w:pPr>
      <w:r>
        <w:rPr>
          <w:color w:val="000000"/>
          <w:sz w:val="22"/>
          <w:lang w:val="en-US"/>
        </w:rPr>
      </w:r>
    </w:p>
    <w:p>
      <w:pPr>
        <w:pStyle w:val="Normal"/>
        <w:keepNext w:val="true"/>
        <w:keepLines/>
        <w:rPr>
          <w:color w:val="000000"/>
          <w:sz w:val="22"/>
          <w:lang w:val="en-US"/>
        </w:rPr>
      </w:pPr>
      <w:r>
        <w:rPr>
          <w:color w:val="000000"/>
          <w:sz w:val="22"/>
          <w:lang w:val="en-US"/>
        </w:rPr>
      </w:r>
    </w:p>
    <w:p>
      <w:pPr>
        <w:pStyle w:val="Normal"/>
        <w:keepNext w:val="true"/>
        <w:keepLines/>
        <w:rPr>
          <w:color w:val="000000"/>
          <w:sz w:val="22"/>
          <w:lang w:val="en-US"/>
        </w:rPr>
      </w:pPr>
      <w:r>
        <w:rPr>
          <w:color w:val="000000"/>
          <w:sz w:val="22"/>
          <w:lang w:val="en-US"/>
        </w:rPr>
      </w:r>
    </w:p>
    <w:p>
      <w:pPr>
        <w:pStyle w:val="Normal"/>
        <w:keepNext w:val="true"/>
        <w:keepLines/>
        <w:rPr>
          <w:color w:val="000000"/>
          <w:sz w:val="22"/>
          <w:lang w:val="en-US"/>
        </w:rPr>
      </w:pPr>
      <w:r>
        <w:rPr>
          <w:color w:val="000000"/>
          <w:sz w:val="22"/>
          <w:lang w:val="en-US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outlineLvl w:val="0"/>
        <w:rPr>
          <w:color w:val="000000"/>
          <w:sz w:val="22"/>
        </w:rPr>
      </w:pPr>
      <w:r>
        <w:rPr>
          <w:color w:val="000000"/>
          <w:sz w:val="28"/>
          <w:szCs w:val="28"/>
        </w:rPr>
        <w:t>ТЕХНИЧЕСКИЕ ТРЕБОВАНИЯ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ОКПД2 32.30.13.190 Поставка водолазного оборудования для нужд Жигулевского филиала 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Лот №                  -2026-ГРВКК-ЖигФ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b/>
          <w:bCs/>
          <w:color w:val="C9211E"/>
          <w:sz w:val="28"/>
          <w:szCs w:val="28"/>
        </w:rPr>
      </w:pPr>
      <w:r>
        <w:rPr>
          <w:b/>
          <w:bCs/>
          <w:color w:val="C9211E"/>
          <w:sz w:val="28"/>
          <w:szCs w:val="28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outlineLvl w:val="0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center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hanging="0" w:left="0" w:right="0"/>
        <w:jc w:val="center"/>
        <w:outlineLvl w:val="0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center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jc w:val="center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keepNext w:val="true"/>
        <w:keepLines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br w:type="page"/>
      </w:r>
    </w:p>
    <w:p>
      <w:pPr>
        <w:pStyle w:val="Heading4"/>
        <w:numPr>
          <w:ilvl w:val="3"/>
          <w:numId w:val="1"/>
        </w:numPr>
        <w:ind w:firstLine="709" w:left="0" w:right="0"/>
        <w:jc w:val="center"/>
        <w:rPr>
          <w:color w:val="000000"/>
        </w:rPr>
      </w:pPr>
      <w:r>
        <w:rPr>
          <w:color w:val="000000"/>
        </w:rPr>
        <w:t>1.</w:t>
        <w:tab/>
        <w:t>Общие сведения</w:t>
      </w:r>
    </w:p>
    <w:p>
      <w:pPr>
        <w:pStyle w:val="Heading4"/>
        <w:numPr>
          <w:ilvl w:val="1"/>
          <w:numId w:val="2"/>
        </w:numPr>
        <w:ind w:firstLine="709" w:left="0" w:right="0"/>
        <w:rPr>
          <w:color w:val="000000"/>
          <w:sz w:val="22"/>
        </w:rPr>
      </w:pPr>
      <w:r>
        <w:rPr>
          <w:color w:val="000000"/>
        </w:rPr>
        <w:t>Наименование закупаемой продукции</w:t>
      </w:r>
    </w:p>
    <w:p>
      <w:pPr>
        <w:pStyle w:val="Normal"/>
        <w:ind w:firstLine="419" w:right="0"/>
        <w:rPr>
          <w:color w:val="000000"/>
          <w:sz w:val="22"/>
        </w:rPr>
      </w:pPr>
      <w:r>
        <w:rPr>
          <w:color w:val="000000"/>
          <w:sz w:val="22"/>
        </w:rPr>
        <w:t>ОКПД2 [27.90.3] Поставка водолазного оборудования  для нужд Жигулевского филиала (далее – продукция)</w:t>
      </w:r>
    </w:p>
    <w:p>
      <w:pPr>
        <w:pStyle w:val="Normal"/>
        <w:ind w:firstLine="419" w:right="0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Heading4"/>
        <w:numPr>
          <w:ilvl w:val="1"/>
          <w:numId w:val="2"/>
        </w:numPr>
        <w:ind w:firstLine="709" w:left="0" w:right="0"/>
        <w:rPr>
          <w:rStyle w:val="Style"/>
          <w:b w:val="false"/>
          <w:bCs/>
          <w:i w:val="false"/>
          <w:i w:val="false"/>
          <w:color w:val="000000"/>
          <w:sz w:val="22"/>
          <w:szCs w:val="24"/>
          <w:shd w:fill="FFFFFF" w:val="clear"/>
        </w:rPr>
      </w:pPr>
      <w:r>
        <w:rPr>
          <w:b/>
          <w:bCs/>
          <w:color w:val="000000"/>
          <w:sz w:val="24"/>
          <w:szCs w:val="24"/>
        </w:rPr>
        <w:t>Цель использования закупаемой продукции</w:t>
      </w:r>
      <w:r>
        <w:rPr>
          <w:b w:val="false"/>
          <w:bCs w:val="false"/>
          <w:color w:val="000000"/>
          <w:sz w:val="22"/>
          <w:szCs w:val="22"/>
        </w:rPr>
        <w:t xml:space="preserve">  </w:t>
      </w:r>
    </w:p>
    <w:p>
      <w:pPr>
        <w:pStyle w:val="Normal"/>
        <w:widowControl w:val="false"/>
        <w:shd w:val="clear" w:fill="FFFFFF"/>
        <w:tabs>
          <w:tab w:val="clear" w:pos="708"/>
          <w:tab w:val="left" w:pos="426" w:leader="none"/>
        </w:tabs>
        <w:ind w:firstLine="419" w:right="0"/>
        <w:jc w:val="both"/>
        <w:rPr/>
      </w:pPr>
      <w:r>
        <w:rPr>
          <w:rStyle w:val="Style"/>
          <w:b w:val="false"/>
          <w:bCs/>
          <w:i w:val="false"/>
          <w:color w:val="000000"/>
          <w:sz w:val="22"/>
          <w:szCs w:val="24"/>
          <w:shd w:fill="FFFFFF" w:val="clear"/>
        </w:rPr>
        <w:t xml:space="preserve">Реализация БП 2026 на закупку малоценного оборудования для Жигулевский филиал </w:t>
      </w:r>
    </w:p>
    <w:p>
      <w:pPr>
        <w:pStyle w:val="Normal"/>
        <w:widowControl w:val="false"/>
        <w:shd w:val="clear" w:fill="FFFFFF"/>
        <w:tabs>
          <w:tab w:val="clear" w:pos="708"/>
          <w:tab w:val="left" w:pos="426" w:leader="none"/>
        </w:tabs>
        <w:ind w:firstLine="419" w:right="0"/>
        <w:jc w:val="both"/>
        <w:rPr/>
      </w:pPr>
      <w:r>
        <w:rPr/>
      </w:r>
    </w:p>
    <w:p>
      <w:pPr>
        <w:pStyle w:val="Normal"/>
        <w:widowControl w:val="false"/>
        <w:shd w:val="clear" w:fill="FFFFFF"/>
        <w:tabs>
          <w:tab w:val="clear" w:pos="708"/>
          <w:tab w:val="left" w:pos="426" w:leader="none"/>
        </w:tabs>
        <w:ind w:firstLine="419" w:right="0"/>
        <w:jc w:val="both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Heading1"/>
        <w:numPr>
          <w:ilvl w:val="0"/>
          <w:numId w:val="2"/>
        </w:numPr>
        <w:ind w:hanging="0" w:left="0" w:right="0"/>
        <w:jc w:val="center"/>
        <w:rPr>
          <w:caps/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Требования к продукции</w:t>
      </w:r>
    </w:p>
    <w:p>
      <w:pPr>
        <w:pStyle w:val="Normal"/>
        <w:ind w:left="3196" w:right="0"/>
        <w:rPr>
          <w:caps/>
          <w:color w:val="000000"/>
          <w:sz w:val="24"/>
          <w:szCs w:val="24"/>
          <w:lang w:val="ru-RU"/>
        </w:rPr>
      </w:pPr>
      <w:r>
        <w:rPr>
          <w:caps/>
          <w:color w:val="000000"/>
          <w:sz w:val="24"/>
          <w:szCs w:val="24"/>
          <w:lang w:val="ru-RU"/>
        </w:rPr>
      </w:r>
    </w:p>
    <w:p>
      <w:pPr>
        <w:pStyle w:val="Heading4"/>
        <w:numPr>
          <w:ilvl w:val="1"/>
          <w:numId w:val="2"/>
        </w:numPr>
        <w:ind w:firstLine="709" w:left="0" w:right="0"/>
        <w:rPr/>
      </w:pPr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</w:p>
    <w:p>
      <w:pPr>
        <w:pStyle w:val="Heading2"/>
        <w:numPr>
          <w:ilvl w:val="1"/>
          <w:numId w:val="1"/>
        </w:numPr>
        <w:ind w:hanging="432" w:left="432" w:right="0"/>
        <w:rPr>
          <w:color w:val="000000"/>
          <w:sz w:val="22"/>
        </w:rPr>
      </w:pPr>
      <w:r>
        <w:rPr/>
        <w:t>2.1.1. Перечень и объем закупаемой продукции</w:t>
      </w:r>
    </w:p>
    <w:p>
      <w:pPr>
        <w:pStyle w:val="Normal"/>
        <w:jc w:val="both"/>
        <w:rPr>
          <w:color w:val="000000"/>
          <w:sz w:val="22"/>
        </w:rPr>
      </w:pPr>
      <w:r>
        <w:rPr>
          <w:color w:val="000000"/>
          <w:sz w:val="22"/>
        </w:rPr>
        <w:t>Таблица 1 Перечень и объем закупаемой продукции</w:t>
      </w:r>
    </w:p>
    <w:tbl>
      <w:tblPr>
        <w:tblW w:w="100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5276"/>
        <w:gridCol w:w="1513"/>
        <w:gridCol w:w="1190"/>
        <w:gridCol w:w="1156"/>
        <w:gridCol w:w="229"/>
      </w:tblGrid>
      <w:tr>
        <w:trPr>
          <w:trHeight w:val="665" w:hRule="atLeast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п/п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ОКПД 2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Единица измерения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Количество</w:t>
            </w:r>
          </w:p>
        </w:tc>
        <w:tc>
          <w:tcPr>
            <w:tcW w:w="229" w:type="dxa"/>
            <w:tcBorders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5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229" w:type="dxa"/>
            <w:tcBorders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Капюшон (шлем) неопреновый и лицевой обтюратор для бэнд-маски КМВ-28, артикул 525-732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32.30.13.190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1</w:t>
            </w:r>
          </w:p>
        </w:tc>
        <w:tc>
          <w:tcPr>
            <w:tcW w:w="229" w:type="dxa"/>
            <w:vMerge w:val="restart"/>
            <w:tcBorders/>
          </w:tcPr>
          <w:p>
            <w:pPr>
              <w:pStyle w:val="Normal"/>
              <w:widowControl w:val="false"/>
              <w:snapToGrid w:val="false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Телефонно-микрофонная гарнитура для бэнд-маски КМВ-28, артикул 515-030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26.40.42.120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1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Электродержатель для подводной сварки BROCO BR-20, артикул BR-20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27.33.13.120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1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Фильтр картридж для компрессора Nardi Pacific М30, артикул PA100-101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28.13.32.120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2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Жилет-компенсатор Aqualung Pro HD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32.30.13.190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1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Баллон Vitcovice 15 л 230 бар сталь c башмаком и вентилем, белый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32.30.13.190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1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23" w:hRule="atLeast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snapToGrid w:val="false"/>
              <w:ind w:hanging="737" w:left="737" w:right="0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</w:r>
          </w:p>
        </w:tc>
        <w:tc>
          <w:tcPr>
            <w:tcW w:w="5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Консоль AquaLung двухприборная (манометр+глубиномер)</w:t>
            </w:r>
          </w:p>
        </w:tc>
        <w:tc>
          <w:tcPr>
            <w:tcW w:w="15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76"/>
              <w:jc w:val="center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32.30.13.190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6"/>
              <w:jc w:val="center"/>
              <w:rPr>
                <w:color w:val="000000"/>
                <w:sz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шт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jc w:val="right"/>
              <w:rPr>
                <w:sz w:val="22"/>
                <w:highlight w:val="none"/>
                <w:shd w:fill="auto" w:val="clear"/>
              </w:rPr>
            </w:pPr>
            <w:r>
              <w:rPr>
                <w:sz w:val="22"/>
                <w:shd w:fill="auto" w:val="clear"/>
              </w:rPr>
              <w:t>2</w:t>
            </w:r>
          </w:p>
        </w:tc>
        <w:tc>
          <w:tcPr>
            <w:tcW w:w="229" w:type="dxa"/>
            <w:vMerge w:val="continue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Normal"/>
        <w:jc w:val="both"/>
        <w:rPr>
          <w:color w:val="000000"/>
          <w:sz w:val="22"/>
        </w:rPr>
      </w:pPr>
      <w:r>
        <w:rPr>
          <w:color w:val="000000"/>
          <w:sz w:val="22"/>
        </w:rPr>
      </w:r>
    </w:p>
    <w:p>
      <w:pPr>
        <w:pStyle w:val="Heading3"/>
        <w:numPr>
          <w:ilvl w:val="2"/>
          <w:numId w:val="2"/>
        </w:numPr>
        <w:ind w:firstLine="709" w:left="0" w:right="0"/>
        <w:rPr>
          <w:color w:val="000000"/>
          <w:sz w:val="22"/>
        </w:rPr>
      </w:pPr>
      <w:r>
        <w:rPr>
          <w:b/>
          <w:bCs/>
          <w:color w:val="000000"/>
          <w:sz w:val="24"/>
          <w:szCs w:val="24"/>
        </w:rPr>
        <w:t>Требования к срокам поставки продукции</w:t>
      </w:r>
      <w:r>
        <w:rPr>
          <w:b w:val="false"/>
          <w:color w:val="000000"/>
          <w:sz w:val="22"/>
          <w:szCs w:val="22"/>
        </w:rPr>
        <w:t xml:space="preserve"> </w:t>
      </w:r>
    </w:p>
    <w:p>
      <w:pPr>
        <w:pStyle w:val="Normal"/>
        <w:rPr>
          <w:color w:val="000000"/>
          <w:sz w:val="22"/>
        </w:rPr>
      </w:pPr>
      <w:r>
        <w:rPr>
          <w:color w:val="000000"/>
          <w:sz w:val="22"/>
        </w:rPr>
        <w:t xml:space="preserve">Таблица 2 </w:t>
      </w:r>
      <w:bookmarkStart w:id="0" w:name="_Hlk50465284"/>
      <w:r>
        <w:rPr>
          <w:color w:val="000000"/>
          <w:sz w:val="22"/>
        </w:rPr>
        <w:t xml:space="preserve">Требования по срокам </w:t>
      </w:r>
      <w:bookmarkEnd w:id="0"/>
      <w:r>
        <w:rPr>
          <w:color w:val="000000"/>
          <w:sz w:val="22"/>
        </w:rPr>
        <w:t xml:space="preserve">поставки продукции </w:t>
      </w:r>
    </w:p>
    <w:tbl>
      <w:tblPr>
        <w:tblW w:w="10246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5257"/>
        <w:gridCol w:w="2265"/>
        <w:gridCol w:w="2041"/>
      </w:tblGrid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№</w:t>
            </w:r>
            <w:r>
              <w:rPr>
                <w:rFonts w:eastAsia="Times New Roman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п/п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продукции / партии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Требования к началу срока поставки продукции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</w:tr>
      <w:tr>
        <w:trPr/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1.1</w:t>
            </w:r>
          </w:p>
        </w:tc>
        <w:tc>
          <w:tcPr>
            <w:tcW w:w="5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Продукция в соответствии с Таблицей 1.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С даты подписания договора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</w:rPr>
            </w:pPr>
            <w:r>
              <w:rPr>
                <w:sz w:val="22"/>
              </w:rPr>
              <w:t>В течении 20 (двадцати) календарных дней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 w:right="0"/>
        <w:outlineLvl w:val="2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0"/>
        </w:numPr>
        <w:spacing w:before="120" w:after="60"/>
        <w:ind w:hanging="0" w:left="0" w:right="0"/>
        <w:outlineLvl w:val="2"/>
        <w:rPr>
          <w:sz w:val="22"/>
        </w:rPr>
      </w:pPr>
      <w:r>
        <w:rPr>
          <w:b/>
          <w:bCs/>
          <w:color w:val="000000"/>
          <w:sz w:val="24"/>
          <w:szCs w:val="24"/>
          <w:lang w:eastAsia="x-none"/>
        </w:rPr>
        <w:t>2.2.</w:t>
      </w:r>
      <w:r>
        <w:rPr>
          <w:color w:val="000000"/>
          <w:sz w:val="22"/>
          <w:lang w:eastAsia="x-none"/>
        </w:rPr>
        <w:t xml:space="preserve"> </w:t>
      </w:r>
      <w:r>
        <w:rPr>
          <w:b/>
          <w:bCs/>
          <w:color w:val="000000"/>
          <w:sz w:val="24"/>
          <w:szCs w:val="24"/>
          <w:lang w:val="x-none" w:eastAsia="x-none"/>
        </w:rPr>
        <w:t xml:space="preserve">Требования к </w:t>
      </w:r>
      <w:r>
        <w:rPr>
          <w:b/>
          <w:bCs/>
          <w:color w:val="000000"/>
          <w:sz w:val="24"/>
          <w:szCs w:val="24"/>
          <w:lang w:eastAsia="x-none"/>
        </w:rPr>
        <w:t xml:space="preserve">качеству </w:t>
      </w:r>
      <w:r>
        <w:rPr>
          <w:b/>
          <w:bCs/>
          <w:color w:val="000000"/>
          <w:sz w:val="24"/>
          <w:szCs w:val="24"/>
          <w:lang w:val="x-none" w:eastAsia="x-none"/>
        </w:rPr>
        <w:t>продукции</w:t>
      </w:r>
    </w:p>
    <w:p>
      <w:pPr>
        <w:pStyle w:val="Normal"/>
        <w:jc w:val="right"/>
        <w:rPr>
          <w:sz w:val="22"/>
          <w:lang w:eastAsia="ar-SA"/>
        </w:rPr>
      </w:pPr>
      <w:r>
        <w:rPr>
          <w:sz w:val="22"/>
        </w:rPr>
        <w:t>Таблица 3. Требования к качеству продукции.</w:t>
      </w:r>
    </w:p>
    <w:p>
      <w:pPr>
        <w:pStyle w:val="Normal"/>
        <w:rPr>
          <w:sz w:val="22"/>
          <w:lang w:eastAsia="ar-SA"/>
        </w:rPr>
      </w:pPr>
      <w:r>
        <w:rPr>
          <w:sz w:val="22"/>
          <w:lang w:eastAsia="ar-SA"/>
        </w:rPr>
        <w:t>Наименование продукции: в соответствие с данными таблицы 1 «Перечень и объем закупаемой продукции»</w:t>
      </w:r>
    </w:p>
    <w:p>
      <w:pPr>
        <w:pStyle w:val="Normal"/>
        <w:rPr>
          <w:sz w:val="22"/>
          <w:lang w:eastAsia="ar-SA"/>
        </w:rPr>
      </w:pPr>
      <w:r>
        <w:rPr>
          <w:sz w:val="22"/>
          <w:lang w:eastAsia="ar-SA"/>
        </w:rPr>
      </w:r>
    </w:p>
    <w:tbl>
      <w:tblPr>
        <w:tblW w:w="91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2714"/>
        <w:gridCol w:w="3170"/>
        <w:gridCol w:w="2490"/>
      </w:tblGrid>
      <w:tr>
        <w:trPr>
          <w:trHeight w:val="682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№</w:t>
            </w:r>
            <w:r>
              <w:rPr>
                <w:rFonts w:eastAsia="Times New Roman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п/п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параметра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Требование заказчика</w:t>
            </w:r>
          </w:p>
        </w:tc>
      </w:tr>
      <w:tr>
        <w:trPr>
          <w:trHeight w:val="23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color w:val="000000"/>
                <w:sz w:val="22"/>
              </w:rPr>
            </w:pPr>
            <w:r>
              <w:rPr>
                <w:rFonts w:eastAsia="DotumChe"/>
                <w:color w:val="000000"/>
                <w:sz w:val="22"/>
              </w:rPr>
              <w:t>4</w:t>
            </w:r>
          </w:p>
        </w:tc>
      </w:tr>
      <w:tr>
        <w:trPr>
          <w:trHeight w:val="23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color w:val="1C2126"/>
                <w:sz w:val="22"/>
              </w:rPr>
            </w:pPr>
            <w:r>
              <w:rPr>
                <w:color w:val="1C2126"/>
                <w:sz w:val="22"/>
              </w:rPr>
              <w:t>Капюшон (шлем) неопреновый и лицевой обтюратор для бэнд-маски КМВ-28, артикул 525-732</w:t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Материал шлема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Неопрен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Наличие молнии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Совместимость с бэнд-маской КМВ-28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615" w:hRule="atLeast"/>
        </w:trPr>
        <w:tc>
          <w:tcPr>
            <w:tcW w:w="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Производитель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KIRBY MORGAN</w:t>
            </w:r>
          </w:p>
        </w:tc>
      </w:tr>
      <w:tr>
        <w:trPr>
          <w:trHeight w:val="168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color w:val="000000"/>
                <w:sz w:val="22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Телефонно-микрофонная гарнитура для бэнд-маски КМВ-28, артикул 515-030</w:t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Наушники громкоговорители Mylar Cone, шт.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168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rFonts w:eastAsia="Times New Roman"/>
                <w:sz w:val="22"/>
              </w:rPr>
              <w:t xml:space="preserve"> </w:t>
            </w:r>
            <w:r>
              <w:rPr>
                <w:rFonts w:eastAsia="Times New Roman"/>
                <w:sz w:val="22"/>
              </w:rPr>
              <w:t>Микрофон Hot-Mic® ME-16, шт.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>
        <w:trPr>
          <w:trHeight w:val="168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sz w:val="22"/>
              </w:rPr>
              <w:t>Совместимость с с четырехштырьковый разъемом Marsh Marine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168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Совместимость с бэнд-маской КМВ-28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/>
            </w:pPr>
            <w:r>
              <w:rPr/>
              <w:t>да</w:t>
            </w:r>
          </w:p>
        </w:tc>
      </w:tr>
      <w:tr>
        <w:trPr>
          <w:trHeight w:val="306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color w:val="000000"/>
                <w:sz w:val="22"/>
                <w:shd w:fill="auto" w:val="clear"/>
              </w:rPr>
            </w:pPr>
            <w:r>
              <w:rPr>
                <w:color w:val="000000"/>
                <w:sz w:val="22"/>
                <w:shd w:fill="auto" w:val="clear"/>
              </w:rPr>
              <w:t>Электродержатель для подводной сварки BROCO BR-20, артикул BR-20</w:t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Выполнение сварки под водой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306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Удержание электрода под оптимальным углом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306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Подвижная губка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15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Материал внутренних деталей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латунь</w:t>
            </w:r>
          </w:p>
        </w:tc>
      </w:tr>
      <w:tr>
        <w:trPr>
          <w:trHeight w:val="15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Производитель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BROCO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Фильтр картридж для компрессора Nardi Pacific М30, артикул PA100-101</w:t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Длина, мм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305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Диаметр, мм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>
        <w:trPr>
          <w:trHeight w:val="216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Давление, бар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90-450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Воздушный поток, л/мин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Совместимость с компрессором Nardi Pacific М30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7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Производитель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NARDI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Жилет-компенсатор Aqualung Pro HD</w:t>
            </w:r>
          </w:p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Модель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мужской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Место для крепления ножа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Регулируемый поясной ремень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Пять прочных D-образных колец для аксессуаров из нержавеющей стали.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Классический BCD с интегрированной грузовой системой.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2 больших кармана на молнии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Спинка имеет особую вставку, для предотвращения скольжения и смещения баллона 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Размер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L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>
                <w:sz w:val="22"/>
              </w:rPr>
            </w:pPr>
            <w:r>
              <w:rPr>
                <w:sz w:val="22"/>
              </w:rPr>
              <w:t>Производитель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  <w:t>Aqua Lung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1.6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Баллон Vitcovice 15 л 230 бар сталь c башмаком и вентилем, белый</w:t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Материал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сталь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Высота баллона, мм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570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Диаметр баллона, мм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203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Наличие башмака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Наличие вентиля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/>
            </w:pPr>
            <w:r>
              <w:rPr>
                <w:rFonts w:eastAsia="Times New Roman"/>
                <w:sz w:val="22"/>
              </w:rPr>
              <w:t xml:space="preserve"> </w:t>
            </w: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Объём, л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2"/>
              </w:rPr>
              <w:t xml:space="preserve">Рабочее давление, </w:t>
            </w:r>
            <w:r>
              <w:rPr/>
              <w:t>бар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Тип резьбы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/>
            </w:pPr>
            <w:r>
              <w:rPr>
                <w:rFonts w:eastAsia="Times New Roman"/>
                <w:sz w:val="22"/>
              </w:rPr>
              <w:t xml:space="preserve"> </w:t>
            </w:r>
            <w:r>
              <w:rPr>
                <w:sz w:val="22"/>
              </w:rPr>
              <w:t>М25x2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hanging="737" w:left="737" w:right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1.7</w:t>
            </w:r>
          </w:p>
        </w:tc>
        <w:tc>
          <w:tcPr>
            <w:tcW w:w="27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Консоль AquaLung двухприборная (манометр+глубиномер)</w:t>
            </w:r>
          </w:p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Манометр: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Максимальное давление, бар.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Флюресцентная шкала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Встроенный термометр на шкале.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Ударопрочная трубка Бурдона.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Глубиномер: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Прогрессивно проградуированная шкала для точного определения глубины на мелководье.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Люминесцентный экран.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 максимальной глубины.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Глубина, м.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шланга, см.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>
        <w:trPr>
          <w:trHeight w:val="23" w:hRule="atLeast"/>
        </w:trPr>
        <w:tc>
          <w:tcPr>
            <w:tcW w:w="7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71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17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Производитель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6"/>
              <w:rPr/>
            </w:pPr>
            <w:r>
              <w:rPr/>
              <w:t>Aqua Lung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Место поставки</w:t>
            </w:r>
          </w:p>
        </w:tc>
        <w:tc>
          <w:tcPr>
            <w:tcW w:w="5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</w:rPr>
            </w:pPr>
            <w:r>
              <w:rPr>
                <w:sz w:val="22"/>
              </w:rPr>
              <w:t>РФ, 445350, Самарская область, г. Жигулевск, территория Жигулевская ГЭС.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Приемка продукции</w:t>
            </w:r>
          </w:p>
        </w:tc>
        <w:tc>
          <w:tcPr>
            <w:tcW w:w="5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32" w:leader="none"/>
                <w:tab w:val="left" w:pos="459" w:leader="none"/>
              </w:tabs>
              <w:rPr>
                <w:sz w:val="22"/>
              </w:rPr>
            </w:pPr>
            <w:r>
              <w:rPr>
                <w:sz w:val="22"/>
              </w:rPr>
              <w:t>Только в рабочие дни с 9-00 до 11-00 и с 14-00 до 16-00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2.3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/>
                <w:color w:val="000000"/>
                <w:sz w:val="22"/>
              </w:rPr>
              <w:t xml:space="preserve"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>по тел. 8 (84862) 71-6-40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Въезд транспортного средства на территорию ЖиГЭС без транзитного груза!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Сроки гарантии</w:t>
            </w:r>
          </w:p>
        </w:tc>
        <w:tc>
          <w:tcPr>
            <w:tcW w:w="5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/>
                <w:color w:val="000000"/>
                <w:sz w:val="22"/>
              </w:rPr>
              <w:t>Не менее 12 месяцев с даты подписания сторонами ТОРГ-12 (УПД), но не менее гарантийных обязательств завода-изготовителя.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Документы, передаваемые вместе с продукцией</w:t>
            </w:r>
          </w:p>
        </w:tc>
        <w:tc>
          <w:tcPr>
            <w:tcW w:w="5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счет-фактуру; товарную накладную унифицированной формы ТОРГ-12(УПД) в 2 экз., транспортную накладную и иные документы, предусмотренные п.3.3 Договора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5.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5.1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Продукция должна быть новой, ранее не использовавшейся</w:t>
            </w:r>
          </w:p>
        </w:tc>
      </w:tr>
      <w:tr>
        <w:trPr>
          <w:trHeight w:val="408" w:hRule="atLeast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5.2</w:t>
            </w:r>
          </w:p>
        </w:tc>
        <w:tc>
          <w:tcPr>
            <w:tcW w:w="8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jc w:val="both"/>
              <w:rPr>
                <w:sz w:val="22"/>
              </w:rPr>
            </w:pPr>
            <w:r>
              <w:rPr>
                <w:sz w:val="22"/>
              </w:rPr>
              <w:t>Продукция должна соответствовать требованиям указанных стандартов, технических условий, чертежей. 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sectPr>
      <w:footerReference w:type="default" r:id="rId2"/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Noto Serif CJK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zh-CN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ind w:hanging="432" w:left="432" w:right="0"/>
      <w:outlineLvl w:val="1"/>
    </w:pPr>
    <w:rPr/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ind w:firstLine="709" w:left="0" w:right="0"/>
      <w:outlineLvl w:val="2"/>
    </w:pPr>
    <w:rPr>
      <w:rFonts w:eastAsia="Calibri" w:cs="Times New Roman"/>
      <w:b/>
      <w:szCs w:val="24"/>
      <w:lang w:val="ru-RU"/>
    </w:rPr>
  </w:style>
  <w:style w:type="paragraph" w:styleId="Heading4">
    <w:name w:val="Heading 4"/>
    <w:basedOn w:val="Heading3"/>
    <w:next w:val="Normal"/>
    <w:qFormat/>
    <w:pPr>
      <w:numPr>
        <w:ilvl w:val="3"/>
        <w:numId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ru-RU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ru-RU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ru-RU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ru-RU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eastAsia="Times New Roman" w:cs="Times New Roman"/>
      <w:sz w:val="22"/>
      <w:lang w:val="ru-RU"/>
    </w:rPr>
  </w:style>
  <w:style w:type="character" w:styleId="WW8Num2z0">
    <w:name w:val="WW8Num2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8"/>
      <w:u w:val="none"/>
      <w:vertAlign w:val="baseline"/>
      <w:em w:val="none"/>
    </w:rPr>
  </w:style>
  <w:style w:type="character" w:styleId="WW8Num2z1">
    <w:name w:val="WW8Num2z1"/>
    <w:qFormat/>
    <w:rPr>
      <w:b/>
      <w:bCs/>
      <w:i w:val="false"/>
      <w:iCs/>
      <w:sz w:val="24"/>
      <w:szCs w:val="24"/>
    </w:rPr>
  </w:style>
  <w:style w:type="character" w:styleId="WW8Num4z4">
    <w:name w:val="WW8Num4z4"/>
    <w:qFormat/>
    <w:rPr>
      <w:rFonts w:ascii="Times New Roman" w:hAnsi="Times New Roman" w:cs="Times New Roman"/>
    </w:rPr>
  </w:style>
  <w:style w:type="character" w:styleId="WW8Num6z0">
    <w:name w:val="WW8Num6z0"/>
    <w:qFormat/>
    <w:rPr>
      <w:rFonts w:ascii="Times New Roman" w:hAnsi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2z2">
    <w:name w:val="WW8Num2z2"/>
    <w:qFormat/>
    <w:rPr>
      <w:b w:val="false"/>
      <w:bCs w:val="false"/>
    </w:rPr>
  </w:style>
  <w:style w:type="character" w:styleId="WW8Num3z0">
    <w:name w:val="WW8Num3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8"/>
      <w:u w:val="none"/>
      <w:vertAlign w:val="baseline"/>
      <w:em w:val="none"/>
    </w:rPr>
  </w:style>
  <w:style w:type="character" w:styleId="WW8Num3z1">
    <w:name w:val="WW8Num3z1"/>
    <w:qFormat/>
    <w:rPr>
      <w:b/>
      <w:bCs/>
      <w:i w:val="false"/>
      <w:iCs/>
      <w:sz w:val="24"/>
      <w:szCs w:val="24"/>
    </w:rPr>
  </w:style>
  <w:style w:type="character" w:styleId="WW8Num5z4">
    <w:name w:val="WW8Num5z4"/>
    <w:qFormat/>
    <w:rPr>
      <w:rFonts w:ascii="Times New Roman" w:hAnsi="Times New Roman" w:cs="Times New Roman"/>
    </w:rPr>
  </w:style>
  <w:style w:type="character" w:styleId="WW8Num7z0">
    <w:name w:val="WW8Num7z0"/>
    <w:qFormat/>
    <w:rPr>
      <w:rFonts w:ascii="Times New Roman" w:hAnsi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4">
    <w:name w:val="WW8Num6z4"/>
    <w:qFormat/>
    <w:rPr>
      <w:rFonts w:ascii="Times New Roman" w:hAnsi="Times New Roman" w:cs="Times New Roman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1z2">
    <w:name w:val="WW8Num1z2"/>
    <w:qFormat/>
    <w:rPr>
      <w:b w:val="false"/>
      <w:bCs w:val="false"/>
    </w:rPr>
  </w:style>
  <w:style w:type="character" w:styleId="WW8Num12z0">
    <w:name w:val="WW8Num12z0"/>
    <w:qFormat/>
    <w:rPr>
      <w:rFonts w:ascii="Times New Roman" w:hAnsi="Times New Roman" w:eastAsia="Calibri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25z4">
    <w:name w:val="WW8Num25z4"/>
    <w:qFormat/>
    <w:rPr>
      <w:rFonts w:ascii="Times New Roman" w:hAnsi="Times New Roman" w:cs="Times New Roman"/>
    </w:rPr>
  </w:style>
  <w:style w:type="character" w:styleId="WW8Num29z0">
    <w:name w:val="WW8Num29z0"/>
    <w:qFormat/>
    <w:rPr>
      <w:rFonts w:ascii="Times New Roman" w:hAnsi="Times New Roman" w:cs="Times New Roman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4z0">
    <w:name w:val="WW8Num34z0"/>
    <w:qFormat/>
    <w:rPr>
      <w:rFonts w:ascii="Times New Roman" w:hAnsi="Times New Roman" w:cs="Times New Roman"/>
    </w:rPr>
  </w:style>
  <w:style w:type="character" w:styleId="2">
    <w:name w:val="Основной шрифт абзаца2"/>
    <w:qFormat/>
    <w:rPr/>
  </w:style>
  <w:style w:type="character" w:styleId="1">
    <w:name w:val="Заголовок 1 Знак"/>
    <w:qFormat/>
    <w:rPr>
      <w:rFonts w:ascii="Times New Roman" w:hAnsi="Times New Roman" w:eastAsia="Calibri" w:cs="Times New Roman"/>
      <w:b/>
      <w:sz w:val="28"/>
      <w:szCs w:val="28"/>
      <w:lang w:val="ru-RU"/>
    </w:rPr>
  </w:style>
  <w:style w:type="character" w:styleId="3">
    <w:name w:val="Заголовок 3 Знак"/>
    <w:qFormat/>
    <w:rPr>
      <w:rFonts w:ascii="Times New Roman" w:hAnsi="Times New Roman" w:eastAsia="Calibri" w:cs="Times New Roman"/>
      <w:b/>
      <w:sz w:val="24"/>
      <w:szCs w:val="24"/>
      <w:lang w:val="ru-RU"/>
    </w:rPr>
  </w:style>
  <w:style w:type="character" w:styleId="4">
    <w:name w:val="Заголовок 4 Знак"/>
    <w:qFormat/>
    <w:rPr>
      <w:rFonts w:ascii="Times New Roman" w:hAnsi="Times New Roman" w:eastAsia="Calibri" w:cs="Times New Roman"/>
      <w:b/>
      <w:bCs/>
      <w:sz w:val="24"/>
      <w:szCs w:val="24"/>
      <w:lang w:val="ru-RU"/>
    </w:rPr>
  </w:style>
  <w:style w:type="character" w:styleId="Style">
    <w:name w:val="комментарий"/>
    <w:qFormat/>
    <w:rPr>
      <w:b/>
      <w:i/>
      <w:shd w:fill="FFFF99" w:val="clear"/>
    </w:rPr>
  </w:style>
  <w:style w:type="character" w:styleId="21">
    <w:name w:val="Заголовок 2 Знак"/>
    <w:qFormat/>
    <w:rPr>
      <w:rFonts w:ascii="Times New Roman" w:hAnsi="Times New Roman" w:eastAsia="Calibri" w:cs="Times New Roman"/>
      <w:b/>
      <w:bCs/>
      <w:sz w:val="24"/>
      <w:szCs w:val="24"/>
      <w:lang w:val="ru-RU"/>
    </w:rPr>
  </w:style>
  <w:style w:type="character" w:styleId="5">
    <w:name w:val="Заголовок 5 Знак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ru-RU"/>
    </w:rPr>
  </w:style>
  <w:style w:type="character" w:styleId="6">
    <w:name w:val="Заголовок 6 Знак"/>
    <w:qFormat/>
    <w:rPr>
      <w:rFonts w:ascii="Cambria" w:hAnsi="Cambria" w:eastAsia="Times New Roman" w:cs="Times New Roman"/>
      <w:i/>
      <w:iCs/>
      <w:color w:val="243F60"/>
      <w:sz w:val="20"/>
      <w:szCs w:val="20"/>
      <w:lang w:val="ru-RU"/>
    </w:rPr>
  </w:style>
  <w:style w:type="character" w:styleId="7">
    <w:name w:val="Заголовок 7 Знак"/>
    <w:qFormat/>
    <w:rPr>
      <w:rFonts w:ascii="Cambria" w:hAnsi="Cambria" w:eastAsia="Times New Roman" w:cs="Times New Roman"/>
      <w:i/>
      <w:iCs/>
      <w:color w:val="404040"/>
      <w:sz w:val="20"/>
      <w:szCs w:val="20"/>
      <w:lang w:val="ru-RU"/>
    </w:rPr>
  </w:style>
  <w:style w:type="character" w:styleId="8">
    <w:name w:val="Заголовок 8 Знак"/>
    <w:qFormat/>
    <w:rPr>
      <w:rFonts w:ascii="Cambria" w:hAnsi="Cambria" w:eastAsia="Times New Roman" w:cs="Times New Roman"/>
      <w:color w:val="4F81BD"/>
      <w:sz w:val="20"/>
      <w:szCs w:val="20"/>
      <w:lang w:val="ru-RU"/>
    </w:rPr>
  </w:style>
  <w:style w:type="character" w:styleId="9">
    <w:name w:val="Заголовок 9 Знак"/>
    <w:qFormat/>
    <w:rPr>
      <w:rFonts w:ascii="Arial" w:hAnsi="Arial" w:eastAsia="Times New Roman" w:cs="Times New Roman"/>
      <w:lang w:val="ru-RU"/>
    </w:rPr>
  </w:style>
  <w:style w:type="character" w:styleId="Style1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2">
    <w:name w:val="Символ сноски"/>
    <w:qFormat/>
    <w:rPr>
      <w:vertAlign w:val="superscript"/>
    </w:rPr>
  </w:style>
  <w:style w:type="character" w:styleId="22">
    <w:name w:val="Знак сноски2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3">
    <w:name w:val="Верх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4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5">
    <w:name w:val="Нижний колонтитул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Style6">
    <w:name w:val="Основной текст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23">
    <w:name w:val="Основной текст с отступом 2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31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32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24">
    <w:name w:val="Основной текст 2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PageNumber">
    <w:name w:val="Page Number"/>
    <w:basedOn w:val="2"/>
    <w:rPr/>
  </w:style>
  <w:style w:type="character" w:styleId="11">
    <w:name w:val="Гиперссылка1"/>
    <w:qFormat/>
    <w:rPr>
      <w:color w:val="0000FF"/>
      <w:u w:val="single"/>
    </w:rPr>
  </w:style>
  <w:style w:type="character" w:styleId="Style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25">
    <w:name w:val="Знак примечания2"/>
    <w:qFormat/>
    <w:rPr>
      <w:sz w:val="16"/>
      <w:szCs w:val="16"/>
    </w:rPr>
  </w:style>
  <w:style w:type="character" w:styleId="Style8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9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Style10">
    <w:name w:val="Название Знак"/>
    <w:qFormat/>
    <w:rPr>
      <w:rFonts w:ascii="Times New Roman" w:hAnsi="Times New Roman" w:eastAsia="Times New Roman" w:cs="Times New Roman"/>
      <w:sz w:val="28"/>
      <w:szCs w:val="20"/>
      <w:lang w:val="ru-RU"/>
    </w:rPr>
  </w:style>
  <w:style w:type="character" w:styleId="Style11">
    <w:name w:val="Подзаголовок Знак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ru-RU"/>
    </w:rPr>
  </w:style>
  <w:style w:type="character" w:styleId="Emphasis">
    <w:name w:val="Emphasis"/>
    <w:qFormat/>
    <w:rPr>
      <w:i/>
      <w:iCs/>
    </w:rPr>
  </w:style>
  <w:style w:type="character" w:styleId="26">
    <w:name w:val="Цитата 2 Знак"/>
    <w:qFormat/>
    <w:rPr>
      <w:rFonts w:ascii="Calibri" w:hAnsi="Calibri" w:eastAsia="Calibri" w:cs="Times New Roman"/>
      <w:i/>
      <w:iCs/>
      <w:color w:val="000000"/>
      <w:sz w:val="20"/>
      <w:szCs w:val="20"/>
      <w:lang w:val="ru-RU"/>
    </w:rPr>
  </w:style>
  <w:style w:type="character" w:styleId="Style12">
    <w:name w:val="Выделенная цитата Знак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ru-RU"/>
    </w:rPr>
  </w:style>
  <w:style w:type="character" w:styleId="Style13">
    <w:name w:val="Слабое выделение"/>
    <w:qFormat/>
    <w:rPr>
      <w:i/>
      <w:iCs/>
      <w:color w:val="808080"/>
    </w:rPr>
  </w:style>
  <w:style w:type="character" w:styleId="Style14">
    <w:name w:val="Сильное выделение"/>
    <w:qFormat/>
    <w:rPr>
      <w:b/>
      <w:bCs/>
      <w:i/>
      <w:iCs/>
      <w:color w:val="4F81BD"/>
    </w:rPr>
  </w:style>
  <w:style w:type="character" w:styleId="Style15">
    <w:name w:val="Слабая ссылка"/>
    <w:qFormat/>
    <w:rPr>
      <w:smallCaps/>
      <w:color w:val="C0504D"/>
      <w:u w:val="single"/>
    </w:rPr>
  </w:style>
  <w:style w:type="character" w:styleId="Style16">
    <w:name w:val="Сильная ссылка"/>
    <w:qFormat/>
    <w:rPr>
      <w:b/>
      <w:bCs/>
      <w:smallCaps/>
      <w:color w:val="C0504D"/>
      <w:spacing w:val="5"/>
      <w:u w:val="single"/>
    </w:rPr>
  </w:style>
  <w:style w:type="character" w:styleId="Style17">
    <w:name w:val="Название книги"/>
    <w:qFormat/>
    <w:rPr>
      <w:b/>
      <w:bCs/>
      <w:smallCaps/>
      <w:spacing w:val="5"/>
    </w:rPr>
  </w:style>
  <w:style w:type="character" w:styleId="Style18">
    <w:name w:val="Электронная подпись Знак"/>
    <w:qFormat/>
    <w:rPr>
      <w:rFonts w:ascii="Times New Roman" w:hAnsi="Times New Roman" w:eastAsia="Calibri" w:cs="Times New Roman"/>
      <w:sz w:val="24"/>
      <w:szCs w:val="24"/>
      <w:lang w:val="ru-RU"/>
    </w:rPr>
  </w:style>
  <w:style w:type="character" w:styleId="12">
    <w:name w:val="Подпункт Знак1"/>
    <w:qFormat/>
    <w:rPr>
      <w:rFonts w:ascii="Times New Roman" w:hAnsi="Times New Roman" w:eastAsia="Times New Roman" w:cs="Times New Roman"/>
      <w:sz w:val="28"/>
      <w:szCs w:val="20"/>
      <w:lang w:val="ru-RU"/>
    </w:rPr>
  </w:style>
  <w:style w:type="character" w:styleId="Blk">
    <w:name w:val="blk"/>
    <w:qFormat/>
    <w:rPr/>
  </w:style>
  <w:style w:type="character" w:styleId="Style19">
    <w:name w:val="Абзац списка Знак"/>
    <w:qFormat/>
    <w:rPr>
      <w:rFonts w:ascii="Times New Roman" w:hAnsi="Times New Roman" w:eastAsia="Calibri" w:cs="Times New Roman"/>
      <w:sz w:val="24"/>
      <w:szCs w:val="24"/>
    </w:rPr>
  </w:style>
  <w:style w:type="character" w:styleId="Style20">
    <w:name w:val="Подподпункт Знак"/>
    <w:qFormat/>
    <w:rPr>
      <w:rFonts w:ascii="Times New Roman" w:hAnsi="Times New Roman" w:eastAsia="Times New Roman" w:cs="Times New Roman"/>
      <w:sz w:val="26"/>
      <w:szCs w:val="26"/>
    </w:rPr>
  </w:style>
  <w:style w:type="character" w:styleId="33">
    <w:name w:val="УРОВЕНЬ_Абзац_тип3 Знак"/>
    <w:qFormat/>
    <w:rPr>
      <w:rFonts w:ascii="Times New Roman" w:hAnsi="Times New Roman" w:eastAsia="Calibri" w:cs="Times New Roman"/>
      <w:sz w:val="26"/>
      <w:szCs w:val="28"/>
    </w:rPr>
  </w:style>
  <w:style w:type="character" w:styleId="Style21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22">
    <w:name w:val="Символ концевой сноски"/>
    <w:qFormat/>
    <w:rPr>
      <w:vertAlign w:val="superscript"/>
    </w:rPr>
  </w:style>
  <w:style w:type="character" w:styleId="27">
    <w:name w:val="Знак концевой сноски2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8">
    <w:name w:val="Пункт2 Знак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13">
    <w:name w:val="УРОВЕНЬ_1. Знак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4">
    <w:name w:val="Неразрешенное упоминание1"/>
    <w:qFormat/>
    <w:rPr>
      <w:color w:val="605E5C"/>
      <w:shd w:fill="E1DFDD" w:val="clear"/>
    </w:rPr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>
    <w:name w:val="text"/>
    <w:qFormat/>
    <w:rPr/>
  </w:style>
  <w:style w:type="character" w:styleId="Value">
    <w:name w:val="value"/>
    <w:qFormat/>
    <w:rPr/>
  </w:style>
  <w:style w:type="character" w:styleId="C-gruppedpropsprop-value">
    <w:name w:val="c-gruppedprops__prop-value"/>
    <w:basedOn w:val="2"/>
    <w:qFormat/>
    <w:rPr/>
  </w:style>
  <w:style w:type="character" w:styleId="Label">
    <w:name w:val="label"/>
    <w:basedOn w:val="2"/>
    <w:qFormat/>
    <w:rPr/>
  </w:style>
  <w:style w:type="character" w:styleId="15">
    <w:name w:val="Знак концевой сноски1"/>
    <w:qFormat/>
    <w:rPr>
      <w:vertAlign w:val="superscript"/>
    </w:rPr>
  </w:style>
  <w:style w:type="character" w:styleId="16">
    <w:name w:val="Знак примечания1"/>
    <w:qFormat/>
    <w:rPr>
      <w:sz w:val="16"/>
      <w:szCs w:val="16"/>
    </w:rPr>
  </w:style>
  <w:style w:type="character" w:styleId="17">
    <w:name w:val="Знак сноски1"/>
    <w:qFormat/>
    <w:rPr>
      <w:vertAlign w:val="superscript"/>
    </w:rPr>
  </w:style>
  <w:style w:type="character" w:styleId="18">
    <w:name w:val="Основной шрифт абзаца1"/>
    <w:qFormat/>
    <w:rPr/>
  </w:style>
  <w:style w:type="character" w:styleId="Style23">
    <w:name w:val="Символ нумерации"/>
    <w:qFormat/>
    <w:rPr/>
  </w:style>
  <w:style w:type="character" w:styleId="Style24">
    <w:name w:val="Маркеры"/>
    <w:qFormat/>
    <w:rPr>
      <w:rFonts w:ascii="OpenSymbol;Arial Unicode MS" w:hAnsi="OpenSymbol;Arial Unicode MS" w:eastAsia="OpenSymbol;Arial Unicode MS" w:cs="OpenSymbol;Arial Unicode MS"/>
    </w:rPr>
  </w:style>
  <w:style w:type="character" w:styleId="Ds-text">
    <w:name w:val="ds-text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8"/>
      <w:u w:val="none"/>
      <w:vertAlign w:val="baseline"/>
      <w:em w:val="none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rFonts w:eastAsia="Times New Roman" w:cs="Times New Roman"/>
      <w:sz w:val="28"/>
      <w:szCs w:val="28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34">
    <w:name w:val="Заголовок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Style27">
    <w:name w:val="Название объекта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35">
    <w:name w:val="Указатель3"/>
    <w:basedOn w:val="Normal"/>
    <w:qFormat/>
    <w:pPr>
      <w:suppressLineNumbers/>
    </w:pPr>
    <w:rPr/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36">
    <w:name w:val="Название объекта3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34"/>
    <w:pPr/>
    <w:rPr/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Indexheading1">
    <w:name w:val="index heading1"/>
    <w:basedOn w:val="34"/>
    <w:qFormat/>
    <w:pPr/>
    <w:rPr/>
  </w:style>
  <w:style w:type="paragraph" w:styleId="Caption1111111111111111111111111111111111111111111">
    <w:name w:val="caption1111111111111111111111111111111111111111111"/>
    <w:basedOn w:val="Normal"/>
    <w:next w:val="Normal"/>
    <w:qFormat/>
    <w:pPr/>
    <w:rPr>
      <w:rFonts w:eastAsia="Calibri" w:cs="Times New Roman"/>
      <w:b/>
      <w:bCs/>
      <w:color w:val="4F81BD"/>
      <w:sz w:val="18"/>
      <w:szCs w:val="18"/>
    </w:rPr>
  </w:style>
  <w:style w:type="paragraph" w:styleId="Indexheading11">
    <w:name w:val="index heading11"/>
    <w:basedOn w:val="34"/>
    <w:qFormat/>
    <w:pPr/>
    <w:rPr/>
  </w:style>
  <w:style w:type="paragraph" w:styleId="Style28">
    <w:name w:val="Раздел положения"/>
    <w:basedOn w:val="Normal"/>
    <w:qFormat/>
    <w:pPr>
      <w:numPr>
        <w:ilvl w:val="0"/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</w:rPr>
  </w:style>
  <w:style w:type="paragraph" w:styleId="Style29">
    <w:name w:val="Подраздел раздела положения"/>
    <w:basedOn w:val="Normal"/>
    <w:qFormat/>
    <w:pPr>
      <w:numPr>
        <w:ilvl w:val="0"/>
        <w:numId w:val="3"/>
      </w:numPr>
      <w:spacing w:before="80" w:after="80"/>
      <w:jc w:val="both"/>
    </w:pPr>
    <w:rPr>
      <w:rFonts w:eastAsia="Times New Roman" w:cs="Times New Roman"/>
      <w:sz w:val="28"/>
      <w:szCs w:val="28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hanging="0" w:left="57" w:right="57"/>
    </w:pPr>
    <w:rPr>
      <w:rFonts w:eastAsia="Times New Roman" w:cs="Times New Roman"/>
      <w:sz w:val="22"/>
      <w:szCs w:val="26"/>
    </w:rPr>
  </w:style>
  <w:style w:type="paragraph" w:styleId="Style31">
    <w:name w:val="Название раздела инструкции"/>
    <w:basedOn w:val="Normal"/>
    <w:qFormat/>
    <w:pPr>
      <w:jc w:val="center"/>
    </w:pPr>
    <w:rPr>
      <w:rFonts w:eastAsia="Times New Roman" w:cs="Times New Roman"/>
      <w:b/>
      <w:sz w:val="28"/>
      <w:szCs w:val="28"/>
    </w:rPr>
  </w:style>
  <w:style w:type="paragraph" w:styleId="FootnoteText">
    <w:name w:val="Footnote Text"/>
    <w:basedOn w:val="Normal"/>
    <w:pPr/>
    <w:rPr>
      <w:rFonts w:eastAsia="Times New Roman" w:cs="Times New Roman"/>
      <w:sz w:val="20"/>
      <w:szCs w:val="20"/>
    </w:rPr>
  </w:style>
  <w:style w:type="paragraph" w:styleId="19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</w:rPr>
  </w:style>
  <w:style w:type="paragraph" w:styleId="29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</w:rPr>
  </w:style>
  <w:style w:type="paragraph" w:styleId="37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</w:rPr>
  </w:style>
  <w:style w:type="paragraph" w:styleId="110">
    <w:name w:val="Название1"/>
    <w:basedOn w:val="Normal"/>
    <w:qFormat/>
    <w:pPr>
      <w:jc w:val="center"/>
    </w:pPr>
    <w:rPr>
      <w:rFonts w:eastAsia="Times New Roman" w:cs="Times New Roman"/>
      <w:sz w:val="28"/>
      <w:szCs w:val="20"/>
      <w:lang w:val="ru-RU"/>
    </w:rPr>
  </w:style>
  <w:style w:type="paragraph" w:styleId="Style32">
    <w:name w:val="Колонтитул"/>
    <w:basedOn w:val="Normal"/>
    <w:qFormat/>
    <w:pPr/>
    <w:rPr/>
  </w:style>
  <w:style w:type="paragraph" w:styleId="Header">
    <w:name w:val="Header"/>
    <w:basedOn w:val="Normal"/>
    <w:pPr/>
    <w:rPr>
      <w:rFonts w:eastAsia="Times New Roman" w:cs="Times New Roman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rFonts w:eastAsia="Times New Roman" w:cs="Times New Roman"/>
      <w:szCs w:val="24"/>
    </w:rPr>
  </w:style>
  <w:style w:type="paragraph" w:styleId="Footer">
    <w:name w:val="Footer"/>
    <w:basedOn w:val="Normal"/>
    <w:pPr/>
    <w:rPr>
      <w:rFonts w:eastAsia="Times New Roman" w:cs="Times New Roman"/>
      <w:sz w:val="28"/>
      <w:szCs w:val="28"/>
    </w:rPr>
  </w:style>
  <w:style w:type="paragraph" w:styleId="221">
    <w:name w:val="Основной текст с отступом 22"/>
    <w:basedOn w:val="Normal"/>
    <w:qFormat/>
    <w:pPr>
      <w:spacing w:lineRule="auto" w:line="480" w:before="0" w:after="120"/>
      <w:ind w:hanging="0" w:left="283" w:right="0"/>
    </w:pPr>
    <w:rPr>
      <w:rFonts w:eastAsia="Times New Roman" w:cs="Times New Roman"/>
      <w:sz w:val="28"/>
      <w:szCs w:val="28"/>
    </w:rPr>
  </w:style>
  <w:style w:type="paragraph" w:styleId="321">
    <w:name w:val="Основной текст 32"/>
    <w:basedOn w:val="Normal"/>
    <w:qFormat/>
    <w:pPr>
      <w:spacing w:before="0" w:after="120"/>
    </w:pPr>
    <w:rPr>
      <w:rFonts w:eastAsia="Times New Roman" w:cs="Times New Roman"/>
      <w:sz w:val="16"/>
      <w:szCs w:val="16"/>
    </w:rPr>
  </w:style>
  <w:style w:type="paragraph" w:styleId="322">
    <w:name w:val="Основной текст с отступом 32"/>
    <w:basedOn w:val="Normal"/>
    <w:qFormat/>
    <w:pPr>
      <w:spacing w:before="0" w:after="120"/>
      <w:ind w:hanging="0" w:left="283" w:right="0"/>
    </w:pPr>
    <w:rPr>
      <w:rFonts w:eastAsia="Times New Roman" w:cs="Times New Roman"/>
      <w:sz w:val="16"/>
      <w:szCs w:val="16"/>
    </w:rPr>
  </w:style>
  <w:style w:type="paragraph" w:styleId="222">
    <w:name w:val="Основной текст 22"/>
    <w:basedOn w:val="Normal"/>
    <w:qFormat/>
    <w:pPr>
      <w:spacing w:lineRule="auto" w:line="480" w:before="0" w:after="120"/>
    </w:pPr>
    <w:rPr>
      <w:rFonts w:eastAsia="Times New Roman" w:cs="Times New Roman"/>
      <w:sz w:val="28"/>
      <w:szCs w:val="28"/>
    </w:rPr>
  </w:style>
  <w:style w:type="paragraph" w:styleId="210">
    <w:name w:val="Цитата2"/>
    <w:basedOn w:val="Normal"/>
    <w:qFormat/>
    <w:pPr>
      <w:ind w:hanging="0" w:left="-567" w:right="-766"/>
      <w:jc w:val="center"/>
    </w:pPr>
    <w:rPr>
      <w:rFonts w:eastAsia="Times New Roman" w:cs="Times New Roman"/>
      <w:b/>
      <w:bCs/>
      <w:szCs w:val="20"/>
    </w:rPr>
  </w:style>
  <w:style w:type="paragraph" w:styleId="Style33">
    <w:name w:val="Подпункт"/>
    <w:basedOn w:val="Normal"/>
    <w:qFormat/>
    <w:pPr>
      <w:snapToGrid w:val="false"/>
      <w:spacing w:lineRule="auto" w:line="360"/>
      <w:ind w:hanging="1134" w:left="1134" w:right="0"/>
      <w:jc w:val="both"/>
    </w:pPr>
    <w:rPr>
      <w:rFonts w:eastAsia="Times New Roman" w:cs="Times New Roman"/>
      <w:sz w:val="28"/>
      <w:szCs w:val="20"/>
      <w:lang w:val="ru-RU"/>
    </w:rPr>
  </w:style>
  <w:style w:type="paragraph" w:styleId="211">
    <w:name w:val="Пункт2"/>
    <w:basedOn w:val="Normal"/>
    <w:qFormat/>
    <w:pPr>
      <w:keepNext w:val="true"/>
      <w:numPr>
        <w:ilvl w:val="0"/>
        <w:numId w:val="0"/>
      </w:numPr>
      <w:snapToGrid w:val="false"/>
      <w:spacing w:before="240" w:after="120"/>
      <w:ind w:hanging="1134" w:left="1134" w:right="0"/>
      <w:outlineLvl w:val="2"/>
    </w:pPr>
    <w:rPr>
      <w:rFonts w:eastAsia="Times New Roman" w:cs="Times New Roman"/>
      <w:b/>
      <w:sz w:val="28"/>
      <w:szCs w:val="20"/>
    </w:rPr>
  </w:style>
  <w:style w:type="paragraph" w:styleId="TOC1">
    <w:name w:val="TOC 1"/>
    <w:basedOn w:val="Normal"/>
    <w:next w:val="Normal"/>
    <w:pPr>
      <w:spacing w:before="120" w:after="0"/>
    </w:pPr>
    <w:rPr>
      <w:rFonts w:eastAsia="Times New Roman" w:cs="Calibri Light (Заголовки);Times New Roman"/>
      <w:b/>
      <w:bCs/>
      <w:szCs w:val="24"/>
    </w:rPr>
  </w:style>
  <w:style w:type="paragraph" w:styleId="TOC3">
    <w:name w:val="TOC 3"/>
    <w:basedOn w:val="Normal"/>
    <w:next w:val="Normal"/>
    <w:pPr>
      <w:ind w:hanging="0" w:left="280" w:right="0"/>
    </w:pPr>
    <w:rPr>
      <w:rFonts w:eastAsia="Times New Roman" w:cs="Calibri"/>
      <w:sz w:val="20"/>
      <w:szCs w:val="20"/>
    </w:rPr>
  </w:style>
  <w:style w:type="paragraph" w:styleId="Style34">
    <w:name w:val="Раздел регламента"/>
    <w:basedOn w:val="Normal"/>
    <w:qFormat/>
    <w:pPr/>
    <w:rPr>
      <w:rFonts w:eastAsia="Times New Roman" w:cs="Times New Roman"/>
      <w:sz w:val="28"/>
      <w:szCs w:val="28"/>
    </w:rPr>
  </w:style>
  <w:style w:type="paragraph" w:styleId="Style35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</w:rPr>
  </w:style>
  <w:style w:type="paragraph" w:styleId="TOC2">
    <w:name w:val="TOC 2"/>
    <w:basedOn w:val="Normal"/>
    <w:next w:val="Normal"/>
    <w:pPr>
      <w:spacing w:before="240" w:after="0"/>
    </w:pPr>
    <w:rPr>
      <w:rFonts w:eastAsia="Times New Roman" w:cs="Calibri"/>
      <w:b/>
      <w:bCs/>
      <w:sz w:val="20"/>
      <w:szCs w:val="20"/>
    </w:rPr>
  </w:style>
  <w:style w:type="paragraph" w:styleId="Style36">
    <w:name w:val="Текст выноски"/>
    <w:basedOn w:val="Normal"/>
    <w:qFormat/>
    <w:pPr/>
    <w:rPr>
      <w:rFonts w:ascii="Tahoma" w:hAnsi="Tahoma" w:eastAsia="Times New Roman" w:cs="Tahoma"/>
      <w:sz w:val="16"/>
      <w:szCs w:val="16"/>
    </w:rPr>
  </w:style>
  <w:style w:type="paragraph" w:styleId="212">
    <w:name w:val="Текст примечания2"/>
    <w:basedOn w:val="Normal"/>
    <w:qFormat/>
    <w:pPr/>
    <w:rPr>
      <w:rFonts w:eastAsia="Times New Roman" w:cs="Times New Roman"/>
      <w:sz w:val="20"/>
      <w:szCs w:val="20"/>
    </w:rPr>
  </w:style>
  <w:style w:type="paragraph" w:styleId="Style37">
    <w:name w:val="Тема примечания"/>
    <w:basedOn w:val="212"/>
    <w:next w:val="212"/>
    <w:qFormat/>
    <w:pPr/>
    <w:rPr>
      <w:b/>
      <w:bCs/>
    </w:rPr>
  </w:style>
  <w:style w:type="paragraph" w:styleId="11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</w:rPr>
  </w:style>
  <w:style w:type="paragraph" w:styleId="TOC9">
    <w:name w:val="TOC 9"/>
    <w:basedOn w:val="Normal"/>
    <w:next w:val="Normal"/>
    <w:pPr>
      <w:ind w:hanging="0" w:left="1960" w:right="0"/>
    </w:pPr>
    <w:rPr>
      <w:rFonts w:ascii="Calibri" w:hAnsi="Calibri" w:eastAsia="Times New Roman" w:cs="Calibri"/>
      <w:sz w:val="20"/>
      <w:szCs w:val="20"/>
    </w:rPr>
  </w:style>
  <w:style w:type="paragraph" w:styleId="TOC5">
    <w:name w:val="TOC 5"/>
    <w:basedOn w:val="Normal"/>
    <w:next w:val="Normal"/>
    <w:pPr>
      <w:ind w:hanging="0" w:left="840" w:right="0"/>
    </w:pPr>
    <w:rPr>
      <w:rFonts w:ascii="Calibri" w:hAnsi="Calibri" w:eastAsia="Times New Roman" w:cs="Calibri"/>
      <w:sz w:val="20"/>
      <w:szCs w:val="20"/>
    </w:rPr>
  </w:style>
  <w:style w:type="paragraph" w:styleId="TOC4">
    <w:name w:val="TOC 4"/>
    <w:basedOn w:val="Normal"/>
    <w:next w:val="Normal"/>
    <w:pPr>
      <w:ind w:hanging="0" w:left="560" w:right="0"/>
    </w:pPr>
    <w:rPr>
      <w:rFonts w:eastAsia="Times New Roman" w:cs="Calibri"/>
      <w:sz w:val="20"/>
      <w:szCs w:val="20"/>
    </w:rPr>
  </w:style>
  <w:style w:type="paragraph" w:styleId="213">
    <w:name w:val="Раздел положения 2"/>
    <w:basedOn w:val="Normal"/>
    <w:qFormat/>
    <w:pPr>
      <w:pageBreakBefore/>
      <w:numPr>
        <w:ilvl w:val="0"/>
        <w:numId w:val="0"/>
      </w:numPr>
      <w:ind w:hanging="0" w:left="0" w:right="0"/>
      <w:jc w:val="both"/>
      <w:outlineLvl w:val="0"/>
    </w:pPr>
    <w:rPr>
      <w:rFonts w:eastAsia="Times New Roman" w:cs="Times New Roman"/>
      <w:b/>
      <w:sz w:val="28"/>
      <w:szCs w:val="28"/>
    </w:rPr>
  </w:style>
  <w:style w:type="paragraph" w:styleId="Style3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9">
    <w:name w:val="Без интервала"/>
    <w:basedOn w:val="Normal"/>
    <w:qFormat/>
    <w:pPr>
      <w:spacing w:lineRule="auto" w:line="360"/>
    </w:pPr>
    <w:rPr>
      <w:rFonts w:eastAsia="Calibri" w:cs="Times New Roman"/>
      <w:szCs w:val="24"/>
    </w:rPr>
  </w:style>
  <w:style w:type="paragraph" w:styleId="Subtitle">
    <w:name w:val="Subtitle"/>
    <w:basedOn w:val="Normal"/>
    <w:next w:val="Normal"/>
    <w:qFormat/>
    <w:pPr>
      <w:ind w:firstLine="709" w:left="1066" w:right="0"/>
    </w:pPr>
    <w:rPr>
      <w:rFonts w:ascii="Cambria" w:hAnsi="Cambria" w:eastAsia="Times New Roman" w:cs="Times New Roman"/>
      <w:i/>
      <w:iCs/>
      <w:color w:val="4F81BD"/>
      <w:spacing w:val="15"/>
      <w:szCs w:val="24"/>
      <w:lang w:val="ru-RU"/>
    </w:rPr>
  </w:style>
  <w:style w:type="paragraph" w:styleId="Style40">
    <w:name w:val="Абзац списка"/>
    <w:basedOn w:val="Normal"/>
    <w:qFormat/>
    <w:pPr>
      <w:spacing w:before="0" w:after="0"/>
      <w:ind w:hanging="0" w:left="720" w:right="0"/>
      <w:contextualSpacing/>
    </w:pPr>
    <w:rPr>
      <w:rFonts w:eastAsia="Calibri" w:cs="Times New Roman"/>
      <w:szCs w:val="24"/>
    </w:rPr>
  </w:style>
  <w:style w:type="paragraph" w:styleId="214">
    <w:name w:val="Цитата 2"/>
    <w:basedOn w:val="Normal"/>
    <w:next w:val="Normal"/>
    <w:qFormat/>
    <w:pPr/>
    <w:rPr>
      <w:rFonts w:ascii="Calibri" w:hAnsi="Calibri" w:eastAsia="Calibri" w:cs="Times New Roman"/>
      <w:i/>
      <w:iCs/>
      <w:color w:val="000000"/>
      <w:sz w:val="20"/>
      <w:szCs w:val="20"/>
      <w:lang w:val="ru-RU"/>
    </w:rPr>
  </w:style>
  <w:style w:type="paragraph" w:styleId="Style41">
    <w:name w:val="Выделенная цитата"/>
    <w:basedOn w:val="Normal"/>
    <w:next w:val="Normal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ru-RU"/>
    </w:rPr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before="480" w:after="0"/>
      <w:ind w:hanging="360" w:left="3196" w:right="0"/>
      <w:outlineLvl w:val="9"/>
    </w:pPr>
    <w:rPr>
      <w:rFonts w:ascii="Cambria" w:hAnsi="Cambria" w:cs="Cambria"/>
      <w:bCs/>
      <w:color w:val="365F91"/>
    </w:rPr>
  </w:style>
  <w:style w:type="paragraph" w:styleId="Style42">
    <w:name w:val="Электронная подпись"/>
    <w:basedOn w:val="Normal"/>
    <w:qFormat/>
    <w:pPr/>
    <w:rPr>
      <w:rFonts w:eastAsia="Calibri" w:cs="Times New Roman"/>
      <w:szCs w:val="24"/>
      <w:lang w:val="ru-RU"/>
    </w:rPr>
  </w:style>
  <w:style w:type="paragraph" w:styleId="Style43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8">
    <w:name w:val="Нумерованный список ур3"/>
    <w:basedOn w:val="Normal"/>
    <w:qFormat/>
    <w:pPr>
      <w:numPr>
        <w:ilvl w:val="0"/>
        <w:numId w:val="6"/>
      </w:numPr>
      <w:jc w:val="both"/>
    </w:pPr>
    <w:rPr>
      <w:rFonts w:ascii="Garamond" w:hAnsi="Garamond" w:eastAsia="Times New Roman" w:cs="Times New Roman"/>
      <w:szCs w:val="20"/>
    </w:rPr>
  </w:style>
  <w:style w:type="paragraph" w:styleId="311">
    <w:name w:val="Список 31"/>
    <w:basedOn w:val="Normal"/>
    <w:qFormat/>
    <w:pPr>
      <w:numPr>
        <w:ilvl w:val="0"/>
        <w:numId w:val="6"/>
      </w:numPr>
      <w:spacing w:before="120" w:after="0"/>
      <w:jc w:val="both"/>
    </w:pPr>
    <w:rPr>
      <w:rFonts w:ascii="Garamond" w:hAnsi="Garamond" w:eastAsia="Times New Roman" w:cs="Times New Roman"/>
      <w:szCs w:val="20"/>
    </w:rPr>
  </w:style>
  <w:style w:type="paragraph" w:styleId="215">
    <w:name w:val="Нумерованный список ур2"/>
    <w:basedOn w:val="Normal"/>
    <w:qFormat/>
    <w:pPr>
      <w:numPr>
        <w:ilvl w:val="0"/>
        <w:numId w:val="6"/>
      </w:numPr>
      <w:spacing w:before="120" w:after="0"/>
      <w:jc w:val="both"/>
    </w:pPr>
    <w:rPr>
      <w:rFonts w:ascii="Garamond" w:hAnsi="Garamond" w:eastAsia="Times New Roman" w:cs="Times New Roman"/>
      <w:szCs w:val="20"/>
    </w:rPr>
  </w:style>
  <w:style w:type="paragraph" w:styleId="Style44">
    <w:name w:val="Рецензия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9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45">
    <w:name w:val="Пункт"/>
    <w:basedOn w:val="Normal"/>
    <w:qFormat/>
    <w:pPr>
      <w:widowControl w:val="false"/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</w:rPr>
  </w:style>
  <w:style w:type="paragraph" w:styleId="112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Times New Roman" w:cs="Times New Roman"/>
      <w:sz w:val="22"/>
    </w:rPr>
  </w:style>
  <w:style w:type="paragraph" w:styleId="Style46">
    <w:name w:val="Таблица"/>
    <w:basedOn w:val="Normal"/>
    <w:qFormat/>
    <w:pPr>
      <w:keepNext w:val="true"/>
      <w:spacing w:before="60" w:after="60"/>
      <w:jc w:val="center"/>
    </w:pPr>
    <w:rPr>
      <w:rFonts w:eastAsia="Calibri" w:cs="Times New Roman"/>
      <w:b/>
      <w:szCs w:val="24"/>
      <w:lang w:val="ru-RU"/>
    </w:rPr>
  </w:style>
  <w:style w:type="paragraph" w:styleId="Style47">
    <w:name w:val="Подподпункт"/>
    <w:basedOn w:val="Style33"/>
    <w:qFormat/>
    <w:pPr>
      <w:snapToGrid w:val="true"/>
      <w:spacing w:lineRule="auto" w:line="240" w:before="120" w:after="0"/>
      <w:ind w:hanging="567" w:left="5104" w:right="0"/>
    </w:pPr>
    <w:rPr>
      <w:sz w:val="26"/>
      <w:szCs w:val="26"/>
      <w:lang w:val="ru-RU"/>
    </w:rPr>
  </w:style>
  <w:style w:type="paragraph" w:styleId="Style48">
    <w:name w:val="УРОВЕНЬ_(а)"/>
    <w:basedOn w:val="Style40"/>
    <w:qFormat/>
    <w:pPr>
      <w:numPr>
        <w:ilvl w:val="0"/>
        <w:numId w:val="4"/>
      </w:numPr>
      <w:spacing w:lineRule="exact" w:line="360" w:before="120" w:after="0"/>
      <w:ind w:hanging="648" w:left="1728" w:right="0"/>
      <w:contextualSpacing w:val="false"/>
      <w:jc w:val="both"/>
      <w:outlineLvl w:val="3"/>
    </w:pPr>
    <w:rPr>
      <w:sz w:val="26"/>
      <w:szCs w:val="28"/>
    </w:rPr>
  </w:style>
  <w:style w:type="paragraph" w:styleId="-">
    <w:name w:val="УРОВЕНЬ_-"/>
    <w:basedOn w:val="Style40"/>
    <w:qFormat/>
    <w:pPr>
      <w:numPr>
        <w:ilvl w:val="0"/>
        <w:numId w:val="4"/>
      </w:numPr>
      <w:spacing w:lineRule="exact" w:line="360" w:before="120" w:after="0"/>
      <w:ind w:hanging="792" w:left="2232" w:right="0"/>
      <w:contextualSpacing w:val="false"/>
      <w:jc w:val="both"/>
      <w:outlineLvl w:val="4"/>
    </w:pPr>
    <w:rPr>
      <w:sz w:val="26"/>
      <w:szCs w:val="28"/>
    </w:rPr>
  </w:style>
  <w:style w:type="paragraph" w:styleId="216">
    <w:name w:val="УРОВЕНЬ_Абзац_тип2"/>
    <w:basedOn w:val="Style40"/>
    <w:qFormat/>
    <w:pPr>
      <w:numPr>
        <w:ilvl w:val="0"/>
        <w:numId w:val="4"/>
      </w:numPr>
      <w:spacing w:lineRule="exact" w:line="360" w:before="120" w:after="0"/>
      <w:ind w:hanging="1080" w:left="3240" w:right="0"/>
      <w:contextualSpacing w:val="false"/>
      <w:jc w:val="both"/>
    </w:pPr>
    <w:rPr>
      <w:sz w:val="26"/>
      <w:szCs w:val="28"/>
    </w:rPr>
  </w:style>
  <w:style w:type="paragraph" w:styleId="310">
    <w:name w:val="УРОВЕНЬ_Абзац_тип3"/>
    <w:basedOn w:val="Style40"/>
    <w:qFormat/>
    <w:pPr>
      <w:numPr>
        <w:ilvl w:val="0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49">
    <w:name w:val="УРОВЕНЬ_Подпись"/>
    <w:basedOn w:val="Style40"/>
    <w:qFormat/>
    <w:pPr>
      <w:keepNext w:val="true"/>
      <w:numPr>
        <w:ilvl w:val="0"/>
        <w:numId w:val="4"/>
      </w:numPr>
      <w:spacing w:lineRule="exact" w:line="360" w:before="120" w:after="120"/>
      <w:ind w:hanging="936" w:left="2736" w:right="0"/>
      <w:contextualSpacing w:val="false"/>
      <w:jc w:val="right"/>
      <w:outlineLvl w:val="3"/>
    </w:pPr>
    <w:rPr>
      <w:sz w:val="26"/>
      <w:szCs w:val="28"/>
    </w:rPr>
  </w:style>
  <w:style w:type="paragraph" w:styleId="113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hanging="567" w:left="567" w:right="0"/>
      <w:jc w:val="both"/>
      <w:outlineLvl w:val="9"/>
    </w:pPr>
    <w:rPr>
      <w:rFonts w:ascii="Arial" w:hAnsi="Arial" w:eastAsia="Times New Roman" w:cs="Arial"/>
      <w:bCs/>
      <w:kern w:val="2"/>
      <w:sz w:val="40"/>
      <w:szCs w:val="20"/>
      <w:lang w:val="ru-RU"/>
    </w:rPr>
  </w:style>
  <w:style w:type="paragraph" w:styleId="EndnoteText">
    <w:name w:val="Endnote Text"/>
    <w:basedOn w:val="Normal"/>
    <w:pPr/>
    <w:rPr>
      <w:rFonts w:eastAsia="Times New Roman" w:cs="Times New Roman"/>
      <w:sz w:val="20"/>
      <w:szCs w:val="20"/>
    </w:rPr>
  </w:style>
  <w:style w:type="paragraph" w:styleId="217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</w:rPr>
  </w:style>
  <w:style w:type="paragraph" w:styleId="Style50">
    <w:name w:val="Таблица текст"/>
    <w:basedOn w:val="Normal"/>
    <w:qFormat/>
    <w:pPr>
      <w:spacing w:before="40" w:after="40"/>
      <w:ind w:hanging="0" w:left="57" w:right="57"/>
    </w:pPr>
    <w:rPr>
      <w:rFonts w:eastAsia="Times New Roman" w:cs="Times New Roman"/>
      <w:szCs w:val="26"/>
    </w:rPr>
  </w:style>
  <w:style w:type="paragraph" w:styleId="Style51">
    <w:name w:val="Обычный (веб)"/>
    <w:basedOn w:val="Normal"/>
    <w:qFormat/>
    <w:pPr>
      <w:spacing w:before="280" w:after="280"/>
    </w:pPr>
    <w:rPr>
      <w:rFonts w:eastAsia="Times New Roman" w:cs="Times New Roman"/>
      <w:szCs w:val="24"/>
    </w:rPr>
  </w:style>
  <w:style w:type="paragraph" w:styleId="114">
    <w:name w:val="УРОВЕНЬ_1."/>
    <w:basedOn w:val="Style40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pPr>
      <w:ind w:hanging="0" w:left="1120" w:right="0"/>
    </w:pPr>
    <w:rPr>
      <w:rFonts w:ascii="Calibri" w:hAnsi="Calibri" w:eastAsia="Times New Roman" w:cs="Calibri"/>
      <w:sz w:val="20"/>
      <w:szCs w:val="20"/>
    </w:rPr>
  </w:style>
  <w:style w:type="paragraph" w:styleId="TOC7">
    <w:name w:val="TOC 7"/>
    <w:basedOn w:val="Normal"/>
    <w:next w:val="Normal"/>
    <w:pPr>
      <w:ind w:hanging="0" w:left="1400" w:right="0"/>
    </w:pPr>
    <w:rPr>
      <w:rFonts w:ascii="Calibri" w:hAnsi="Calibri" w:eastAsia="Times New Roman" w:cs="Calibri"/>
      <w:sz w:val="20"/>
      <w:szCs w:val="20"/>
    </w:rPr>
  </w:style>
  <w:style w:type="paragraph" w:styleId="TOC8">
    <w:name w:val="TOC 8"/>
    <w:basedOn w:val="Normal"/>
    <w:next w:val="Normal"/>
    <w:pPr>
      <w:ind w:hanging="0" w:left="1680" w:right="0"/>
    </w:pPr>
    <w:rPr>
      <w:rFonts w:ascii="Calibri" w:hAnsi="Calibri" w:eastAsia="Times New Roman" w:cs="Calibri"/>
      <w:sz w:val="20"/>
      <w:szCs w:val="20"/>
    </w:rPr>
  </w:style>
  <w:style w:type="paragraph" w:styleId="Style52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>
    <w:name w:val="Контракт-раздел"/>
    <w:basedOn w:val="Normal"/>
    <w:qFormat/>
    <w:pPr>
      <w:keepNext w:val="true"/>
      <w:keepLines/>
      <w:numPr>
        <w:ilvl w:val="0"/>
        <w:numId w:val="0"/>
      </w:numPr>
      <w:spacing w:before="240" w:after="120"/>
      <w:ind w:hanging="0" w:left="0" w:right="0"/>
      <w:jc w:val="center"/>
      <w:outlineLvl w:val="2"/>
    </w:pPr>
    <w:rPr>
      <w:rFonts w:eastAsia="Times New Roman" w:cs="Times New Roman"/>
      <w:b/>
      <w:bCs/>
      <w:caps/>
      <w:szCs w:val="28"/>
    </w:rPr>
  </w:style>
  <w:style w:type="paragraph" w:styleId="-2">
    <w:name w:val="Контракт-пункт"/>
    <w:basedOn w:val="Normal"/>
    <w:qFormat/>
    <w:pPr>
      <w:ind w:hanging="851" w:left="1391" w:right="0"/>
    </w:pPr>
    <w:rPr>
      <w:rFonts w:eastAsia="Times New Roman" w:cs="Times New Roman"/>
      <w:szCs w:val="28"/>
    </w:rPr>
  </w:style>
  <w:style w:type="paragraph" w:styleId="115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hanging="0" w:left="600" w:right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Style53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</w:rPr>
  </w:style>
  <w:style w:type="paragraph" w:styleId="Style54">
    <w:name w:val="Подпункт договора"/>
    <w:basedOn w:val="Normal"/>
    <w:qFormat/>
    <w:pPr>
      <w:jc w:val="both"/>
    </w:pPr>
    <w:rPr>
      <w:rFonts w:ascii="Arial" w:hAnsi="Arial" w:eastAsia="Times New Roman" w:cs="Times New Roman"/>
      <w:sz w:val="20"/>
      <w:szCs w:val="20"/>
    </w:rPr>
  </w:style>
  <w:style w:type="paragraph" w:styleId="BodyText21">
    <w:name w:val="Body Text 21"/>
    <w:basedOn w:val="Normal"/>
    <w:qFormat/>
    <w:pPr>
      <w:ind w:firstLine="709" w:left="0" w:right="0"/>
      <w:jc w:val="both"/>
    </w:pPr>
    <w:rPr>
      <w:rFonts w:eastAsia="Times New Roman" w:cs="Times New Roman"/>
      <w:szCs w:val="20"/>
    </w:rPr>
  </w:style>
  <w:style w:type="paragraph" w:styleId="Style55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;ＭＳ 明朝" w:cs="Times New Roman"/>
      <w:sz w:val="28"/>
      <w:szCs w:val="28"/>
    </w:rPr>
  </w:style>
  <w:style w:type="paragraph" w:styleId="116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8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hanging="0" w:left="600" w:right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Jss308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</w:rPr>
  </w:style>
  <w:style w:type="paragraph" w:styleId="Style56">
    <w:name w:val="Содержимое таблицы"/>
    <w:basedOn w:val="Normal"/>
    <w:qFormat/>
    <w:pPr>
      <w:widowControl w:val="false"/>
      <w:suppressLineNumbers/>
    </w:pPr>
    <w:rPr/>
  </w:style>
  <w:style w:type="paragraph" w:styleId="Style57">
    <w:name w:val="Заголовок таблицы"/>
    <w:basedOn w:val="Style56"/>
    <w:qFormat/>
    <w:pPr>
      <w:jc w:val="center"/>
    </w:pPr>
    <w:rPr>
      <w:b/>
      <w:bCs/>
    </w:rPr>
  </w:style>
  <w:style w:type="paragraph" w:styleId="Caption111111111112">
    <w:name w:val="caption111111111112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117">
    <w:name w:val="Текст примечания1"/>
    <w:basedOn w:val="Normal"/>
    <w:qFormat/>
    <w:pPr/>
    <w:rPr>
      <w:rFonts w:eastAsia="Times New Roman" w:cs="Times New Roman"/>
      <w:sz w:val="20"/>
      <w:szCs w:val="20"/>
    </w:rPr>
  </w:style>
  <w:style w:type="paragraph" w:styleId="118">
    <w:name w:val="Цитата1"/>
    <w:basedOn w:val="Normal"/>
    <w:qFormat/>
    <w:pPr>
      <w:ind w:hanging="0" w:left="-567" w:right="-766"/>
      <w:jc w:val="center"/>
    </w:pPr>
    <w:rPr>
      <w:rFonts w:eastAsia="Times New Roman" w:cs="Times New Roman"/>
      <w:b/>
      <w:bCs/>
      <w:szCs w:val="20"/>
    </w:rPr>
  </w:style>
  <w:style w:type="paragraph" w:styleId="219">
    <w:name w:val="Основной текст 21"/>
    <w:basedOn w:val="Normal"/>
    <w:qFormat/>
    <w:pPr>
      <w:spacing w:lineRule="auto" w:line="480" w:before="0" w:after="120"/>
    </w:pPr>
    <w:rPr>
      <w:rFonts w:eastAsia="Times New Roman" w:cs="Times New Roman"/>
      <w:sz w:val="28"/>
      <w:szCs w:val="28"/>
    </w:rPr>
  </w:style>
  <w:style w:type="paragraph" w:styleId="312">
    <w:name w:val="Основной текст с отступом 31"/>
    <w:basedOn w:val="Normal"/>
    <w:qFormat/>
    <w:pPr>
      <w:spacing w:before="0" w:after="120"/>
      <w:ind w:hanging="0" w:left="283" w:right="0"/>
    </w:pPr>
    <w:rPr>
      <w:rFonts w:eastAsia="Times New Roman" w:cs="Times New Roman"/>
      <w:sz w:val="16"/>
      <w:szCs w:val="16"/>
    </w:rPr>
  </w:style>
  <w:style w:type="paragraph" w:styleId="313">
    <w:name w:val="Основной текст 31"/>
    <w:basedOn w:val="Normal"/>
    <w:qFormat/>
    <w:pPr>
      <w:spacing w:before="0" w:after="120"/>
    </w:pPr>
    <w:rPr>
      <w:rFonts w:eastAsia="Times New Roman" w:cs="Times New Roman"/>
      <w:sz w:val="16"/>
      <w:szCs w:val="16"/>
    </w:rPr>
  </w:style>
  <w:style w:type="paragraph" w:styleId="2110">
    <w:name w:val="Основной текст с отступом 21"/>
    <w:basedOn w:val="Normal"/>
    <w:qFormat/>
    <w:pPr>
      <w:spacing w:lineRule="auto" w:line="480" w:before="0" w:after="120"/>
      <w:ind w:hanging="0" w:left="283" w:right="0"/>
    </w:pPr>
    <w:rPr>
      <w:rFonts w:eastAsia="Times New Roman" w:cs="Times New Roman"/>
      <w:sz w:val="28"/>
      <w:szCs w:val="28"/>
    </w:rPr>
  </w:style>
  <w:style w:type="paragraph" w:styleId="Caption111111111111111112">
    <w:name w:val="caption111111111111111112"/>
    <w:basedOn w:val="Normal"/>
    <w:next w:val="Normal"/>
    <w:qFormat/>
    <w:pPr/>
    <w:rPr>
      <w:rFonts w:eastAsia="Calibri" w:cs="Times New Roman"/>
      <w:b/>
      <w:bCs/>
      <w:color w:val="4F81BD"/>
      <w:sz w:val="18"/>
      <w:szCs w:val="18"/>
    </w:rPr>
  </w:style>
  <w:style w:type="paragraph" w:styleId="Caption11111111111111112">
    <w:name w:val="caption11111111111111112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119">
    <w:name w:val="Название объекта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120">
    <w:name w:val="Указатель1"/>
    <w:basedOn w:val="Normal"/>
    <w:qFormat/>
    <w:pPr>
      <w:suppressLineNumbers/>
    </w:pPr>
    <w:rPr/>
  </w:style>
  <w:style w:type="paragraph" w:styleId="220">
    <w:name w:val="Название объекта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paragraph" w:styleId="223">
    <w:name w:val="Указатель2"/>
    <w:basedOn w:val="Normal"/>
    <w:qFormat/>
    <w:pPr>
      <w:suppressLineNumbers/>
    </w:pPr>
    <w:rPr/>
  </w:style>
  <w:style w:type="paragraph" w:styleId="224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  <w:sz w:val="28"/>
      <w:szCs w:val="2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1175</TotalTime>
  <Application>AlterOffice/2026.2.0.0$Linux_X86_64 LibreOffice_project/bc4ef1adf80b36c7a6365f8ed6cbf29021361edd</Application>
  <AppVersion>15.0000</AppVersion>
  <Pages>5</Pages>
  <Words>740</Words>
  <Characters>4840</Characters>
  <CharactersWithSpaces>5382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2026-02-24T11:48:00Z</dcterms:created>
  <dc:creator>Попадьина Светлана Алексеевна</dc:creator>
  <dc:description/>
  <dc:language>ru-RU</dc:language>
  <cp:lastModifiedBy>tihanovaov@corp.gidroogk.com</cp:lastModifiedBy>
  <cp:lastPrinted>2026-02-20T09:43:00Z</cp:lastPrinted>
  <dcterms:modified xsi:type="dcterms:W3CDTF">2026-10-12T08:27:01Z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