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</w:r>
      <w:bookmarkStart w:id="0" w:name="_Toc75446582"/>
      <w:bookmarkStart w:id="1" w:name="_Toc75446582"/>
      <w:bookmarkEnd w:id="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  <w:b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Cs/>
          <w:color w:val="000000"/>
          <w:spacing w:val="-6"/>
          <w:sz w:val="24"/>
          <w:szCs w:val="24"/>
        </w:rPr>
        <w:t xml:space="preserve">ОКПД2 </w:t>
      </w:r>
      <w:bookmarkStart w:id="2" w:name="primary-header__title"/>
      <w:bookmarkEnd w:id="2"/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-6"/>
          <w:sz w:val="24"/>
          <w:szCs w:val="24"/>
        </w:rPr>
        <w:t xml:space="preserve">27.12.40.000 </w:t>
      </w:r>
      <w:bookmarkStart w:id="3" w:name="primary-header__title_Копия_1"/>
      <w:bookmarkEnd w:id="3"/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-6"/>
          <w:sz w:val="24"/>
          <w:szCs w:val="24"/>
        </w:rPr>
        <w:t>Поставка силового распределительного шкафа индивидуального исполнения для нужд ПУ в г. Партизанск АО «Гидроремонт — ВКК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nextPage"/>
          <w:pgSz w:w="11906" w:h="16838"/>
          <w:pgMar w:left="1276" w:right="707" w:gutter="0" w:header="0" w:top="426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Лот № </w:t>
      </w:r>
    </w:p>
    <w:p>
      <w:pPr>
        <w:pStyle w:val="Heading4"/>
        <w:tabs>
          <w:tab w:val="clear" w:pos="0"/>
          <w:tab w:val="left" w:pos="709" w:leader="none"/>
        </w:tabs>
        <w:ind w:left="432" w:hanging="0"/>
        <w:rPr>
          <w:sz w:val="24"/>
          <w:szCs w:val="24"/>
        </w:rPr>
      </w:pPr>
      <w:r>
        <w:rPr>
          <w:sz w:val="24"/>
          <w:szCs w:val="24"/>
        </w:rPr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hanging="0"/>
        <w:rPr>
          <w:sz w:val="24"/>
          <w:szCs w:val="24"/>
        </w:rPr>
      </w:pPr>
      <w:bookmarkStart w:id="4" w:name="_Toc75446568"/>
      <w:bookmarkStart w:id="5" w:name="_Toc46743506"/>
      <w:r>
        <w:rPr>
          <w:sz w:val="24"/>
          <w:szCs w:val="24"/>
        </w:rPr>
        <w:t>Наименование закупаемой продукции</w:t>
      </w:r>
      <w:bookmarkEnd w:id="4"/>
      <w:bookmarkEnd w:id="5"/>
    </w:p>
    <w:p>
      <w:pPr>
        <w:pStyle w:val="Normal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pacing w:val="-6"/>
          <w:sz w:val="24"/>
          <w:szCs w:val="24"/>
        </w:rPr>
        <w:t xml:space="preserve">ОКПД2 </w:t>
      </w:r>
      <w:bookmarkStart w:id="6" w:name="primary-header__title_Копия_2"/>
      <w:bookmarkEnd w:id="6"/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-6"/>
          <w:sz w:val="24"/>
          <w:szCs w:val="24"/>
        </w:rPr>
        <w:t xml:space="preserve">27.12.40.000 </w:t>
      </w:r>
      <w:bookmarkStart w:id="7" w:name="primary-header__title_Копия_1_Копия_1"/>
      <w:bookmarkEnd w:id="7"/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-6"/>
          <w:sz w:val="24"/>
          <w:szCs w:val="24"/>
        </w:rPr>
        <w:t>Поставка силового распределительного шкафа индивидуального исполнения для нужд ПУ в г. Партизанск АО «Гидроремонт — ВКК</w:t>
      </w:r>
      <w:r>
        <w:rPr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(далее – продукция)</w:t>
      </w:r>
      <w:bookmarkStart w:id="8" w:name="_Toc75446569"/>
      <w:r>
        <w:rPr>
          <w:sz w:val="24"/>
          <w:szCs w:val="24"/>
        </w:rPr>
        <w:t>.</w:t>
      </w:r>
    </w:p>
    <w:p>
      <w:pPr>
        <w:pStyle w:val="Heading4"/>
        <w:numPr>
          <w:ilvl w:val="1"/>
          <w:numId w:val="1"/>
        </w:numPr>
        <w:ind w:left="0" w:hanging="0"/>
        <w:rPr>
          <w:sz w:val="24"/>
          <w:szCs w:val="24"/>
        </w:rPr>
      </w:pPr>
      <w:bookmarkStart w:id="9" w:name="_Toc46743507"/>
      <w:r>
        <w:rPr>
          <w:sz w:val="24"/>
          <w:szCs w:val="24"/>
        </w:rPr>
        <w:t xml:space="preserve">Цель </w:t>
      </w:r>
      <w:bookmarkEnd w:id="9"/>
      <w:r>
        <w:rPr>
          <w:sz w:val="24"/>
          <w:szCs w:val="24"/>
        </w:rPr>
        <w:t xml:space="preserve">использования закупаемой продукции </w:t>
      </w:r>
      <w:bookmarkEnd w:id="8"/>
      <w:r>
        <w:rPr>
          <w:sz w:val="24"/>
          <w:szCs w:val="24"/>
        </w:rPr>
        <w:t xml:space="preserve"> </w:t>
      </w:r>
    </w:p>
    <w:p>
      <w:pPr>
        <w:pStyle w:val="BodyText21"/>
        <w:rPr/>
      </w:pPr>
      <w:r>
        <w:rPr>
          <w:rStyle w:val="Style"/>
          <w:b w:val="false"/>
          <w:bCs/>
          <w:i w:val="false"/>
          <w:color w:val="000000"/>
          <w:sz w:val="24"/>
          <w:szCs w:val="24"/>
          <w:shd w:fill="FFFFFF" w:val="clear"/>
        </w:rPr>
        <w:t>Исполнение доходного договора:</w:t>
      </w:r>
    </w:p>
    <w:p>
      <w:pPr>
        <w:pStyle w:val="BodyText21"/>
        <w:rPr/>
      </w:pP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1520-51-2023 от 28.04.2023 Выполнение работ по строительству временных и </w:t>
      </w:r>
      <w:r>
        <w:rPr>
          <w:rStyle w:val="Style"/>
          <w:b w:val="false"/>
          <w:i w:val="false"/>
          <w:color w:val="000000"/>
          <w:sz w:val="24"/>
          <w:szCs w:val="24"/>
          <w:shd w:fill="auto" w:val="clear"/>
        </w:rPr>
        <w:t>проектных инженерно-технических средств охраны (ИТСО) для реализации проекта «Расширение Партизанской ГРЭС»</w:t>
      </w:r>
      <w:r>
        <w:rPr>
          <w:rStyle w:val="Style"/>
          <w:b w:val="false"/>
          <w:i w:val="false"/>
          <w:color w:val="000000"/>
          <w:sz w:val="24"/>
          <w:szCs w:val="24"/>
          <w:shd w:fill="FFFFFF" w:val="clear"/>
        </w:rPr>
        <w:t>, заключенный между АО «Гидроремонт-ВКК» и АО УК «ГидроОГК»</w:t>
      </w:r>
      <w:r>
        <w:rPr>
          <w:rStyle w:val="Style"/>
          <w:bCs/>
          <w:color w:val="000000"/>
          <w:sz w:val="24"/>
          <w:szCs w:val="24"/>
          <w:shd w:fill="FFFFFF" w:val="clear"/>
        </w:rPr>
        <w:t>.</w:t>
      </w:r>
    </w:p>
    <w:p>
      <w:pPr>
        <w:pStyle w:val="Heading1"/>
        <w:numPr>
          <w:ilvl w:val="0"/>
          <w:numId w:val="1"/>
        </w:numPr>
        <w:ind w:left="0" w:hanging="0"/>
        <w:rPr>
          <w:sz w:val="24"/>
          <w:szCs w:val="24"/>
        </w:rPr>
      </w:pPr>
      <w:bookmarkStart w:id="10" w:name="_Toc75446573"/>
      <w:bookmarkStart w:id="11" w:name="_Toc51339693"/>
      <w:r>
        <w:rPr>
          <w:sz w:val="24"/>
          <w:szCs w:val="24"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1"/>
        </w:numPr>
        <w:ind w:left="0" w:hanging="0"/>
        <w:rPr>
          <w:sz w:val="24"/>
          <w:szCs w:val="24"/>
        </w:rPr>
      </w:pPr>
      <w:bookmarkStart w:id="12" w:name="_Toc75446574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2"/>
    </w:p>
    <w:p>
      <w:pPr>
        <w:pStyle w:val="Heading3"/>
        <w:numPr>
          <w:ilvl w:val="2"/>
          <w:numId w:val="1"/>
        </w:numPr>
        <w:ind w:left="0" w:hanging="0"/>
        <w:rPr>
          <w:sz w:val="24"/>
          <w:szCs w:val="24"/>
        </w:rPr>
      </w:pPr>
      <w:bookmarkStart w:id="13" w:name="_Toc75446575"/>
      <w:r>
        <w:rPr>
          <w:sz w:val="24"/>
          <w:szCs w:val="24"/>
        </w:rPr>
        <w:t>Перечень и объем закупаемой продукции</w:t>
      </w:r>
      <w:bookmarkEnd w:id="13"/>
    </w:p>
    <w:p>
      <w:pPr>
        <w:pStyle w:val="Normal"/>
        <w:jc w:val="both"/>
        <w:rPr>
          <w:sz w:val="24"/>
          <w:szCs w:val="24"/>
        </w:rPr>
      </w:pPr>
      <w:bookmarkStart w:id="14" w:name="_Toc75446578"/>
      <w:bookmarkStart w:id="15" w:name="_Toc75446576"/>
      <w:bookmarkStart w:id="16" w:name="_Toc51339695"/>
      <w:r>
        <w:rPr>
          <w:sz w:val="24"/>
          <w:szCs w:val="24"/>
        </w:rPr>
        <w:t xml:space="preserve">Таблица 2.1 Перечень </w:t>
      </w:r>
      <w:bookmarkEnd w:id="16"/>
      <w:r>
        <w:rPr>
          <w:sz w:val="24"/>
          <w:szCs w:val="24"/>
        </w:rPr>
        <w:t>и объем закупаемой продукци</w:t>
      </w:r>
      <w:bookmarkEnd w:id="15"/>
      <w:r>
        <w:rPr>
          <w:sz w:val="24"/>
          <w:szCs w:val="24"/>
        </w:rPr>
        <w:t>и</w:t>
      </w:r>
    </w:p>
    <w:tbl>
      <w:tblPr>
        <w:tblStyle w:val="afffff2"/>
        <w:tblW w:w="95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5"/>
        <w:gridCol w:w="6242"/>
        <w:gridCol w:w="1252"/>
        <w:gridCol w:w="1351"/>
      </w:tblGrid>
      <w:tr>
        <w:trPr>
          <w:trHeight w:val="56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Единица измерения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62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</w:tr>
      <w:tr>
        <w:trPr>
          <w:trHeight w:val="20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r>
          </w:p>
        </w:tc>
        <w:tc>
          <w:tcPr>
            <w:tcW w:w="6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Шкаф силовой распределительный индивидуального исполнения,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~380/220В, навесного исполнения, с шинами N и PE, габариты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1000х600х250 мм (ВхШхГ), степень защиты IP66, в составе: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- устройство автоматического ввода резерва на 100 А, ~380В, два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ввода, один вывод, с контролем чередования обрыва фаз - 1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автоматические выключатели отходящих линий: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- 3P OptiDin ВМ63-3С32 Iн=32 А, Iотс=(5...10)In - 1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- 3P OptiDin ВМ63-3С25 Iн=25 А, Iотс=(5...10)In - 1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- 3P OptiDin ВМ63-3С16 Iн=16 А, Iотс=(5...10)In - 7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- 1P OptiDin ВМ63-1С32 Iн=32 А, Iотс=(5...10)In - 1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- 1P OptiDin ВМ63-1С16 Iн=16 А, Iотс=(5...10)In - 10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дифференциальные автоматические выключатели отходящих линий: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- 2P OptiDin VD63-22C16-A-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УХЛ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4 In=16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А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, I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отс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=(5…10)In, I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ут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=30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мА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, 10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кА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 xml:space="preserve"> - 3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шт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en-US" w:eastAsia="en-US" w:bidi="ar-SA"/>
              </w:rPr>
              <w:t>.</w:t>
            </w:r>
          </w:p>
        </w:tc>
        <w:tc>
          <w:tcPr>
            <w:tcW w:w="125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компл.</w:t>
            </w:r>
          </w:p>
        </w:tc>
        <w:tc>
          <w:tcPr>
            <w:tcW w:w="13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r>
          </w:p>
        </w:tc>
        <w:tc>
          <w:tcPr>
            <w:tcW w:w="6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Коробка ответвительная с 6-ю кабельными вводами, IP55, 100х100х50мм, 53800</w:t>
            </w:r>
          </w:p>
        </w:tc>
        <w:tc>
          <w:tcPr>
            <w:tcW w:w="12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шт.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>
          <w:trHeight w:val="20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r>
          </w:p>
        </w:tc>
        <w:tc>
          <w:tcPr>
            <w:tcW w:w="6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Клеммный соединитель Wago на 5 клеммных зажимов для проводов сечением до 6мм2, 221-615</w:t>
            </w:r>
          </w:p>
        </w:tc>
        <w:tc>
          <w:tcPr>
            <w:tcW w:w="12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шт.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</w:tc>
      </w:tr>
      <w:tr>
        <w:trPr>
          <w:trHeight w:val="20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r>
          </w:p>
        </w:tc>
        <w:tc>
          <w:tcPr>
            <w:tcW w:w="6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Розетка силовая серии "Viva" 16А, ~220В, 2P+E, Schuko, с заземляющим контактом, со шторками, красного цвета, скрытой установки, 2 модуля, 45015</w:t>
            </w:r>
          </w:p>
        </w:tc>
        <w:tc>
          <w:tcPr>
            <w:tcW w:w="12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шт.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</w:tr>
      <w:tr>
        <w:trPr>
          <w:trHeight w:val="20" w:hRule="atLeast"/>
        </w:trPr>
        <w:tc>
          <w:tcPr>
            <w:tcW w:w="67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x-none" w:bidi="ar-SA"/>
              </w:rPr>
            </w:r>
          </w:p>
        </w:tc>
        <w:tc>
          <w:tcPr>
            <w:tcW w:w="6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Модульная настенная коробка для открытой установки розеток серии "Viva", IP55, 4 модуля, габариты (ШхГхД) 142х63х85 мм 54755</w:t>
            </w:r>
          </w:p>
        </w:tc>
        <w:tc>
          <w:tcPr>
            <w:tcW w:w="12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шт.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</w:tbl>
    <w:p>
      <w:pPr>
        <w:pStyle w:val="Heading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1"/>
        </w:numPr>
        <w:ind w:left="0" w:hanging="0"/>
        <w:rPr>
          <w:sz w:val="24"/>
          <w:szCs w:val="24"/>
        </w:rPr>
      </w:pPr>
      <w:bookmarkStart w:id="17" w:name="_Toc51339696"/>
      <w:r>
        <w:rPr>
          <w:sz w:val="24"/>
          <w:szCs w:val="24"/>
        </w:rPr>
        <w:t xml:space="preserve">Требования </w:t>
      </w:r>
      <w:bookmarkEnd w:id="17"/>
      <w:r>
        <w:rPr>
          <w:sz w:val="24"/>
          <w:szCs w:val="24"/>
        </w:rPr>
        <w:t xml:space="preserve">к срокам поставки продукции </w:t>
      </w:r>
      <w:bookmarkEnd w:id="14"/>
    </w:p>
    <w:p>
      <w:pPr>
        <w:pStyle w:val="Normal"/>
        <w:rPr>
          <w:sz w:val="24"/>
          <w:szCs w:val="24"/>
        </w:rPr>
      </w:pPr>
      <w:bookmarkStart w:id="18" w:name="_Toc75446579"/>
      <w:bookmarkStart w:id="19" w:name="_Toc51339697"/>
      <w:bookmarkStart w:id="20" w:name="_Toc50125127"/>
      <w:r>
        <w:rPr>
          <w:rFonts w:eastAsia="Calibri"/>
          <w:sz w:val="24"/>
          <w:szCs w:val="24"/>
          <w:lang w:eastAsia="x-none"/>
        </w:rPr>
        <w:t xml:space="preserve">Таблица 2.2 </w:t>
      </w:r>
      <w:bookmarkStart w:id="21" w:name="_Hlk50465284"/>
      <w:r>
        <w:rPr>
          <w:rFonts w:eastAsia="Calibri"/>
          <w:sz w:val="24"/>
          <w:szCs w:val="24"/>
          <w:lang w:eastAsia="x-none"/>
        </w:rPr>
        <w:t xml:space="preserve">Требования по срокам </w:t>
      </w:r>
      <w:bookmarkEnd w:id="19"/>
      <w:bookmarkEnd w:id="20"/>
      <w:bookmarkEnd w:id="21"/>
      <w:r>
        <w:rPr>
          <w:rFonts w:eastAsia="Calibri"/>
          <w:sz w:val="24"/>
          <w:szCs w:val="24"/>
          <w:lang w:eastAsia="x-none"/>
        </w:rPr>
        <w:t>поставки продукции</w:t>
      </w:r>
      <w:bookmarkEnd w:id="18"/>
      <w:r>
        <w:rPr>
          <w:rFonts w:eastAsia="Calibri"/>
          <w:sz w:val="24"/>
          <w:szCs w:val="24"/>
          <w:lang w:eastAsia="x-none"/>
        </w:rPr>
        <w:t xml:space="preserve"> </w:t>
      </w:r>
    </w:p>
    <w:tbl>
      <w:tblPr>
        <w:tblW w:w="963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63"/>
        <w:gridCol w:w="2706"/>
        <w:gridCol w:w="2829"/>
        <w:gridCol w:w="2835"/>
      </w:tblGrid>
      <w:tr>
        <w:trPr/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1.1.-1.5.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pacing w:val="-6"/>
                <w:sz w:val="22"/>
                <w:szCs w:val="22"/>
              </w:rPr>
              <w:t xml:space="preserve">ОКПД2 </w:t>
            </w:r>
            <w:bookmarkStart w:id="22" w:name="primary-header__title_Копия_3"/>
            <w:bookmarkEnd w:id="22"/>
            <w:r>
              <w:rPr>
                <w:rFonts w:eastAsia="Times New Roman" w:cs="Times New Roman" w:ascii="Times New Roman" w:hAnsi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-6"/>
                <w:sz w:val="22"/>
                <w:szCs w:val="22"/>
              </w:rPr>
              <w:t xml:space="preserve">27.12.40.000 </w:t>
            </w:r>
            <w:bookmarkStart w:id="23" w:name="primary-header__title_Копия_1_Копия_2"/>
            <w:bookmarkEnd w:id="23"/>
            <w:r>
              <w:rPr>
                <w:rFonts w:eastAsia="Times New Roman" w:cs="Times New Roman" w:ascii="Times New Roman" w:hAnsi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-6"/>
                <w:sz w:val="22"/>
                <w:szCs w:val="22"/>
              </w:rPr>
              <w:t>Поставка силового распределительного шкафа индивидуального исполнения для нужд ПУ в г. Партизанск АО «Гидроремонт — ВКК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 течении 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fill="FFFF00" w:val="clear"/>
              </w:rPr>
              <w:t>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рабочих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276" w:right="707" w:gutter="0" w:header="0" w:top="911" w:footer="788" w:bottom="1213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Таблица 2.4. Требования к продукции</w:t>
      </w:r>
    </w:p>
    <w:tbl>
      <w:tblPr>
        <w:tblW w:w="14507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38"/>
        <w:gridCol w:w="2730"/>
        <w:gridCol w:w="2494"/>
        <w:gridCol w:w="2038"/>
        <w:gridCol w:w="2719"/>
        <w:gridCol w:w="3688"/>
      </w:tblGrid>
      <w:tr>
        <w:trPr>
          <w:trHeight w:val="504" w:hRule="atLeast"/>
        </w:trPr>
        <w:tc>
          <w:tcPr>
            <w:tcW w:w="1450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Наименование продукции (позиции № 1.1.-1.5. Таблицы 2.1):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ОКПД2 </w:t>
            </w:r>
            <w:bookmarkStart w:id="24" w:name="primary-header__title_Копия_4"/>
            <w:bookmarkEnd w:id="24"/>
            <w:r>
              <w:rPr>
                <w:rFonts w:eastAsia="Times New Roman" w:cs="Times New Roman" w:ascii="Times New Roman" w:hAnsi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-6"/>
                <w:sz w:val="24"/>
                <w:szCs w:val="24"/>
              </w:rPr>
              <w:t xml:space="preserve">27.12.40.000 </w:t>
            </w:r>
            <w:bookmarkStart w:id="25" w:name="primary-header__title_Копия_1_Копия_3"/>
            <w:bookmarkEnd w:id="25"/>
            <w:r>
              <w:rPr>
                <w:rFonts w:eastAsia="Times New Roman" w:cs="Times New Roman" w:ascii="Times New Roman" w:hAnsi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-6"/>
                <w:sz w:val="24"/>
                <w:szCs w:val="24"/>
              </w:rPr>
              <w:t>Поставка силового распределительного шкафа индивидуального исполнения для нужд ПУ в г. Партизанск АО «Гидроремонт — ВКК</w:t>
            </w:r>
          </w:p>
        </w:tc>
      </w:tr>
      <w:tr>
        <w:trPr>
          <w:trHeight w:val="739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2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20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Соответствие стандартам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Шкаф силовой распределительный индивидуального исполнения,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~380/220В, навесного исполнения, с шинами N и PE, габариты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1000х600х250 мм (ВхШхГ), степень защиты IP66, в составе: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устройство автоматического ввода резерва на 100 А, ~380В, два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ввода, один вывод, с контролем чередования обрыва фаз - 1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автоматические выключатели отходящих линий: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- 3P OptiDin ВМ63-3С32 Iн=32 А, Iотс=(5...10)In - 1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- 3P OptiDin ВМ63-3С25 Iн=25 А, Iотс=(5...10)In - 1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- 3P OptiDin ВМ63-3С16 Iн=16 А, Iотс=(5...10)In - 7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- 1P OptiDin ВМ63-1С32 Iн=32 А, Iотс=(5...10)In - 1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- 1P OptiDin ВМ63-1С16 Iн=16 А, Iотс=(5...10)In - 10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дифференциальные автоматические выключатели отходящих линий:</w:t>
            </w:r>
          </w:p>
          <w:p>
            <w:pPr>
              <w:pStyle w:val="Style43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- 2P OptiDin VD63-22C16-A-</w:t>
            </w:r>
            <w:r>
              <w:rPr>
                <w:rFonts w:eastAsia="Calibri"/>
                <w:color w:val="000000"/>
                <w:sz w:val="24"/>
                <w:szCs w:val="24"/>
              </w:rPr>
              <w:t>УХЛ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4 In=16</w:t>
            </w:r>
            <w:r>
              <w:rPr>
                <w:rFonts w:eastAsia="Calibri"/>
                <w:color w:val="000000"/>
                <w:sz w:val="24"/>
                <w:szCs w:val="24"/>
              </w:rPr>
              <w:t>А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, I</w:t>
            </w:r>
            <w:r>
              <w:rPr>
                <w:rFonts w:eastAsia="Calibri"/>
                <w:color w:val="000000"/>
                <w:sz w:val="24"/>
                <w:szCs w:val="24"/>
              </w:rPr>
              <w:t>отс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=(5…10)In, I</w:t>
            </w:r>
            <w:r>
              <w:rPr>
                <w:rFonts w:eastAsia="Calibri"/>
                <w:color w:val="000000"/>
                <w:sz w:val="24"/>
                <w:szCs w:val="24"/>
              </w:rPr>
              <w:t>ут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=30</w:t>
            </w:r>
            <w:r>
              <w:rPr>
                <w:rFonts w:eastAsia="Calibri"/>
                <w:color w:val="000000"/>
                <w:sz w:val="24"/>
                <w:szCs w:val="24"/>
              </w:rPr>
              <w:t>мА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, 10</w:t>
            </w:r>
            <w:r>
              <w:rPr>
                <w:rFonts w:eastAsia="Calibri"/>
                <w:color w:val="000000"/>
                <w:sz w:val="24"/>
                <w:szCs w:val="24"/>
              </w:rPr>
              <w:t>кА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- 3 </w:t>
            </w:r>
            <w:r>
              <w:rPr>
                <w:rFonts w:eastAsia="Calibri"/>
                <w:color w:val="000000"/>
                <w:sz w:val="24"/>
                <w:szCs w:val="24"/>
              </w:rPr>
              <w:t>шт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0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Индивидуальное исполнение</w:t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ВхШхГ, мм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1000х600х250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Степе</w:t>
            </w:r>
            <w:bookmarkStart w:id="26" w:name="_GoBack"/>
            <w:bookmarkEnd w:id="26"/>
            <w:r>
              <w:rPr>
                <w:rFonts w:eastAsia="Calibri" w:cs="Times New Roman"/>
                <w:color w:val="000000"/>
                <w:sz w:val="24"/>
                <w:szCs w:val="24"/>
              </w:rPr>
              <w:t>нь защиты, IP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IP 66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Исполнение 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Навесное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Состав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Шкаф силовой распределительный индивидуального исполнения,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~380/220В, навесного исполнения, с шинами N и PE, габариты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1000х600х250 мм (ВхШхГ), степень защиты IP66, в составе: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устройство автоматического ввода резерва на 100 А, ~380В, два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ввода, один вывод, с контролем чередования обрыва фаз - 1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автоматические выключатели отходящих линий: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- 3P OptiDin ВМ63-3С32 Iн=32 А, Iотс=(5...10)In - 1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- 3P OptiDin ВМ63-3С25 Iн=25 А, Iотс=(5...10)In - 1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- 3P OptiDin ВМ63-3С16 Iн=16 А, Iотс=(5...10)In - 7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- 1P OptiDin ВМ63-1С32 Iн=32 А, Iотс=(5...10)In - 1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- 1P OptiDin ВМ63-1С16 Iн=16 А, Iотс=(5...10)In - 10 шт.;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дифференциальные автоматические выключатели отходящих линий:</w:t>
            </w:r>
          </w:p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- 2P OptiDin VD63-22C16-A-</w:t>
            </w:r>
            <w:r>
              <w:rPr>
                <w:rFonts w:eastAsia="Calibri"/>
                <w:color w:val="000000"/>
                <w:sz w:val="24"/>
                <w:szCs w:val="24"/>
              </w:rPr>
              <w:t>УХЛ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4 In=16</w:t>
            </w:r>
            <w:r>
              <w:rPr>
                <w:rFonts w:eastAsia="Calibri"/>
                <w:color w:val="000000"/>
                <w:sz w:val="24"/>
                <w:szCs w:val="24"/>
              </w:rPr>
              <w:t>А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, I</w:t>
            </w:r>
            <w:r>
              <w:rPr>
                <w:rFonts w:eastAsia="Calibri"/>
                <w:color w:val="000000"/>
                <w:sz w:val="24"/>
                <w:szCs w:val="24"/>
              </w:rPr>
              <w:t>отс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=(5…10)In, I</w:t>
            </w:r>
            <w:r>
              <w:rPr>
                <w:rFonts w:eastAsia="Calibri"/>
                <w:color w:val="000000"/>
                <w:sz w:val="24"/>
                <w:szCs w:val="24"/>
              </w:rPr>
              <w:t>ут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=30</w:t>
            </w:r>
            <w:r>
              <w:rPr>
                <w:rFonts w:eastAsia="Calibri"/>
                <w:color w:val="000000"/>
                <w:sz w:val="24"/>
                <w:szCs w:val="24"/>
              </w:rPr>
              <w:t>мА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, 10</w:t>
            </w:r>
            <w:r>
              <w:rPr>
                <w:rFonts w:eastAsia="Calibri"/>
                <w:color w:val="000000"/>
                <w:sz w:val="24"/>
                <w:szCs w:val="24"/>
              </w:rPr>
              <w:t>кА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 - 3 </w:t>
            </w:r>
            <w:r>
              <w:rPr>
                <w:rFonts w:eastAsia="Calibri"/>
                <w:color w:val="000000"/>
                <w:sz w:val="24"/>
                <w:szCs w:val="24"/>
              </w:rPr>
              <w:t>шт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Подключение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Согласно линейной схеме Приложение №1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Коробка ответвительная с 6-ю кабельными вводами, IP55, 100х100х50мм, 53800</w:t>
            </w:r>
          </w:p>
        </w:tc>
        <w:tc>
          <w:tcPr>
            <w:tcW w:w="20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53800</w:t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ДхШхГ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100х100х50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Количество вводов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Степень защиты, IP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IP 55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Для трубы диаметром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20/25 мм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Клеммный соединитель Wago на 5 клеммных зажимов для проводов сечением до 6мм2, 221-615</w:t>
            </w:r>
          </w:p>
        </w:tc>
        <w:tc>
          <w:tcPr>
            <w:tcW w:w="20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221-615</w:t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клемма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Maксимальное сечение провода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br/>
              <w:t>6 мм²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Минимальное сечение провода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br/>
              <w:t>0.5 мм²</w:t>
            </w:r>
          </w:p>
        </w:tc>
      </w:tr>
      <w:tr>
        <w:trPr>
          <w:trHeight w:val="70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Тип использования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Многоразовое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Количество зажимаемых проводов, шт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Розетка силовая серии "Viva" 16А, ~220В, 2P+E, Schuko, с заземляющим контактом, со шторками, красного цвета, скрытой установки, 2 модуля, 45015</w:t>
            </w:r>
          </w:p>
        </w:tc>
        <w:tc>
          <w:tcPr>
            <w:tcW w:w="20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45015</w:t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Красный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Степень защиты, IP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IP 20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Количество модулей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Вид/ марка материала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Термопласт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522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Модульная настенная коробка для открытой установки розеток серии "Viva", IP55, 4 модуля, габариты (ШхГхД) 142х63х85 мм 54755</w:t>
            </w:r>
          </w:p>
        </w:tc>
        <w:tc>
          <w:tcPr>
            <w:tcW w:w="20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54755</w:t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Количество мест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С кабельным вводом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Да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Серый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3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Пластик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522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</w:r>
          </w:p>
        </w:tc>
        <w:tc>
          <w:tcPr>
            <w:tcW w:w="20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</w: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Степень защиты, IP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3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IP 55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2.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Место поставки</w:t>
            </w:r>
          </w:p>
        </w:tc>
        <w:tc>
          <w:tcPr>
            <w:tcW w:w="1093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692860, Российская Федерация, Приморский край, г. Партизанск, улица Свердлова, 2, площадка Партизанской ГРЭС Производственный участок АО «Гидроремонт-ВКК» на Партизанской ГРЭС.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2.2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Приемка продукции</w:t>
            </w:r>
          </w:p>
        </w:tc>
        <w:tc>
          <w:tcPr>
            <w:tcW w:w="1093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Осуществляется только в рабочие дни с 9-00 до 12-00 и с 13-00 до 17-00.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2.3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  <w:r>
              <w:rPr>
                <w:rFonts w:eastAsia="Calibri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eastAsia="Calibri"/>
                <w:i/>
                <w:sz w:val="24"/>
                <w:szCs w:val="24"/>
              </w:rPr>
              <w:t>по тел. 8-962-845-49-60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3.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Сроки гарантии</w:t>
            </w:r>
          </w:p>
        </w:tc>
        <w:tc>
          <w:tcPr>
            <w:tcW w:w="1093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 менее 36 месяцев, исчисляемый с даты подписания сторонами товарной накладной по форме ТОРГ-12 или Универсального передаточного документа (УПД).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4.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1093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паспорта;руководства по эксплуатации со штампом отдела технического контроля (ОТК) изготовителя.; товарную накладную унифицированной формы ТОРГ-12(УПД) в 2 экз.</w:t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, товарно-транспортную накладную формы №1-Т (для учета товарно-материальных ценностей и расчетов за их перевозки) или Железнодорожную накладную (форма № ГУ-27) в 2 экз.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5.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5.1</w:t>
            </w:r>
          </w:p>
        </w:tc>
        <w:tc>
          <w:tcPr>
            <w:tcW w:w="1366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i/>
                <w:sz w:val="24"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i/>
                <w:sz w:val="24"/>
                <w:szCs w:val="24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736" w:gutter="0" w:header="0" w:top="407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58853096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5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50576957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5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5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1.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uiPriority="0" w:semiHidden="1" w:unhideWhenUsed="1"/>
    <w:lsdException w:name="footer" w:semiHidden="1" w:unhideWhenUsed="1"/>
    <w:lsdException w:name="index heading" w:uiPriority="0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 w:qFormat="1"/>
    <w:lsdException w:name="line number" w:semiHidden="1" w:unhideWhenUsed="1"/>
    <w:lsdException w:name="page number" w:uiPriority="0" w:semiHidden="1" w:unhideWhenUsed="1" w:qFormat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uiPriority="0" w:semiHidden="1" w:unhideWhenUsed="1" w:qFormat="1"/>
    <w:lsdException w:name="Body Text Indent 3" w:uiPriority="0" w:semiHidden="1" w:unhideWhenUsed="1" w:qFormat="1"/>
    <w:lsdException w:name="Block Text" w:uiPriority="0" w:semiHidden="1" w:unhideWhenUsed="1" w:qFormat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3b1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9a70a1"/>
    <w:pPr>
      <w:keepNext w:val="true"/>
      <w:tabs>
        <w:tab w:val="clear" w:pos="708"/>
        <w:tab w:val="left" w:pos="0" w:leader="none"/>
        <w:tab w:val="left" w:pos="709" w:leader="none"/>
      </w:tabs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9a70a1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11" w:customStyle="1">
    <w:name w:val="Гиперссылка1"/>
    <w:qFormat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7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2" w:customStyle="1">
    <w:name w:val="Подпункт Знак1"/>
    <w:link w:val="Style28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5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3" w:customStyle="1">
    <w:name w:val="УРОВЕНЬ_1. Знак"/>
    <w:link w:val="111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15" w:customStyle="1">
    <w:name w:val="Просмотренная гиперссылка1"/>
    <w:qFormat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character" w:styleId="Style19" w:customStyle="1">
    <w:name w:val="Символ нумерации"/>
    <w:qFormat/>
    <w:rPr/>
  </w:style>
  <w:style w:type="character" w:styleId="Style20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34e25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9a4731"/>
    <w:rPr>
      <w:color w:val="954F72" w:themeColor="followedHyperlink"/>
      <w:u w:val="single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3" w:customStyle="1">
    <w:name w:val="Раздел положения"/>
    <w:basedOn w:val="Normal"/>
    <w:autoRedefine/>
    <w:qFormat/>
    <w:rsid w:val="00734d42"/>
    <w:pPr>
      <w:numPr>
        <w:ilvl w:val="0"/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4" w:customStyle="1">
    <w:name w:val="Подраздел раздела положения"/>
    <w:basedOn w:val="Normal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5" w:customStyle="1">
    <w:name w:val="Таблица шапка"/>
    <w:basedOn w:val="Normal"/>
    <w:qFormat/>
    <w:rsid w:val="00cd6e45"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6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6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7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8" w:customStyle="1">
    <w:name w:val="Подпункт"/>
    <w:basedOn w:val="Normal"/>
    <w:link w:val="12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left="28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Style29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30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left="196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left="84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left="56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31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left="720" w:hanging="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2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4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4"/>
      <w:szCs w:val="24"/>
      <w:lang w:eastAsia="ru-RU" w:val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3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9" w:customStyle="1">
    <w:name w:val="Абзац списка1"/>
    <w:basedOn w:val="Normal"/>
    <w:qFormat/>
    <w:rsid w:val="00cd6e45"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4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5" w:customStyle="1">
    <w:name w:val="Подподпункт"/>
    <w:basedOn w:val="Style28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6" w:customStyle="1">
    <w:name w:val="УРОВЕНЬ_(а)"/>
    <w:basedOn w:val="ListParagraph"/>
    <w:qFormat/>
    <w:rsid w:val="00cd6e45"/>
    <w:pPr>
      <w:numPr>
        <w:ilvl w:val="3"/>
        <w:numId w:val="5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5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5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7" w:customStyle="1">
    <w:name w:val="УРОВЕНЬ_Подпись"/>
    <w:basedOn w:val="ListParagraph"/>
    <w:qFormat/>
    <w:rsid w:val="00cd6e45"/>
    <w:pPr>
      <w:keepNext w:val="true"/>
      <w:numPr>
        <w:ilvl w:val="5"/>
        <w:numId w:val="5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8" w:customStyle="1">
    <w:name w:val="Таблица текст"/>
    <w:basedOn w:val="Normal"/>
    <w:qFormat/>
    <w:rsid w:val="00cd6e45"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11" w:customStyle="1">
    <w:name w:val="УРОВЕНЬ_1."/>
    <w:basedOn w:val="ListParagraph"/>
    <w:link w:val="13"/>
    <w:qFormat/>
    <w:rsid w:val="00cd6e45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left="112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left="140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left="168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9" w:customStyle="1">
    <w:name w:val="Знак Знак Знак Знак"/>
    <w:basedOn w:val="Normal"/>
    <w:qFormat/>
    <w:rsid w:val="00e82248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2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40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41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2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4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4" w:customStyle="1">
    <w:name w:val="Заголовок таблицы"/>
    <w:basedOn w:val="Style43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4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2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AlterOffice/3.4.0.9$Linux_X86_64 LibreOffice_project/b8daf9e823b1a5463a2f48435ddc2e8696e7d4fc</Application>
  <AppVersion>15.0000</AppVersion>
  <Pages>5</Pages>
  <Words>1023</Words>
  <Characters>6482</Characters>
  <CharactersWithSpaces>7324</CharactersWithSpaces>
  <Paragraphs>187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2026-10-12T03:37:00Z</dcterms:created>
  <dc:creator>Кочетов Сергей Владимирович</dc:creator>
  <dc:description/>
  <dc:language>ru-RU</dc:language>
  <cp:lastModifiedBy>savilovoa@corp.gidroogk.com</cp:lastModifiedBy>
  <cp:lastPrinted>2023-05-16T09:29:00Z</cp:lastPrinted>
  <dcterms:modified xsi:type="dcterms:W3CDTF">2026-10-12T11:30:17Z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