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footer5.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footer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numPr>
          <w:ilvl w:val="0"/>
          <w:numId w:val="0"/>
        </w:numPr>
        <w:spacing w:before="0" w:after="120"/>
        <w:outlineLvl w:val="0"/>
        <w:rPr>
          <w:sz w:val="24"/>
        </w:rPr>
      </w:pPr>
      <w:bookmarkStart w:id="0" w:name="_GoBack"/>
      <w:bookmarkEnd w:id="0"/>
      <w:r>
        <w:rPr>
          <w:sz w:val="24"/>
        </w:rPr>
        <w:t>Договор поставки № _______</w:t>
      </w:r>
    </w:p>
    <w:p>
      <w:pPr>
        <w:pStyle w:val="Normal"/>
        <w:shd w:val="clear" w:color="auto" w:fill="FFFFFF"/>
        <w:spacing w:before="0" w:after="120"/>
        <w:rPr>
          <w:sz w:val="24"/>
          <w:szCs w:val="24"/>
        </w:rPr>
      </w:pPr>
      <w:r>
        <w:rPr>
          <w:sz w:val="24"/>
          <w:szCs w:val="24"/>
        </w:rPr>
        <w:t>Республика Хакасия, г. Саяногорск, рп. Черемушки</w:t>
        <w:tab/>
        <w:t xml:space="preserve"> </w:t>
        <w:tab/>
        <w:t>«___» __________ 20__ г.</w:t>
      </w:r>
    </w:p>
    <w:p>
      <w:pPr>
        <w:pStyle w:val="Normal"/>
        <w:shd w:val="clear" w:color="auto" w:fill="FFFFFF"/>
        <w:spacing w:before="0" w:after="120"/>
        <w:ind w:firstLine="567"/>
        <w:jc w:val="both"/>
        <w:rPr>
          <w:sz w:val="24"/>
          <w:szCs w:val="24"/>
        </w:rPr>
      </w:pPr>
      <w:r>
        <w:rPr>
          <w:sz w:val="24"/>
          <w:szCs w:val="24"/>
        </w:rPr>
      </w:r>
    </w:p>
    <w:p>
      <w:pPr>
        <w:pStyle w:val="Normal"/>
        <w:spacing w:before="0" w:after="120"/>
        <w:ind w:firstLine="567"/>
        <w:jc w:val="both"/>
        <w:rPr>
          <w:sz w:val="24"/>
          <w:szCs w:val="24"/>
        </w:rPr>
      </w:pPr>
      <w:r>
        <w:rPr>
          <w:b/>
          <w:sz w:val="24"/>
          <w:szCs w:val="24"/>
        </w:rPr>
        <w:t xml:space="preserve">Акционерное общество «Гидроремонт-ВКК» (АО «Гидроремонт-ВКК»), </w:t>
      </w:r>
      <w:r>
        <w:rPr>
          <w:sz w:val="24"/>
          <w:szCs w:val="24"/>
        </w:rPr>
        <w:t>именуемое в дальнейшем «</w:t>
      </w:r>
      <w:r>
        <w:rPr>
          <w:b/>
          <w:sz w:val="24"/>
          <w:szCs w:val="24"/>
        </w:rPr>
        <w:t>Покупатель</w:t>
      </w:r>
      <w:r>
        <w:rPr>
          <w:sz w:val="24"/>
          <w:szCs w:val="24"/>
        </w:rPr>
        <w:t>», в лице _________________, действующего на основании ______________, с одной стороны, и</w:t>
      </w:r>
    </w:p>
    <w:p>
      <w:pPr>
        <w:pStyle w:val="Normal"/>
        <w:spacing w:before="0" w:after="120"/>
        <w:ind w:firstLine="567"/>
        <w:jc w:val="both"/>
        <w:rPr>
          <w:sz w:val="24"/>
          <w:szCs w:val="24"/>
        </w:rPr>
      </w:pPr>
      <w:r>
        <w:rPr>
          <w:b/>
          <w:sz w:val="24"/>
          <w:szCs w:val="24"/>
        </w:rPr>
        <w:t>________________(___________),</w:t>
      </w:r>
      <w:r>
        <w:rPr>
          <w:sz w:val="24"/>
          <w:szCs w:val="24"/>
        </w:rPr>
        <w:t xml:space="preserve"> именуемое в дальнейшем «</w:t>
      </w:r>
      <w:r>
        <w:rPr>
          <w:b/>
          <w:sz w:val="24"/>
          <w:szCs w:val="24"/>
        </w:rPr>
        <w:t>Поставщик</w:t>
      </w:r>
      <w:r>
        <w:rPr>
          <w:sz w:val="24"/>
          <w:szCs w:val="24"/>
        </w:rPr>
        <w:t xml:space="preserve">», в лице ________________, действующего на основании ______________, с другой стороны, совместно в дальнейшем именуемые «Стороны», а по отдельности – «Сторона», </w:t>
      </w:r>
    </w:p>
    <w:p>
      <w:pPr>
        <w:pStyle w:val="Normal"/>
        <w:tabs>
          <w:tab w:val="clear" w:pos="720"/>
          <w:tab w:val="left" w:pos="567" w:leader="none"/>
        </w:tabs>
        <w:spacing w:before="0" w:after="120"/>
        <w:ind w:firstLine="556"/>
        <w:jc w:val="both"/>
        <w:rPr/>
      </w:pPr>
      <w:r>
        <w:rPr>
          <w:sz w:val="24"/>
          <w:szCs w:val="24"/>
        </w:rPr>
        <w:t>по результатам закупки у единственного поставщика (</w:t>
      </w:r>
      <w:r>
        <w:rPr>
          <w:rFonts w:cs="Times New Roman"/>
          <w:color w:val="000000"/>
          <w:sz w:val="26"/>
          <w:szCs w:val="26"/>
          <w:shd w:fill="auto" w:val="clear"/>
        </w:rPr>
        <w:t xml:space="preserve">ОКПД2:  </w:t>
      </w:r>
      <w:r>
        <w:rPr>
          <w:rStyle w:val="Strong"/>
          <w:rFonts w:cs="Times New Roman"/>
          <w:b w:val="false"/>
          <w:i w:val="false"/>
          <w:caps w:val="false"/>
          <w:smallCaps w:val="false"/>
          <w:color w:val="000000"/>
          <w:spacing w:val="0"/>
          <w:sz w:val="24"/>
          <w:szCs w:val="26"/>
          <w:shd w:fill="auto" w:val="clear"/>
        </w:rPr>
        <w:t>26.51.52.130</w:t>
      </w:r>
      <w:r>
        <w:rPr>
          <w:rFonts w:cs="Times New Roman"/>
          <w:b w:val="false"/>
          <w:i w:val="false"/>
          <w:caps w:val="false"/>
          <w:smallCaps w:val="false"/>
          <w:color w:val="000000"/>
          <w:spacing w:val="0"/>
          <w:sz w:val="24"/>
          <w:szCs w:val="26"/>
          <w:shd w:fill="auto" w:val="clear"/>
        </w:rPr>
        <w:t>.</w:t>
      </w:r>
      <w:r>
        <w:rPr>
          <w:rFonts w:cs="Times New Roman"/>
          <w:color w:val="000000"/>
          <w:sz w:val="26"/>
          <w:szCs w:val="26"/>
          <w:shd w:fill="auto" w:val="clear"/>
        </w:rPr>
        <w:t>Поставка преобразователей давления</w:t>
      </w:r>
      <w:r>
        <w:rPr>
          <w:sz w:val="24"/>
          <w:szCs w:val="24"/>
        </w:rPr>
        <w:t xml:space="preserve"> для выполнения работ на Новосибирской</w:t>
      </w:r>
      <w:r>
        <w:rPr>
          <w:sz w:val="24"/>
          <w:szCs w:val="24"/>
        </w:rPr>
        <w:t xml:space="preserve"> ГЭС</w:t>
      </w:r>
      <w:r>
        <w:rPr>
          <w:sz w:val="24"/>
          <w:szCs w:val="24"/>
        </w:rPr>
        <w:t xml:space="preserve">  (Лот № </w:t>
      </w:r>
      <w:r>
        <w:rPr>
          <w:sz w:val="22"/>
          <w:szCs w:val="24"/>
        </w:rPr>
        <w:t>ХХХХХХХХХХХХ</w:t>
      </w:r>
      <w:r>
        <w:rPr>
          <w:sz w:val="24"/>
          <w:szCs w:val="24"/>
        </w:rPr>
        <w:t>), что подтверждается  _________ от « __ » ____ 20</w:t>
      </w:r>
      <w:r>
        <w:rPr>
          <w:bCs/>
          <w:sz w:val="24"/>
          <w:szCs w:val="24"/>
        </w:rPr>
        <w:t>26 г.,</w:t>
      </w:r>
      <w:r>
        <w:rPr>
          <w:sz w:val="24"/>
          <w:szCs w:val="24"/>
        </w:rPr>
        <w:t xml:space="preserve"> </w:t>
      </w:r>
    </w:p>
    <w:p>
      <w:pPr>
        <w:pStyle w:val="Normal"/>
        <w:spacing w:before="0" w:after="120"/>
        <w:ind w:firstLine="567"/>
        <w:jc w:val="both"/>
        <w:rPr>
          <w:sz w:val="24"/>
          <w:szCs w:val="24"/>
        </w:rPr>
      </w:pPr>
      <w:r>
        <w:rPr>
          <w:sz w:val="24"/>
          <w:szCs w:val="24"/>
        </w:rPr>
        <w:t>заключили настоящий Договор (далее – «Договор») о нижеследующем:</w:t>
      </w:r>
    </w:p>
    <w:p>
      <w:pPr>
        <w:pStyle w:val="Normal"/>
        <w:widowControl w:val="false"/>
        <w:numPr>
          <w:ilvl w:val="0"/>
          <w:numId w:val="6"/>
        </w:numPr>
        <w:shd w:val="clear" w:color="auto" w:fill="FFFFFF"/>
        <w:tabs>
          <w:tab w:val="clear" w:pos="720"/>
          <w:tab w:val="left" w:pos="426" w:leader="none"/>
        </w:tabs>
        <w:spacing w:before="0" w:after="120"/>
        <w:ind w:left="0" w:hanging="0"/>
        <w:jc w:val="center"/>
        <w:rPr>
          <w:sz w:val="24"/>
          <w:szCs w:val="24"/>
        </w:rPr>
      </w:pPr>
      <w:r>
        <w:rPr>
          <w:b/>
          <w:bCs/>
          <w:sz w:val="24"/>
          <w:szCs w:val="24"/>
        </w:rPr>
        <w:t>Предмет Договора</w:t>
      </w:r>
    </w:p>
    <w:p>
      <w:pPr>
        <w:pStyle w:val="Title"/>
        <w:numPr>
          <w:ilvl w:val="1"/>
          <w:numId w:val="6"/>
        </w:numPr>
        <w:shd w:val="clear" w:color="auto" w:fill="FFFFFF"/>
        <w:tabs>
          <w:tab w:val="clear" w:pos="720"/>
          <w:tab w:val="left" w:pos="142" w:leader="none"/>
          <w:tab w:val="left" w:pos="540" w:leader="none"/>
        </w:tabs>
        <w:spacing w:before="120" w:after="120"/>
        <w:ind w:left="0" w:firstLine="567"/>
        <w:jc w:val="both"/>
        <w:rPr>
          <w:sz w:val="24"/>
        </w:rPr>
      </w:pPr>
      <w:r>
        <w:rPr>
          <w:b w:val="false"/>
          <w:bCs w:val="false"/>
          <w:sz w:val="24"/>
        </w:rPr>
        <w:t>П</w:t>
      </w:r>
      <w:r>
        <w:rPr>
          <w:b w:val="false"/>
          <w:sz w:val="24"/>
        </w:rPr>
        <w:t>оставщик обязуется передать Покупателю полосу стальную (далее – «Продукция») на условиях, согласованных Сторонами в Договоре, в соответствии со Спецификацией (</w:t>
      </w:r>
      <w:r>
        <w:rPr>
          <w:sz w:val="24"/>
        </w:rPr>
        <w:t>Приложение № 1</w:t>
      </w:r>
      <w:r>
        <w:rPr>
          <w:b w:val="false"/>
          <w:sz w:val="24"/>
        </w:rPr>
        <w:t>), а Покупатель обязуется принять и оплатить Продукцию в установленном Договором порядке.</w:t>
      </w:r>
    </w:p>
    <w:p>
      <w:pPr>
        <w:pStyle w:val="Title"/>
        <w:numPr>
          <w:ilvl w:val="1"/>
          <w:numId w:val="6"/>
        </w:numPr>
        <w:shd w:val="clear" w:color="auto" w:fill="FFFFFF"/>
        <w:tabs>
          <w:tab w:val="clear" w:pos="720"/>
          <w:tab w:val="left" w:pos="142" w:leader="none"/>
          <w:tab w:val="left" w:pos="540" w:leader="none"/>
        </w:tabs>
        <w:spacing w:before="120" w:after="120"/>
        <w:ind w:left="0" w:firstLine="567"/>
        <w:jc w:val="both"/>
        <w:rPr>
          <w:sz w:val="24"/>
        </w:rPr>
      </w:pPr>
      <w:r>
        <w:rPr>
          <w:b w:val="false"/>
          <w:sz w:val="24"/>
        </w:rPr>
        <w:t>Поставка осуществляется одной партией.</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Поставка по Договору выполняется для нужд Саяно-Шушенского филиала АО «Гидроремонт-ВКК» в п.Черемушки.</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 xml:space="preserve"> </w:t>
      </w:r>
      <w:r>
        <w:rPr>
          <w:sz w:val="24"/>
          <w:szCs w:val="24"/>
        </w:rPr>
        <w:t xml:space="preserve">Место поставки: Производственный участок АО «Гидроремонт-ВКК» в г. </w:t>
      </w:r>
      <w:r>
        <w:rPr>
          <w:sz w:val="24"/>
          <w:szCs w:val="24"/>
        </w:rPr>
        <w:t>Новосибирск</w:t>
      </w:r>
      <w:r>
        <w:rPr>
          <w:sz w:val="24"/>
          <w:szCs w:val="24"/>
        </w:rPr>
        <w:t xml:space="preserve">, </w:t>
      </w:r>
      <w:r>
        <w:rPr>
          <w:sz w:val="24"/>
          <w:szCs w:val="24"/>
        </w:rPr>
        <w:t>ул. Новоморская 4/1</w:t>
      </w:r>
    </w:p>
    <w:p>
      <w:pPr>
        <w:pStyle w:val="ListParagraph"/>
        <w:numPr>
          <w:ilvl w:val="1"/>
          <w:numId w:val="6"/>
        </w:numPr>
        <w:shd w:val="clear" w:color="auto" w:fill="FFFFFF"/>
        <w:tabs>
          <w:tab w:val="clear" w:pos="720"/>
          <w:tab w:val="left" w:pos="142" w:leader="none"/>
          <w:tab w:val="left" w:pos="540" w:leader="none"/>
        </w:tabs>
        <w:spacing w:before="0" w:after="120"/>
        <w:ind w:left="0" w:firstLine="567"/>
        <w:contextualSpacing w:val="false"/>
        <w:jc w:val="both"/>
        <w:rPr>
          <w:sz w:val="24"/>
          <w:szCs w:val="24"/>
        </w:rPr>
      </w:pPr>
      <w:r>
        <w:rPr>
          <w:sz w:val="24"/>
          <w:szCs w:val="24"/>
        </w:rPr>
        <w:t xml:space="preserve">Срок поставки Продукции по Договору: в течение 30 календарных дней. </w:t>
      </w:r>
    </w:p>
    <w:p>
      <w:pPr>
        <w:pStyle w:val="ListParagraph"/>
        <w:shd w:val="clear" w:color="auto" w:fill="FFFFFF"/>
        <w:tabs>
          <w:tab w:val="clear" w:pos="720"/>
          <w:tab w:val="left" w:pos="540" w:leader="none"/>
          <w:tab w:val="left" w:pos="1425" w:leader="none"/>
        </w:tabs>
        <w:spacing w:before="0" w:after="120"/>
        <w:ind w:left="567" w:hanging="0"/>
        <w:contextualSpacing w:val="false"/>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Цена Договора и порядок оплаты</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Общая стоимость Продукции (далее – «Цена Договора») по Договору составляет __________(__________________) рублей _____ копеек, в том числе НДС (22 %) в размере ___________(____________) рублей ____ копеек.</w:t>
      </w:r>
      <w:r>
        <w:rPr>
          <w:bCs/>
          <w:szCs w:val="28"/>
        </w:rPr>
        <w:t xml:space="preserve">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Цена Договора включает в себя: </w:t>
      </w:r>
    </w:p>
    <w:p>
      <w:pPr>
        <w:pStyle w:val="ListParagraph"/>
        <w:numPr>
          <w:ilvl w:val="2"/>
          <w:numId w:val="6"/>
        </w:numPr>
        <w:tabs>
          <w:tab w:val="clear" w:pos="720"/>
          <w:tab w:val="left" w:pos="0" w:leader="none"/>
          <w:tab w:val="left" w:pos="851" w:leader="none"/>
        </w:tabs>
        <w:spacing w:before="0" w:after="120"/>
        <w:ind w:left="0" w:firstLine="567"/>
        <w:contextualSpacing w:val="false"/>
        <w:jc w:val="both"/>
        <w:rPr>
          <w:sz w:val="24"/>
          <w:szCs w:val="24"/>
        </w:rPr>
      </w:pPr>
      <w:r>
        <w:rPr>
          <w:color w:val="000000"/>
          <w:sz w:val="24"/>
          <w:szCs w:val="24"/>
        </w:rPr>
        <w:t>Стоимость Продукции.</w:t>
      </w:r>
    </w:p>
    <w:p>
      <w:pPr>
        <w:pStyle w:val="Normal"/>
        <w:tabs>
          <w:tab w:val="clear" w:pos="720"/>
          <w:tab w:val="left" w:pos="0" w:leader="none"/>
          <w:tab w:val="left" w:pos="851" w:leader="none"/>
        </w:tabs>
        <w:spacing w:before="0" w:after="120"/>
        <w:jc w:val="both"/>
        <w:rPr>
          <w:sz w:val="24"/>
          <w:szCs w:val="24"/>
        </w:rPr>
      </w:pPr>
      <w:r>
        <w:rPr>
          <w:bCs/>
          <w:sz w:val="24"/>
          <w:szCs w:val="24"/>
        </w:rPr>
        <w:tab/>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т.ч. по таможенному оформлению, если применимо), </w:t>
      </w:r>
      <w:r>
        <w:rPr>
          <w:bCs/>
          <w:sz w:val="24"/>
          <w:szCs w:val="24"/>
        </w:rPr>
        <w:t xml:space="preserve">а также </w:t>
      </w:r>
      <w:r>
        <w:rPr>
          <w:sz w:val="24"/>
          <w:szCs w:val="24"/>
        </w:rPr>
        <w:t xml:space="preserve">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Стоимость Продукции является фиксированной и не подлежит изменению.</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Стоимость единицы Продукции определяется Спецификацией (Приложение № 1). </w:t>
      </w:r>
    </w:p>
    <w:p>
      <w:pPr>
        <w:pStyle w:val="ListParagraph"/>
        <w:numPr>
          <w:ilvl w:val="1"/>
          <w:numId w:val="6"/>
        </w:numPr>
        <w:shd w:val="clear" w:color="auto" w:fill="FFFFFF"/>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Оплата в соответствии с Договором осуществляется следующим образом: </w:t>
      </w:r>
    </w:p>
    <w:p>
      <w:pPr>
        <w:pStyle w:val="Normal"/>
        <w:shd w:val="clear" w:color="auto" w:fill="FFFFFF"/>
        <w:tabs>
          <w:tab w:val="clear" w:pos="720"/>
          <w:tab w:val="left" w:pos="567" w:leader="none"/>
          <w:tab w:val="left" w:pos="1440" w:leader="none"/>
        </w:tabs>
        <w:spacing w:before="0" w:after="120"/>
        <w:jc w:val="both"/>
        <w:rPr>
          <w:sz w:val="24"/>
          <w:szCs w:val="24"/>
        </w:rPr>
      </w:pPr>
      <w:r>
        <w:rPr>
          <w:sz w:val="24"/>
          <w:szCs w:val="24"/>
        </w:rPr>
        <w:tab/>
        <w:t>2.5.1.  Платеж в размере 100 % (ста процентов) от стоимости поставленной Продукции, согласно Спецификации (Приложение № 1), производится Покупателем в течение 7 (семи) рабочих дней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2.6 Договора.</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 xml:space="preserve"> </w:t>
      </w: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ListParagraph"/>
        <w:numPr>
          <w:ilvl w:val="1"/>
          <w:numId w:val="6"/>
        </w:numPr>
        <w:shd w:val="clear" w:color="auto" w:fill="FFFFFF"/>
        <w:tabs>
          <w:tab w:val="clear" w:pos="720"/>
          <w:tab w:val="left" w:pos="0" w:leader="none"/>
          <w:tab w:val="left" w:pos="480" w:leader="none"/>
          <w:tab w:val="left" w:pos="851" w:leader="none"/>
        </w:tabs>
        <w:spacing w:before="0" w:after="120"/>
        <w:ind w:left="0" w:firstLine="567"/>
        <w:contextualSpacing w:val="false"/>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pPr>
        <w:pStyle w:val="Normal"/>
        <w:widowControl w:val="false"/>
        <w:numPr>
          <w:ilvl w:val="1"/>
          <w:numId w:val="6"/>
        </w:numPr>
        <w:shd w:val="clear" w:color="auto" w:fill="FFFFFF"/>
        <w:tabs>
          <w:tab w:val="clear" w:pos="720"/>
          <w:tab w:val="left" w:pos="1134" w:leader="none"/>
          <w:tab w:val="left" w:pos="1283" w:leader="none"/>
        </w:tabs>
        <w:ind w:left="0" w:firstLine="567"/>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pPr>
        <w:pStyle w:val="Normal"/>
        <w:tabs>
          <w:tab w:val="clear" w:pos="720"/>
          <w:tab w:val="left" w:pos="0" w:leader="none"/>
          <w:tab w:val="left" w:pos="851" w:leader="none"/>
        </w:tabs>
        <w:spacing w:before="0" w:after="120"/>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такие задержки происходят по вине Покупателя;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pPr>
        <w:pStyle w:val="Normal"/>
        <w:numPr>
          <w:ilvl w:val="0"/>
          <w:numId w:val="7"/>
        </w:numPr>
        <w:tabs>
          <w:tab w:val="clear" w:pos="720"/>
          <w:tab w:val="left" w:pos="0" w:leader="none"/>
          <w:tab w:val="left" w:pos="851" w:leader="none"/>
          <w:tab w:val="left" w:pos="993" w:leader="none"/>
        </w:tabs>
        <w:spacing w:before="0" w:after="120"/>
        <w:ind w:left="0" w:firstLine="567"/>
        <w:jc w:val="both"/>
        <w:rPr>
          <w:sz w:val="24"/>
          <w:szCs w:val="24"/>
        </w:rPr>
      </w:pPr>
      <w:r>
        <w:rPr>
          <w:sz w:val="24"/>
          <w:szCs w:val="24"/>
        </w:rPr>
        <w:t>обязательство Покупателя, по которому произошла задержка, не является денежным.</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Индексация Цены Договора не допускается.</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6"/>
        </w:numPr>
        <w:tabs>
          <w:tab w:val="clear" w:pos="720"/>
          <w:tab w:val="left" w:pos="0" w:leader="none"/>
          <w:tab w:val="left" w:pos="851" w:leader="none"/>
        </w:tabs>
        <w:spacing w:before="0" w:after="120"/>
        <w:ind w:left="0" w:firstLine="567"/>
        <w:contextualSpacing w:val="false"/>
        <w:jc w:val="both"/>
        <w:rPr/>
      </w:pPr>
      <w:r>
        <w:rPr>
          <w:color w:val="000000"/>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поставленной Продукции.</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Качество, количество и комплектность</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Сертификат качества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Технический паспорт на русском языке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Инструкция по эксплуатации (монтажу и т.п.) на русском языке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Упаковочный лист на Продукцию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 xml:space="preserve">Сертификат о происхождении Продукции в </w:t>
      </w:r>
      <w:r>
        <w:rPr>
          <w:color w:val="000000"/>
          <w:sz w:val="24"/>
          <w:szCs w:val="24"/>
        </w:rPr>
        <w:t xml:space="preserve">1 </w:t>
      </w:r>
      <w:r>
        <w:rPr>
          <w:sz w:val="24"/>
          <w:szCs w:val="24"/>
        </w:rPr>
        <w:t>экз.;</w:t>
      </w:r>
    </w:p>
    <w:p>
      <w:pPr>
        <w:pStyle w:val="Normal"/>
        <w:widowControl w:val="false"/>
        <w:numPr>
          <w:ilvl w:val="0"/>
          <w:numId w:val="3"/>
        </w:numPr>
        <w:shd w:val="clear" w:color="auto" w:fill="FFFFFF"/>
        <w:tabs>
          <w:tab w:val="clear" w:pos="720"/>
          <w:tab w:val="left" w:pos="0" w:leader="none"/>
          <w:tab w:val="left" w:pos="900" w:leader="none"/>
          <w:tab w:val="left" w:pos="1134" w:leader="none"/>
          <w:tab w:val="left" w:pos="1276" w:leader="none"/>
        </w:tabs>
        <w:spacing w:before="0" w:after="120"/>
        <w:ind w:left="0" w:firstLine="567"/>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Лицензии и т.п.) в зависимости от номенклатуры поставляемой Продукции;</w:t>
      </w:r>
    </w:p>
    <w:p>
      <w:pPr>
        <w:pStyle w:val="Normal"/>
        <w:widowControl w:val="false"/>
        <w:numPr>
          <w:ilvl w:val="0"/>
          <w:numId w:val="3"/>
        </w:numPr>
        <w:shd w:val="clear" w:color="auto" w:fill="FFFFFF"/>
        <w:tabs>
          <w:tab w:val="clear" w:pos="720"/>
          <w:tab w:val="left" w:pos="851" w:leader="none"/>
          <w:tab w:val="left" w:pos="900" w:leader="none"/>
          <w:tab w:val="left" w:pos="1134" w:leader="none"/>
          <w:tab w:val="left" w:pos="1276" w:leader="none"/>
        </w:tabs>
        <w:spacing w:before="0" w:after="120"/>
        <w:ind w:left="0" w:firstLine="567"/>
        <w:jc w:val="both"/>
        <w:rPr>
          <w:sz w:val="24"/>
          <w:szCs w:val="24"/>
        </w:rPr>
      </w:pPr>
      <w:r>
        <w:rPr>
          <w:sz w:val="24"/>
          <w:szCs w:val="24"/>
        </w:rPr>
        <w:t>Обязательные первичные документы:</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color w:val="000000"/>
          <w:sz w:val="24"/>
          <w:szCs w:val="24"/>
        </w:rPr>
        <w:t xml:space="preserve">в ред. </w:t>
      </w:r>
      <w:hyperlink r:id="rId2">
        <w:r>
          <w:rPr>
            <w:rStyle w:val="Hyperlink"/>
            <w:color w:val="000000"/>
            <w:sz w:val="24"/>
            <w:szCs w:val="24"/>
            <w:u w:val="none"/>
          </w:rPr>
          <w:t xml:space="preserve">Постановления Правительства РФ от 21.12.2020 № 2200 </w:t>
        </w:r>
      </w:hyperlink>
      <w:hyperlink r:id="rId3">
        <w:r>
          <w:rPr>
            <w:rStyle w:val="Hyperlink"/>
            <w:color w:val="000000"/>
            <w:sz w:val="24"/>
            <w:szCs w:val="24"/>
            <w:u w:val="none"/>
          </w:rPr>
          <w:t xml:space="preserve">"Об утверждении Правил перевозок грузов автомобильным транспортом и о внесении изменений в пункт 2.1.1 Правил дорожного движения Российской Федерации" </w:t>
        </w:r>
      </w:hyperlink>
      <w:hyperlink r:id="rId4">
        <w:r>
          <w:rPr>
            <w:rStyle w:val="Hyperlink"/>
            <w:color w:val="000000"/>
            <w:sz w:val="24"/>
            <w:szCs w:val="24"/>
            <w:u w:val="none"/>
          </w:rPr>
          <w:t>(ред. от 30.12.2022</w:t>
        </w:r>
      </w:hyperlink>
      <w:r>
        <w:rPr>
          <w:sz w:val="24"/>
          <w:szCs w:val="24"/>
        </w:rPr>
        <w:t>));</w:t>
      </w:r>
    </w:p>
    <w:p>
      <w:pPr>
        <w:pStyle w:val="Normal"/>
        <w:widowControl w:val="false"/>
        <w:numPr>
          <w:ilvl w:val="0"/>
          <w:numId w:val="5"/>
        </w:numPr>
        <w:shd w:val="clear" w:color="auto" w:fill="FFFFFF"/>
        <w:tabs>
          <w:tab w:val="left" w:pos="720" w:leader="none"/>
          <w:tab w:val="left" w:pos="1134" w:leader="none"/>
          <w:tab w:val="left" w:pos="1276" w:leader="none"/>
        </w:tabs>
        <w:spacing w:before="0" w:after="120"/>
        <w:ind w:left="0" w:firstLine="567"/>
        <w:jc w:val="both"/>
        <w:rPr>
          <w:sz w:val="24"/>
          <w:szCs w:val="24"/>
        </w:rPr>
      </w:pPr>
      <w:r>
        <w:rPr>
          <w:sz w:val="24"/>
          <w:szCs w:val="24"/>
        </w:rPr>
        <w:t>Товарную накладную по форме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Продукции по количеству тар и упаковок, в которых осуществлялась её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 xml:space="preserve">товарно-транспортную накладную формы №1-Т (для учета товарно-материальных ценностей и расчетов за их перевозки) или Железнодорожную накладную (форма № ГУ-27) в 1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(в ред. </w:t>
      </w:r>
      <w:hyperlink r:id="rId5">
        <w:r>
          <w:rPr>
            <w:rStyle w:val="Hyperlink"/>
            <w:color w:val="000000"/>
            <w:sz w:val="24"/>
            <w:szCs w:val="24"/>
            <w:u w:val="none"/>
          </w:rPr>
          <w:t xml:space="preserve">Постановления Правительства РФ от 21.12.2020 № 2200 </w:t>
        </w:r>
      </w:hyperlink>
      <w:hyperlink r:id="rId6">
        <w:r>
          <w:rPr>
            <w:rStyle w:val="Hyperlink"/>
            <w:color w:val="000000"/>
            <w:sz w:val="24"/>
            <w:szCs w:val="24"/>
            <w:u w:val="none"/>
          </w:rPr>
          <w:t xml:space="preserve">"Об утверждении Правил перевозок грузов автомобильным транспортом и о внесении изменений в пункт 2.1.1 Правил дорожного движения Российской Федерации" </w:t>
        </w:r>
      </w:hyperlink>
      <w:hyperlink r:id="rId7">
        <w:r>
          <w:rPr>
            <w:rStyle w:val="Hyperlink"/>
            <w:color w:val="000000"/>
            <w:sz w:val="24"/>
            <w:szCs w:val="24"/>
            <w:u w:val="none"/>
          </w:rPr>
          <w:t>(ред. от 30.12.2022</w:t>
        </w:r>
      </w:hyperlink>
      <w:r>
        <w:rPr>
          <w:color w:val="000000"/>
          <w:sz w:val="24"/>
          <w:szCs w:val="24"/>
        </w:rPr>
        <w:t>)).</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некомплектности, недопоставке, отсутствии необходимых принадлежностей, относящихся к Продукции, Покупатель вправе с одновременным направлением письменного уведомления Поставщику прекратить приемку Продукции до устранения нарушений. Поставщик обязан в течение 3 (трех)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Pr>
          <w:sz w:val="24"/>
          <w:szCs w:val="24"/>
        </w:rPr>
        <w:t xml:space="preserve"> или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Pr>
          <w:color w:val="000000"/>
          <w:sz w:val="24"/>
          <w:szCs w:val="24"/>
        </w:rPr>
        <w:t xml:space="preserve">в ред. </w:t>
      </w:r>
      <w:hyperlink r:id="rId8">
        <w:r>
          <w:rPr>
            <w:rStyle w:val="Hyperlink"/>
            <w:color w:val="000000"/>
            <w:sz w:val="24"/>
            <w:szCs w:val="24"/>
            <w:u w:val="none"/>
          </w:rPr>
          <w:t xml:space="preserve">Постановления Правительства РФ от 21.12.2020 № 2200 </w:t>
        </w:r>
      </w:hyperlink>
      <w:hyperlink r:id="rId9">
        <w:r>
          <w:rPr>
            <w:rStyle w:val="Hyperlink"/>
            <w:color w:val="000000"/>
            <w:sz w:val="24"/>
            <w:szCs w:val="24"/>
            <w:u w:val="none"/>
          </w:rPr>
          <w:t>"Об утверждении Правил перевозок грузов автомобильным транспортом и о внесении изменений в пункт 2.1.1 Правил дорожного движения Российской Федерации"</w:t>
        </w:r>
      </w:hyperlink>
      <w:hyperlink r:id="rId10">
        <w:r>
          <w:rPr>
            <w:rStyle w:val="Hyperlink"/>
            <w:color w:val="000000"/>
            <w:sz w:val="24"/>
            <w:szCs w:val="24"/>
            <w:u w:val="none"/>
          </w:rPr>
          <w:t xml:space="preserve"> (ред. от 30.12.2022</w:t>
        </w:r>
      </w:hyperlink>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 или Универсальный передаточный документ (УПД).</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На Продукцию устанавливается гарантийный срок, равный 24 (двадцати четырем) месяцам, исчисляемый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1" w:name="OLE_LINK5"/>
      <w:bookmarkStart w:id="2" w:name="OLE_LINK6"/>
      <w:r>
        <w:rPr>
          <w:sz w:val="24"/>
          <w:szCs w:val="24"/>
        </w:rPr>
        <w:t>Покупателем в соответствии с п. 3.14.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pPr>
        <w:pStyle w:val="Normal"/>
        <w:widowControl w:val="false"/>
        <w:numPr>
          <w:ilvl w:val="1"/>
          <w:numId w:val="4"/>
        </w:numPr>
        <w:shd w:val="clear" w:color="auto" w:fill="FFFFFF"/>
        <w:tabs>
          <w:tab w:val="clear" w:pos="720"/>
          <w:tab w:val="left" w:pos="1134" w:leader="none"/>
          <w:tab w:val="left" w:pos="1276" w:leader="none"/>
        </w:tabs>
        <w:spacing w:before="0" w:after="120"/>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Тара, упаковка, маркировка</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и адрес грузоотправителя и грузополучателя;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 Товарной накладной и/или Товарно-транспортной накладной;</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 брутто/нетто каждого места;</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наименование Продукции;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номера мест и их общее количество;</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весогабаритные характеристики мест;</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центр тяжести;</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условия хранения;</w:t>
      </w:r>
    </w:p>
    <w:p>
      <w:pPr>
        <w:pStyle w:val="Normal"/>
        <w:widowControl w:val="false"/>
        <w:numPr>
          <w:ilvl w:val="0"/>
          <w:numId w:val="5"/>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обозначения типа «не бросать» и другие обычно используемые обозначения.</w:t>
      </w:r>
    </w:p>
    <w:p>
      <w:pPr>
        <w:pStyle w:val="Normal"/>
        <w:widowControl w:val="false"/>
        <w:numPr>
          <w:ilvl w:val="1"/>
          <w:numId w:val="6"/>
        </w:numPr>
        <w:shd w:val="clear" w:color="auto" w:fill="FFFFFF"/>
        <w:tabs>
          <w:tab w:val="clear" w:pos="720"/>
          <w:tab w:val="left" w:pos="1276" w:leader="none"/>
          <w:tab w:val="left" w:pos="1418" w:leader="none"/>
        </w:tabs>
        <w:spacing w:before="0" w:after="120"/>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pPr>
        <w:pStyle w:val="Normal"/>
        <w:widowControl w:val="false"/>
        <w:shd w:val="clear" w:color="auto" w:fill="FFFFFF"/>
        <w:tabs>
          <w:tab w:val="clear" w:pos="720"/>
          <w:tab w:val="left" w:pos="1276" w:leader="none"/>
          <w:tab w:val="left" w:pos="1418" w:leader="none"/>
        </w:tabs>
        <w:spacing w:before="0" w:after="12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Сроки, порядок и условия поставки, переход права собственности</w:t>
      </w:r>
    </w:p>
    <w:p>
      <w:pPr>
        <w:pStyle w:val="ListParagraph"/>
        <w:numPr>
          <w:ilvl w:val="1"/>
          <w:numId w:val="6"/>
        </w:numPr>
        <w:tabs>
          <w:tab w:val="clear" w:pos="720"/>
          <w:tab w:val="left" w:pos="0" w:leader="none"/>
          <w:tab w:val="left" w:pos="1276" w:leader="none"/>
        </w:tabs>
        <w:spacing w:before="0" w:after="120"/>
        <w:ind w:left="0" w:firstLine="567"/>
        <w:contextualSpacing w:val="false"/>
        <w:jc w:val="both"/>
        <w:rPr>
          <w:sz w:val="24"/>
          <w:szCs w:val="24"/>
        </w:rPr>
      </w:pPr>
      <w:r>
        <w:rPr>
          <w:sz w:val="24"/>
          <w:szCs w:val="24"/>
        </w:rPr>
        <w:t xml:space="preserve">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Поставщик обязан уведомить Покупателя о дате поставки Продукции не позднее, чем за 3 (три) календарных дня до даты поставки.</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pPr>
        <w:pStyle w:val="Normal"/>
        <w:widowControl w:val="false"/>
        <w:shd w:val="clear" w:color="auto" w:fill="FFFFFF"/>
        <w:tabs>
          <w:tab w:val="clear" w:pos="720"/>
          <w:tab w:val="left" w:pos="1276" w:leader="none"/>
        </w:tabs>
        <w:spacing w:before="0" w:after="120"/>
        <w:ind w:left="360" w:hanging="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Ответственность по Договору</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pPr>
        <w:pStyle w:val="Normal"/>
        <w:tabs>
          <w:tab w:val="clear" w:pos="720"/>
          <w:tab w:val="left" w:pos="1701" w:leader="none"/>
        </w:tabs>
        <w:jc w:val="both"/>
        <w:rPr>
          <w:sz w:val="24"/>
          <w:szCs w:val="24"/>
        </w:rPr>
      </w:pPr>
      <w:r>
        <w:rPr>
          <w:sz w:val="24"/>
          <w:szCs w:val="24"/>
        </w:rPr>
        <w:t xml:space="preserve">        </w:t>
      </w:r>
      <w:r>
        <w:rPr>
          <w:sz w:val="24"/>
          <w:szCs w:val="24"/>
        </w:rPr>
        <w:t xml:space="preserve">6.3. 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pPr>
        <w:pStyle w:val="Normal"/>
        <w:tabs>
          <w:tab w:val="clear" w:pos="720"/>
          <w:tab w:val="left" w:pos="1701" w:leader="none"/>
        </w:tabs>
        <w:jc w:val="both"/>
        <w:rPr/>
      </w:pPr>
      <w:r>
        <w:rPr>
          <w:sz w:val="24"/>
          <w:szCs w:val="24"/>
        </w:rPr>
        <w:t xml:space="preserve">        </w:t>
      </w:r>
      <w:r>
        <w:rPr>
          <w:sz w:val="24"/>
          <w:szCs w:val="24"/>
        </w:rPr>
        <w:t>6.4. 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tab/>
      </w:r>
      <w:bookmarkStart w:id="3" w:name="_Hlk130023812"/>
      <w:r>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pPr>
        <w:pStyle w:val="Normal"/>
        <w:numPr>
          <w:ilvl w:val="0"/>
          <w:numId w:val="14"/>
        </w:numPr>
        <w:tabs>
          <w:tab w:val="clear" w:pos="720"/>
          <w:tab w:val="left" w:pos="1701" w:leader="none"/>
        </w:tabs>
        <w:ind w:left="0" w:firstLine="709"/>
        <w:jc w:val="both"/>
        <w:rPr/>
      </w:pPr>
      <w:r>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влияющих на возможность эксплуатации (использования) </w:t>
      </w:r>
      <w:r>
        <w:rPr>
          <w:sz w:val="24"/>
          <w:szCs w:val="24"/>
        </w:rPr>
        <w:t>Продукции</w:t>
      </w:r>
      <w:r>
        <w:rPr>
          <w:rFonts w:eastAsia="Calibri"/>
          <w:bCs/>
          <w:sz w:val="24"/>
          <w:szCs w:val="24"/>
        </w:rPr>
        <w:t xml:space="preserve"> в целом;</w:t>
      </w:r>
    </w:p>
    <w:p>
      <w:pPr>
        <w:pStyle w:val="Normal"/>
        <w:numPr>
          <w:ilvl w:val="0"/>
          <w:numId w:val="14"/>
        </w:numPr>
        <w:tabs>
          <w:tab w:val="clear" w:pos="720"/>
          <w:tab w:val="left" w:pos="1701" w:leader="none"/>
        </w:tabs>
        <w:ind w:left="0" w:firstLine="709"/>
        <w:jc w:val="both"/>
        <w:rPr/>
      </w:pPr>
      <w:r>
        <w:rPr>
          <w:rFonts w:eastAsia="Calibri"/>
          <w:bCs/>
          <w:sz w:val="24"/>
          <w:szCs w:val="24"/>
        </w:rPr>
        <w:t xml:space="preserve">неустойки в размере 0,1 (ноль целых и одна десятая) процента от стоимости некачественной </w:t>
      </w:r>
      <w:r>
        <w:rPr>
          <w:sz w:val="24"/>
          <w:szCs w:val="24"/>
        </w:rPr>
        <w:t>Продукции</w:t>
      </w:r>
      <w:r>
        <w:rPr>
          <w:rFonts w:eastAsia="Calibri"/>
          <w:bCs/>
          <w:sz w:val="24"/>
          <w:szCs w:val="24"/>
        </w:rPr>
        <w:t xml:space="preserve"> за каждый день просрочки – в случае несвоевременного устранения выявленных недостатков </w:t>
      </w:r>
      <w:r>
        <w:rPr>
          <w:sz w:val="24"/>
          <w:szCs w:val="24"/>
        </w:rPr>
        <w:t>Продукции</w:t>
      </w:r>
      <w:r>
        <w:rPr>
          <w:rFonts w:eastAsia="Calibri"/>
          <w:bCs/>
          <w:sz w:val="24"/>
          <w:szCs w:val="24"/>
        </w:rPr>
        <w:t xml:space="preserve">, не влияющих на возможность эксплуатации (использования) </w:t>
      </w:r>
      <w:r>
        <w:rPr>
          <w:sz w:val="24"/>
          <w:szCs w:val="24"/>
        </w:rPr>
        <w:t>Продукции</w:t>
      </w:r>
      <w:r>
        <w:rPr>
          <w:rFonts w:eastAsia="Calibri"/>
          <w:bCs/>
          <w:sz w:val="24"/>
          <w:szCs w:val="24"/>
        </w:rPr>
        <w:t xml:space="preserve"> в целом</w:t>
      </w:r>
      <w:bookmarkEnd w:id="3"/>
      <w:r>
        <w:rPr>
          <w:rFonts w:eastAsia="Calibri"/>
          <w:bCs/>
          <w:sz w:val="24"/>
          <w:szCs w:val="24"/>
        </w:rPr>
        <w:t>.</w:t>
      </w:r>
      <w:r>
        <w:rPr>
          <w:sz w:val="24"/>
          <w:szCs w:val="24"/>
        </w:rPr>
        <w:t xml:space="preserve"> </w:t>
      </w:r>
    </w:p>
    <w:p>
      <w:pPr>
        <w:pStyle w:val="Normal"/>
        <w:widowControl w:val="false"/>
        <w:shd w:val="clear" w:color="auto" w:fill="FFFFFF"/>
        <w:tabs>
          <w:tab w:val="clear" w:pos="720"/>
          <w:tab w:val="left" w:pos="1276" w:leader="none"/>
        </w:tabs>
        <w:spacing w:before="0" w:after="120"/>
        <w:jc w:val="both"/>
        <w:rPr/>
      </w:pPr>
      <w:r>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pPr>
        <w:pStyle w:val="Normal"/>
        <w:numPr>
          <w:ilvl w:val="0"/>
          <w:numId w:val="9"/>
        </w:numPr>
        <w:tabs>
          <w:tab w:val="clear" w:pos="720"/>
          <w:tab w:val="left" w:pos="0" w:leader="none"/>
        </w:tabs>
        <w:spacing w:before="0" w:after="120"/>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акционерных обществ:</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владельцев ценных бумаг;</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список аффилированных лиц на последнюю отчетную дату;</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ежеквартальный отчет на последнюю отчетную дату.</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(протокол) о приеме новых участников;</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устав.</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учредительный договор или положение;</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юридических лиц, зарегистрированных в форме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 xml:space="preserve">документ о выборе (назначении) попечительского совета фонда; </w:t>
      </w:r>
    </w:p>
    <w:p>
      <w:pPr>
        <w:pStyle w:val="Normal"/>
        <w:numPr>
          <w:ilvl w:val="0"/>
          <w:numId w:val="9"/>
        </w:numPr>
        <w:tabs>
          <w:tab w:val="clear" w:pos="720"/>
          <w:tab w:val="left" w:pos="567" w:leader="none"/>
        </w:tabs>
        <w:spacing w:before="0" w:after="120"/>
        <w:ind w:left="0" w:firstLine="567"/>
        <w:jc w:val="both"/>
        <w:outlineLvl w:val="0"/>
        <w:rPr>
          <w:sz w:val="24"/>
          <w:szCs w:val="24"/>
        </w:rPr>
      </w:pPr>
      <w:r>
        <w:rPr>
          <w:sz w:val="24"/>
          <w:szCs w:val="24"/>
        </w:rPr>
        <w:t>решение о создании.</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юридических лиц, зарегистрированных в форме некоммерческого партнерства:</w:t>
      </w:r>
    </w:p>
    <w:p>
      <w:pPr>
        <w:pStyle w:val="Normal"/>
        <w:numPr>
          <w:ilvl w:val="0"/>
          <w:numId w:val="9"/>
        </w:numPr>
        <w:tabs>
          <w:tab w:val="clear" w:pos="720"/>
          <w:tab w:val="left" w:pos="567" w:leader="none"/>
        </w:tabs>
        <w:spacing w:before="0" w:after="120"/>
        <w:ind w:left="0" w:firstLine="567"/>
        <w:outlineLvl w:val="0"/>
        <w:rPr>
          <w:sz w:val="24"/>
          <w:szCs w:val="24"/>
        </w:rPr>
      </w:pPr>
      <w:r>
        <w:rPr>
          <w:sz w:val="24"/>
          <w:szCs w:val="24"/>
        </w:rPr>
        <w:t xml:space="preserve">решение и договор о создании.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pPr>
        <w:pStyle w:val="Normal"/>
        <w:numPr>
          <w:ilvl w:val="0"/>
          <w:numId w:val="9"/>
        </w:numPr>
        <w:spacing w:before="0" w:after="120"/>
        <w:ind w:left="709" w:hanging="283"/>
        <w:outlineLvl w:val="0"/>
        <w:rPr>
          <w:sz w:val="24"/>
          <w:szCs w:val="24"/>
        </w:rPr>
      </w:pPr>
      <w:r>
        <w:rPr>
          <w:sz w:val="24"/>
          <w:szCs w:val="24"/>
        </w:rPr>
        <w:t>выписка из торгового реестра страны инкорпорации;</w:t>
      </w:r>
    </w:p>
    <w:p>
      <w:pPr>
        <w:pStyle w:val="Normal"/>
        <w:numPr>
          <w:ilvl w:val="0"/>
          <w:numId w:val="9"/>
        </w:numPr>
        <w:spacing w:before="0" w:after="120"/>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pPr>
        <w:pStyle w:val="ListParagraph"/>
        <w:numPr>
          <w:ilvl w:val="2"/>
          <w:numId w:val="6"/>
        </w:numPr>
        <w:tabs>
          <w:tab w:val="clear" w:pos="720"/>
          <w:tab w:val="left" w:pos="567" w:leader="none"/>
        </w:tabs>
        <w:spacing w:before="0" w:after="120"/>
        <w:ind w:left="0" w:firstLine="567"/>
        <w:contextualSpacing w:val="false"/>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pPr>
        <w:pStyle w:val="ListParagraph"/>
        <w:widowControl/>
        <w:numPr>
          <w:ilvl w:val="1"/>
          <w:numId w:val="6"/>
        </w:numPr>
        <w:shd w:val="clear" w:color="auto" w:fill="FFFFFF"/>
        <w:ind w:left="0" w:firstLine="567"/>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widowControl/>
        <w:shd w:val="clear" w:color="auto" w:fill="FFFFFF"/>
        <w:tabs>
          <w:tab w:val="clear" w:pos="720"/>
          <w:tab w:val="left" w:pos="840" w:leader="none"/>
        </w:tabs>
        <w:ind w:left="0" w:firstLine="567"/>
        <w:jc w:val="both"/>
        <w:rPr>
          <w:bCs/>
          <w:color w:val="000000"/>
          <w:sz w:val="24"/>
          <w:szCs w:val="24"/>
        </w:rPr>
      </w:pPr>
      <w:r>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shd w:val="clear" w:color="auto" w:fill="FFFFFF"/>
        <w:tabs>
          <w:tab w:val="clear" w:pos="720"/>
          <w:tab w:val="left" w:pos="567" w:leader="none"/>
          <w:tab w:val="left" w:pos="840" w:leader="none"/>
        </w:tabs>
        <w:ind w:left="0" w:firstLine="567"/>
        <w:jc w:val="both"/>
        <w:rPr>
          <w:color w:val="000000"/>
          <w:sz w:val="24"/>
          <w:szCs w:val="24"/>
        </w:rPr>
      </w:pPr>
      <w:r>
        <w:rPr>
          <w:color w:val="000000"/>
          <w:sz w:val="24"/>
          <w:szCs w:val="24"/>
        </w:rPr>
        <w:t xml:space="preserve">Каналы связи Линия доверия Группы РусГидро: </w:t>
      </w:r>
    </w:p>
    <w:p>
      <w:pPr>
        <w:pStyle w:val="ListParagraph"/>
        <w:shd w:val="clear" w:color="auto" w:fill="FFFFFF"/>
        <w:tabs>
          <w:tab w:val="clear" w:pos="720"/>
          <w:tab w:val="left" w:pos="567" w:leader="none"/>
          <w:tab w:val="left" w:pos="840" w:leader="none"/>
        </w:tabs>
        <w:ind w:left="0" w:firstLine="567"/>
        <w:jc w:val="both"/>
        <w:rPr>
          <w:sz w:val="24"/>
          <w:szCs w:val="24"/>
        </w:rPr>
      </w:pPr>
      <w:r>
        <w:rPr>
          <w:sz w:val="24"/>
          <w:szCs w:val="24"/>
        </w:rPr>
        <w:t>Электронная почта: ld@rushydro.ru.</w:t>
      </w:r>
    </w:p>
    <w:p>
      <w:pPr>
        <w:pStyle w:val="ListParagraph"/>
        <w:shd w:val="clear" w:color="auto" w:fill="FFFFFF"/>
        <w:tabs>
          <w:tab w:val="clear" w:pos="720"/>
          <w:tab w:val="left" w:pos="567" w:leader="none"/>
          <w:tab w:val="left" w:pos="840" w:leader="none"/>
        </w:tabs>
        <w:ind w:left="0" w:firstLine="567"/>
        <w:jc w:val="both"/>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numPr>
          <w:ilvl w:val="0"/>
          <w:numId w:val="0"/>
        </w:numPr>
        <w:tabs>
          <w:tab w:val="clear" w:pos="720"/>
          <w:tab w:val="left" w:pos="567" w:leader="none"/>
        </w:tabs>
        <w:spacing w:before="0" w:after="120"/>
        <w:jc w:val="both"/>
        <w:outlineLvl w:val="0"/>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numPr>
          <w:ilvl w:val="0"/>
          <w:numId w:val="0"/>
        </w:numPr>
        <w:tabs>
          <w:tab w:val="clear" w:pos="720"/>
          <w:tab w:val="left" w:pos="567" w:leader="none"/>
        </w:tabs>
        <w:spacing w:before="0" w:after="120"/>
        <w:ind w:firstLine="567"/>
        <w:jc w:val="both"/>
        <w:outlineLvl w:val="0"/>
        <w:rPr/>
      </w:pPr>
      <w:r>
        <w:rPr>
          <w:sz w:val="24"/>
          <w:szCs w:val="24"/>
        </w:rPr>
        <w:t>6.13 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Normal"/>
        <w:widowControl w:val="false"/>
        <w:numPr>
          <w:ilvl w:val="0"/>
          <w:numId w:val="6"/>
        </w:numPr>
        <w:shd w:val="clear" w:color="auto" w:fill="FFFFFF"/>
        <w:tabs>
          <w:tab w:val="clear" w:pos="720"/>
          <w:tab w:val="left" w:pos="426" w:leader="none"/>
          <w:tab w:val="left" w:pos="1276" w:leader="none"/>
        </w:tabs>
        <w:spacing w:before="0" w:after="120"/>
        <w:ind w:left="0" w:hanging="0"/>
        <w:jc w:val="center"/>
        <w:rPr/>
      </w:pPr>
      <w:r>
        <w:rPr>
          <w:b/>
          <w:bCs/>
          <w:sz w:val="24"/>
          <w:szCs w:val="24"/>
        </w:rPr>
        <w:t>Особые положения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1">
        <w:r>
          <w:rPr>
            <w:sz w:val="24"/>
            <w:szCs w:val="24"/>
          </w:rPr>
          <w:t>№ 18162/09</w:t>
        </w:r>
      </w:hyperlink>
      <w:r>
        <w:rPr>
          <w:sz w:val="24"/>
          <w:szCs w:val="24"/>
        </w:rPr>
        <w:t xml:space="preserve"> и от 25.05.2010 </w:t>
      </w:r>
      <w:hyperlink r:id="rId12">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3">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В случае нарушения Поставщиком обязательств, установленных в п.п.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ab/>
        <w:t>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п.п. 7.1, 7.2  Договора, сверх суммы штрафа.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pPr>
        <w:pStyle w:val="Normal"/>
        <w:widowControl w:val="false"/>
        <w:numPr>
          <w:ilvl w:val="1"/>
          <w:numId w:val="6"/>
        </w:numPr>
        <w:shd w:val="clear" w:color="auto" w:fill="FFFFFF"/>
        <w:tabs>
          <w:tab w:val="clear" w:pos="720"/>
          <w:tab w:val="left" w:pos="1276" w:leader="none"/>
        </w:tabs>
        <w:spacing w:before="0" w:after="120"/>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pPr>
        <w:pStyle w:val="Normal"/>
        <w:widowControl w:val="false"/>
        <w:shd w:val="clear" w:color="auto" w:fill="FFFFFF"/>
        <w:tabs>
          <w:tab w:val="clear" w:pos="720"/>
          <w:tab w:val="left" w:pos="1276" w:leader="none"/>
        </w:tabs>
        <w:spacing w:before="0" w:after="120"/>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Форс</w:t>
      </w:r>
      <w:r>
        <w:rPr>
          <w:b/>
          <w:bCs/>
          <w:sz w:val="24"/>
          <w:szCs w:val="24"/>
        </w:rPr>
        <w:t>-мажор</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sz w:val="24"/>
          <w:szCs w:val="24"/>
        </w:rPr>
        <w:t>Конфиденциальность</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numPr>
          <w:ilvl w:val="0"/>
          <w:numId w:val="8"/>
        </w:numPr>
        <w:tabs>
          <w:tab w:val="clear" w:pos="720"/>
          <w:tab w:val="left" w:pos="851" w:leader="none"/>
        </w:tabs>
        <w:spacing w:before="0" w:after="120"/>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финансовую отчетность;</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учетные регистры бухгалтерского учета;</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бизнес-планы;</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pPr>
        <w:pStyle w:val="Normal"/>
        <w:numPr>
          <w:ilvl w:val="0"/>
          <w:numId w:val="8"/>
        </w:numPr>
        <w:tabs>
          <w:tab w:val="clear" w:pos="720"/>
          <w:tab w:val="left" w:pos="0" w:leader="none"/>
        </w:tabs>
        <w:spacing w:before="0" w:after="120"/>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numPr>
          <w:ilvl w:val="2"/>
          <w:numId w:val="6"/>
        </w:numPr>
        <w:shd w:val="clear" w:color="auto" w:fill="FFFFFF"/>
        <w:tabs>
          <w:tab w:val="clear" w:pos="720"/>
          <w:tab w:val="left" w:pos="1276" w:leader="none"/>
        </w:tabs>
        <w:spacing w:before="0" w:after="120"/>
        <w:ind w:left="0" w:firstLine="567"/>
        <w:jc w:val="both"/>
        <w:rPr>
          <w:sz w:val="24"/>
          <w:szCs w:val="24"/>
        </w:rPr>
      </w:pPr>
      <w:r>
        <w:rPr>
          <w:sz w:val="24"/>
          <w:szCs w:val="24"/>
        </w:rPr>
        <w:t>не разглашать третьим лицам факта передачи или получения Информации.</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Инсайдерская оговорка</w:t>
      </w:r>
    </w:p>
    <w:p>
      <w:pPr>
        <w:pStyle w:val="Normal"/>
        <w:widowControl w:val="false"/>
        <w:numPr>
          <w:ilvl w:val="1"/>
          <w:numId w:val="6"/>
        </w:numPr>
        <w:shd w:val="clear" w:color="auto" w:fill="FFFFFF"/>
        <w:tabs>
          <w:tab w:val="clear" w:pos="720"/>
          <w:tab w:val="left" w:pos="1134" w:leader="none"/>
          <w:tab w:val="left" w:pos="1283" w:leader="none"/>
        </w:tabs>
        <w:spacing w:before="0" w:after="120"/>
        <w:ind w:left="0" w:firstLine="567"/>
        <w:jc w:val="both"/>
        <w:rPr>
          <w:sz w:val="24"/>
          <w:szCs w:val="24"/>
        </w:rPr>
      </w:pPr>
      <w:r>
        <w:rPr>
          <w:sz w:val="24"/>
          <w:szCs w:val="24"/>
        </w:rPr>
        <w:t>Поставщик также обязуется: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pPr>
        <w:pStyle w:val="ListParagraph"/>
        <w:numPr>
          <w:ilvl w:val="2"/>
          <w:numId w:val="6"/>
        </w:numPr>
        <w:shd w:val="clear" w:color="auto" w:fill="FFFFFF"/>
        <w:tabs>
          <w:tab w:val="clear" w:pos="720"/>
          <w:tab w:val="left" w:pos="1283" w:leader="none"/>
        </w:tabs>
        <w:spacing w:before="0" w:after="120"/>
        <w:ind w:left="0" w:firstLine="567"/>
        <w:contextualSpacing w:val="false"/>
        <w:jc w:val="both"/>
        <w:rPr>
          <w:sz w:val="24"/>
          <w:szCs w:val="24"/>
        </w:rPr>
      </w:pPr>
      <w:r>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Разрешение споров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недостижения соглашения в ходе переговоров, указанных в  п.11.1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4" w:name="Par2"/>
      <w:bookmarkEnd w:id="4"/>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 </w:t>
      </w:r>
      <w:r>
        <w:rPr>
          <w:sz w:val="24"/>
          <w:szCs w:val="24"/>
        </w:rPr>
        <w:t>В случае неурегулирования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города Москвы.</w:t>
      </w:r>
    </w:p>
    <w:p>
      <w:pPr>
        <w:pStyle w:val="Normal"/>
        <w:widowControl w:val="false"/>
        <w:shd w:val="clear" w:color="auto" w:fill="FFFFFF"/>
        <w:tabs>
          <w:tab w:val="left" w:pos="720" w:leader="none"/>
        </w:tabs>
        <w:spacing w:before="0" w:after="120"/>
        <w:ind w:left="567" w:hanging="0"/>
        <w:jc w:val="both"/>
        <w:rPr>
          <w:sz w:val="24"/>
          <w:szCs w:val="24"/>
        </w:rPr>
      </w:pPr>
      <w:r>
        <w:rPr>
          <w:sz w:val="24"/>
          <w:szCs w:val="24"/>
        </w:rPr>
      </w:r>
    </w:p>
    <w:p>
      <w:pPr>
        <w:pStyle w:val="Normal"/>
        <w:widowControl w:val="false"/>
        <w:numPr>
          <w:ilvl w:val="0"/>
          <w:numId w:val="6"/>
        </w:numPr>
        <w:shd w:val="clear" w:color="auto" w:fill="FFFFFF"/>
        <w:tabs>
          <w:tab w:val="clear" w:pos="720"/>
          <w:tab w:val="left" w:pos="426" w:leader="none"/>
        </w:tabs>
        <w:spacing w:before="0" w:after="120"/>
        <w:ind w:left="0" w:hanging="0"/>
        <w:jc w:val="center"/>
        <w:rPr>
          <w:b/>
          <w:bCs/>
          <w:sz w:val="24"/>
          <w:szCs w:val="24"/>
        </w:rPr>
      </w:pPr>
      <w:r>
        <w:rPr>
          <w:b/>
          <w:bCs/>
          <w:sz w:val="24"/>
          <w:szCs w:val="24"/>
        </w:rPr>
        <w:t>Прекращение (расторжение)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Pr/>
        <w:t>.</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Normal"/>
        <w:widowControl w:val="false"/>
        <w:shd w:val="clear" w:color="auto" w:fill="FFFFFF"/>
        <w:spacing w:before="0" w:after="120"/>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Стороны установили, что существенным нарушением Договора Поставщиком является</w:t>
      </w:r>
      <w:r>
        <w:rPr/>
        <w:t>:</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pPr>
        <w:pStyle w:val="Normal"/>
        <w:widowControl w:val="false"/>
        <w:numPr>
          <w:ilvl w:val="2"/>
          <w:numId w:val="6"/>
        </w:numPr>
        <w:shd w:val="clear" w:color="auto" w:fill="FFFFFF"/>
        <w:spacing w:before="0" w:after="120"/>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pPr>
        <w:pStyle w:val="ListParagraph"/>
        <w:numPr>
          <w:ilvl w:val="1"/>
          <w:numId w:val="6"/>
        </w:numPr>
        <w:shd w:val="clear" w:color="auto" w:fill="FFFFFF"/>
        <w:tabs>
          <w:tab w:val="clear" w:pos="720"/>
          <w:tab w:val="left" w:pos="1418" w:leader="none"/>
        </w:tabs>
        <w:spacing w:before="0" w:after="120"/>
        <w:ind w:left="0" w:firstLine="567"/>
        <w:contextualSpacing w:val="false"/>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bCs/>
          <w:sz w:val="24"/>
          <w:szCs w:val="24"/>
        </w:rPr>
        <w:t>Заверения</w:t>
      </w:r>
      <w:r>
        <w:rPr>
          <w:b/>
          <w:sz w:val="24"/>
          <w:szCs w:val="24"/>
        </w:rPr>
        <w:t xml:space="preserve"> Сторон</w:t>
      </w:r>
    </w:p>
    <w:p>
      <w:pPr>
        <w:pStyle w:val="ListParagraph"/>
        <w:numPr>
          <w:ilvl w:val="1"/>
          <w:numId w:val="6"/>
        </w:numPr>
        <w:shd w:val="clear" w:color="auto" w:fill="FFFFFF"/>
        <w:spacing w:before="0" w:after="120"/>
        <w:ind w:left="0" w:firstLine="567"/>
        <w:contextualSpacing w:val="false"/>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pPr>
        <w:pStyle w:val="ListParagraph"/>
        <w:widowControl/>
        <w:numPr>
          <w:ilvl w:val="0"/>
          <w:numId w:val="11"/>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Поставщик заявляет и заверяет Покупателя в том, что на момент заключения настоящего Договора:</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pPr>
        <w:pStyle w:val="ListParagraph"/>
        <w:widowControl/>
        <w:numPr>
          <w:ilvl w:val="0"/>
          <w:numId w:val="13"/>
        </w:numPr>
        <w:shd w:val="clear" w:color="auto" w:fill="FFFFFF"/>
        <w:tabs>
          <w:tab w:val="clear" w:pos="720"/>
          <w:tab w:val="left" w:pos="709" w:leader="none"/>
          <w:tab w:val="left" w:pos="1134" w:leader="none"/>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2"/>
        </w:numPr>
        <w:shd w:val="clear" w:color="auto" w:fill="FFFFFF"/>
        <w:tabs>
          <w:tab w:val="clear" w:pos="720"/>
          <w:tab w:val="left" w:pos="567" w:leader="none"/>
          <w:tab w:val="left" w:pos="1134" w:leader="none"/>
          <w:tab w:val="left" w:pos="1418" w:leader="none"/>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6"/>
        </w:numPr>
        <w:shd w:val="clear" w:color="auto" w:fill="FFFFFF"/>
        <w:spacing w:before="0" w:after="120"/>
        <w:ind w:left="0" w:firstLine="567"/>
        <w:contextualSpacing w:val="false"/>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pPr>
        <w:pStyle w:val="Normal"/>
        <w:shd w:val="clear" w:color="auto" w:fill="FFFFFF"/>
        <w:spacing w:before="0" w:after="120"/>
        <w:ind w:firstLine="567"/>
        <w:jc w:val="both"/>
        <w:rPr>
          <w:sz w:val="24"/>
          <w:szCs w:val="24"/>
        </w:rPr>
      </w:pPr>
      <w:r>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Заключительные положения</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Документ</w:t>
      </w:r>
      <w:r>
        <w:rPr>
          <w:bCs/>
          <w:sz w:val="24"/>
          <w:szCs w:val="24"/>
        </w:rPr>
        <w:t xml:space="preserve"> будет считаться полученным:</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pPr>
        <w:pStyle w:val="ListParagraph"/>
        <w:widowControl/>
        <w:numPr>
          <w:ilvl w:val="2"/>
          <w:numId w:val="6"/>
        </w:numPr>
        <w:shd w:val="clear" w:color="auto" w:fill="FFFFFF"/>
        <w:spacing w:before="0" w:after="120"/>
        <w:ind w:left="0" w:firstLine="567"/>
        <w:contextualSpacing w:val="false"/>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pPr>
        <w:pStyle w:val="Normal"/>
        <w:widowControl w:val="false"/>
        <w:numPr>
          <w:ilvl w:val="1"/>
          <w:numId w:val="6"/>
        </w:numPr>
        <w:shd w:val="clear" w:color="auto" w:fill="FFFFFF"/>
        <w:tabs>
          <w:tab w:val="left" w:pos="720" w:leader="none"/>
        </w:tabs>
        <w:spacing w:before="0" w:after="120"/>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pPr>
        <w:pStyle w:val="Normal"/>
        <w:widowControl w:val="false"/>
        <w:numPr>
          <w:ilvl w:val="1"/>
          <w:numId w:val="6"/>
        </w:numPr>
        <w:shd w:val="clear" w:color="auto" w:fill="FFFFFF"/>
        <w:tabs>
          <w:tab w:val="left" w:pos="720" w:leader="none"/>
        </w:tabs>
        <w:spacing w:before="0" w:after="120"/>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Приложения к Договору</w:t>
      </w:r>
    </w:p>
    <w:p>
      <w:pPr>
        <w:pStyle w:val="Heading3"/>
        <w:keepNext w:val="false"/>
        <w:tabs>
          <w:tab w:val="clear" w:pos="0"/>
        </w:tabs>
        <w:spacing w:before="0" w:after="120"/>
        <w:ind w:left="567" w:hanging="0"/>
        <w:jc w:val="both"/>
        <w:textAlignment w:val="baseline"/>
        <w:rPr>
          <w:b w:val="false"/>
          <w:sz w:val="24"/>
          <w:szCs w:val="24"/>
        </w:rPr>
      </w:pPr>
      <w:r>
        <w:rPr>
          <w:b w:val="false"/>
          <w:sz w:val="24"/>
          <w:szCs w:val="24"/>
        </w:rPr>
        <w:t>- Приложение № 1 – Спецификация.</w:t>
      </w:r>
    </w:p>
    <w:p>
      <w:pPr>
        <w:pStyle w:val="Normal"/>
        <w:spacing w:before="0" w:after="120"/>
        <w:ind w:left="567" w:hanging="567"/>
        <w:rPr>
          <w:sz w:val="24"/>
          <w:szCs w:val="24"/>
        </w:rPr>
      </w:pPr>
      <w:bookmarkStart w:id="5" w:name="sub_1"/>
      <w:r>
        <w:rPr>
          <w:sz w:val="24"/>
          <w:szCs w:val="24"/>
        </w:rPr>
        <w:tab/>
      </w:r>
      <w:bookmarkEnd w:id="5"/>
    </w:p>
    <w:p>
      <w:pPr>
        <w:pStyle w:val="Normal"/>
        <w:widowControl w:val="false"/>
        <w:numPr>
          <w:ilvl w:val="0"/>
          <w:numId w:val="6"/>
        </w:numPr>
        <w:shd w:val="clear" w:color="auto" w:fill="FFFFFF"/>
        <w:tabs>
          <w:tab w:val="clear" w:pos="720"/>
          <w:tab w:val="left" w:pos="426" w:leader="none"/>
        </w:tabs>
        <w:spacing w:before="0" w:after="120"/>
        <w:ind w:left="0" w:hanging="0"/>
        <w:jc w:val="center"/>
        <w:rPr>
          <w:b/>
          <w:sz w:val="24"/>
          <w:szCs w:val="24"/>
        </w:rPr>
      </w:pPr>
      <w:r>
        <w:rPr>
          <w:b/>
          <w:sz w:val="24"/>
          <w:szCs w:val="24"/>
        </w:rPr>
        <w:t xml:space="preserve">Адреса, реквизиты и подписи Сторон </w:t>
      </w:r>
    </w:p>
    <w:tbl>
      <w:tblPr>
        <w:tblW w:w="9714"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927"/>
        <w:gridCol w:w="4786"/>
      </w:tblGrid>
      <w:tr>
        <w:trPr/>
        <w:tc>
          <w:tcPr>
            <w:tcW w:w="4927" w:type="dxa"/>
            <w:tcBorders/>
          </w:tcPr>
          <w:p>
            <w:pPr>
              <w:pStyle w:val="Normal"/>
              <w:widowControl w:val="false"/>
              <w:rPr>
                <w:b/>
                <w:sz w:val="24"/>
                <w:szCs w:val="24"/>
                <w:u w:val="single"/>
              </w:rPr>
            </w:pPr>
            <w:r>
              <w:rPr>
                <w:b/>
                <w:sz w:val="24"/>
                <w:szCs w:val="24"/>
                <w:u w:val="single"/>
              </w:rPr>
              <w:t>Покупатель:</w:t>
            </w:r>
          </w:p>
        </w:tc>
        <w:tc>
          <w:tcPr>
            <w:tcW w:w="4786" w:type="dxa"/>
            <w:tcBorders/>
          </w:tcPr>
          <w:p>
            <w:pPr>
              <w:pStyle w:val="Normal"/>
              <w:widowControl w:val="false"/>
              <w:rPr>
                <w:b/>
                <w:sz w:val="24"/>
                <w:szCs w:val="24"/>
                <w:u w:val="single"/>
              </w:rPr>
            </w:pPr>
            <w:r>
              <w:rPr>
                <w:b/>
                <w:sz w:val="24"/>
                <w:szCs w:val="24"/>
                <w:u w:val="single"/>
              </w:rPr>
              <w:t>Поставщик:</w:t>
            </w:r>
          </w:p>
        </w:tc>
      </w:tr>
      <w:tr>
        <w:trPr/>
        <w:tc>
          <w:tcPr>
            <w:tcW w:w="4927" w:type="dxa"/>
            <w:tcBorders/>
          </w:tcPr>
          <w:p>
            <w:pPr>
              <w:pStyle w:val="Normal"/>
              <w:widowControl w:val="false"/>
              <w:rPr>
                <w:sz w:val="22"/>
                <w:szCs w:val="22"/>
              </w:rPr>
            </w:pPr>
            <w:r>
              <w:rPr>
                <w:sz w:val="22"/>
                <w:szCs w:val="22"/>
              </w:rPr>
            </w:r>
          </w:p>
          <w:p>
            <w:pPr>
              <w:pStyle w:val="Normal"/>
              <w:widowControl w:val="false"/>
              <w:rPr>
                <w:b/>
                <w:sz w:val="22"/>
                <w:szCs w:val="22"/>
              </w:rPr>
            </w:pPr>
            <w:r>
              <w:rPr>
                <w:b/>
                <w:sz w:val="22"/>
                <w:szCs w:val="22"/>
              </w:rPr>
              <w:t>Акционерное общество</w:t>
            </w:r>
          </w:p>
          <w:p>
            <w:pPr>
              <w:pStyle w:val="Normal"/>
              <w:widowControl w:val="false"/>
              <w:rPr>
                <w:b/>
                <w:sz w:val="22"/>
                <w:szCs w:val="22"/>
              </w:rPr>
            </w:pPr>
            <w:r>
              <w:rPr>
                <w:b/>
                <w:sz w:val="22"/>
                <w:szCs w:val="22"/>
              </w:rPr>
              <w:t>«Гидроремонт-ВКК» (АО «Гидроремонт-ВКК»)</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w:t>
            </w:r>
            <w:r>
              <w:rPr>
                <w:sz w:val="22"/>
                <w:szCs w:val="22"/>
                <w:lang w:val="en-US"/>
              </w:rPr>
              <w:t>email</w:t>
            </w:r>
            <w:r>
              <w:rPr>
                <w:sz w:val="22"/>
                <w:szCs w:val="22"/>
              </w:rPr>
              <w:t>)</w:t>
            </w:r>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юридического лица)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(место нахождения)</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(почтовый адрес)</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(ОГРН)</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(ИНН/КПП)</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расчетного счета)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(наименование банка, в котором</w:t>
            </w:r>
          </w:p>
          <w:p>
            <w:pPr>
              <w:pStyle w:val="Normal"/>
              <w:widowControl w:val="false"/>
              <w:rPr>
                <w:sz w:val="22"/>
                <w:szCs w:val="22"/>
              </w:rPr>
            </w:pPr>
            <w:r>
              <w:rPr>
                <w:sz w:val="22"/>
                <w:szCs w:val="22"/>
              </w:rPr>
              <w:t>открыт расчетный счет)</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корреспондентского счета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(БИК банка)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(номер телефона/факса)</w:t>
            </w:r>
          </w:p>
          <w:p>
            <w:pPr>
              <w:pStyle w:val="Normal"/>
              <w:widowControl w:val="false"/>
              <w:rPr>
                <w:sz w:val="22"/>
                <w:szCs w:val="22"/>
              </w:rPr>
            </w:pPr>
            <w:r>
              <w:rPr>
                <w:sz w:val="22"/>
                <w:szCs w:val="22"/>
              </w:rPr>
              <w:t>_________________________________</w:t>
            </w:r>
          </w:p>
          <w:p>
            <w:pPr>
              <w:pStyle w:val="Normal"/>
              <w:widowControl w:val="false"/>
              <w:rPr>
                <w:sz w:val="22"/>
                <w:szCs w:val="22"/>
              </w:rPr>
            </w:pPr>
            <w:r>
              <w:rPr>
                <w:sz w:val="22"/>
                <w:szCs w:val="22"/>
              </w:rPr>
              <w:t>(</w:t>
            </w:r>
            <w:r>
              <w:rPr>
                <w:sz w:val="22"/>
                <w:szCs w:val="22"/>
                <w:lang w:val="en-US"/>
              </w:rPr>
              <w:t>email</w:t>
            </w:r>
            <w:r>
              <w:rPr>
                <w:sz w:val="22"/>
                <w:szCs w:val="22"/>
              </w:rPr>
              <w:t>)</w:t>
            </w:r>
          </w:p>
          <w:p>
            <w:pPr>
              <w:pStyle w:val="Normal"/>
              <w:widowControl w:val="false"/>
              <w:rPr>
                <w:sz w:val="22"/>
                <w:szCs w:val="22"/>
              </w:rPr>
            </w:pPr>
            <w:r>
              <w:rPr>
                <w:sz w:val="22"/>
                <w:szCs w:val="22"/>
              </w:rPr>
            </w:r>
          </w:p>
        </w:tc>
      </w:tr>
      <w:tr>
        <w:trPr/>
        <w:tc>
          <w:tcPr>
            <w:tcW w:w="4927"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w:t>
            </w:r>
            <w:r>
              <w:rPr>
                <w:sz w:val="22"/>
                <w:szCs w:val="22"/>
                <w:shd w:fill="FFFF00" w:val="clear"/>
              </w:rPr>
              <w:t>_______________</w:t>
            </w:r>
            <w:r>
              <w:rPr>
                <w:sz w:val="22"/>
                <w:szCs w:val="22"/>
              </w:rPr>
              <w:t xml:space="preserve"> /</w:t>
            </w:r>
          </w:p>
          <w:p>
            <w:pPr>
              <w:pStyle w:val="Normal"/>
              <w:widowControl w:val="false"/>
              <w:rPr>
                <w:sz w:val="22"/>
                <w:szCs w:val="22"/>
              </w:rPr>
            </w:pPr>
            <w:r>
              <w:rPr>
                <w:sz w:val="22"/>
                <w:szCs w:val="22"/>
              </w:rPr>
              <w:t>м.п.</w:t>
            </w:r>
          </w:p>
        </w:tc>
        <w:tc>
          <w:tcPr>
            <w:tcW w:w="4786"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 xml:space="preserve">_______________ / </w:t>
            </w:r>
            <w:r>
              <w:rPr>
                <w:sz w:val="22"/>
                <w:szCs w:val="22"/>
                <w:shd w:fill="FFFF00" w:val="clear"/>
              </w:rPr>
              <w:t>_______________</w:t>
            </w:r>
            <w:r>
              <w:rPr>
                <w:sz w:val="22"/>
                <w:szCs w:val="22"/>
              </w:rPr>
              <w:t xml:space="preserve"> /</w:t>
            </w:r>
          </w:p>
          <w:p>
            <w:pPr>
              <w:pStyle w:val="Normal"/>
              <w:widowControl w:val="false"/>
              <w:rPr>
                <w:sz w:val="22"/>
                <w:szCs w:val="22"/>
              </w:rPr>
            </w:pPr>
            <w:r>
              <w:rPr>
                <w:sz w:val="22"/>
                <w:szCs w:val="22"/>
              </w:rPr>
              <w:t>м.п.</w:t>
            </w:r>
          </w:p>
        </w:tc>
      </w:tr>
    </w:tbl>
    <w:p>
      <w:pPr>
        <w:sectPr>
          <w:headerReference w:type="default" r:id="rId14"/>
          <w:footerReference w:type="even" r:id="rId15"/>
          <w:footerReference w:type="default" r:id="rId16"/>
          <w:footerReference w:type="first" r:id="rId17"/>
          <w:type w:val="nextPage"/>
          <w:pgSz w:w="11906" w:h="16838"/>
          <w:pgMar w:left="1701" w:right="849" w:gutter="0" w:header="720" w:top="1134" w:footer="720" w:bottom="1134"/>
          <w:pgNumType w:fmt="decimal"/>
          <w:formProt w:val="false"/>
          <w:textDirection w:val="lrTb"/>
          <w:docGrid w:type="default" w:linePitch="100" w:charSpace="24576"/>
        </w:sectPr>
      </w:pPr>
    </w:p>
    <w:p>
      <w:pPr>
        <w:pStyle w:val="BodyText"/>
        <w:numPr>
          <w:ilvl w:val="0"/>
          <w:numId w:val="0"/>
        </w:numPr>
        <w:spacing w:before="0" w:after="120"/>
        <w:ind w:firstLine="567"/>
        <w:jc w:val="right"/>
        <w:outlineLvl w:val="0"/>
        <w:rPr>
          <w:b/>
          <w:bCs/>
          <w:sz w:val="24"/>
          <w:szCs w:val="24"/>
        </w:rPr>
      </w:pPr>
      <w:r>
        <w:rPr>
          <w:b/>
          <w:bCs/>
          <w:sz w:val="24"/>
          <w:szCs w:val="24"/>
        </w:rPr>
        <w:t>Приложение № 1</w:t>
      </w:r>
    </w:p>
    <w:p>
      <w:pPr>
        <w:pStyle w:val="BodyText"/>
        <w:spacing w:before="0" w:after="120"/>
        <w:ind w:firstLine="567"/>
        <w:jc w:val="right"/>
        <w:rPr>
          <w:bCs/>
          <w:sz w:val="24"/>
          <w:szCs w:val="24"/>
        </w:rPr>
      </w:pPr>
      <w:r>
        <w:rPr>
          <w:bCs/>
          <w:sz w:val="24"/>
          <w:szCs w:val="24"/>
        </w:rPr>
        <w:t xml:space="preserve">к договору поставки </w:t>
      </w:r>
    </w:p>
    <w:p>
      <w:pPr>
        <w:pStyle w:val="BodyText"/>
        <w:spacing w:before="0" w:after="120"/>
        <w:ind w:firstLine="567"/>
        <w:jc w:val="right"/>
        <w:rPr>
          <w:bCs/>
          <w:sz w:val="24"/>
          <w:szCs w:val="24"/>
        </w:rPr>
      </w:pPr>
      <w:r>
        <w:rPr>
          <w:bCs/>
          <w:sz w:val="24"/>
          <w:szCs w:val="24"/>
        </w:rPr>
        <w:t xml:space="preserve">№ </w:t>
      </w:r>
      <w:r>
        <w:rPr>
          <w:bCs/>
          <w:sz w:val="24"/>
          <w:szCs w:val="24"/>
        </w:rPr>
        <w:t>_____от «___» _________ ______ г.</w:t>
      </w:r>
    </w:p>
    <w:p>
      <w:pPr>
        <w:pStyle w:val="Normal"/>
        <w:numPr>
          <w:ilvl w:val="0"/>
          <w:numId w:val="0"/>
        </w:numPr>
        <w:spacing w:before="0" w:after="120"/>
        <w:ind w:firstLine="567"/>
        <w:jc w:val="center"/>
        <w:outlineLvl w:val="0"/>
        <w:rPr>
          <w:b/>
          <w:sz w:val="24"/>
          <w:szCs w:val="24"/>
        </w:rPr>
      </w:pPr>
      <w:r>
        <w:rPr>
          <w:b/>
          <w:sz w:val="24"/>
          <w:szCs w:val="24"/>
        </w:rPr>
        <w:t>Спецификация №__</w:t>
      </w:r>
    </w:p>
    <w:p>
      <w:pPr>
        <w:pStyle w:val="Normal"/>
        <w:numPr>
          <w:ilvl w:val="0"/>
          <w:numId w:val="0"/>
        </w:numPr>
        <w:spacing w:before="0" w:after="120"/>
        <w:ind w:firstLine="567"/>
        <w:jc w:val="center"/>
        <w:outlineLvl w:val="0"/>
        <w:rPr>
          <w:b/>
          <w:i/>
          <w:i/>
          <w:color w:val="FF0000"/>
          <w:sz w:val="22"/>
          <w:szCs w:val="22"/>
        </w:rPr>
      </w:pPr>
      <w:r>
        <w:rPr>
          <w:b/>
          <w:i/>
          <w:color w:val="FF0000"/>
          <w:sz w:val="22"/>
          <w:szCs w:val="22"/>
        </w:rPr>
        <w:t>(заполняется на основании предложения, указанного в заявке участника закупки и технических требований)</w:t>
      </w:r>
    </w:p>
    <w:tbl>
      <w:tblPr>
        <w:tblW w:w="10632" w:type="dxa"/>
        <w:jc w:val="left"/>
        <w:tblInd w:w="-175" w:type="dxa"/>
        <w:tblLayout w:type="fixed"/>
        <w:tblCellMar>
          <w:top w:w="0" w:type="dxa"/>
          <w:left w:w="108" w:type="dxa"/>
          <w:bottom w:w="0" w:type="dxa"/>
          <w:right w:w="108" w:type="dxa"/>
        </w:tblCellMar>
        <w:tblLook w:val="04a0" w:noVBand="1" w:noHBand="0" w:lastColumn="0" w:firstColumn="1" w:lastRow="0" w:firstRow="1"/>
      </w:tblPr>
      <w:tblGrid>
        <w:gridCol w:w="712"/>
        <w:gridCol w:w="846"/>
        <w:gridCol w:w="421"/>
        <w:gridCol w:w="1709"/>
        <w:gridCol w:w="1557"/>
        <w:gridCol w:w="708"/>
        <w:gridCol w:w="713"/>
        <w:gridCol w:w="847"/>
        <w:gridCol w:w="1701"/>
        <w:gridCol w:w="1417"/>
      </w:tblGrid>
      <w:tr>
        <w:trPr>
          <w:trHeight w:val="510" w:hRule="atLeast"/>
        </w:trPr>
        <w:tc>
          <w:tcPr>
            <w:tcW w:w="7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Поз. №</w:t>
            </w:r>
          </w:p>
        </w:tc>
        <w:tc>
          <w:tcPr>
            <w:tcW w:w="126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Наименование</w:t>
            </w:r>
          </w:p>
        </w:tc>
        <w:tc>
          <w:tcPr>
            <w:tcW w:w="1709" w:type="dxa"/>
            <w:tcBorders>
              <w:top w:val="single" w:sz="4" w:space="0" w:color="000000"/>
              <w:left w:val="single" w:sz="4" w:space="0" w:color="000000"/>
              <w:bottom w:val="single" w:sz="4" w:space="0" w:color="000000"/>
              <w:right w:val="single" w:sz="4" w:space="0" w:color="000000"/>
            </w:tcBorders>
          </w:tcPr>
          <w:p>
            <w:pPr>
              <w:pStyle w:val="Normal"/>
              <w:widowControl w:val="false"/>
              <w:spacing w:before="0" w:after="120"/>
              <w:jc w:val="center"/>
              <w:rPr>
                <w:bCs/>
                <w:sz w:val="22"/>
                <w:szCs w:val="22"/>
              </w:rPr>
            </w:pPr>
            <w:r>
              <w:rPr>
                <w:sz w:val="24"/>
                <w:szCs w:val="24"/>
              </w:rPr>
              <w:t>Страна происхождения Продукции / цифровой код страны</w:t>
            </w:r>
          </w:p>
        </w:tc>
        <w:tc>
          <w:tcPr>
            <w:tcW w:w="155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Характеристики продукции</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Тип</w:t>
            </w:r>
          </w:p>
        </w:tc>
        <w:tc>
          <w:tcPr>
            <w:tcW w:w="7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Ед. изм.</w:t>
            </w:r>
          </w:p>
        </w:tc>
        <w:tc>
          <w:tcPr>
            <w:tcW w:w="8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Количество</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Цена  за единицу (руб., с НДС __%/ без НДС)</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120"/>
              <w:jc w:val="center"/>
              <w:rPr>
                <w:bCs/>
                <w:sz w:val="22"/>
                <w:szCs w:val="24"/>
              </w:rPr>
            </w:pPr>
            <w:r>
              <w:rPr>
                <w:bCs/>
                <w:sz w:val="22"/>
                <w:szCs w:val="24"/>
              </w:rPr>
              <w:t>Сумма (руб., с НДС __%/ без НДС)</w:t>
            </w:r>
          </w:p>
        </w:tc>
      </w:tr>
      <w:tr>
        <w:trPr>
          <w:trHeight w:val="523" w:hRule="atLeast"/>
        </w:trPr>
        <w:tc>
          <w:tcPr>
            <w:tcW w:w="71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1.</w:t>
            </w:r>
          </w:p>
        </w:tc>
        <w:tc>
          <w:tcPr>
            <w:tcW w:w="1267"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___________</w:t>
            </w:r>
          </w:p>
        </w:tc>
        <w:tc>
          <w:tcPr>
            <w:tcW w:w="1709"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sz w:val="22"/>
                <w:szCs w:val="24"/>
              </w:rPr>
            </w:pPr>
            <w:r>
              <w:rPr>
                <w:sz w:val="22"/>
                <w:szCs w:val="24"/>
              </w:rPr>
              <w:t>___________</w:t>
            </w:r>
          </w:p>
        </w:tc>
        <w:tc>
          <w:tcPr>
            <w:tcW w:w="155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w:t>
            </w:r>
          </w:p>
        </w:tc>
        <w:tc>
          <w:tcPr>
            <w:tcW w:w="71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w:t>
            </w:r>
          </w:p>
        </w:tc>
        <w:tc>
          <w:tcPr>
            <w:tcW w:w="84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w:t>
            </w:r>
          </w:p>
        </w:tc>
        <w:tc>
          <w:tcPr>
            <w:tcW w:w="17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__________</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szCs w:val="24"/>
              </w:rPr>
              <w:t>________</w:t>
            </w:r>
          </w:p>
        </w:tc>
      </w:tr>
      <w:tr>
        <w:trPr>
          <w:trHeight w:val="523" w:hRule="atLeast"/>
        </w:trPr>
        <w:tc>
          <w:tcPr>
            <w:tcW w:w="712"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2.</w:t>
            </w:r>
          </w:p>
        </w:tc>
        <w:tc>
          <w:tcPr>
            <w:tcW w:w="1267"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___________</w:t>
            </w:r>
          </w:p>
        </w:tc>
        <w:tc>
          <w:tcPr>
            <w:tcW w:w="1709" w:type="dxa"/>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jc w:val="center"/>
              <w:rPr>
                <w:sz w:val="22"/>
              </w:rPr>
            </w:pPr>
            <w:r>
              <w:rPr>
                <w:sz w:val="22"/>
                <w:szCs w:val="24"/>
              </w:rPr>
              <w:t>___________</w:t>
            </w:r>
          </w:p>
        </w:tc>
        <w:tc>
          <w:tcPr>
            <w:tcW w:w="155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___________</w:t>
            </w:r>
          </w:p>
        </w:tc>
        <w:tc>
          <w:tcPr>
            <w:tcW w:w="708"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w:t>
            </w:r>
          </w:p>
        </w:tc>
        <w:tc>
          <w:tcPr>
            <w:tcW w:w="713"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w:t>
            </w:r>
          </w:p>
        </w:tc>
        <w:tc>
          <w:tcPr>
            <w:tcW w:w="84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w:t>
            </w:r>
          </w:p>
        </w:tc>
        <w:tc>
          <w:tcPr>
            <w:tcW w:w="1701"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__________</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jc w:val="center"/>
              <w:rPr>
                <w:sz w:val="22"/>
              </w:rPr>
            </w:pPr>
            <w:r>
              <w:rPr>
                <w:sz w:val="22"/>
              </w:rPr>
              <w:t>________</w:t>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b/>
                <w:sz w:val="22"/>
                <w:szCs w:val="24"/>
              </w:rPr>
            </w:pPr>
            <w:r>
              <w:rPr>
                <w:b/>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2"/>
                <w:szCs w:val="24"/>
              </w:rPr>
            </w:pPr>
            <w:r>
              <w:rPr>
                <w:b/>
                <w:sz w:val="22"/>
                <w:szCs w:val="24"/>
              </w:rPr>
              <w:t>ИТОГО*</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rPr>
            </w:pPr>
            <w:r>
              <w:rPr>
                <w:b/>
                <w:sz w:val="22"/>
                <w:szCs w:val="24"/>
              </w:rPr>
            </w:r>
          </w:p>
        </w:tc>
      </w:tr>
      <w:tr>
        <w:trPr>
          <w:trHeight w:val="255" w:hRule="atLeast"/>
        </w:trPr>
        <w:tc>
          <w:tcPr>
            <w:tcW w:w="1558" w:type="dxa"/>
            <w:gridSpan w:val="2"/>
            <w:tcBorders>
              <w:top w:val="single" w:sz="4" w:space="0" w:color="000000"/>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20"/>
              <w:ind w:firstLine="567"/>
              <w:jc w:val="right"/>
              <w:rPr>
                <w:sz w:val="22"/>
                <w:szCs w:val="24"/>
              </w:rPr>
            </w:pPr>
            <w:r>
              <w:rPr>
                <w:sz w:val="22"/>
                <w:szCs w:val="24"/>
              </w:rPr>
            </w:r>
          </w:p>
        </w:tc>
        <w:tc>
          <w:tcPr>
            <w:tcW w:w="7656" w:type="dxa"/>
            <w:gridSpan w:val="7"/>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right"/>
              <w:rPr>
                <w:sz w:val="22"/>
                <w:szCs w:val="24"/>
              </w:rPr>
            </w:pPr>
            <w:r>
              <w:rPr>
                <w:sz w:val="22"/>
                <w:szCs w:val="24"/>
              </w:rPr>
              <w:t>Итого с учетом НДС (</w:t>
            </w:r>
            <w:r>
              <w:rPr>
                <w:i/>
                <w:sz w:val="22"/>
                <w:szCs w:val="24"/>
              </w:rPr>
              <w:t>указывается при необходимости</w:t>
            </w:r>
            <w:r>
              <w:rPr>
                <w:sz w:val="22"/>
                <w:szCs w:val="24"/>
              </w:rPr>
              <w:t>)</w:t>
            </w:r>
          </w:p>
        </w:tc>
        <w:tc>
          <w:tcPr>
            <w:tcW w:w="1417"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pacing w:before="0" w:after="120"/>
              <w:ind w:firstLine="567"/>
              <w:jc w:val="center"/>
              <w:rPr>
                <w:b/>
                <w:sz w:val="22"/>
                <w:szCs w:val="24"/>
              </w:rPr>
            </w:pPr>
            <w:r>
              <w:rPr>
                <w:b/>
                <w:sz w:val="22"/>
                <w:szCs w:val="24"/>
              </w:rPr>
            </w:r>
          </w:p>
        </w:tc>
      </w:tr>
    </w:tbl>
    <w:p>
      <w:pPr>
        <w:pStyle w:val="BodyText"/>
        <w:spacing w:before="0" w:after="120"/>
        <w:ind w:firstLine="567"/>
        <w:rPr>
          <w:b/>
          <w:bCs/>
          <w:i/>
          <w:i/>
          <w:sz w:val="24"/>
          <w:szCs w:val="24"/>
        </w:rPr>
      </w:pPr>
      <w:r>
        <w:rPr>
          <w:b/>
          <w:bCs/>
          <w:i/>
          <w:sz w:val="24"/>
          <w:szCs w:val="24"/>
        </w:rPr>
      </w:r>
    </w:p>
    <w:p>
      <w:pPr>
        <w:pStyle w:val="BodyText"/>
        <w:spacing w:before="0" w:after="120"/>
        <w:ind w:firstLine="567"/>
        <w:rPr>
          <w:b/>
          <w:bCs/>
          <w:i/>
          <w:i/>
          <w:sz w:val="24"/>
          <w:szCs w:val="24"/>
        </w:rPr>
      </w:pPr>
      <w:r>
        <w:rPr>
          <w:b/>
          <w:bCs/>
          <w:i/>
          <w:sz w:val="24"/>
          <w:szCs w:val="24"/>
        </w:rPr>
        <w:t>Условия поставки:</w:t>
      </w:r>
    </w:p>
    <w:p>
      <w:pPr>
        <w:pStyle w:val="Normal"/>
        <w:widowControl w:val="false"/>
        <w:numPr>
          <w:ilvl w:val="0"/>
          <w:numId w:val="20"/>
        </w:numPr>
        <w:tabs>
          <w:tab w:val="left" w:pos="720" w:leader="none"/>
        </w:tabs>
        <w:spacing w:before="0" w:after="120"/>
        <w:ind w:left="0" w:firstLine="284"/>
        <w:jc w:val="both"/>
        <w:rPr>
          <w:sz w:val="24"/>
          <w:szCs w:val="24"/>
        </w:rPr>
      </w:pPr>
      <w:r>
        <w:rPr>
          <w:bCs/>
          <w:sz w:val="24"/>
          <w:szCs w:val="24"/>
        </w:rPr>
        <w:t>Общая сумма Спецификации составляет _______</w:t>
      </w:r>
      <w:r>
        <w:rPr>
          <w:b/>
          <w:sz w:val="24"/>
          <w:szCs w:val="24"/>
        </w:rPr>
        <w:t xml:space="preserve"> </w:t>
      </w:r>
      <w:r>
        <w:rPr>
          <w:sz w:val="24"/>
          <w:szCs w:val="24"/>
        </w:rPr>
        <w:t xml:space="preserve">(________), </w:t>
      </w:r>
      <w:r>
        <w:rPr>
          <w:i/>
          <w:sz w:val="24"/>
          <w:szCs w:val="24"/>
        </w:rPr>
        <w:t>в том числе НДС __%, в размере _____________ (________________)</w:t>
      </w:r>
      <w:r>
        <w:rPr>
          <w:b/>
          <w:sz w:val="24"/>
          <w:szCs w:val="24"/>
        </w:rPr>
        <w:t>.</w:t>
      </w:r>
    </w:p>
    <w:p>
      <w:pPr>
        <w:pStyle w:val="Normal"/>
        <w:widowControl w:val="false"/>
        <w:numPr>
          <w:ilvl w:val="0"/>
          <w:numId w:val="21"/>
        </w:numPr>
        <w:tabs>
          <w:tab w:val="left" w:pos="720" w:leader="none"/>
        </w:tabs>
        <w:spacing w:before="0" w:after="120"/>
        <w:ind w:left="0" w:firstLine="284"/>
        <w:jc w:val="both"/>
        <w:rPr>
          <w:sz w:val="24"/>
          <w:szCs w:val="24"/>
        </w:rPr>
      </w:pPr>
      <w:r>
        <w:rPr>
          <w:sz w:val="24"/>
          <w:szCs w:val="24"/>
        </w:rPr>
        <w:t>Наименование производителя: ______________________;</w:t>
      </w:r>
    </w:p>
    <w:p>
      <w:pPr>
        <w:pStyle w:val="Normal"/>
        <w:widowControl w:val="false"/>
        <w:numPr>
          <w:ilvl w:val="0"/>
          <w:numId w:val="22"/>
        </w:numPr>
        <w:tabs>
          <w:tab w:val="left" w:pos="720" w:leader="none"/>
        </w:tabs>
        <w:spacing w:before="0" w:after="120"/>
        <w:ind w:left="0" w:firstLine="284"/>
        <w:jc w:val="both"/>
        <w:rPr>
          <w:sz w:val="24"/>
          <w:szCs w:val="24"/>
        </w:rPr>
      </w:pPr>
      <w:r>
        <w:rPr>
          <w:sz w:val="24"/>
          <w:szCs w:val="24"/>
        </w:rPr>
        <w:t>Срок поставки Продукции: _______________________.</w:t>
      </w:r>
    </w:p>
    <w:p>
      <w:pPr>
        <w:pStyle w:val="Normal"/>
        <w:widowControl w:val="false"/>
        <w:numPr>
          <w:ilvl w:val="0"/>
          <w:numId w:val="23"/>
        </w:numPr>
        <w:tabs>
          <w:tab w:val="left" w:pos="720" w:leader="none"/>
        </w:tabs>
        <w:spacing w:before="0" w:after="120"/>
        <w:ind w:left="0" w:firstLine="284"/>
        <w:jc w:val="both"/>
        <w:rPr>
          <w:sz w:val="24"/>
          <w:szCs w:val="24"/>
        </w:rPr>
      </w:pPr>
      <w:r>
        <w:rPr>
          <w:sz w:val="24"/>
          <w:szCs w:val="24"/>
        </w:rPr>
        <w:t>Иные условия, предусмотренные техническими требованиями:_________________.</w:t>
      </w:r>
    </w:p>
    <w:p>
      <w:pPr>
        <w:pStyle w:val="BodyText"/>
        <w:spacing w:before="0" w:after="120"/>
        <w:ind w:firstLine="567"/>
        <w:rPr>
          <w:b/>
          <w:bCs/>
          <w:sz w:val="24"/>
          <w:szCs w:val="24"/>
        </w:rPr>
      </w:pPr>
      <w:r>
        <w:rPr>
          <w:b/>
          <w:sz w:val="24"/>
          <w:szCs w:val="24"/>
        </w:rPr>
        <w:t>*</w:t>
      </w:r>
      <w:r>
        <w:rPr>
          <w:sz w:val="24"/>
          <w:szCs w:val="24"/>
        </w:rPr>
        <w:t xml:space="preserve"> По требованию Покупателя Поставщик обязан представить запрашиваемую информацию/документы, расчеты, обосновывающие стоимость доставки Продукции.</w:t>
      </w:r>
    </w:p>
    <w:p>
      <w:pPr>
        <w:pStyle w:val="Normal"/>
        <w:spacing w:before="0" w:after="120"/>
        <w:jc w:val="both"/>
        <w:rPr>
          <w:i/>
          <w:i/>
          <w:sz w:val="24"/>
          <w:szCs w:val="24"/>
        </w:rPr>
      </w:pPr>
      <w:r>
        <w:rPr>
          <w:i/>
          <w:sz w:val="24"/>
          <w:szCs w:val="24"/>
        </w:rPr>
        <w:t>[В случае поставки Продукции (в том числе оборудования/материалов) комплектом, в спецификации необходимо «разбить» его на позиции.</w:t>
      </w:r>
    </w:p>
    <w:p>
      <w:pPr>
        <w:pStyle w:val="Normal"/>
        <w:spacing w:before="0" w:after="120"/>
        <w:jc w:val="both"/>
        <w:rPr>
          <w:i/>
          <w:i/>
          <w:sz w:val="24"/>
          <w:szCs w:val="24"/>
        </w:rPr>
      </w:pPr>
      <w:r>
        <w:rPr>
          <w:i/>
          <w:sz w:val="24"/>
          <w:szCs w:val="24"/>
        </w:rPr>
        <w:t>В спецификацию при необходимости включаются требования к Продукции, таре/упаковке, перечень нормативных документов, которым должна соответствовать Продукция (ГОСТ,ТУ) и иные сведения, имеющие значение для Договора]</w:t>
      </w:r>
    </w:p>
    <w:p>
      <w:pPr>
        <w:pStyle w:val="Normal"/>
        <w:spacing w:before="0" w:after="120"/>
        <w:jc w:val="both"/>
        <w:rPr>
          <w:sz w:val="24"/>
          <w:szCs w:val="24"/>
        </w:rPr>
      </w:pPr>
      <w:r>
        <w:rPr>
          <w:sz w:val="24"/>
          <w:szCs w:val="24"/>
        </w:rPr>
      </w:r>
    </w:p>
    <w:tbl>
      <w:tblPr>
        <w:tblpPr w:bottomFromText="0" w:horzAnchor="margin" w:leftFromText="180" w:rightFromText="180" w:tblpX="0" w:tblpY="225" w:topFromText="0" w:vertAnchor="text"/>
        <w:tblW w:w="9571"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785"/>
        <w:gridCol w:w="4785"/>
      </w:tblGrid>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szCs w:val="24"/>
                <w:u w:val="single"/>
                <w:lang w:val="ru-RU"/>
              </w:rPr>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p>
            <w:pPr>
              <w:pStyle w:val="Style18"/>
              <w:widowControl w:val="false"/>
              <w:spacing w:lineRule="auto" w:line="240" w:before="0" w:after="120"/>
              <w:ind w:firstLine="567"/>
              <w:jc w:val="left"/>
              <w:rPr>
                <w:rFonts w:ascii="Times New Roman" w:hAnsi="Times New Roman"/>
                <w:szCs w:val="24"/>
                <w:u w:val="single"/>
                <w:lang w:val="ru-RU"/>
              </w:rPr>
            </w:pPr>
            <w:r>
              <w:rPr>
                <w:rFonts w:ascii="Times New Roman" w:hAnsi="Times New Roman"/>
                <w:szCs w:val="24"/>
                <w:u w:val="single"/>
                <w:lang w:val="ru-RU"/>
              </w:rPr>
            </w:r>
          </w:p>
        </w:tc>
      </w:tr>
      <w:tr>
        <w:trPr/>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c>
          <w:tcPr>
            <w:tcW w:w="4785" w:type="dxa"/>
            <w:tcBorders/>
            <w:shd w:color="auto" w:fill="FFFFFF" w:themeFill="background1" w:val="clear"/>
          </w:tcPr>
          <w:p>
            <w:pPr>
              <w:pStyle w:val="Style18"/>
              <w:widowControl w:val="false"/>
              <w:spacing w:lineRule="auto" w:line="240" w:before="0" w:after="120"/>
              <w:ind w:firstLine="567"/>
              <w:jc w:val="left"/>
              <w:rPr>
                <w:rFonts w:ascii="Times New Roman" w:hAnsi="Times New Roman"/>
                <w:sz w:val="24"/>
                <w:szCs w:val="24"/>
                <w:lang w:val="ru-RU"/>
              </w:rPr>
            </w:pPr>
            <w:r>
              <w:rPr>
                <w:rFonts w:ascii="Times New Roman" w:hAnsi="Times New Roman"/>
                <w:sz w:val="24"/>
                <w:szCs w:val="24"/>
                <w:lang w:val="ru-RU"/>
              </w:rPr>
              <w:t>_______________ / _____________ /</w:t>
            </w:r>
          </w:p>
          <w:p>
            <w:pPr>
              <w:pStyle w:val="Style18"/>
              <w:widowControl w:val="false"/>
              <w:spacing w:lineRule="auto" w:line="240" w:before="0" w:after="120"/>
              <w:ind w:firstLine="567"/>
              <w:jc w:val="left"/>
              <w:rPr>
                <w:rFonts w:ascii="Times New Roman" w:hAnsi="Times New Roman"/>
                <w:szCs w:val="24"/>
                <w:lang w:val="ru-RU"/>
              </w:rPr>
            </w:pPr>
            <w:r>
              <w:rPr>
                <w:rFonts w:ascii="Times New Roman" w:hAnsi="Times New Roman"/>
                <w:sz w:val="24"/>
                <w:szCs w:val="24"/>
                <w:lang w:val="ru-RU"/>
              </w:rPr>
              <w:t>м.п.</w:t>
            </w:r>
          </w:p>
        </w:tc>
      </w:tr>
    </w:tbl>
    <w:p>
      <w:pPr>
        <w:pStyle w:val="BodyText"/>
        <w:numPr>
          <w:ilvl w:val="0"/>
          <w:numId w:val="0"/>
        </w:numPr>
        <w:spacing w:before="0" w:after="120"/>
        <w:outlineLvl w:val="0"/>
        <w:rPr>
          <w:b/>
          <w:bCs/>
          <w:sz w:val="24"/>
          <w:szCs w:val="24"/>
        </w:rPr>
      </w:pPr>
      <w:r>
        <w:rPr/>
      </w:r>
    </w:p>
    <w:sectPr>
      <w:headerReference w:type="default" r:id="rId18"/>
      <w:headerReference w:type="first" r:id="rId19"/>
      <w:footerReference w:type="even" r:id="rId20"/>
      <w:footerReference w:type="default" r:id="rId21"/>
      <w:footerReference w:type="first" r:id="rId22"/>
      <w:type w:val="nextPage"/>
      <w:pgSz w:w="11906" w:h="16838"/>
      <w:pgMar w:left="1134" w:right="1416" w:gutter="0" w:header="720" w:top="1134" w:footer="720" w:bottom="1134"/>
      <w:pgNumType w:fmt="decimal"/>
      <w:formProt w:val="false"/>
      <w:textDirection w:val="lrTb"/>
      <w:docGrid w:type="default" w:linePitch="100" w:charSpace="245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Tahoma">
    <w:charset w:val="01"/>
    <w:family w:val="roman"/>
    <w:pitch w:val="variable"/>
  </w:font>
  <w:font w:name="Liberation Sans">
    <w:altName w:val="Arial"/>
    <w:charset w:val="01"/>
    <w:family w:val="swiss"/>
    <w:pitch w:val="variable"/>
  </w:font>
  <w:font w:name="Courier New">
    <w:charset w:val="01"/>
    <w:family w:val="roman"/>
    <w:pitch w:val="variable"/>
  </w:font>
  <w:font w:name="Verdana">
    <w:charset w:val="01"/>
    <w:family w:val="roman"/>
    <w:pitch w:val="variable"/>
  </w:font>
  <w:font w:name="Aria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 w:name="Tahoma">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1"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38">
              <wp:simplePos x="0" y="0"/>
              <wp:positionH relativeFrom="margin">
                <wp:align>right</wp:align>
              </wp:positionH>
              <wp:positionV relativeFrom="paragraph">
                <wp:posOffset>635</wp:posOffset>
              </wp:positionV>
              <wp:extent cx="127635" cy="145415"/>
              <wp:effectExtent l="0" t="0" r="0" b="0"/>
              <wp:wrapSquare wrapText="bothSides"/>
              <wp:docPr id="3"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38">
              <wp:simplePos x="0" y="0"/>
              <wp:positionH relativeFrom="margin">
                <wp:align>right</wp:align>
              </wp:positionH>
              <wp:positionV relativeFrom="paragraph">
                <wp:posOffset>635</wp:posOffset>
              </wp:positionV>
              <wp:extent cx="127635" cy="145415"/>
              <wp:effectExtent l="0" t="0" r="0" b="0"/>
              <wp:wrapSquare wrapText="bothSides"/>
              <wp:docPr id="5" name="Врезка2"/>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wps:txbx>
                    <wps:bodyPr lIns="0" rIns="0" tIns="0" bIns="0" anchor="t">
                      <a:spAutoFit/>
                    </wps:bodyPr>
                  </wps:wsp>
                </a:graphicData>
              </a:graphic>
            </wp:anchor>
          </w:drawing>
        </mc:Choice>
        <mc:Fallback>
          <w:pict>
            <v:rect id="shape_0" ID="Врезка2"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18</w:t>
                    </w:r>
                    <w:r>
                      <w:rPr>
                        <w:rStyle w:val="Pagenumber"/>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7"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0" rIns="0" tIns="0" bIns="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41">
              <wp:simplePos x="0" y="0"/>
              <wp:positionH relativeFrom="margin">
                <wp:align>right</wp:align>
              </wp:positionH>
              <wp:positionV relativeFrom="paragraph">
                <wp:posOffset>635</wp:posOffset>
              </wp:positionV>
              <wp:extent cx="127635" cy="145415"/>
              <wp:effectExtent l="0" t="0" r="0" b="0"/>
              <wp:wrapSquare wrapText="bothSides"/>
              <wp:docPr id="9"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hanging="0"/>
      <w:rPr/>
    </w:pPr>
    <w:r>
      <w:rPr/>
      <mc:AlternateContent>
        <mc:Choice Requires="wps">
          <w:drawing>
            <wp:anchor behindDoc="0" distT="0" distB="0" distL="0" distR="0" simplePos="0" locked="0" layoutInCell="0" allowOverlap="1" relativeHeight="41">
              <wp:simplePos x="0" y="0"/>
              <wp:positionH relativeFrom="margin">
                <wp:align>right</wp:align>
              </wp:positionH>
              <wp:positionV relativeFrom="paragraph">
                <wp:posOffset>635</wp:posOffset>
              </wp:positionV>
              <wp:extent cx="127635" cy="145415"/>
              <wp:effectExtent l="0" t="0" r="0" b="0"/>
              <wp:wrapSquare wrapText="bothSides"/>
              <wp:docPr id="11" name="Врезка4"/>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wps:txbx>
                    <wps:bodyPr lIns="0" rIns="0" tIns="0" bIns="0" anchor="t">
                      <a:spAutoFit/>
                    </wps:bodyPr>
                  </wps:wsp>
                </a:graphicData>
              </a:graphic>
            </wp:anchor>
          </w:drawing>
        </mc:Choice>
        <mc:Fallback>
          <w:pict>
            <v:rect id="shape_0" ID="Врезка4" path="m0,0l-2147483645,0l-2147483645,-2147483646l0,-2147483646xe" stroked="f" o:allowincell="f" style="position:absolute;margin-left:457.65pt;margin-top:0.05pt;width:10pt;height:11.4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19</w:t>
                    </w:r>
                    <w:r>
                      <w:rPr>
                        <w:rStyle w:val="Pagenumber"/>
                        <w:color w:val="000000"/>
                      </w:rPr>
                      <w:fldChar w:fldCharType="end"/>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p>
    <w:pPr>
      <w:pStyle w:val="Header"/>
      <w:jc w:val="righ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2"/>
      <w:numFmt w:val="decimal"/>
      <w:lvlText w:val="%1"/>
      <w:lvlJc w:val="left"/>
      <w:pPr>
        <w:tabs>
          <w:tab w:val="num" w:pos="360"/>
        </w:tabs>
        <w:ind w:left="360" w:hanging="360"/>
      </w:pPr>
      <w:rPr/>
    </w:lvl>
    <w:lvl w:ilvl="1">
      <w:start w:val="2"/>
      <w:numFmt w:val="decimal"/>
      <w:lvlText w:val="%1.%2"/>
      <w:lvlJc w:val="left"/>
      <w:pPr>
        <w:tabs>
          <w:tab w:val="num" w:pos="360"/>
        </w:tabs>
        <w:ind w:left="360" w:hanging="360"/>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720"/>
        </w:tabs>
        <w:ind w:left="720" w:hanging="720"/>
      </w:pPr>
      <w:rPr/>
    </w:lvl>
    <w:lvl w:ilvl="4">
      <w:start w:val="1"/>
      <w:numFmt w:val="decimal"/>
      <w:lvlText w:val="%1.%2.%3.%4.%5"/>
      <w:lvlJc w:val="left"/>
      <w:pPr>
        <w:tabs>
          <w:tab w:val="num" w:pos="720"/>
        </w:tabs>
        <w:ind w:left="720" w:hanging="72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080"/>
        </w:tabs>
        <w:ind w:left="1080" w:hanging="108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440"/>
        </w:tabs>
        <w:ind w:left="1440" w:hanging="1440"/>
      </w:pPr>
      <w:rPr/>
    </w:lvl>
  </w:abstractNum>
  <w:abstractNum w:abstractNumId="2">
    <w:lvl w:ilvl="0">
      <w:start w:val="2"/>
      <w:numFmt w:val="decimal"/>
      <w:lvlText w:val="%1"/>
      <w:lvlJc w:val="left"/>
      <w:pPr>
        <w:tabs>
          <w:tab w:val="num" w:pos="720"/>
        </w:tabs>
        <w:ind w:left="284" w:firstLine="76"/>
      </w:pPr>
      <w:rPr/>
    </w:lvl>
    <w:lvl w:ilvl="1">
      <w:start w:val="1"/>
      <w:numFmt w:val="decimal"/>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3">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4">
    <w:lvl w:ilvl="0">
      <w:start w:val="3"/>
      <w:numFmt w:val="decimal"/>
      <w:lvlText w:val="%1."/>
      <w:lvlJc w:val="left"/>
      <w:pPr>
        <w:tabs>
          <w:tab w:val="num" w:pos="360"/>
        </w:tabs>
        <w:ind w:left="360" w:hanging="360"/>
      </w:pPr>
      <w:rPr/>
    </w:lvl>
    <w:lvl w:ilvl="1">
      <w:start w:val="1"/>
      <w:numFmt w:val="decimal"/>
      <w:lvlText w:val="%1.%2."/>
      <w:lvlJc w:val="left"/>
      <w:pPr>
        <w:tabs>
          <w:tab w:val="num" w:pos="1636"/>
        </w:tabs>
        <w:ind w:left="1636" w:hanging="360"/>
      </w:pPr>
      <w:rPr/>
    </w:lvl>
    <w:lvl w:ilvl="2">
      <w:start w:val="1"/>
      <w:numFmt w:val="decimal"/>
      <w:lvlText w:val="%1.%2.%3."/>
      <w:lvlJc w:val="left"/>
      <w:pPr>
        <w:tabs>
          <w:tab w:val="num" w:pos="2160"/>
        </w:tabs>
        <w:ind w:left="2160" w:hanging="720"/>
      </w:pPr>
      <w:rPr/>
    </w:lvl>
    <w:lvl w:ilvl="3">
      <w:start w:val="1"/>
      <w:numFmt w:val="decimal"/>
      <w:lvlText w:val="%1.%2.%3.%4."/>
      <w:lvlJc w:val="left"/>
      <w:pPr>
        <w:tabs>
          <w:tab w:val="num" w:pos="2880"/>
        </w:tabs>
        <w:ind w:left="2880" w:hanging="720"/>
      </w:pPr>
      <w:rPr/>
    </w:lvl>
    <w:lvl w:ilvl="4">
      <w:start w:val="1"/>
      <w:numFmt w:val="decimal"/>
      <w:lvlText w:val="%1.%2.%3.%4.%5."/>
      <w:lvlJc w:val="left"/>
      <w:pPr>
        <w:tabs>
          <w:tab w:val="num" w:pos="3960"/>
        </w:tabs>
        <w:ind w:left="3960" w:hanging="1080"/>
      </w:pPr>
      <w:rPr/>
    </w:lvl>
    <w:lvl w:ilvl="5">
      <w:start w:val="1"/>
      <w:numFmt w:val="decimal"/>
      <w:lvlText w:val="%1.%2.%3.%4.%5.%6."/>
      <w:lvlJc w:val="left"/>
      <w:pPr>
        <w:tabs>
          <w:tab w:val="num" w:pos="4680"/>
        </w:tabs>
        <w:ind w:left="4680" w:hanging="1080"/>
      </w:pPr>
      <w:rPr/>
    </w:lvl>
    <w:lvl w:ilvl="6">
      <w:start w:val="1"/>
      <w:numFmt w:val="decimal"/>
      <w:lvlText w:val="%1.%2.%3.%4.%5.%6.%7."/>
      <w:lvlJc w:val="left"/>
      <w:pPr>
        <w:tabs>
          <w:tab w:val="num" w:pos="5760"/>
        </w:tabs>
        <w:ind w:left="5760" w:hanging="1440"/>
      </w:pPr>
      <w:rPr/>
    </w:lvl>
    <w:lvl w:ilvl="7">
      <w:start w:val="1"/>
      <w:numFmt w:val="decimal"/>
      <w:lvlText w:val="%1.%2.%3.%4.%5.%6.%7.%8."/>
      <w:lvlJc w:val="left"/>
      <w:pPr>
        <w:tabs>
          <w:tab w:val="num" w:pos="6480"/>
        </w:tabs>
        <w:ind w:left="6480" w:hanging="1440"/>
      </w:pPr>
      <w:rPr/>
    </w:lvl>
    <w:lvl w:ilvl="8">
      <w:start w:val="1"/>
      <w:numFmt w:val="decimal"/>
      <w:lvlText w:val="%1.%2.%3.%4.%5.%6.%7.%8.%9."/>
      <w:lvlJc w:val="left"/>
      <w:pPr>
        <w:tabs>
          <w:tab w:val="num" w:pos="7560"/>
        </w:tabs>
        <w:ind w:left="7560" w:hanging="1800"/>
      </w:pPr>
      <w:rPr/>
    </w:lvl>
  </w:abstractNum>
  <w:abstractNum w:abstractNumId="5">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lvl w:ilvl="0">
      <w:start w:val="1"/>
      <w:numFmt w:val="decimal"/>
      <w:lvlText w:val="%1."/>
      <w:lvlJc w:val="left"/>
      <w:pPr>
        <w:tabs>
          <w:tab w:val="num" w:pos="5321"/>
        </w:tabs>
        <w:ind w:left="5321" w:hanging="360"/>
      </w:pPr>
      <w:r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10">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6">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7">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8">
    <w:lvl w:ilvl="0">
      <w:start w:val="1"/>
      <w:numFmt w:val="decimal"/>
      <w:lvlText w:val="%1."/>
      <w:lvlJc w:val="left"/>
      <w:pPr>
        <w:tabs>
          <w:tab w:val="num" w:pos="1440"/>
        </w:tabs>
        <w:ind w:left="1440" w:hanging="360"/>
      </w:pPr>
      <w:rPr/>
    </w:lvl>
    <w:lvl w:ilvl="1">
      <w:start w:val="1"/>
      <w:numFmt w:val="lowerLetter"/>
      <w:lvlText w:val="%2."/>
      <w:lvlJc w:val="left"/>
      <w:pPr>
        <w:tabs>
          <w:tab w:val="num" w:pos="2160"/>
        </w:tabs>
        <w:ind w:left="2160" w:hanging="360"/>
      </w:pPr>
      <w:rPr/>
    </w:lvl>
    <w:lvl w:ilvl="2">
      <w:start w:val="1"/>
      <w:numFmt w:val="lowerRoman"/>
      <w:lvlText w:val="%3."/>
      <w:lvlJc w:val="right"/>
      <w:pPr>
        <w:tabs>
          <w:tab w:val="num" w:pos="2880"/>
        </w:tabs>
        <w:ind w:left="2880" w:hanging="180"/>
      </w:pPr>
      <w:rPr/>
    </w:lvl>
    <w:lvl w:ilvl="3">
      <w:start w:val="1"/>
      <w:numFmt w:val="decimal"/>
      <w:lvlText w:val="%4."/>
      <w:lvlJc w:val="left"/>
      <w:pPr>
        <w:tabs>
          <w:tab w:val="num" w:pos="3600"/>
        </w:tabs>
        <w:ind w:left="3600" w:hanging="360"/>
      </w:pPr>
      <w:rPr/>
    </w:lvl>
    <w:lvl w:ilvl="4">
      <w:start w:val="1"/>
      <w:numFmt w:val="lowerLetter"/>
      <w:lvlText w:val="%5."/>
      <w:lvlJc w:val="left"/>
      <w:pPr>
        <w:tabs>
          <w:tab w:val="num" w:pos="4320"/>
        </w:tabs>
        <w:ind w:left="4320" w:hanging="360"/>
      </w:pPr>
      <w:rPr/>
    </w:lvl>
    <w:lvl w:ilvl="5">
      <w:start w:val="1"/>
      <w:numFmt w:val="lowerRoman"/>
      <w:lvlText w:val="%6."/>
      <w:lvlJc w:val="right"/>
      <w:pPr>
        <w:tabs>
          <w:tab w:val="num" w:pos="5040"/>
        </w:tabs>
        <w:ind w:left="5040" w:hanging="180"/>
      </w:pPr>
      <w:rPr/>
    </w:lvl>
    <w:lvl w:ilvl="6">
      <w:start w:val="1"/>
      <w:numFmt w:val="decimal"/>
      <w:lvlText w:val="%7."/>
      <w:lvlJc w:val="left"/>
      <w:pPr>
        <w:tabs>
          <w:tab w:val="num" w:pos="5760"/>
        </w:tabs>
        <w:ind w:left="5760" w:hanging="360"/>
      </w:pPr>
      <w:rPr/>
    </w:lvl>
    <w:lvl w:ilvl="7">
      <w:start w:val="1"/>
      <w:numFmt w:val="lowerLetter"/>
      <w:lvlText w:val="%8."/>
      <w:lvlJc w:val="left"/>
      <w:pPr>
        <w:tabs>
          <w:tab w:val="num" w:pos="6480"/>
        </w:tabs>
        <w:ind w:left="6480" w:hanging="360"/>
      </w:pPr>
      <w:rPr/>
    </w:lvl>
    <w:lvl w:ilvl="8">
      <w:start w:val="1"/>
      <w:numFmt w:val="lowerRoman"/>
      <w:lvlText w:val="%9."/>
      <w:lvlJc w:val="right"/>
      <w:pPr>
        <w:tabs>
          <w:tab w:val="num" w:pos="7200"/>
        </w:tabs>
        <w:ind w:left="7200" w:hanging="180"/>
      </w:pPr>
      <w:r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5"/>
    <w:lvlOverride w:ilvl="0">
      <w:startOverride w:val="1"/>
    </w:lvlOverride>
  </w:num>
  <w:num w:numId="21">
    <w:abstractNumId w:val="15"/>
  </w:num>
  <w:num w:numId="22">
    <w:abstractNumId w:val="15"/>
  </w:num>
  <w:num w:numId="23">
    <w:abstractNumId w:val="15"/>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42745"/>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e42745"/>
    <w:pPr>
      <w:keepNext w:val="true"/>
      <w:outlineLvl w:val="0"/>
    </w:pPr>
    <w:rPr>
      <w:b/>
    </w:rPr>
  </w:style>
  <w:style w:type="paragraph" w:styleId="Heading2">
    <w:name w:val="Heading 2"/>
    <w:basedOn w:val="Normal"/>
    <w:next w:val="Normal"/>
    <w:qFormat/>
    <w:rsid w:val="00e42745"/>
    <w:pPr>
      <w:keepNext w:val="true"/>
      <w:jc w:val="both"/>
      <w:outlineLvl w:val="1"/>
    </w:pPr>
    <w:rPr>
      <w:b/>
    </w:rPr>
  </w:style>
  <w:style w:type="paragraph" w:styleId="Heading3">
    <w:name w:val="Heading 3"/>
    <w:basedOn w:val="Normal"/>
    <w:next w:val="Normal"/>
    <w:link w:val="31"/>
    <w:qFormat/>
    <w:rsid w:val="00e42745"/>
    <w:pPr>
      <w:keepNext w:val="true"/>
      <w:tabs>
        <w:tab w:val="clear" w:pos="720"/>
        <w:tab w:val="left" w:pos="0" w:leader="none"/>
      </w:tabs>
      <w:jc w:val="center"/>
      <w:outlineLvl w:val="2"/>
    </w:pPr>
    <w:rPr>
      <w:b/>
    </w:rPr>
  </w:style>
  <w:style w:type="paragraph" w:styleId="Heading4">
    <w:name w:val="Heading 4"/>
    <w:basedOn w:val="Normal"/>
    <w:next w:val="Normal"/>
    <w:qFormat/>
    <w:rsid w:val="00e42745"/>
    <w:pPr>
      <w:keepNext w:val="true"/>
      <w:numPr>
        <w:ilvl w:val="0"/>
        <w:numId w:val="1"/>
      </w:numPr>
      <w:ind w:left="3119" w:hanging="0"/>
      <w:outlineLvl w:val="3"/>
    </w:pPr>
    <w:rPr>
      <w:b/>
    </w:rPr>
  </w:style>
  <w:style w:type="paragraph" w:styleId="Heading5">
    <w:name w:val="Heading 5"/>
    <w:basedOn w:val="Normal"/>
    <w:next w:val="Normal"/>
    <w:qFormat/>
    <w:rsid w:val="00e42745"/>
    <w:pPr>
      <w:keepNext w:val="true"/>
      <w:numPr>
        <w:ilvl w:val="0"/>
        <w:numId w:val="2"/>
      </w:numPr>
      <w:jc w:val="center"/>
      <w:outlineLvl w:val="4"/>
    </w:pPr>
    <w:rPr>
      <w:b/>
    </w:rPr>
  </w:style>
  <w:style w:type="paragraph" w:styleId="Heading6">
    <w:name w:val="Heading 6"/>
    <w:basedOn w:val="Normal"/>
    <w:next w:val="Normal"/>
    <w:qFormat/>
    <w:rsid w:val="00e42745"/>
    <w:pPr>
      <w:keepNext w:val="true"/>
      <w:jc w:val="center"/>
      <w:outlineLvl w:val="5"/>
    </w:pPr>
    <w:rPr>
      <w:sz w:val="28"/>
    </w:rPr>
  </w:style>
  <w:style w:type="paragraph" w:styleId="Heading7">
    <w:name w:val="Heading 7"/>
    <w:basedOn w:val="Normal"/>
    <w:next w:val="Normal"/>
    <w:qFormat/>
    <w:rsid w:val="00e42745"/>
    <w:pPr>
      <w:keepNext w:val="true"/>
      <w:jc w:val="center"/>
      <w:outlineLvl w:val="6"/>
    </w:pPr>
    <w:rPr>
      <w:bCs/>
      <w:sz w:val="24"/>
    </w:rPr>
  </w:style>
  <w:style w:type="paragraph" w:styleId="Heading8">
    <w:name w:val="Heading 8"/>
    <w:basedOn w:val="Normal"/>
    <w:next w:val="Normal"/>
    <w:qFormat/>
    <w:rsid w:val="00e42745"/>
    <w:pPr>
      <w:keepNext w:val="true"/>
      <w:jc w:val="center"/>
      <w:outlineLvl w:val="7"/>
    </w:pPr>
    <w:rPr>
      <w:b/>
      <w:bCs/>
      <w:sz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e42745"/>
    <w:rPr/>
  </w:style>
  <w:style w:type="character" w:styleId="Style1" w:customStyle="1">
    <w:name w:val="Заголовок Знак"/>
    <w:qFormat/>
    <w:rsid w:val="00ba4a00"/>
    <w:rPr>
      <w:b/>
      <w:bCs/>
      <w:sz w:val="28"/>
      <w:szCs w:val="24"/>
    </w:rPr>
  </w:style>
  <w:style w:type="character" w:styleId="2" w:customStyle="1">
    <w:name w:val="Основной текст с отступом 2 Знак"/>
    <w:link w:val="BodyTextIndent2"/>
    <w:qFormat/>
    <w:rsid w:val="0066561f"/>
    <w:rPr>
      <w:sz w:val="24"/>
    </w:rPr>
  </w:style>
  <w:style w:type="character" w:styleId="Style2" w:customStyle="1">
    <w:name w:val="Текст выноски Знак"/>
    <w:link w:val="BalloonText"/>
    <w:qFormat/>
    <w:rsid w:val="0066561f"/>
    <w:rPr>
      <w:rFonts w:ascii="Tahoma" w:hAnsi="Tahoma" w:cs="Tahoma"/>
      <w:sz w:val="16"/>
      <w:szCs w:val="16"/>
    </w:rPr>
  </w:style>
  <w:style w:type="character" w:styleId="Style3" w:customStyle="1">
    <w:name w:val="Основной текст Знак"/>
    <w:qFormat/>
    <w:rsid w:val="0066561f"/>
    <w:rPr>
      <w:sz w:val="22"/>
    </w:rPr>
  </w:style>
  <w:style w:type="character" w:styleId="3" w:customStyle="1">
    <w:name w:val="Основной текст 3 Знак"/>
    <w:link w:val="BodyText3"/>
    <w:qFormat/>
    <w:rsid w:val="0066561f"/>
    <w:rPr>
      <w:sz w:val="28"/>
    </w:rPr>
  </w:style>
  <w:style w:type="character" w:styleId="Annotationreference">
    <w:name w:val="annotation reference"/>
    <w:qFormat/>
    <w:rsid w:val="0066561f"/>
    <w:rPr>
      <w:sz w:val="16"/>
      <w:szCs w:val="16"/>
    </w:rPr>
  </w:style>
  <w:style w:type="character" w:styleId="Style4" w:customStyle="1">
    <w:name w:val="Текст примечания Знак"/>
    <w:basedOn w:val="DefaultParagraphFont"/>
    <w:link w:val="Annotationtext"/>
    <w:qFormat/>
    <w:rsid w:val="0066561f"/>
    <w:rPr/>
  </w:style>
  <w:style w:type="character" w:styleId="Style5" w:customStyle="1">
    <w:name w:val="Тема примечания Знак"/>
    <w:link w:val="Annotationsubject"/>
    <w:qFormat/>
    <w:rsid w:val="0066561f"/>
    <w:rPr>
      <w:b/>
      <w:bCs/>
    </w:rPr>
  </w:style>
  <w:style w:type="character" w:styleId="31" w:customStyle="1">
    <w:name w:val="Заголовок 3 Знак"/>
    <w:qFormat/>
    <w:rsid w:val="0066561f"/>
    <w:rPr>
      <w:b/>
    </w:rPr>
  </w:style>
  <w:style w:type="character" w:styleId="Style6" w:customStyle="1">
    <w:name w:val="Основной текст с отступом Знак"/>
    <w:qFormat/>
    <w:rsid w:val="0066561f"/>
    <w:rPr>
      <w:sz w:val="22"/>
      <w:shd w:fill="FFFFFF" w:val="clear"/>
    </w:rPr>
  </w:style>
  <w:style w:type="character" w:styleId="Style7" w:customStyle="1">
    <w:name w:val="комментарий"/>
    <w:uiPriority w:val="99"/>
    <w:qFormat/>
    <w:rsid w:val="0066561f"/>
    <w:rPr>
      <w:rFonts w:cs="Times New Roman"/>
      <w:b/>
      <w:bCs/>
      <w:i/>
      <w:iCs/>
      <w:shd w:fill="FFFF99" w:val="clear"/>
    </w:rPr>
  </w:style>
  <w:style w:type="character" w:styleId="Style8" w:customStyle="1">
    <w:name w:val="Текст сноски Знак"/>
    <w:basedOn w:val="DefaultParagraphFont"/>
    <w:uiPriority w:val="99"/>
    <w:qFormat/>
    <w:rsid w:val="0066561f"/>
    <w:rPr/>
  </w:style>
  <w:style w:type="character" w:styleId="Style9" w:customStyle="1">
    <w:name w:val="Символ сноски"/>
    <w:uiPriority w:val="99"/>
    <w:qFormat/>
    <w:rsid w:val="0066561f"/>
    <w:rPr>
      <w:vertAlign w:val="superscript"/>
    </w:rPr>
  </w:style>
  <w:style w:type="character" w:styleId="FootnoteReference">
    <w:name w:val="Footnote Reference"/>
    <w:rPr>
      <w:vertAlign w:val="superscript"/>
    </w:rPr>
  </w:style>
  <w:style w:type="character" w:styleId="Style10" w:customStyle="1">
    <w:name w:val="Схема документа Знак"/>
    <w:link w:val="DocumentMap"/>
    <w:qFormat/>
    <w:rsid w:val="0066561f"/>
    <w:rPr>
      <w:rFonts w:ascii="Tahoma" w:hAnsi="Tahoma" w:cs="Tahoma"/>
      <w:shd w:fill="000080" w:val="clear"/>
    </w:rPr>
  </w:style>
  <w:style w:type="character" w:styleId="Style11" w:customStyle="1">
    <w:name w:val="Верхний колонтитул Знак"/>
    <w:basedOn w:val="DefaultParagraphFont"/>
    <w:qFormat/>
    <w:rsid w:val="0066561f"/>
    <w:rPr/>
  </w:style>
  <w:style w:type="character" w:styleId="Hyperlink">
    <w:name w:val="Hyperlink"/>
    <w:basedOn w:val="DefaultParagraphFont"/>
    <w:uiPriority w:val="99"/>
    <w:unhideWhenUsed/>
    <w:rsid w:val="0066722e"/>
    <w:rPr>
      <w:color w:val="0000FF" w:themeColor="hyperlink"/>
      <w:u w:val="single"/>
    </w:rPr>
  </w:style>
  <w:style w:type="character" w:styleId="Style12" w:customStyle="1">
    <w:name w:val="Абзац списка Знак"/>
    <w:link w:val="ListParagraph"/>
    <w:uiPriority w:val="34"/>
    <w:qFormat/>
    <w:locked/>
    <w:rsid w:val="00b11d27"/>
    <w:rPr/>
  </w:style>
  <w:style w:type="character" w:styleId="1" w:customStyle="1">
    <w:name w:val="1. Статья Знак"/>
    <w:link w:val="12"/>
    <w:qFormat/>
    <w:rsid w:val="00b11d27"/>
    <w:rPr>
      <w:sz w:val="24"/>
      <w:szCs w:val="24"/>
      <w:lang w:val="x-none" w:eastAsia="x-none"/>
    </w:rPr>
  </w:style>
  <w:style w:type="character" w:styleId="Style13" w:customStyle="1">
    <w:name w:val="Символ концевой сноски"/>
    <w:qFormat/>
    <w:rPr>
      <w:vertAlign w:val="superscript"/>
    </w:rPr>
  </w:style>
  <w:style w:type="character" w:styleId="EndnoteReference">
    <w:name w:val="Endnote Reference"/>
    <w:rPr>
      <w:vertAlign w:val="superscript"/>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3"/>
    <w:rsid w:val="00e42745"/>
    <w:pPr>
      <w:jc w:val="both"/>
    </w:pPr>
    <w:rPr>
      <w:sz w:val="22"/>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5">
    <w:name w:val="Указатель"/>
    <w:basedOn w:val="Normal"/>
    <w:qFormat/>
    <w:pPr>
      <w:suppressLineNumbers/>
    </w:pPr>
    <w:rPr/>
  </w:style>
  <w:style w:type="paragraph" w:styleId="Title">
    <w:name w:val="Title"/>
    <w:basedOn w:val="Normal"/>
    <w:next w:val="BodyText"/>
    <w:link w:val="Style1"/>
    <w:qFormat/>
    <w:rsid w:val="00e42745"/>
    <w:pPr>
      <w:jc w:val="center"/>
    </w:pPr>
    <w:rPr>
      <w:b/>
      <w:bCs/>
      <w:sz w:val="28"/>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i/>
      <w:iCs/>
      <w:sz w:val="24"/>
      <w:szCs w:val="24"/>
    </w:rPr>
  </w:style>
  <w:style w:type="paragraph" w:styleId="NormalWeb">
    <w:name w:val="Normal (Web)"/>
    <w:basedOn w:val="Normal"/>
    <w:qFormat/>
    <w:rsid w:val="00e42745"/>
    <w:pPr>
      <w:spacing w:beforeAutospacing="1" w:afterAutospacing="1"/>
      <w:ind w:right="150" w:hanging="0"/>
    </w:pPr>
    <w:rPr>
      <w:rFonts w:ascii="Tahoma" w:hAnsi="Tahoma" w:cs="Tahoma"/>
      <w:color w:val="000000"/>
    </w:rPr>
  </w:style>
  <w:style w:type="paragraph" w:styleId="BodyText2">
    <w:name w:val="Body Text 2"/>
    <w:basedOn w:val="Normal"/>
    <w:qFormat/>
    <w:rsid w:val="00e42745"/>
    <w:pPr>
      <w:jc w:val="both"/>
    </w:pPr>
    <w:rPr/>
  </w:style>
  <w:style w:type="paragraph" w:styleId="Style16" w:customStyle="1">
    <w:name w:val="Колонтитул"/>
    <w:basedOn w:val="Normal"/>
    <w:qFormat/>
    <w:pPr/>
    <w:rPr/>
  </w:style>
  <w:style w:type="paragraph" w:styleId="Footer">
    <w:name w:val="Footer"/>
    <w:basedOn w:val="Normal"/>
    <w:rsid w:val="00e42745"/>
    <w:pPr>
      <w:tabs>
        <w:tab w:val="clear" w:pos="720"/>
        <w:tab w:val="center" w:pos="4677" w:leader="none"/>
        <w:tab w:val="right" w:pos="9355" w:leader="none"/>
      </w:tabs>
    </w:pPr>
    <w:rPr/>
  </w:style>
  <w:style w:type="paragraph" w:styleId="11" w:customStyle="1">
    <w:name w:val="Текст1"/>
    <w:basedOn w:val="Normal"/>
    <w:qFormat/>
    <w:rsid w:val="00e42745"/>
    <w:pPr>
      <w:spacing w:before="0" w:after="120"/>
      <w:jc w:val="both"/>
    </w:pPr>
    <w:rPr>
      <w:rFonts w:ascii="Courier New" w:hAnsi="Courier New"/>
      <w:sz w:val="22"/>
      <w:lang w:eastAsia="en-US"/>
    </w:rPr>
  </w:style>
  <w:style w:type="paragraph" w:styleId="BodyText3">
    <w:name w:val="Body Text 3"/>
    <w:basedOn w:val="Normal"/>
    <w:link w:val="3"/>
    <w:qFormat/>
    <w:rsid w:val="00e42745"/>
    <w:pPr>
      <w:jc w:val="both"/>
    </w:pPr>
    <w:rPr>
      <w:sz w:val="28"/>
    </w:rPr>
  </w:style>
  <w:style w:type="paragraph" w:styleId="BodyTextIndent">
    <w:name w:val="Body Text Indent"/>
    <w:basedOn w:val="Normal"/>
    <w:link w:val="Style6"/>
    <w:rsid w:val="00e42745"/>
    <w:pPr>
      <w:widowControl w:val="false"/>
      <w:shd w:val="clear" w:color="auto" w:fill="FFFFFF"/>
      <w:ind w:firstLine="567"/>
      <w:jc w:val="both"/>
    </w:pPr>
    <w:rPr>
      <w:sz w:val="22"/>
    </w:rPr>
  </w:style>
  <w:style w:type="paragraph" w:styleId="BodyTextIndent3">
    <w:name w:val="Body Text Indent 3"/>
    <w:basedOn w:val="Normal"/>
    <w:qFormat/>
    <w:rsid w:val="00e42745"/>
    <w:pPr>
      <w:shd w:val="clear" w:color="auto" w:fill="FFFFFF"/>
      <w:ind w:firstLine="567"/>
      <w:jc w:val="both"/>
    </w:pPr>
    <w:rPr>
      <w:sz w:val="28"/>
      <w:szCs w:val="24"/>
    </w:rPr>
  </w:style>
  <w:style w:type="paragraph" w:styleId="Style17" w:customStyle="1">
    <w:name w:val="Таблицы (моноширинный)"/>
    <w:basedOn w:val="Normal"/>
    <w:next w:val="Normal"/>
    <w:qFormat/>
    <w:rsid w:val="0066561f"/>
    <w:pPr>
      <w:widowControl w:val="false"/>
      <w:jc w:val="both"/>
    </w:pPr>
    <w:rPr>
      <w:rFonts w:ascii="Courier New" w:hAnsi="Courier New" w:cs="Courier New"/>
    </w:rPr>
  </w:style>
  <w:style w:type="paragraph" w:styleId="BodyTextIndent2">
    <w:name w:val="Body Text Indent 2"/>
    <w:basedOn w:val="Normal"/>
    <w:link w:val="2"/>
    <w:qFormat/>
    <w:rsid w:val="0066561f"/>
    <w:pPr>
      <w:widowControl w:val="false"/>
      <w:ind w:left="1843" w:hanging="0"/>
      <w:jc w:val="both"/>
    </w:pPr>
    <w:rPr>
      <w:sz w:val="24"/>
    </w:rPr>
  </w:style>
  <w:style w:type="paragraph" w:styleId="BalloonText">
    <w:name w:val="Balloon Text"/>
    <w:basedOn w:val="Normal"/>
    <w:link w:val="Style2"/>
    <w:qFormat/>
    <w:rsid w:val="0066561f"/>
    <w:pPr>
      <w:widowControl w:val="false"/>
    </w:pPr>
    <w:rPr>
      <w:rFonts w:ascii="Tahoma" w:hAnsi="Tahoma" w:cs="Tahoma"/>
      <w:sz w:val="16"/>
      <w:szCs w:val="16"/>
    </w:rPr>
  </w:style>
  <w:style w:type="paragraph" w:styleId="Annotationtext">
    <w:name w:val="annotation text"/>
    <w:basedOn w:val="Normal"/>
    <w:link w:val="Style4"/>
    <w:qFormat/>
    <w:rsid w:val="0066561f"/>
    <w:pPr>
      <w:widowControl w:val="false"/>
    </w:pPr>
    <w:rPr/>
  </w:style>
  <w:style w:type="paragraph" w:styleId="Annotationsubject">
    <w:name w:val="annotation subject"/>
    <w:basedOn w:val="Annotationtext"/>
    <w:next w:val="Annotationtext"/>
    <w:link w:val="Style5"/>
    <w:qFormat/>
    <w:rsid w:val="0066561f"/>
    <w:pPr/>
    <w:rPr>
      <w:b/>
      <w:bCs/>
    </w:rPr>
  </w:style>
  <w:style w:type="paragraph" w:styleId="ListParagraph">
    <w:name w:val="List Paragraph"/>
    <w:basedOn w:val="Normal"/>
    <w:link w:val="Style12"/>
    <w:uiPriority w:val="34"/>
    <w:qFormat/>
    <w:rsid w:val="0066561f"/>
    <w:pPr>
      <w:widowControl w:val="false"/>
      <w:spacing w:before="0" w:after="0"/>
      <w:ind w:left="720" w:hanging="0"/>
      <w:contextualSpacing/>
    </w:pPr>
    <w:rPr/>
  </w:style>
  <w:style w:type="paragraph" w:styleId="Style18" w:customStyle="1">
    <w:name w:val="Знак Знак Знак Знак Знак Знак Знак Знак Знак"/>
    <w:basedOn w:val="Normal"/>
    <w:uiPriority w:val="99"/>
    <w:qFormat/>
    <w:rsid w:val="0066561f"/>
    <w:pPr>
      <w:spacing w:lineRule="exact" w:line="240" w:before="0" w:after="160"/>
      <w:jc w:val="both"/>
    </w:pPr>
    <w:rPr>
      <w:rFonts w:ascii="Verdana" w:hAnsi="Verdana"/>
      <w:sz w:val="22"/>
      <w:lang w:val="en-US" w:eastAsia="en-US"/>
    </w:rPr>
  </w:style>
  <w:style w:type="paragraph" w:styleId="Style19" w:customStyle="1">
    <w:name w:val="Подпункт договора"/>
    <w:basedOn w:val="Normal"/>
    <w:qFormat/>
    <w:rsid w:val="0066561f"/>
    <w:pPr>
      <w:tabs>
        <w:tab w:val="clear" w:pos="720"/>
        <w:tab w:val="left" w:pos="360" w:leader="none"/>
      </w:tabs>
      <w:jc w:val="both"/>
    </w:pPr>
    <w:rPr>
      <w:rFonts w:ascii="Arial" w:hAnsi="Arial"/>
    </w:rPr>
  </w:style>
  <w:style w:type="paragraph" w:styleId="ConsNormal" w:customStyle="1">
    <w:name w:val="ConsNormal"/>
    <w:qFormat/>
    <w:rsid w:val="0066561f"/>
    <w:pPr>
      <w:widowControl/>
      <w:suppressAutoHyphens w:val="true"/>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Style20" w:customStyle="1">
    <w:name w:val="Знак"/>
    <w:basedOn w:val="Normal"/>
    <w:qFormat/>
    <w:rsid w:val="0066561f"/>
    <w:pPr>
      <w:spacing w:lineRule="exact" w:line="240" w:before="0" w:after="160"/>
    </w:pPr>
    <w:rPr>
      <w:rFonts w:ascii="Verdana" w:hAnsi="Verdana" w:cs="Verdana"/>
      <w:lang w:val="en-US" w:eastAsia="en-US"/>
    </w:rPr>
  </w:style>
  <w:style w:type="paragraph" w:styleId="FootnoteText">
    <w:name w:val="Footnote Text"/>
    <w:basedOn w:val="Normal"/>
    <w:link w:val="Style8"/>
    <w:uiPriority w:val="99"/>
    <w:rsid w:val="0066561f"/>
    <w:pPr>
      <w:widowControl w:val="false"/>
    </w:pPr>
    <w:rPr/>
  </w:style>
  <w:style w:type="paragraph" w:styleId="ListBullet3">
    <w:name w:val="List Bullet 3"/>
    <w:basedOn w:val="Normal"/>
    <w:uiPriority w:val="99"/>
    <w:unhideWhenUsed/>
    <w:qFormat/>
    <w:rsid w:val="0066561f"/>
    <w:pPr>
      <w:tabs>
        <w:tab w:val="clear" w:pos="720"/>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66561f"/>
    <w:pPr>
      <w:tabs>
        <w:tab w:val="clear" w:pos="720"/>
        <w:tab w:val="left" w:pos="851" w:leader="none"/>
      </w:tabs>
      <w:spacing w:lineRule="auto" w:line="360"/>
      <w:ind w:left="851" w:hanging="851"/>
      <w:jc w:val="both"/>
    </w:pPr>
    <w:rPr>
      <w:rFonts w:eastAsia="Calibri"/>
      <w:sz w:val="28"/>
      <w:szCs w:val="28"/>
    </w:rPr>
  </w:style>
  <w:style w:type="paragraph" w:styleId="DocumentMap">
    <w:name w:val="Document Map"/>
    <w:basedOn w:val="Normal"/>
    <w:link w:val="Style10"/>
    <w:qFormat/>
    <w:rsid w:val="0066561f"/>
    <w:pPr>
      <w:widowControl w:val="false"/>
      <w:shd w:val="clear" w:color="auto" w:fill="000080"/>
    </w:pPr>
    <w:rPr>
      <w:rFonts w:ascii="Tahoma" w:hAnsi="Tahoma" w:cs="Tahoma"/>
    </w:rPr>
  </w:style>
  <w:style w:type="paragraph" w:styleId="Revision">
    <w:name w:val="Revision"/>
    <w:uiPriority w:val="99"/>
    <w:semiHidden/>
    <w:qFormat/>
    <w:rsid w:val="0066561f"/>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1"/>
    <w:rsid w:val="0066561f"/>
    <w:pPr>
      <w:widowControl w:val="false"/>
      <w:tabs>
        <w:tab w:val="clear" w:pos="720"/>
        <w:tab w:val="center" w:pos="4677" w:leader="none"/>
        <w:tab w:val="right" w:pos="9355" w:leader="none"/>
      </w:tabs>
    </w:pPr>
    <w:rPr/>
  </w:style>
  <w:style w:type="paragraph" w:styleId="12" w:customStyle="1">
    <w:name w:val="1. Статья"/>
    <w:basedOn w:val="Heading3"/>
    <w:link w:val="1"/>
    <w:qFormat/>
    <w:rsid w:val="00b11d27"/>
    <w:pPr>
      <w:keepNext w:val="false"/>
      <w:widowControl w:val="false"/>
      <w:numPr>
        <w:ilvl w:val="0"/>
        <w:numId w:val="10"/>
      </w:numPr>
      <w:tabs>
        <w:tab w:val="left" w:pos="0" w:leader="none"/>
        <w:tab w:val="left" w:pos="2340" w:leader="none"/>
      </w:tabs>
      <w:ind w:right="1462" w:hanging="0"/>
      <w:textAlignment w:val="baseline"/>
    </w:pPr>
    <w:rPr>
      <w:b w:val="false"/>
      <w:sz w:val="24"/>
      <w:szCs w:val="24"/>
      <w:lang w:val="x-none" w:eastAsia="x-none"/>
    </w:rPr>
  </w:style>
  <w:style w:type="paragraph" w:styleId="21" w:customStyle="1">
    <w:name w:val="2. Пункт"/>
    <w:basedOn w:val="Heading3"/>
    <w:qFormat/>
    <w:rsid w:val="00b11d27"/>
    <w:pPr>
      <w:keepNext w:val="false"/>
      <w:widowControl w:val="false"/>
      <w:numPr>
        <w:ilvl w:val="1"/>
        <w:numId w:val="10"/>
      </w:numPr>
      <w:jc w:val="both"/>
      <w:textAlignment w:val="baseline"/>
    </w:pPr>
    <w:rPr>
      <w:b w:val="false"/>
      <w:sz w:val="24"/>
      <w:szCs w:val="24"/>
      <w:lang w:val="x-none" w:eastAsia="x-none"/>
    </w:rPr>
  </w:style>
  <w:style w:type="paragraph" w:styleId="32" w:customStyle="1">
    <w:name w:val="3. Подпункт"/>
    <w:basedOn w:val="Heading3"/>
    <w:qFormat/>
    <w:rsid w:val="00b11d27"/>
    <w:pPr>
      <w:keepNext w:val="false"/>
      <w:widowControl w:val="false"/>
      <w:numPr>
        <w:ilvl w:val="2"/>
        <w:numId w:val="10"/>
      </w:numPr>
      <w:tabs>
        <w:tab w:val="left" w:pos="0" w:leader="none"/>
        <w:tab w:val="left" w:pos="1620" w:leader="none"/>
      </w:tabs>
      <w:jc w:val="both"/>
      <w:textAlignment w:val="baseline"/>
    </w:pPr>
    <w:rPr>
      <w:bCs/>
      <w:sz w:val="24"/>
      <w:szCs w:val="24"/>
      <w:lang w:val="x-none" w:eastAsia="x-none"/>
    </w:rPr>
  </w:style>
  <w:style w:type="paragraph" w:styleId="Style21" w:customStyle="1">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6656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onsultant.ru/document/cons_doc_LAW_371981/" TargetMode="External"/><Relationship Id="rId3" Type="http://schemas.openxmlformats.org/officeDocument/2006/relationships/hyperlink" Target="https://www.consultant.ru/document/cons_doc_LAW_371981/" TargetMode="External"/><Relationship Id="rId4" Type="http://schemas.openxmlformats.org/officeDocument/2006/relationships/hyperlink" Target="https://www.consultant.ru/document/cons_doc_LAW_371981/" TargetMode="External"/><Relationship Id="rId5" Type="http://schemas.openxmlformats.org/officeDocument/2006/relationships/hyperlink" Target="https://www.consultant.ru/document/cons_doc_LAW_371981/" TargetMode="External"/><Relationship Id="rId6" Type="http://schemas.openxmlformats.org/officeDocument/2006/relationships/hyperlink" Target="https://www.consultant.ru/document/cons_doc_LAW_371981/" TargetMode="External"/><Relationship Id="rId7" Type="http://schemas.openxmlformats.org/officeDocument/2006/relationships/hyperlink" Target="https://www.consultant.ru/document/cons_doc_LAW_371981/" TargetMode="External"/><Relationship Id="rId8" Type="http://schemas.openxmlformats.org/officeDocument/2006/relationships/hyperlink" Target="https://www.consultant.ru/document/cons_doc_LAW_371981/" TargetMode="External"/><Relationship Id="rId9" Type="http://schemas.openxmlformats.org/officeDocument/2006/relationships/hyperlink" Target="https://www.consultant.ru/document/cons_doc_LAW_371981/" TargetMode="External"/><Relationship Id="rId10" Type="http://schemas.openxmlformats.org/officeDocument/2006/relationships/hyperlink" Target="https://www.consultant.ru/document/cons_doc_LAW_371981/" TargetMode="External"/><Relationship Id="rId11" Type="http://schemas.openxmlformats.org/officeDocument/2006/relationships/hyperlink" Target="consultantplus://offline/ref=94D5CE8889791A29DE57299515463A9D6134D8237B999C803E6F853513x2A2P" TargetMode="External"/><Relationship Id="rId12" Type="http://schemas.openxmlformats.org/officeDocument/2006/relationships/hyperlink" Target="consultantplus://offline/ref=94D5CE8889791A29DE57299515463A9D6135D2287D929C803E6F853513x2A2P" TargetMode="External"/><Relationship Id="rId13" Type="http://schemas.openxmlformats.org/officeDocument/2006/relationships/hyperlink" Target="consultantplus://offline/ref=79440D5123ABA6A25F43346AB59DBAAC7032C8E1556DA64FAED62E167F76889C2B7C475C32EFC59BJ8rDH"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footer" Target="footer3.xml"/><Relationship Id="rId18" Type="http://schemas.openxmlformats.org/officeDocument/2006/relationships/header" Target="header2.xml"/><Relationship Id="rId19" Type="http://schemas.openxmlformats.org/officeDocument/2006/relationships/header" Target="header3.xml"/><Relationship Id="rId20" Type="http://schemas.openxmlformats.org/officeDocument/2006/relationships/footer" Target="footer4.xml"/><Relationship Id="rId21" Type="http://schemas.openxmlformats.org/officeDocument/2006/relationships/footer" Target="footer5.xml"/><Relationship Id="rId22" Type="http://schemas.openxmlformats.org/officeDocument/2006/relationships/footer" Target="footer6.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Relationship Id="rId2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E9565C-5ADE-4953-B74F-1606EF353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Application>AlterOffice/3.4.0.9$Linux_X86_64 LibreOffice_project/b8daf9e823b1a5463a2f48435ddc2e8696e7d4fc</Application>
  <AppVersion>15.0000</AppVersion>
  <DocSecurity>4</DocSecurity>
  <Pages>19</Pages>
  <Words>6722</Words>
  <Characters>48156</Characters>
  <CharactersWithSpaces>54437</CharactersWithSpaces>
  <Paragraphs>346</Paragraphs>
  <Company>ООО "Райдэн"</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2026-07-21T08:26:00Z</dcterms:created>
  <dc:creator>Света &amp; Алла (Twix)</dc:creator>
  <dc:description/>
  <dc:language>ru-RU</dc:language>
  <cp:lastModifiedBy>savilovoa@corp.gidroogk.com</cp:lastModifiedBy>
  <cp:lastPrinted>2017-11-07T14:48:00Z</cp:lastPrinted>
  <dcterms:modified xsi:type="dcterms:W3CDTF">2026-10-06T16:56:23Z</dcterms:modified>
  <cp:revision>3</cp:revision>
  <dc:subject/>
  <dc:title>ДОГОВОР ПОСТАВКИ</dc:title>
</cp:coreProperties>
</file>

<file path=docProps/custom.xml><?xml version="1.0" encoding="utf-8"?>
<Properties xmlns="http://schemas.openxmlformats.org/officeDocument/2006/custom-properties" xmlns:vt="http://schemas.openxmlformats.org/officeDocument/2006/docPropsVTypes"/>
</file>