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0" w:after="40"/>
        <w:jc w:val="right"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ОКПД2: </w:t>
      </w:r>
      <w:r>
        <w:rPr>
          <w:rFonts w:eastAsia="Calibri"/>
          <w:bCs/>
          <w:sz w:val="26"/>
          <w:szCs w:val="26"/>
        </w:rPr>
        <w:t>28.92.62.000</w:t>
      </w:r>
      <w:r>
        <w:rPr>
          <w:rFonts w:eastAsia="Calibri"/>
          <w:b/>
          <w:bCs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Поставка гидромолотов для экскаваторов-погрузчиков </w:t>
      </w:r>
      <w:r>
        <w:rPr>
          <w:rFonts w:eastAsia="Calibri"/>
          <w:sz w:val="26"/>
          <w:szCs w:val="26"/>
          <w:lang w:val="en-US"/>
        </w:rPr>
        <w:t>JCB</w:t>
      </w:r>
      <w:r>
        <w:rPr>
          <w:rFonts w:eastAsia="Calibri"/>
          <w:sz w:val="26"/>
          <w:szCs w:val="26"/>
        </w:rPr>
        <w:t xml:space="preserve"> 3 </w:t>
      </w:r>
      <w:r>
        <w:rPr>
          <w:rFonts w:eastAsia="Calibri"/>
          <w:sz w:val="26"/>
          <w:szCs w:val="26"/>
          <w:lang w:val="en-US"/>
        </w:rPr>
        <w:t>CX</w:t>
      </w:r>
      <w:r>
        <w:rPr>
          <w:rFonts w:eastAsia="Calibri"/>
          <w:sz w:val="26"/>
          <w:szCs w:val="26"/>
        </w:rPr>
        <w:t xml:space="preserve"> для нужд АО "ТК РусГидро"</w:t>
      </w:r>
    </w:p>
    <w:p>
      <w:pPr>
        <w:pStyle w:val="Normal"/>
        <w:keepNext w:val="true"/>
        <w:keepLines/>
        <w:jc w:val="center"/>
        <w:rPr>
          <w:b w:val="false"/>
          <w:bCs w:val="false"/>
        </w:rPr>
      </w:pPr>
      <w:r>
        <w:rPr>
          <w:rFonts w:eastAsia="Calibri"/>
          <w:b w:val="false"/>
          <w:bCs w:val="false"/>
          <w:sz w:val="26"/>
          <w:szCs w:val="26"/>
        </w:rPr>
        <w:t xml:space="preserve">Лот № </w:t>
      </w:r>
      <w:r>
        <w:rPr>
          <w:rFonts w:eastAsia="Calibri"/>
          <w:b w:val="false"/>
          <w:bCs w:val="false"/>
          <w:i w:val="false"/>
          <w:iCs w:val="false"/>
          <w:sz w:val="26"/>
          <w:szCs w:val="26"/>
        </w:rPr>
        <w:t>2073-ТПИР ОНМ 2027-ТК-КФ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75446566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7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8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69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_Toc75446569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2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3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4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5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7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7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75446581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75446583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10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Heading2"/>
        <w:numPr>
          <w:ilvl w:val="0"/>
          <w:numId w:val="0"/>
        </w:numPr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tabs>
          <w:tab w:val="clear" w:pos="708"/>
          <w:tab w:val="left" w:pos="4170" w:leader="none"/>
          <w:tab w:val="center" w:pos="4960" w:leader="none"/>
        </w:tabs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tab/>
      </w:r>
      <w:bookmarkStart w:id="0" w:name="_GoBack"/>
      <w:bookmarkEnd w:id="0"/>
      <w:r>
        <w:rPr>
          <w:rFonts w:eastAsia="Calibri"/>
          <w:b/>
          <w:i/>
          <w:sz w:val="24"/>
          <w:szCs w:val="24"/>
        </w:rPr>
        <w:tab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1" w:name="_Toc75446566"/>
      <w:bookmarkStart w:id="2" w:name="_Toc51339692"/>
      <w:r>
        <w:rPr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Toc46743505"/>
      <w:bookmarkStart w:id="4" w:name="_Toc75446567"/>
      <w:r>
        <w:rPr/>
        <w:t>Обозначения и сокращения</w:t>
      </w:r>
      <w:bookmarkEnd w:id="3"/>
      <w:bookmarkEnd w:id="4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5" w:name="_Toc75446568"/>
      <w:bookmarkStart w:id="6" w:name="_Toc46743506"/>
      <w:r>
        <w:rPr/>
        <w:t>Наименование закупаемой продукции</w:t>
      </w:r>
      <w:bookmarkEnd w:id="5"/>
      <w:bookmarkEnd w:id="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rFonts w:eastAsia="Calibri"/>
          <w:sz w:val="26"/>
          <w:szCs w:val="26"/>
        </w:rPr>
        <w:t xml:space="preserve">Поставка гидромолотов для экскаваторов-погрузчиков </w:t>
      </w:r>
      <w:r>
        <w:rPr>
          <w:rFonts w:eastAsia="Calibri"/>
          <w:sz w:val="26"/>
          <w:szCs w:val="26"/>
          <w:lang w:val="en-US"/>
        </w:rPr>
        <w:t>JCB</w:t>
      </w:r>
      <w:r>
        <w:rPr>
          <w:rFonts w:eastAsia="Calibri"/>
          <w:sz w:val="26"/>
          <w:szCs w:val="26"/>
        </w:rPr>
        <w:t xml:space="preserve"> 3 </w:t>
      </w:r>
      <w:r>
        <w:rPr>
          <w:rFonts w:eastAsia="Calibri"/>
          <w:sz w:val="26"/>
          <w:szCs w:val="26"/>
          <w:lang w:val="en-US"/>
        </w:rPr>
        <w:t>CX</w:t>
      </w:r>
      <w:r>
        <w:rPr>
          <w:rFonts w:eastAsia="Calibri"/>
          <w:sz w:val="26"/>
          <w:szCs w:val="26"/>
        </w:rPr>
        <w:t xml:space="preserve"> для нужд АО "ТК РусГидро".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7" w:name="_Toc75446569"/>
      <w:bookmarkStart w:id="8" w:name="_Toc46743507"/>
      <w:r>
        <w:rPr/>
        <w:t xml:space="preserve">Цель </w:t>
      </w:r>
      <w:bookmarkEnd w:id="8"/>
      <w:r>
        <w:rPr>
          <w:lang w:val="ru-RU"/>
        </w:rPr>
        <w:t>использования закупаемой продукции</w:t>
      </w:r>
      <w:bookmarkEnd w:id="7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>Обеспечение дополнительным оборудованием экскаваторов-погрузчиков АО «ТК РусГидро».</w:t>
      </w:r>
    </w:p>
    <w:p>
      <w:pPr>
        <w:pStyle w:val="Heading4"/>
        <w:numPr>
          <w:ilvl w:val="1"/>
          <w:numId w:val="3"/>
        </w:numPr>
        <w:rPr/>
      </w:pPr>
      <w:bookmarkStart w:id="9" w:name="_Toc75446572"/>
      <w:bookmarkStart w:id="10" w:name="_Toc50125126"/>
      <w:bookmarkEnd w:id="10"/>
      <w:r>
        <w:rPr/>
        <w:t>Иные требования и сведения общего характера</w:t>
      </w:r>
      <w:bookmarkEnd w:id="9"/>
    </w:p>
    <w:p>
      <w:pPr>
        <w:pStyle w:val="Heading4"/>
        <w:numPr>
          <w:ilvl w:val="2"/>
          <w:numId w:val="9"/>
        </w:numPr>
        <w:jc w:val="both"/>
        <w:rPr>
          <w:rFonts w:eastAsia="Times New Roman"/>
          <w:b w:val="false"/>
          <w:bCs w:val="false"/>
          <w:lang w:val="ru-RU" w:eastAsia="ru-RU"/>
        </w:rPr>
      </w:pPr>
      <w:r>
        <w:rPr>
          <w:rFonts w:eastAsia="Times New Roman"/>
          <w:b w:val="false"/>
          <w:bCs w:val="false"/>
          <w:lang w:val="ru-RU" w:eastAsia="ru-RU"/>
        </w:rPr>
        <w:t>Продукция должна быть новой, не ранее 2025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</w:p>
    <w:p>
      <w:pPr>
        <w:pStyle w:val="Heading4"/>
        <w:numPr>
          <w:ilvl w:val="2"/>
          <w:numId w:val="9"/>
        </w:numPr>
        <w:jc w:val="both"/>
        <w:rPr>
          <w:rFonts w:eastAsia="Times New Roman"/>
          <w:b w:val="false"/>
          <w:bCs w:val="false"/>
          <w:lang w:val="ru-RU" w:eastAsia="ru-RU"/>
        </w:rPr>
      </w:pPr>
      <w:r>
        <w:rPr>
          <w:rFonts w:eastAsia="Times New Roman"/>
          <w:b w:val="false"/>
          <w:bCs w:val="false"/>
          <w:lang w:val="ru-RU" w:eastAsia="ru-RU"/>
        </w:rPr>
        <w:t>На продукцию устанавливается гарантийный срок не менее 12 месяцев со дня продажи.</w:t>
      </w:r>
    </w:p>
    <w:p>
      <w:pPr>
        <w:pStyle w:val="Heading4"/>
        <w:numPr>
          <w:ilvl w:val="2"/>
          <w:numId w:val="9"/>
        </w:numPr>
        <w:jc w:val="both"/>
        <w:rPr>
          <w:rFonts w:eastAsia="Times New Roman"/>
          <w:b w:val="false"/>
          <w:bCs w:val="false"/>
          <w:lang w:val="ru-RU" w:eastAsia="ru-RU"/>
        </w:rPr>
      </w:pPr>
      <w:r>
        <w:rPr>
          <w:rFonts w:eastAsia="Times New Roman"/>
          <w:b w:val="false"/>
          <w:bCs w:val="false"/>
          <w:lang w:val="ru-RU" w:eastAsia="ru-RU"/>
        </w:rPr>
        <w:t xml:space="preserve"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 </w:t>
      </w:r>
    </w:p>
    <w:p>
      <w:pPr>
        <w:pStyle w:val="Heading4"/>
        <w:numPr>
          <w:ilvl w:val="2"/>
          <w:numId w:val="9"/>
        </w:numPr>
        <w:jc w:val="both"/>
        <w:rPr>
          <w:rFonts w:eastAsia="Times New Roman"/>
          <w:b w:val="false"/>
          <w:bCs w:val="false"/>
          <w:lang w:val="ru-RU" w:eastAsia="ru-RU"/>
        </w:rPr>
      </w:pPr>
      <w:r>
        <w:rPr>
          <w:rFonts w:eastAsia="Times New Roman"/>
          <w:b w:val="false"/>
          <w:bCs w:val="false"/>
          <w:lang w:val="ru-RU" w:eastAsia="ru-RU"/>
        </w:rPr>
        <w:t>Технические характеристики предлагаемых эквивалентов не должны быть ниже, чем у указанных Покупателем в настоящих Технических требованиях.</w:t>
      </w:r>
    </w:p>
    <w:p>
      <w:pPr>
        <w:pStyle w:val="Heading4"/>
        <w:numPr>
          <w:ilvl w:val="2"/>
          <w:numId w:val="9"/>
        </w:numPr>
        <w:jc w:val="both"/>
        <w:rPr>
          <w:rFonts w:eastAsia="Times New Roman"/>
          <w:b w:val="false"/>
          <w:bCs w:val="false"/>
          <w:lang w:val="ru-RU" w:eastAsia="ru-RU"/>
        </w:rPr>
      </w:pPr>
      <w:r>
        <w:rPr>
          <w:rFonts w:eastAsia="Times New Roman"/>
          <w:b w:val="false"/>
          <w:bCs w:val="false"/>
          <w:lang w:val="ru-RU" w:eastAsia="ru-RU"/>
        </w:rPr>
        <w:t>Поставляемая продукция должна соответствовать требованиям государственных стандартов (технических регламентов), технических условий и других нормативно-технических документов, предъявляемых к данному виду продукции.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b w:val="false"/>
          <w:bCs/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11" w:name="_Toc51339693"/>
      <w:bookmarkStart w:id="12" w:name="_Toc75446573"/>
      <w:r>
        <w:rPr>
          <w:iCs/>
        </w:rPr>
        <w:t>Требования к продукции</w:t>
      </w:r>
      <w:bookmarkEnd w:id="11"/>
      <w:bookmarkEnd w:id="12"/>
    </w:p>
    <w:p>
      <w:pPr>
        <w:pStyle w:val="Heading4"/>
        <w:numPr>
          <w:ilvl w:val="1"/>
          <w:numId w:val="3"/>
        </w:numPr>
        <w:rPr/>
      </w:pPr>
      <w:bookmarkStart w:id="13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3"/>
    </w:p>
    <w:p>
      <w:pPr>
        <w:pStyle w:val="Heading3"/>
        <w:numPr>
          <w:ilvl w:val="2"/>
          <w:numId w:val="3"/>
        </w:numPr>
        <w:rPr/>
      </w:pPr>
      <w:bookmarkStart w:id="14" w:name="_Toc75446575"/>
      <w:r>
        <w:rPr>
          <w:lang w:val="ru-RU"/>
        </w:rPr>
        <w:t>Перечень и объем закупаемой продукции</w:t>
      </w:r>
      <w:bookmarkEnd w:id="1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5" w:name="_Toc75446576"/>
      <w:bookmarkStart w:id="1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6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7"/>
        <w:gridCol w:w="6128"/>
        <w:gridCol w:w="1419"/>
        <w:gridCol w:w="1417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Гидромолот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Toc75446578"/>
      <w:bookmarkStart w:id="18" w:name="_Toc51339696"/>
      <w:r>
        <w:rPr>
          <w:lang w:val="ru-RU"/>
        </w:rPr>
        <w:t xml:space="preserve">Требования </w:t>
      </w:r>
      <w:bookmarkEnd w:id="18"/>
      <w:r>
        <w:rPr>
          <w:lang w:val="ru-RU"/>
        </w:rPr>
        <w:t>к срокам поставки продукции и оказания сопутствующих услуг</w:t>
      </w:r>
      <w:bookmarkEnd w:id="1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19" w:name="_Toc75446579"/>
      <w:bookmarkStart w:id="20" w:name="_Toc50125127"/>
      <w:bookmarkStart w:id="21" w:name="_Toc51339697"/>
      <w:bookmarkStart w:id="22" w:name="_Toc50125126_Копия_1"/>
      <w:bookmarkEnd w:id="22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3" w:name="_Hlk50465284"/>
      <w:r>
        <w:rPr>
          <w:sz w:val="24"/>
          <w:szCs w:val="24"/>
        </w:rPr>
        <w:t xml:space="preserve">Требования по срокам </w:t>
      </w:r>
      <w:bookmarkEnd w:id="20"/>
      <w:bookmarkEnd w:id="21"/>
      <w:bookmarkEnd w:id="23"/>
      <w:r>
        <w:rPr>
          <w:sz w:val="24"/>
          <w:szCs w:val="24"/>
          <w:lang w:val="ru-RU"/>
        </w:rPr>
        <w:t>поставки продукции</w:t>
      </w:r>
      <w:bookmarkEnd w:id="19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Гидромолот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</w:rPr>
            </w:pPr>
            <w:bookmarkStart w:id="24" w:name="_Toc46743510"/>
            <w:r>
              <w:rPr>
                <w:sz w:val="24"/>
                <w:szCs w:val="24"/>
              </w:rPr>
              <w:t>Не более 60 календарных дней с даты заключения договора</w:t>
            </w:r>
            <w:bookmarkEnd w:id="24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5" w:name="_Toc51339698"/>
      <w:bookmarkStart w:id="26" w:name="_Toc75446581"/>
      <w:bookmarkStart w:id="27" w:name="_Toc46743511"/>
      <w:r>
        <w:rPr/>
        <w:t xml:space="preserve">Требования к </w:t>
      </w:r>
      <w:bookmarkEnd w:id="27"/>
      <w:r>
        <w:rPr>
          <w:lang w:val="ru-RU"/>
        </w:rPr>
        <w:t>качеству продукции</w:t>
      </w:r>
      <w:bookmarkEnd w:id="26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2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28"/>
      <w:r>
        <w:rPr>
          <w:sz w:val="24"/>
          <w:szCs w:val="24"/>
        </w:rPr>
        <w:t xml:space="preserve"> </w:t>
      </w:r>
      <w:bookmarkEnd w:id="25"/>
    </w:p>
    <w:p>
      <w:pPr>
        <w:pStyle w:val="Normal"/>
        <w:rPr>
          <w:rStyle w:val="Style8"/>
          <w:b w:val="false"/>
        </w:rPr>
      </w:pPr>
      <w:r>
        <w:rPr>
          <w:rStyle w:val="Style8"/>
          <w:b w:val="false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Наименование продукции (позиция №1 Таблицы 1.1): Гидромолот</w:t>
      </w:r>
    </w:p>
    <w:tbl>
      <w:tblPr>
        <w:tblStyle w:val="af"/>
        <w:tblW w:w="1530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1"/>
        <w:gridCol w:w="1739"/>
        <w:gridCol w:w="73"/>
        <w:gridCol w:w="2986"/>
        <w:gridCol w:w="2991"/>
        <w:gridCol w:w="3261"/>
        <w:gridCol w:w="3407"/>
      </w:tblGrid>
      <w:tr>
        <w:trPr/>
        <w:tc>
          <w:tcPr>
            <w:tcW w:w="851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812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12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81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Масса гидромолота с подвеской и рабочим инструментом, кг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300 и не более 320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Энергия удара, Дж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1000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Минимальная уровень частоты ударов, уд./мин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более 450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Максиимальный уровень частоты ударов, уд./мин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900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Рабочее давление гидравлической жидкости, бар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130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Давление настройки предохранительного клапана, бар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160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Расход гидравлической жидкости, л/мин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40 и не более 90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 рабочего инструмента, мм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Рабочая длина инструмента, мм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400 и не более 500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Диаметр рукава, мм (фитинг)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13 (1/2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”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BSP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Давление зарядки пневмокамеры азотом, бар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20 и не более 25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монтажа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Двухпальцевый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Применяемость, совместимость с транспортным средством</w:t>
            </w:r>
          </w:p>
        </w:tc>
        <w:tc>
          <w:tcPr>
            <w:tcW w:w="2986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Гидромолот должен быть совместим с экскаватором-погрузчиком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JCB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3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CX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или с эквивалентными экскаваторами-погрузчиками имеющими схожие конструкционные и технические характеристики.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климатическому исполнению</w:t>
            </w:r>
          </w:p>
        </w:tc>
        <w:tc>
          <w:tcPr>
            <w:tcW w:w="305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Гидромолот должен сохранять работоспособность в пределах технических характеристик при эксплуатации при температуре окружающего воздуха в интервале от -40С° до + 40С°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3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стойкости к воздействующим климатическим факторам</w:t>
            </w:r>
          </w:p>
        </w:tc>
        <w:tc>
          <w:tcPr>
            <w:tcW w:w="3059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Гидромолот должен сохранять работоспособность в пределах технических характеристик при круглогодичной эксплуатации в умеренном климатическом поясе.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доставке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поставки: г. Петропавловск-Камчатский, ул. Солнечная, 16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Доставка товара осуществляется до места поставки силами, средствами и за счет Поставщика. 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12 месяцев со дня продажи.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комплектации</w:t>
            </w:r>
          </w:p>
        </w:tc>
        <w:tc>
          <w:tcPr>
            <w:tcW w:w="298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Комплект поставки одного гидромолота должен включать (подлежит комплектации каждая поставляемая единица):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Гидромолот;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Подвеска гидромолота (переходная плита);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Комплект шлангов с быстросъёмами для подключения к транспортному средству;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Рабочий инструмент (пика) с коническим наконечником;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Комплект заправки азотом;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Пальцы подвески (44,5х300х330) – 2 шт.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Инструкция по эксплуатации на русском языке;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uppressAutoHyphens w:val="true"/>
              <w:spacing w:before="0" w:after="0"/>
              <w:ind w:hanging="0"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Гарантийный талон на русском языке.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61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1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81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экономическим параметрам</w:t>
            </w:r>
          </w:p>
        </w:tc>
        <w:tc>
          <w:tcPr>
            <w:tcW w:w="298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цену продукции должны быть включены все затраты, связанные с исполнением обязательств по поставке продукции, в том числе, все налоги, сборы и пошлины, расходы на доставку продукции до места поставки, погрузку и разгрузку, иные расходы, связанные с исполнением обязательств по Договору.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Цена единицы продукции, указанная в Перечне закупаемой продукции, остается фиксированной на весь срок действия договора и не подлежит изменению.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29" w:name="_Toc75446583"/>
      <w:bookmarkStart w:id="30" w:name="_Toc53393312"/>
      <w:r>
        <w:rPr>
          <w:lang w:val="ru-RU"/>
        </w:rPr>
        <w:t>Требования к документации по ценообразованию</w:t>
      </w:r>
      <w:bookmarkEnd w:id="30"/>
      <w:r>
        <w:rPr>
          <w:lang w:val="ru-RU"/>
        </w:rPr>
        <w:t xml:space="preserve"> на этапе закупки</w:t>
      </w:r>
      <w:bookmarkEnd w:id="2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sz w:val="24"/>
        </w:rPr>
      </w:pPr>
      <w:r>
        <w:rPr>
          <w:sz w:val="24"/>
        </w:rPr>
        <w:t>3.1.</w:t>
        <w:tab/>
        <w:t>В обоснование стоимости своей заявки Участник предоставляет Коммерческое предложение.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sz w:val="24"/>
        </w:rPr>
      </w:pPr>
      <w:bookmarkStart w:id="31" w:name="_Toc46743519"/>
      <w:bookmarkStart w:id="32" w:name="_Toc51339699"/>
      <w:r>
        <w:rPr>
          <w:sz w:val="24"/>
        </w:rPr>
        <w:t>3.2.</w:t>
        <w:tab/>
        <w:t>Дополнительные документы по ценообразованию в состав заявки не включаются.</w:t>
      </w:r>
      <w:bookmarkEnd w:id="31"/>
      <w:bookmarkEnd w:id="32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<Relationship Id="rId14" Type="http://schemas.openxmlformats.org/officeDocument/2006/relationships/customXml" Target="../customXml/item2.xml"/><Relationship Id="rId15" Type="http://schemas.openxmlformats.org/officeDocument/2006/relationships/customXml" Target="../customXml/item3.xml"/><Relationship Id="rId16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0907-B5C2-460F-9008-880C6B7AB7E2}">
  <ds:schemaRefs>
    <ds:schemaRef ds:uri="e20b8c0d-372d-4424-b649-01a7cb84bca0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DE5C302-3A04-4DDA-A661-E5E2C6D67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3CA7C-84AF-4DA4-A133-D2193755E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56EC9A-249C-4535-B521-E3115BA6B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Application>AlterOffice/2026.2.0.0$Linux_X86_64 LibreOffice_project/bc4ef1adf80b36c7a6365f8ed6cbf29021361edd</Application>
  <AppVersion>15.0000</AppVersion>
  <Pages>10</Pages>
  <Words>927</Words>
  <Characters>6117</Characters>
  <CharactersWithSpaces>6830</CharactersWithSpaces>
  <Paragraphs>204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oleinikovadv@corp.gidroogk.com</cp:lastModifiedBy>
  <cp:lastPrinted>2026-10-12T07:04:00Z</cp:lastPrinted>
  <dcterms:modified xsi:type="dcterms:W3CDTF">2026-10-13T10:05:24Z</dcterms:modified>
  <cp:revision>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