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5.xml" ContentType="application/vnd.openxmlformats-officedocument.wordprocessingml.header+xml"/>
  <Override PartName="/word/media/image1.png" ContentType="image/png"/>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13.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word/header11.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0"/>
        <w:keepNext w:val="true"/>
        <w:spacing w:before="120" w:after="0"/>
        <w:ind w:hanging="0" w:left="4536"/>
        <w:jc w:val="right"/>
        <w:rPr>
          <w:sz w:val="24"/>
          <w:szCs w:val="24"/>
        </w:rPr>
      </w:pPr>
      <w:r>
        <w:drawing>
          <wp:anchor behindDoc="0" distT="0" distB="0" distL="0" distR="0" simplePos="0" locked="0" layoutInCell="0" allowOverlap="1" relativeHeight="2">
            <wp:simplePos x="0" y="0"/>
            <wp:positionH relativeFrom="column">
              <wp:posOffset>43180</wp:posOffset>
            </wp:positionH>
            <wp:positionV relativeFrom="paragraph">
              <wp:posOffset>-7620</wp:posOffset>
            </wp:positionV>
            <wp:extent cx="2061210" cy="547370"/>
            <wp:effectExtent l="0" t="0" r="0" b="0"/>
            <wp:wrapSquare wrapText="bothSides"/>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2061210" cy="547370"/>
                    </a:xfrm>
                    <a:prstGeom prst="rect">
                      <a:avLst/>
                    </a:prstGeom>
                  </pic:spPr>
                </pic:pic>
              </a:graphicData>
            </a:graphic>
          </wp:anchor>
        </w:drawing>
      </w:r>
      <w:r>
        <w:rPr>
          <w:sz w:val="24"/>
          <w:szCs w:val="24"/>
        </w:rPr>
        <w:t>«УТВЕРЖДАЮ»</w:t>
      </w:r>
    </w:p>
    <w:p>
      <w:pPr>
        <w:pStyle w:val="Style30"/>
        <w:keepNext w:val="true"/>
        <w:ind w:hanging="0" w:left="4536"/>
        <w:jc w:val="right"/>
        <w:rPr>
          <w:sz w:val="24"/>
          <w:szCs w:val="24"/>
        </w:rPr>
      </w:pPr>
      <w:r>
        <w:rPr>
          <w:sz w:val="24"/>
          <w:szCs w:val="24"/>
        </w:rPr>
        <w:t>Председатель закупочной комиссии — Заместитель генерального директора по управлению ресурсами АО «СК РусГидро»</w:t>
      </w:r>
    </w:p>
    <w:p>
      <w:pPr>
        <w:pStyle w:val="Style30"/>
        <w:keepNext w:val="true"/>
        <w:ind w:hanging="0" w:left="4536"/>
        <w:rPr>
          <w:sz w:val="24"/>
          <w:szCs w:val="24"/>
        </w:rPr>
      </w:pPr>
      <w:r>
        <w:rPr>
          <w:sz w:val="24"/>
          <w:szCs w:val="24"/>
        </w:rPr>
      </w:r>
    </w:p>
    <w:p>
      <w:pPr>
        <w:pStyle w:val="Style30"/>
        <w:keepNext w:val="true"/>
        <w:ind w:hanging="0" w:left="4536"/>
        <w:jc w:val="right"/>
        <w:rPr>
          <w:sz w:val="24"/>
          <w:szCs w:val="24"/>
        </w:rPr>
      </w:pPr>
      <w:r>
        <w:rPr>
          <w:sz w:val="24"/>
          <w:szCs w:val="24"/>
        </w:rPr>
        <w:t>___________________ / Н.Н. Клочков</w:t>
      </w:r>
    </w:p>
    <w:p>
      <w:pPr>
        <w:pStyle w:val="Style30"/>
        <w:keepNext w:val="true"/>
        <w:ind w:hanging="0" w:left="4536"/>
        <w:jc w:val="right"/>
        <w:rPr>
          <w:sz w:val="24"/>
          <w:szCs w:val="24"/>
        </w:rPr>
      </w:pPr>
      <w:r>
        <w:rPr>
          <w:sz w:val="24"/>
          <w:szCs w:val="24"/>
        </w:rPr>
        <w:t>«1</w:t>
      </w:r>
      <w:r>
        <w:rPr>
          <w:sz w:val="24"/>
          <w:szCs w:val="24"/>
        </w:rPr>
        <w:t>3</w:t>
      </w:r>
      <w:r>
        <w:rPr>
          <w:sz w:val="24"/>
          <w:szCs w:val="24"/>
        </w:rPr>
        <w:t>» октября 2026 года</w:t>
      </w:r>
    </w:p>
    <w:p>
      <w:pPr>
        <w:pStyle w:val="Style30"/>
        <w:rPr>
          <w:sz w:val="22"/>
          <w:szCs w:val="22"/>
        </w:rPr>
      </w:pPr>
      <w:r>
        <w:rPr>
          <w:sz w:val="22"/>
          <w:szCs w:val="22"/>
        </w:rPr>
      </w:r>
    </w:p>
    <w:p>
      <w:pPr>
        <w:pStyle w:val="Style30"/>
        <w:rPr/>
      </w:pPr>
      <w:r>
        <w:rPr/>
      </w:r>
    </w:p>
    <w:p>
      <w:pPr>
        <w:pStyle w:val="Style30"/>
        <w:rPr/>
      </w:pPr>
      <w:r>
        <w:rPr/>
      </w:r>
    </w:p>
    <w:p>
      <w:pPr>
        <w:pStyle w:val="Style30"/>
        <w:rPr/>
      </w:pPr>
      <w:r>
        <w:rPr/>
      </w:r>
    </w:p>
    <w:p>
      <w:pPr>
        <w:pStyle w:val="Style30"/>
        <w:keepNext w:val="true"/>
        <w:numPr>
          <w:ilvl w:val="0"/>
          <w:numId w:val="0"/>
        </w:numPr>
        <w:ind w:hanging="0" w:left="0"/>
        <w:jc w:val="center"/>
        <w:outlineLvl w:val="2"/>
        <w:rPr>
          <w:b/>
          <w:bCs/>
          <w:caps/>
        </w:rPr>
      </w:pPr>
      <w:r>
        <w:rPr>
          <w:b/>
          <w:bCs/>
          <w:caps/>
        </w:rPr>
        <w:t>Документация о закупке</w:t>
      </w:r>
    </w:p>
    <w:p>
      <w:pPr>
        <w:pStyle w:val="Style30"/>
        <w:keepNext w:val="true"/>
        <w:spacing w:before="240" w:after="0"/>
        <w:jc w:val="center"/>
        <w:rPr>
          <w:b w:val="false"/>
          <w:bCs w:val="false"/>
        </w:rPr>
      </w:pPr>
      <w:r>
        <w:rPr>
          <w:b w:val="false"/>
          <w:bCs w:val="false"/>
        </w:rPr>
        <w:t>Запрос котировок в электронной форме,</w:t>
        <w:br/>
        <w:t>участниками которого могут быть только субъекты МСП,</w:t>
        <w:br/>
        <w:t>на право заключения договора на ОКПД2 81.29.12.000 Услуги по подметанию и уборке снега на объектах филиала ПАО "РусГидро" - "Нижегородская ГЭС"</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b w:val="false"/>
          <w:bCs w:val="false"/>
        </w:rPr>
      </w:pPr>
      <w:r>
        <w:rPr>
          <w:b w:val="false"/>
          <w:bCs w:val="false"/>
        </w:rPr>
        <w:t>(Лот № 000</w:t>
      </w:r>
      <w:r>
        <w:rPr>
          <w:b w:val="false"/>
          <w:bCs w:val="false"/>
        </w:rPr>
        <w:t>5</w:t>
      </w:r>
      <w:r>
        <w:rPr>
          <w:b w:val="false"/>
          <w:bCs w:val="false"/>
        </w:rPr>
        <w:t>-ТО ДУД-2027-СК РусГидро)</w:t>
      </w:r>
    </w:p>
    <w:p>
      <w:pPr>
        <w:pStyle w:val="Style29"/>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20"/>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Подраздел,2,[РГ] Подраздел,2,[РГ] Подраздел,2,[РГ] Подраздел,2,[РГ] Подраздел,2,[РГ] Подраздел,2,[РГ] Пункт,3,[РГ] Пункт,3,[РГ] Пункт,3,[РГ] Пункт,3,[РГ] Пункт,3,[РГ] Подпункт,4,[РГ] Подпункт,4,[РГ] Подпункт,4,[РГ] Подпункт,4,[РГ] Подпункт,4,[РГ] Перечисление,5,[РГ] Перечисление,5,[РГ] Перечисление,5,[РГ] Перечисление,5,[РГ] Перечисление,5" \h</w:instrText>
          </w:r>
          <w:r>
            <w:rPr>
              <w:webHidden/>
              <w:rStyle w:val="Style20"/>
              <w:vanish w:val="false"/>
            </w:rPr>
            <w:fldChar w:fldCharType="separate"/>
          </w:r>
          <w:hyperlink w:anchor="_Toc224744282">
            <w:r>
              <w:rPr>
                <w:webHidden/>
                <w:rStyle w:val="Style20"/>
                <w:vanish w:val="false"/>
              </w:rPr>
              <w:t>Сокращения</w:t>
              <w:tab/>
            </w:r>
          </w:hyperlink>
          <w:r>
            <w:rPr>
              <w:vanish w:val="false"/>
            </w:rPr>
            <w:t>5</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283">
            <w:r>
              <w:rPr>
                <w:webHidden/>
                <w:rStyle w:val="Style20"/>
                <w:vanish w:val="false"/>
              </w:rPr>
              <w:t>Термины и определения</w:t>
              <w:tab/>
            </w:r>
          </w:hyperlink>
          <w:r>
            <w:rPr>
              <w:vanish w:val="false"/>
            </w:rPr>
            <w:t>7</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284">
            <w:r>
              <w:rPr>
                <w:webHidden/>
                <w:rStyle w:val="Style20"/>
                <w:vanish w:val="false"/>
              </w:rPr>
              <w:t>1.</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Основные сведения о закупке</w:t>
            </w:r>
            <w:r>
              <w:rPr>
                <w:rStyle w:val="Style20"/>
                <w:vanish w:val="false"/>
              </w:rPr>
              <w:tab/>
              <w:t>1</w:t>
            </w:r>
          </w:hyperlink>
          <w:r>
            <w:rPr>
              <w:vanish w:val="false"/>
            </w:rPr>
            <w:t>0</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85">
            <w:r>
              <w:rPr>
                <w:webHidden/>
                <w:rStyle w:val="Style20"/>
                <w:vanish w:val="false"/>
              </w:rPr>
              <w:t>1.1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Статус настоящего раздела</w:t>
            </w:r>
            <w:r>
              <w:rPr>
                <w:rStyle w:val="Style20"/>
                <w:vanish w:val="false"/>
              </w:rPr>
              <w:tab/>
              <w:t>1</w:t>
            </w:r>
          </w:hyperlink>
          <w:r>
            <w:rPr>
              <w:vanish w:val="false"/>
            </w:rPr>
            <w:t>0</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86">
            <w:r>
              <w:rPr>
                <w:webHidden/>
                <w:rStyle w:val="Style20"/>
                <w:vanish w:val="false"/>
              </w:rPr>
              <w:t>1.2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Информация о проводимой закупке</w:t>
            </w:r>
            <w:r>
              <w:rPr>
                <w:rStyle w:val="Style20"/>
                <w:vanish w:val="false"/>
              </w:rPr>
              <w:tab/>
              <w:t>1</w:t>
            </w:r>
          </w:hyperlink>
          <w:r>
            <w:rPr>
              <w:vanish w:val="false"/>
            </w:rPr>
            <w:t>0</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287">
            <w:r>
              <w:rPr>
                <w:webHidden/>
                <w:rStyle w:val="Style20"/>
                <w:vanish w:val="false"/>
              </w:rPr>
              <w:t>2.</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Общие положения</w:t>
            </w:r>
            <w:r>
              <w:rPr>
                <w:rStyle w:val="Style20"/>
                <w:vanish w:val="false"/>
              </w:rPr>
              <w:tab/>
            </w:r>
          </w:hyperlink>
          <w:r>
            <w:rPr>
              <w:vanish w:val="false"/>
            </w:rPr>
            <w:t>13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88">
            <w:r>
              <w:rPr>
                <w:webHidden/>
                <w:rStyle w:val="Style20"/>
                <w:vanish w:val="false"/>
              </w:rPr>
              <w:t>2.1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Общие сведения о закупке</w:t>
            </w:r>
            <w:r>
              <w:rPr>
                <w:rStyle w:val="Style20"/>
                <w:vanish w:val="false"/>
              </w:rPr>
              <w:tab/>
            </w:r>
          </w:hyperlink>
          <w:r>
            <w:rPr>
              <w:vanish w:val="false"/>
            </w:rPr>
            <w:t>13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89">
            <w:r>
              <w:rPr>
                <w:webHidden/>
                <w:rStyle w:val="Style20"/>
                <w:vanish w:val="false"/>
              </w:rPr>
              <w:t>2.2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Правовой статус документов</w:t>
            </w:r>
            <w:r>
              <w:rPr>
                <w:rStyle w:val="Style20"/>
                <w:vanish w:val="false"/>
              </w:rPr>
              <w:tab/>
            </w:r>
          </w:hyperlink>
          <w:r>
            <w:rPr>
              <w:vanish w:val="false"/>
            </w:rPr>
            <w:t>13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90">
            <w:r>
              <w:rPr>
                <w:webHidden/>
                <w:rStyle w:val="Style20"/>
                <w:vanish w:val="false"/>
              </w:rPr>
              <w:t>2.3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Обжалование</w:t>
            </w:r>
            <w:r>
              <w:rPr>
                <w:rStyle w:val="Style20"/>
                <w:vanish w:val="false"/>
              </w:rPr>
              <w:tab/>
            </w:r>
          </w:hyperlink>
          <w:r>
            <w:rPr>
              <w:vanish w:val="false"/>
            </w:rPr>
            <w:t>13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91">
            <w:r>
              <w:rPr>
                <w:webHidden/>
                <w:rStyle w:val="Style20"/>
                <w:vanish w:val="false"/>
              </w:rPr>
              <w:t>2.4</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Особые положения при проведении закупки с использованием ЭП</w:t>
            </w:r>
            <w:r>
              <w:rPr>
                <w:rStyle w:val="Style20"/>
                <w:vanish w:val="false"/>
              </w:rPr>
              <w:tab/>
            </w:r>
          </w:hyperlink>
          <w:r>
            <w:rPr>
              <w:vanish w:val="false"/>
            </w:rPr>
            <w:t>14</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92">
            <w:r>
              <w:rPr>
                <w:webHidden/>
                <w:rStyle w:val="Style20"/>
                <w:vanish w:val="false"/>
              </w:rPr>
              <w:t>2.5</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Прочие положения</w:t>
            </w:r>
            <w:r>
              <w:rPr>
                <w:rStyle w:val="Style20"/>
                <w:vanish w:val="false"/>
              </w:rPr>
              <w:tab/>
            </w:r>
          </w:hyperlink>
          <w:r>
            <w:rPr>
              <w:vanish w:val="false"/>
            </w:rPr>
            <w:t>15</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293">
            <w:r>
              <w:rPr>
                <w:webHidden/>
                <w:rStyle w:val="Style20"/>
                <w:vanish w:val="false"/>
              </w:rPr>
              <w:t>3.</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Требования к Участникам</w:t>
            </w:r>
            <w:r>
              <w:rPr>
                <w:rStyle w:val="Style20"/>
                <w:vanish w:val="false"/>
              </w:rPr>
              <w:tab/>
            </w:r>
          </w:hyperlink>
          <w:r>
            <w:rPr>
              <w:vanish w:val="false"/>
            </w:rPr>
            <w:t>16</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294">
            <w:r>
              <w:rPr>
                <w:webHidden/>
                <w:rStyle w:val="Style20"/>
                <w:vanish w:val="false"/>
              </w:rPr>
              <w:t>3.1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Общие требования к Участникам</w:t>
            </w:r>
            <w:r>
              <w:rPr>
                <w:rStyle w:val="Style20"/>
                <w:vanish w:val="false"/>
              </w:rPr>
              <w:tab/>
            </w:r>
          </w:hyperlink>
          <w:r>
            <w:rPr>
              <w:vanish w:val="false"/>
            </w:rPr>
            <w:t>16</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15">
            <w:r>
              <w:rPr>
                <w:webHidden/>
                <w:rStyle w:val="Style20"/>
                <w:vanish w:val="false"/>
              </w:rPr>
              <w:t>3.2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Генеральные подрядчики</w:t>
            </w:r>
            <w:r>
              <w:rPr>
                <w:rStyle w:val="Style20"/>
                <w:vanish w:val="false"/>
              </w:rPr>
              <w:tab/>
            </w:r>
          </w:hyperlink>
          <w:r>
            <w:rPr>
              <w:vanish w:val="false"/>
            </w:rPr>
            <w:t>16</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16">
            <w:r>
              <w:rPr>
                <w:webHidden/>
                <w:rStyle w:val="Style20"/>
                <w:vanish w:val="false"/>
              </w:rPr>
              <w:t>4.</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Порядок проведения закупки</w:t>
            </w:r>
            <w:r>
              <w:rPr>
                <w:rStyle w:val="Style20"/>
                <w:vanish w:val="false"/>
              </w:rPr>
              <w:tab/>
            </w:r>
          </w:hyperlink>
          <w:r>
            <w:rPr>
              <w:vanish w:val="false"/>
            </w:rPr>
            <w:t>18</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17">
            <w:r>
              <w:rPr>
                <w:webHidden/>
                <w:rStyle w:val="Style20"/>
                <w:vanish w:val="false"/>
              </w:rPr>
              <w:t>4.1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Общий порядок проведения закупки</w:t>
            </w:r>
            <w:r>
              <w:rPr>
                <w:rStyle w:val="Style20"/>
                <w:vanish w:val="false"/>
              </w:rPr>
              <w:tab/>
            </w:r>
          </w:hyperlink>
          <w:r>
            <w:rPr>
              <w:vanish w:val="false"/>
            </w:rPr>
            <w:t>18</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18">
            <w:r>
              <w:rPr>
                <w:webHidden/>
                <w:rStyle w:val="Style20"/>
                <w:vanish w:val="false"/>
              </w:rPr>
              <w:t>4.2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Официальное размещение Извещения и Документации о закупке</w:t>
            </w:r>
            <w:r>
              <w:rPr>
                <w:rStyle w:val="Style20"/>
                <w:vanish w:val="false"/>
              </w:rPr>
              <w:tab/>
            </w:r>
          </w:hyperlink>
          <w:r>
            <w:rPr>
              <w:vanish w:val="false"/>
            </w:rPr>
            <w:t>19</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19">
            <w:r>
              <w:rPr>
                <w:webHidden/>
                <w:rStyle w:val="Style20"/>
                <w:vanish w:val="false"/>
              </w:rPr>
              <w:t>4.3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Подготовка заявки</w:t>
            </w:r>
            <w:r>
              <w:rPr>
                <w:rStyle w:val="Style20"/>
                <w:vanish w:val="false"/>
              </w:rPr>
              <w:tab/>
            </w:r>
          </w:hyperlink>
          <w:r>
            <w:rPr>
              <w:vanish w:val="false"/>
            </w:rPr>
            <w:t>19</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0">
            <w:r>
              <w:rPr>
                <w:webHidden/>
                <w:rStyle w:val="Style20"/>
                <w:vanish w:val="false"/>
              </w:rPr>
              <w:t>4.4</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Разъяснение Документации о закупке</w:t>
            </w:r>
            <w:r>
              <w:rPr>
                <w:rStyle w:val="Style20"/>
                <w:vanish w:val="false"/>
              </w:rPr>
              <w:tab/>
            </w:r>
          </w:hyperlink>
          <w:r>
            <w:rPr>
              <w:vanish w:val="false"/>
            </w:rPr>
            <w:t>21</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1">
            <w:r>
              <w:rPr>
                <w:webHidden/>
                <w:rStyle w:val="Style20"/>
                <w:vanish w:val="false"/>
              </w:rPr>
              <w:t>4.5</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Изменения Извещения и (или) Документации о закупке</w:t>
            </w:r>
            <w:r>
              <w:rPr>
                <w:rStyle w:val="Style20"/>
                <w:vanish w:val="false"/>
              </w:rPr>
              <w:tab/>
            </w:r>
          </w:hyperlink>
          <w:r>
            <w:rPr>
              <w:vanish w:val="false"/>
            </w:rPr>
            <w:t>21</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2">
            <w:r>
              <w:rPr>
                <w:webHidden/>
                <w:rStyle w:val="Style20"/>
                <w:vanish w:val="false"/>
              </w:rPr>
              <w:t>4.6</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Подача заявок и их прием</w:t>
            </w:r>
            <w:r>
              <w:rPr>
                <w:rStyle w:val="Style20"/>
                <w:vanish w:val="false"/>
              </w:rPr>
              <w:tab/>
            </w:r>
          </w:hyperlink>
          <w:r>
            <w:rPr>
              <w:vanish w:val="false"/>
            </w:rPr>
            <w:t>22</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3">
            <w:r>
              <w:rPr>
                <w:webHidden/>
                <w:rStyle w:val="Style20"/>
                <w:vanish w:val="false"/>
              </w:rPr>
              <w:t>4.7</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Изменение и отзыв заявок</w:t>
            </w:r>
            <w:r>
              <w:rPr>
                <w:rStyle w:val="Style20"/>
                <w:vanish w:val="false"/>
              </w:rPr>
              <w:tab/>
            </w:r>
          </w:hyperlink>
          <w:r>
            <w:rPr>
              <w:vanish w:val="false"/>
            </w:rPr>
            <w:t>22</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4">
            <w:r>
              <w:rPr>
                <w:webHidden/>
                <w:rStyle w:val="Style20"/>
                <w:vanish w:val="false"/>
              </w:rPr>
              <w:t>4.8</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Открытие доступа к заявкам</w:t>
            </w:r>
            <w:r>
              <w:rPr>
                <w:rStyle w:val="Style20"/>
                <w:vanish w:val="false"/>
              </w:rPr>
              <w:tab/>
            </w:r>
          </w:hyperlink>
          <w:r>
            <w:rPr>
              <w:vanish w:val="false"/>
            </w:rPr>
            <w:t>22</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5">
            <w:r>
              <w:rPr>
                <w:webHidden/>
                <w:rStyle w:val="Style20"/>
                <w:vanish w:val="false"/>
              </w:rPr>
              <w:t>4.9</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Рассмотрение заявок (отборочная стадия), в том числе (при необходимости) проведение аккредитации</w:t>
            </w:r>
            <w:r>
              <w:rPr>
                <w:rStyle w:val="Style20"/>
                <w:vanish w:val="false"/>
              </w:rPr>
              <w:tab/>
            </w:r>
          </w:hyperlink>
          <w:r>
            <w:rPr>
              <w:vanish w:val="false"/>
            </w:rPr>
            <w:t>22</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6">
            <w:r>
              <w:rPr>
                <w:webHidden/>
                <w:rStyle w:val="Style20"/>
                <w:vanish w:val="false"/>
              </w:rPr>
              <w:t>4.10</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Дополнительные запросы разъяснений заявок</w:t>
            </w:r>
            <w:r>
              <w:rPr>
                <w:rStyle w:val="Style20"/>
                <w:vanish w:val="false"/>
              </w:rPr>
              <w:tab/>
            </w:r>
          </w:hyperlink>
          <w:r>
            <w:rPr>
              <w:vanish w:val="false"/>
            </w:rPr>
            <w:t>23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7">
            <w:r>
              <w:rPr>
                <w:webHidden/>
                <w:rStyle w:val="Style20"/>
                <w:vanish w:val="false"/>
              </w:rPr>
              <w:t>4.11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Оценка и сопоставление заявок</w:t>
            </w:r>
            <w:r>
              <w:rPr>
                <w:rStyle w:val="Style20"/>
                <w:vanish w:val="false"/>
              </w:rPr>
              <w:tab/>
            </w:r>
          </w:hyperlink>
          <w:r>
            <w:rPr>
              <w:vanish w:val="false"/>
            </w:rPr>
            <w:t>24</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28">
            <w:r>
              <w:rPr>
                <w:webHidden/>
                <w:rStyle w:val="Style20"/>
                <w:vanish w:val="false"/>
              </w:rPr>
              <w:t>4.12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Применение законодательства о национальном режиме</w:t>
            </w:r>
            <w:r>
              <w:rPr>
                <w:rStyle w:val="Style20"/>
                <w:vanish w:val="false"/>
              </w:rPr>
              <w:tab/>
            </w:r>
          </w:hyperlink>
          <w:r>
            <w:rPr>
              <w:vanish w:val="false"/>
            </w:rPr>
            <w:t>25</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0">
            <w:r>
              <w:rPr>
                <w:webHidden/>
                <w:rStyle w:val="Style20"/>
                <w:vanish w:val="false"/>
              </w:rPr>
              <w:t>4.13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Подведение итогов закупки (определение Победителя)</w:t>
            </w:r>
            <w:r>
              <w:rPr>
                <w:rStyle w:val="Style20"/>
                <w:vanish w:val="false"/>
              </w:rPr>
              <w:tab/>
            </w:r>
          </w:hyperlink>
          <w:r>
            <w:rPr>
              <w:vanish w:val="false"/>
            </w:rPr>
            <w:t>26</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1">
            <w:r>
              <w:rPr>
                <w:webHidden/>
                <w:rStyle w:val="Style20"/>
                <w:vanish w:val="false"/>
              </w:rPr>
              <w:t>4.14</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Признание закупки несостоявшейся</w:t>
            </w:r>
            <w:r>
              <w:rPr>
                <w:rStyle w:val="Style20"/>
                <w:vanish w:val="false"/>
              </w:rPr>
              <w:tab/>
            </w:r>
          </w:hyperlink>
          <w:r>
            <w:rPr>
              <w:vanish w:val="false"/>
            </w:rPr>
            <w:t>28</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6">
            <w:r>
              <w:rPr>
                <w:webHidden/>
                <w:rStyle w:val="Style20"/>
                <w:vanish w:val="false"/>
              </w:rPr>
              <w:t>4.15</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Отказ от проведения закупки (отмена закупки)</w:t>
            </w:r>
            <w:r>
              <w:rPr>
                <w:rStyle w:val="Style20"/>
                <w:vanish w:val="false"/>
              </w:rPr>
              <w:tab/>
            </w:r>
          </w:hyperlink>
          <w:r>
            <w:rPr>
              <w:vanish w:val="false"/>
            </w:rPr>
            <w:t>28</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7">
            <w:r>
              <w:rPr>
                <w:webHidden/>
                <w:rStyle w:val="Style20"/>
                <w:vanish w:val="false"/>
              </w:rPr>
              <w:t>4.16</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Особенности проведения закупки с необходимостью обеспечения заявки</w:t>
            </w:r>
            <w:r>
              <w:rPr>
                <w:rStyle w:val="Style20"/>
                <w:vanish w:val="false"/>
              </w:rPr>
              <w:tab/>
            </w:r>
          </w:hyperlink>
          <w:r>
            <w:rPr>
              <w:vanish w:val="false"/>
            </w:rPr>
            <w:t>29</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38">
            <w:r>
              <w:rPr>
                <w:webHidden/>
                <w:rStyle w:val="Style20"/>
                <w:vanish w:val="false"/>
              </w:rPr>
              <w:t>4.18</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Особенности проведения многолотовой закупки</w:t>
            </w:r>
            <w:r>
              <w:rPr>
                <w:rStyle w:val="Style20"/>
                <w:vanish w:val="false"/>
              </w:rPr>
              <w:tab/>
            </w:r>
          </w:hyperlink>
          <w:r>
            <w:rPr>
              <w:vanish w:val="false"/>
            </w:rPr>
            <w:t>31</w:t>
          </w:r>
        </w:p>
        <w:p>
          <w:pPr>
            <w:pStyle w:val="TOC2"/>
            <w:rPr>
              <w:rFonts w:ascii="Calibri" w:hAnsi="Calibri" w:eastAsia="" w:asciiTheme="minorHAnsi" w:eastAsiaTheme="minorEastAsia" w:hAnsiTheme="minorHAnsi"/>
              <w:kern w:val="2"/>
              <w:sz w:val="24"/>
              <w:szCs w:val="24"/>
              <w:lang w:eastAsia="ru-RU"/>
              <w14:ligatures w14:val="standardContextual"/>
            </w:rPr>
          </w:pPr>
          <w:r>
            <w:rPr>
              <w:rFonts w:eastAsia="" w:eastAsiaTheme="minorEastAsia" w:ascii="Calibri" w:hAnsi="Calibri"/>
              <w:kern w:val="2"/>
              <w:sz w:val="24"/>
              <w:szCs w:val="24"/>
              <w:lang w:eastAsia="ru-RU"/>
              <w14:ligatures w14:val="standardContextual"/>
            </w:rPr>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40">
            <w:r>
              <w:rPr>
                <w:webHidden/>
                <w:rStyle w:val="Style20"/>
                <w:vanish w:val="false"/>
              </w:rPr>
              <w:t>5.</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Порядок заключения Договора</w:t>
            </w:r>
            <w:r>
              <w:rPr>
                <w:rStyle w:val="Style20"/>
                <w:vanish w:val="false"/>
              </w:rPr>
              <w:tab/>
            </w:r>
          </w:hyperlink>
          <w:r>
            <w:rPr>
              <w:vanish w:val="false"/>
            </w:rPr>
            <w:t>33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1">
            <w:r>
              <w:rPr>
                <w:webHidden/>
                <w:rStyle w:val="Style20"/>
                <w:vanish w:val="false"/>
              </w:rPr>
              <w:t>5.1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Общие положения</w:t>
            </w:r>
            <w:r>
              <w:rPr>
                <w:rStyle w:val="Style20"/>
                <w:vanish w:val="false"/>
              </w:rPr>
              <w:tab/>
            </w:r>
          </w:hyperlink>
          <w:r>
            <w:rPr>
              <w:vanish w:val="false"/>
            </w:rPr>
            <w:t>33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2">
            <w:r>
              <w:rPr>
                <w:webHidden/>
                <w:rStyle w:val="Style20"/>
                <w:vanish w:val="false"/>
              </w:rPr>
              <w:t>5.2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Заключение Договора</w:t>
            </w:r>
            <w:r>
              <w:rPr>
                <w:rStyle w:val="Style20"/>
                <w:vanish w:val="false"/>
              </w:rPr>
              <w:tab/>
            </w:r>
          </w:hyperlink>
          <w:r>
            <w:rPr>
              <w:vanish w:val="false"/>
            </w:rPr>
            <w:t>33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3">
            <w:r>
              <w:rPr>
                <w:webHidden/>
                <w:rStyle w:val="Style20"/>
                <w:vanish w:val="false"/>
              </w:rPr>
              <w:t>5.3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Уклонение Победителя от заключения Договора</w:t>
            </w:r>
            <w:r>
              <w:rPr>
                <w:rStyle w:val="Style20"/>
                <w:vanish w:val="false"/>
              </w:rPr>
              <w:tab/>
            </w:r>
          </w:hyperlink>
          <w:r>
            <w:rPr>
              <w:vanish w:val="false"/>
            </w:rPr>
            <w:t>35</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44">
            <w:r>
              <w:rPr>
                <w:webHidden/>
                <w:rStyle w:val="Style20"/>
                <w:vanish w:val="false"/>
              </w:rPr>
              <w:t>6.</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1 – Технические требования</w:t>
            </w:r>
            <w:r>
              <w:rPr>
                <w:rStyle w:val="Style20"/>
                <w:vanish w:val="false"/>
              </w:rPr>
              <w:tab/>
            </w:r>
          </w:hyperlink>
          <w:r>
            <w:rPr>
              <w:vanish w:val="false"/>
            </w:rPr>
            <w:t>36</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5">
            <w:r>
              <w:rPr>
                <w:webHidden/>
                <w:rStyle w:val="Style20"/>
                <w:vanish w:val="false"/>
              </w:rPr>
              <w:t>6.1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Техническим требованиям</w:t>
            </w:r>
            <w:r>
              <w:rPr>
                <w:rStyle w:val="Style20"/>
                <w:vanish w:val="false"/>
              </w:rPr>
              <w:tab/>
            </w:r>
          </w:hyperlink>
          <w:r>
            <w:rPr>
              <w:vanish w:val="false"/>
            </w:rPr>
            <w:t>36</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46">
            <w:r>
              <w:rPr>
                <w:webHidden/>
                <w:rStyle w:val="Style20"/>
                <w:vanish w:val="false"/>
              </w:rPr>
              <w:t>7.</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2 – Проект договора</w:t>
            </w:r>
            <w:r>
              <w:rPr>
                <w:rStyle w:val="Style20"/>
                <w:vanish w:val="false"/>
              </w:rPr>
              <w:tab/>
            </w:r>
          </w:hyperlink>
          <w:r>
            <w:rPr>
              <w:vanish w:val="false"/>
            </w:rPr>
            <w:t>37</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7">
            <w:r>
              <w:rPr>
                <w:webHidden/>
                <w:rStyle w:val="Style20"/>
                <w:vanish w:val="false"/>
              </w:rPr>
              <w:t>7.1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Проекту договора</w:t>
            </w:r>
            <w:r>
              <w:rPr>
                <w:rStyle w:val="Style20"/>
                <w:vanish w:val="false"/>
              </w:rPr>
              <w:tab/>
            </w:r>
          </w:hyperlink>
          <w:r>
            <w:rPr>
              <w:vanish w:val="false"/>
            </w:rPr>
            <w:t>37</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48">
            <w:r>
              <w:rPr>
                <w:webHidden/>
                <w:rStyle w:val="Style20"/>
                <w:vanish w:val="false"/>
              </w:rPr>
              <w:t>8.</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3 – Требования к Участникам</w:t>
            </w:r>
            <w:r>
              <w:rPr>
                <w:rStyle w:val="Style20"/>
                <w:vanish w:val="false"/>
              </w:rPr>
              <w:tab/>
            </w:r>
          </w:hyperlink>
          <w:r>
            <w:rPr>
              <w:vanish w:val="false"/>
            </w:rPr>
            <w:t>38</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49">
            <w:r>
              <w:rPr>
                <w:webHidden/>
                <w:rStyle w:val="Style20"/>
                <w:vanish w:val="false"/>
              </w:rPr>
              <w:t>8.1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требованиям к Участникам</w:t>
            </w:r>
            <w:r>
              <w:rPr>
                <w:rStyle w:val="Style20"/>
                <w:vanish w:val="false"/>
              </w:rPr>
              <w:tab/>
            </w:r>
          </w:hyperlink>
          <w:r>
            <w:rPr>
              <w:vanish w:val="false"/>
            </w:rPr>
            <w:t>38</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50">
            <w:r>
              <w:rPr>
                <w:webHidden/>
                <w:rStyle w:val="Style20"/>
                <w:vanish w:val="false"/>
              </w:rPr>
              <w:t>8.2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Обязательные требования</w:t>
            </w:r>
            <w:r>
              <w:rPr>
                <w:rStyle w:val="Style20"/>
                <w:vanish w:val="false"/>
              </w:rPr>
              <w:tab/>
            </w:r>
          </w:hyperlink>
          <w:r>
            <w:rPr>
              <w:vanish w:val="false"/>
            </w:rPr>
            <w:t>38</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51">
            <w:r>
              <w:rPr>
                <w:webHidden/>
                <w:rStyle w:val="Style20"/>
                <w:vanish w:val="false"/>
              </w:rPr>
              <w:t>8.3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Специальные требования</w:t>
            </w:r>
            <w:r>
              <w:rPr>
                <w:rStyle w:val="Style20"/>
                <w:vanish w:val="false"/>
              </w:rPr>
              <w:tab/>
            </w:r>
          </w:hyperlink>
          <w:r>
            <w:rPr>
              <w:vanish w:val="false"/>
            </w:rPr>
            <w:t>41</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65">
            <w:r>
              <w:rPr>
                <w:webHidden/>
                <w:rStyle w:val="Style20"/>
                <w:vanish w:val="false"/>
              </w:rPr>
              <w:t>8.4</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Дополнительные требования к Генеральным подрядчикам</w:t>
            </w:r>
            <w:r>
              <w:rPr>
                <w:rStyle w:val="Style20"/>
                <w:vanish w:val="false"/>
              </w:rPr>
              <w:tab/>
            </w:r>
          </w:hyperlink>
          <w:r>
            <w:rPr>
              <w:vanish w:val="false"/>
            </w:rPr>
            <w:t>41</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66">
            <w:r>
              <w:rPr>
                <w:webHidden/>
                <w:rStyle w:val="Style20"/>
                <w:vanish w:val="false"/>
              </w:rPr>
              <w:t>9.</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4 – Образцы форм документов, включаемых в состав заявки</w:t>
            </w:r>
            <w:r>
              <w:rPr>
                <w:rStyle w:val="Style20"/>
                <w:vanish w:val="false"/>
              </w:rPr>
              <w:tab/>
            </w:r>
          </w:hyperlink>
          <w:r>
            <w:rPr>
              <w:vanish w:val="false"/>
            </w:rPr>
            <w:t>42</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67">
            <w:r>
              <w:rPr>
                <w:webHidden/>
                <w:rStyle w:val="Style20"/>
                <w:vanish w:val="false"/>
              </w:rPr>
              <w:t>9.1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Образцам форм документов, включаемых в состав заявки</w:t>
            </w:r>
            <w:r>
              <w:rPr>
                <w:rStyle w:val="Style20"/>
                <w:vanish w:val="false"/>
              </w:rPr>
              <w:tab/>
            </w:r>
          </w:hyperlink>
          <w:r>
            <w:rPr>
              <w:vanish w:val="false"/>
            </w:rPr>
            <w:t>42</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68">
            <w:r>
              <w:rPr>
                <w:webHidden/>
                <w:rStyle w:val="Style20"/>
                <w:vanish w:val="false"/>
              </w:rPr>
              <w:t>10.</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5 – Образцы форм документов, предоставляемых Победителем</w:t>
            </w:r>
            <w:r>
              <w:rPr>
                <w:rStyle w:val="Style20"/>
                <w:vanish w:val="false"/>
              </w:rPr>
              <w:tab/>
            </w:r>
          </w:hyperlink>
          <w:r>
            <w:rPr>
              <w:vanish w:val="false"/>
            </w:rPr>
            <w:t>43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69">
            <w:r>
              <w:rPr>
                <w:webHidden/>
                <w:rStyle w:val="Style20"/>
                <w:vanish w:val="false"/>
              </w:rPr>
              <w:t>10.1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Образцам форм документов, предоставляемых Победителем</w:t>
            </w:r>
            <w:r>
              <w:rPr>
                <w:rStyle w:val="Style20"/>
                <w:vanish w:val="false"/>
              </w:rPr>
              <w:tab/>
            </w:r>
          </w:hyperlink>
          <w:r>
            <w:rPr>
              <w:vanish w:val="false"/>
            </w:rPr>
            <w:t>43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0">
            <w:r>
              <w:rPr>
                <w:webHidden/>
                <w:rStyle w:val="Style20"/>
                <w:vanish w:val="false"/>
              </w:rPr>
              <w:t>10.2</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Форма справки «Сведения о цепочке собственников, включая бенефициаров (в том числе конечных)»</w:t>
            </w:r>
            <w:r>
              <w:rPr>
                <w:rStyle w:val="Style20"/>
                <w:vanish w:val="false"/>
              </w:rPr>
              <w:tab/>
            </w:r>
          </w:hyperlink>
          <w:r>
            <w:rPr>
              <w:vanish w:val="false"/>
            </w:rPr>
            <w:t>43</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1">
            <w:r>
              <w:rPr>
                <w:webHidden/>
                <w:rStyle w:val="Style20"/>
                <w:vanish w:val="false"/>
              </w:rPr>
              <w:t>10.3</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Форма «Заверение об обстоятельствах»</w:t>
            </w:r>
            <w:r>
              <w:rPr>
                <w:rStyle w:val="Style20"/>
                <w:vanish w:val="false"/>
              </w:rPr>
              <w:tab/>
            </w:r>
          </w:hyperlink>
          <w:r>
            <w:rPr>
              <w:vanish w:val="false"/>
            </w:rPr>
            <w:t>43</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72">
            <w:r>
              <w:rPr>
                <w:webHidden/>
                <w:rStyle w:val="Style20"/>
                <w:vanish w:val="false"/>
              </w:rPr>
              <w:t>11.</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6 – Состав заявки</w:t>
            </w:r>
            <w:r>
              <w:rPr>
                <w:rStyle w:val="Style20"/>
                <w:vanish w:val="false"/>
              </w:rPr>
              <w:tab/>
            </w:r>
          </w:hyperlink>
          <w:r>
            <w:rPr>
              <w:vanish w:val="false"/>
            </w:rPr>
            <w:t>44</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3">
            <w:r>
              <w:rPr>
                <w:webHidden/>
                <w:rStyle w:val="Style20"/>
                <w:vanish w:val="false"/>
              </w:rPr>
              <w:t>11.1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Состав заявки</w:t>
            </w:r>
            <w:r>
              <w:rPr>
                <w:rStyle w:val="Style20"/>
                <w:vanish w:val="false"/>
              </w:rPr>
              <w:tab/>
            </w:r>
          </w:hyperlink>
          <w:r>
            <w:rPr>
              <w:vanish w:val="false"/>
            </w:rPr>
            <w:t>44</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74">
            <w:r>
              <w:rPr>
                <w:webHidden/>
                <w:rStyle w:val="Style20"/>
                <w:vanish w:val="false"/>
              </w:rPr>
              <w:t>12.</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7 – Отборочные критерии рассмотрения заявок</w:t>
            </w:r>
            <w:r>
              <w:rPr>
                <w:rStyle w:val="Style20"/>
                <w:vanish w:val="false"/>
              </w:rPr>
              <w:tab/>
            </w:r>
          </w:hyperlink>
          <w:r>
            <w:rPr>
              <w:vanish w:val="false"/>
            </w:rPr>
            <w:t>45</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5">
            <w:r>
              <w:rPr>
                <w:webHidden/>
                <w:rStyle w:val="Style20"/>
                <w:vanish w:val="false"/>
              </w:rPr>
              <w:t>12.1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Отборочные критерии рассмотрения заявок</w:t>
            </w:r>
            <w:r>
              <w:rPr>
                <w:rStyle w:val="Style20"/>
                <w:vanish w:val="false"/>
              </w:rPr>
              <w:tab/>
            </w:r>
          </w:hyperlink>
          <w:r>
            <w:rPr>
              <w:vanish w:val="false"/>
            </w:rPr>
            <w:t>45</w:t>
          </w:r>
        </w:p>
        <w:p>
          <w:pPr>
            <w:pStyle w:val="TOC2"/>
            <w:rPr>
              <w:rFonts w:ascii="Calibri" w:hAnsi="Calibri" w:eastAsia="" w:asciiTheme="minorHAnsi" w:eastAsiaTheme="minorEastAsia" w:hAnsiTheme="minorHAnsi"/>
              <w:kern w:val="2"/>
              <w:sz w:val="24"/>
              <w:szCs w:val="24"/>
              <w:lang w:eastAsia="ru-RU"/>
              <w14:ligatures w14:val="standardContextual"/>
            </w:rPr>
          </w:pPr>
          <w:r>
            <w:rPr>
              <w:rFonts w:eastAsia="" w:eastAsiaTheme="minorEastAsia" w:ascii="Calibri" w:hAnsi="Calibri"/>
              <w:kern w:val="2"/>
              <w:sz w:val="24"/>
              <w:szCs w:val="24"/>
              <w:lang w:eastAsia="ru-RU"/>
              <w14:ligatures w14:val="standardContextual"/>
            </w:rPr>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77">
            <w:r>
              <w:rPr>
                <w:webHidden/>
                <w:rStyle w:val="Style20"/>
                <w:vanish w:val="false"/>
              </w:rPr>
              <w:t>13.</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8 – Порядок и критерии оценки и сопоставления заявок</w:t>
            </w:r>
            <w:r>
              <w:rPr>
                <w:rStyle w:val="Style20"/>
                <w:vanish w:val="false"/>
              </w:rPr>
              <w:tab/>
            </w:r>
          </w:hyperlink>
          <w:r>
            <w:rPr>
              <w:vanish w:val="false"/>
            </w:rPr>
            <w:t>49</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78">
            <w:r>
              <w:rPr>
                <w:webHidden/>
                <w:rStyle w:val="Style20"/>
                <w:vanish w:val="false"/>
              </w:rPr>
              <w:t>13.1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Порядок и критерии оценки и сопоставления заявок</w:t>
            </w:r>
            <w:r>
              <w:rPr>
                <w:rStyle w:val="Style20"/>
                <w:vanish w:val="false"/>
              </w:rPr>
              <w:tab/>
            </w:r>
          </w:hyperlink>
          <w:r>
            <w:rPr>
              <w:vanish w:val="false"/>
            </w:rPr>
            <w:t>49</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79">
            <w:r>
              <w:rPr>
                <w:webHidden/>
                <w:rStyle w:val="Style20"/>
                <w:vanish w:val="false"/>
              </w:rPr>
              <w:t>14.</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9 – Обоснование НМЦ</w:t>
            </w:r>
            <w:r>
              <w:rPr>
                <w:rStyle w:val="Style20"/>
                <w:vanish w:val="false"/>
              </w:rPr>
              <w:tab/>
            </w:r>
          </w:hyperlink>
          <w:r>
            <w:rPr>
              <w:vanish w:val="false"/>
            </w:rPr>
            <w:t>50</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80">
            <w:r>
              <w:rPr>
                <w:webHidden/>
                <w:rStyle w:val="Style20"/>
                <w:vanish w:val="false"/>
              </w:rPr>
              <w:t>14.1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Обоснованию НМЦ</w:t>
            </w:r>
            <w:r>
              <w:rPr>
                <w:rStyle w:val="Style20"/>
                <w:vanish w:val="false"/>
              </w:rPr>
              <w:tab/>
            </w:r>
          </w:hyperlink>
          <w:r>
            <w:rPr>
              <w:vanish w:val="false"/>
            </w:rPr>
            <w:t>50</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81">
            <w:r>
              <w:rPr>
                <w:webHidden/>
                <w:rStyle w:val="Style20"/>
                <w:vanish w:val="false"/>
              </w:rPr>
              <w:t>15.</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10 – Форма Заявки на аккредитацию</w:t>
            </w:r>
            <w:r>
              <w:rPr>
                <w:rStyle w:val="Style20"/>
                <w:vanish w:val="false"/>
              </w:rPr>
              <w:tab/>
            </w:r>
          </w:hyperlink>
          <w:r>
            <w:rPr>
              <w:vanish w:val="false"/>
            </w:rPr>
            <w:t>51</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82">
            <w:r>
              <w:rPr>
                <w:webHidden/>
                <w:rStyle w:val="Style20"/>
                <w:vanish w:val="false"/>
              </w:rPr>
              <w:t>15.1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форме Заявки на аккредитацию</w:t>
            </w:r>
            <w:r>
              <w:rPr>
                <w:rStyle w:val="Style20"/>
                <w:vanish w:val="false"/>
              </w:rPr>
              <w:tab/>
            </w:r>
          </w:hyperlink>
          <w:r>
            <w:rPr>
              <w:vanish w:val="false"/>
            </w:rPr>
            <w:t>51</w:t>
          </w:r>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4744383">
            <w:r>
              <w:rPr>
                <w:webHidden/>
                <w:rStyle w:val="Style20"/>
                <w:vanish w:val="false"/>
              </w:rPr>
              <w:t>16.</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20"/>
              </w:rPr>
              <w:t>Приложение № 11 – форма Данных бухгалтерской (финансовой) отчетности</w:t>
            </w:r>
            <w:r>
              <w:rPr>
                <w:rStyle w:val="Style20"/>
                <w:vanish w:val="false"/>
              </w:rPr>
              <w:tab/>
            </w:r>
          </w:hyperlink>
          <w:r>
            <w:rPr>
              <w:vanish w:val="false"/>
            </w:rPr>
            <w:t>52</w:t>
          </w:r>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4744384">
            <w:r>
              <w:rPr>
                <w:webHidden/>
                <w:rStyle w:val="Style20"/>
                <w:vanish w:val="false"/>
              </w:rPr>
              <w:t>16.1</w:t>
            </w:r>
            <w:r>
              <w:rPr>
                <w:rStyle w:val="Style20"/>
                <w:rFonts w:eastAsia="" w:ascii="Calibri" w:hAnsi="Calibri" w:asciiTheme="minorHAnsi" w:eastAsiaTheme="minorEastAsia" w:hAnsiTheme="minorHAnsi"/>
                <w:kern w:val="2"/>
                <w:sz w:val="24"/>
                <w:szCs w:val="24"/>
                <w:lang w:eastAsia="ru-RU"/>
                <w14:ligatures w14:val="standardContextual"/>
              </w:rPr>
              <w:tab/>
            </w:r>
            <w:r>
              <w:rPr>
                <w:rStyle w:val="Style20"/>
              </w:rPr>
              <w:t>Пояснения к форме Данных бухгалтерской (финансовой) отчетности</w:t>
            </w:r>
            <w:r>
              <w:rPr>
                <w:rStyle w:val="Style20"/>
                <w:vanish w:val="false"/>
              </w:rPr>
              <w:tab/>
            </w:r>
          </w:hyperlink>
          <w:r>
            <w:rPr>
              <w:vanish w:val="false"/>
            </w:rPr>
            <w:t>52</w:t>
          </w:r>
          <w:r>
            <w:rPr>
              <w:vanish w:val="false"/>
            </w:rPr>
            <w:fldChar w:fldCharType="end"/>
          </w:r>
        </w:p>
      </w:sdtContent>
    </w:sdt>
    <w:p>
      <w:pPr>
        <w:pStyle w:val="Style30"/>
        <w:jc w:val="both"/>
        <w:rPr>
          <w:rStyle w:val="Style17"/>
        </w:rPr>
      </w:pPr>
      <w:r>
        <w:rPr/>
      </w:r>
    </w:p>
    <w:p>
      <w:pPr>
        <w:pStyle w:val="Style29"/>
        <w:numPr>
          <w:ilvl w:val="0"/>
          <w:numId w:val="0"/>
        </w:numPr>
        <w:ind w:hanging="0" w:left="0"/>
        <w:outlineLvl w:val="0"/>
        <w:rPr>
          <w:sz w:val="22"/>
          <w:szCs w:val="22"/>
        </w:rPr>
      </w:pPr>
      <w:bookmarkStart w:id="0" w:name="_Toc224744282"/>
      <w:r>
        <w:rPr>
          <w:sz w:val="22"/>
          <w:szCs w:val="22"/>
        </w:rPr>
        <w:t>Сокращения</w:t>
      </w:r>
      <w:bookmarkEnd w:id="0"/>
    </w:p>
    <w:p>
      <w:pPr>
        <w:pStyle w:val="Style30"/>
        <w:ind w:firstLine="567"/>
        <w:rPr>
          <w:sz w:val="22"/>
          <w:szCs w:val="22"/>
        </w:rPr>
      </w:pPr>
      <w:r>
        <w:rPr>
          <w:b/>
          <w:bCs/>
          <w:sz w:val="22"/>
          <w:szCs w:val="22"/>
        </w:rPr>
        <w:t>ГК РФ</w:t>
      </w:r>
      <w:r>
        <w:rPr>
          <w:sz w:val="22"/>
          <w:szCs w:val="22"/>
        </w:rPr>
        <w:t xml:space="preserve"> – Гражданской кодекс Российской Федерации.</w:t>
      </w:r>
    </w:p>
    <w:p>
      <w:pPr>
        <w:pStyle w:val="Style30"/>
        <w:ind w:firstLine="567"/>
        <w:rPr>
          <w:sz w:val="22"/>
          <w:szCs w:val="22"/>
        </w:rPr>
      </w:pPr>
      <w:r>
        <w:rPr>
          <w:b/>
          <w:bCs/>
          <w:sz w:val="22"/>
          <w:szCs w:val="22"/>
        </w:rPr>
        <w:t>Декларация ПИРААП</w:t>
      </w:r>
      <w:r>
        <w:rPr>
          <w:sz w:val="22"/>
          <w:szCs w:val="22"/>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sz w:val="22"/>
          <w:szCs w:val="22"/>
        </w:rPr>
      </w:pPr>
      <w:r>
        <w:rPr>
          <w:b/>
          <w:bCs/>
          <w:sz w:val="22"/>
          <w:szCs w:val="22"/>
        </w:rPr>
        <w:t>ЕАЭС</w:t>
      </w:r>
      <w:r>
        <w:rPr>
          <w:sz w:val="22"/>
          <w:szCs w:val="22"/>
        </w:rPr>
        <w:t xml:space="preserve"> – Евразийский экономический союз.</w:t>
      </w:r>
    </w:p>
    <w:p>
      <w:pPr>
        <w:pStyle w:val="Style30"/>
        <w:ind w:firstLine="567"/>
        <w:rPr>
          <w:sz w:val="22"/>
          <w:szCs w:val="22"/>
        </w:rPr>
      </w:pPr>
      <w:r>
        <w:rPr>
          <w:b/>
          <w:bCs/>
          <w:sz w:val="22"/>
          <w:szCs w:val="22"/>
        </w:rPr>
        <w:t>ЕГРИП</w:t>
      </w:r>
      <w:r>
        <w:rPr>
          <w:sz w:val="22"/>
          <w:szCs w:val="22"/>
        </w:rPr>
        <w:t xml:space="preserve"> – Единый государственный реестр индивидуальных предпринимателей.</w:t>
      </w:r>
    </w:p>
    <w:p>
      <w:pPr>
        <w:pStyle w:val="Style30"/>
        <w:ind w:firstLine="567"/>
        <w:rPr>
          <w:sz w:val="22"/>
          <w:szCs w:val="22"/>
        </w:rPr>
      </w:pPr>
      <w:r>
        <w:rPr>
          <w:b/>
          <w:bCs/>
          <w:sz w:val="22"/>
          <w:szCs w:val="22"/>
        </w:rPr>
        <w:t>ЕГРЮЛ</w:t>
      </w:r>
      <w:r>
        <w:rPr>
          <w:sz w:val="22"/>
          <w:szCs w:val="22"/>
        </w:rPr>
        <w:t xml:space="preserve"> – Единый государственный реестр юридических лиц.</w:t>
      </w:r>
    </w:p>
    <w:p>
      <w:pPr>
        <w:pStyle w:val="Style30"/>
        <w:ind w:firstLine="567"/>
        <w:rPr>
          <w:sz w:val="22"/>
          <w:szCs w:val="22"/>
        </w:rPr>
      </w:pPr>
      <w:r>
        <w:rPr>
          <w:b/>
          <w:bCs/>
          <w:sz w:val="22"/>
          <w:szCs w:val="22"/>
        </w:rPr>
        <w:t>ЕИС</w:t>
      </w:r>
      <w:r>
        <w:rPr>
          <w:sz w:val="22"/>
          <w:szCs w:val="22"/>
        </w:rPr>
        <w:t xml:space="preserve"> – Единая информационная система в сфере закупок.</w:t>
      </w:r>
    </w:p>
    <w:p>
      <w:pPr>
        <w:pStyle w:val="Style30"/>
        <w:ind w:firstLine="567"/>
        <w:rPr>
          <w:sz w:val="22"/>
          <w:szCs w:val="22"/>
        </w:rPr>
      </w:pPr>
      <w:r>
        <w:rPr>
          <w:b/>
          <w:bCs/>
          <w:sz w:val="22"/>
          <w:szCs w:val="22"/>
        </w:rPr>
        <w:t>Закон 44-ФЗ</w:t>
      </w:r>
      <w:r>
        <w:rPr>
          <w:sz w:val="22"/>
          <w:szCs w:val="22"/>
        </w:rPr>
        <w:t xml:space="preserve"> – Федеральный закон от 05.04.2013 № 44-ФЗ «О контрактной системе в</w:t>
      </w:r>
      <w:r>
        <w:rPr>
          <w:sz w:val="22"/>
          <w:szCs w:val="22"/>
          <w:lang w:val="en-US"/>
        </w:rPr>
        <w:t> </w:t>
      </w:r>
      <w:r>
        <w:rPr>
          <w:sz w:val="22"/>
          <w:szCs w:val="22"/>
        </w:rPr>
        <w:t>сфере закупок товаров, работ, услуг для обеспечения государственных и муниципальных нужд».</w:t>
      </w:r>
    </w:p>
    <w:p>
      <w:pPr>
        <w:pStyle w:val="Style30"/>
        <w:ind w:firstLine="567"/>
        <w:rPr>
          <w:sz w:val="22"/>
          <w:szCs w:val="22"/>
        </w:rPr>
      </w:pPr>
      <w:r>
        <w:rPr>
          <w:b/>
          <w:bCs/>
          <w:sz w:val="22"/>
          <w:szCs w:val="22"/>
        </w:rPr>
        <w:t>Закон 209-ФЗ</w:t>
      </w:r>
      <w:r>
        <w:rPr>
          <w:sz w:val="22"/>
          <w:szCs w:val="22"/>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sz w:val="22"/>
          <w:szCs w:val="22"/>
        </w:rPr>
      </w:pPr>
      <w:r>
        <w:rPr>
          <w:b/>
          <w:bCs/>
          <w:sz w:val="22"/>
          <w:szCs w:val="22"/>
        </w:rPr>
        <w:t>Закон 223-ФЗ</w:t>
      </w:r>
      <w:r>
        <w:rPr>
          <w:sz w:val="22"/>
          <w:szCs w:val="22"/>
        </w:rPr>
        <w:t xml:space="preserve"> – Федеральный закон от 18.07.2011 № 223-ФЗ «О закупках товаров, работ, услуг отдельными видами юридических лиц».</w:t>
      </w:r>
    </w:p>
    <w:p>
      <w:pPr>
        <w:pStyle w:val="Style30"/>
        <w:ind w:firstLine="567"/>
        <w:rPr>
          <w:sz w:val="22"/>
          <w:szCs w:val="22"/>
        </w:rPr>
      </w:pPr>
      <w:r>
        <w:rPr>
          <w:b/>
          <w:bCs/>
          <w:sz w:val="22"/>
          <w:szCs w:val="22"/>
        </w:rPr>
        <w:t>Закон 255-ФЗ</w:t>
      </w:r>
      <w:r>
        <w:rPr>
          <w:sz w:val="22"/>
          <w:szCs w:val="22"/>
        </w:rPr>
        <w:t xml:space="preserve"> – Федеральный закон от 14.07.2022 № 255-ФЗ «О контроле за деятельностью лиц, находящихся под иностранным влиянием».</w:t>
      </w:r>
    </w:p>
    <w:p>
      <w:pPr>
        <w:pStyle w:val="Style30"/>
        <w:ind w:firstLine="567"/>
        <w:rPr>
          <w:sz w:val="22"/>
          <w:szCs w:val="22"/>
        </w:rPr>
      </w:pPr>
      <w:r>
        <w:rPr>
          <w:b/>
          <w:bCs/>
          <w:sz w:val="22"/>
          <w:szCs w:val="22"/>
        </w:rPr>
        <w:t>Закон 422-ФЗ</w:t>
      </w:r>
      <w:r>
        <w:rPr>
          <w:sz w:val="22"/>
          <w:szCs w:val="22"/>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sz w:val="22"/>
          <w:szCs w:val="22"/>
        </w:rPr>
      </w:pPr>
      <w:r>
        <w:rPr>
          <w:b/>
          <w:bCs/>
          <w:sz w:val="22"/>
          <w:szCs w:val="22"/>
        </w:rPr>
        <w:t>Законодательство</w:t>
      </w:r>
      <w:r>
        <w:rPr>
          <w:sz w:val="22"/>
          <w:szCs w:val="22"/>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sz w:val="22"/>
          <w:szCs w:val="22"/>
        </w:rPr>
      </w:pPr>
      <w:r>
        <w:rPr>
          <w:b/>
          <w:bCs/>
          <w:sz w:val="22"/>
          <w:szCs w:val="22"/>
        </w:rPr>
        <w:t>Извещение</w:t>
      </w:r>
      <w:r>
        <w:rPr>
          <w:sz w:val="22"/>
          <w:szCs w:val="22"/>
        </w:rPr>
        <w:t xml:space="preserve"> – извещение о проведении настоящей закупки.</w:t>
      </w:r>
    </w:p>
    <w:p>
      <w:pPr>
        <w:pStyle w:val="Style30"/>
        <w:ind w:firstLine="567"/>
        <w:rPr>
          <w:sz w:val="22"/>
          <w:szCs w:val="22"/>
        </w:rPr>
      </w:pPr>
      <w:r>
        <w:rPr>
          <w:b/>
          <w:bCs/>
          <w:sz w:val="22"/>
          <w:szCs w:val="22"/>
        </w:rPr>
        <w:t>ИНН</w:t>
      </w:r>
      <w:r>
        <w:rPr>
          <w:sz w:val="22"/>
          <w:szCs w:val="22"/>
        </w:rPr>
        <w:t xml:space="preserve"> – идентификационный номер налогоплательщика.</w:t>
      </w:r>
    </w:p>
    <w:p>
      <w:pPr>
        <w:pStyle w:val="Style30"/>
        <w:ind w:firstLine="567"/>
        <w:rPr>
          <w:sz w:val="22"/>
          <w:szCs w:val="22"/>
        </w:rPr>
      </w:pPr>
      <w:r>
        <w:rPr>
          <w:b/>
          <w:bCs/>
          <w:sz w:val="22"/>
          <w:szCs w:val="22"/>
        </w:rPr>
        <w:t>ИФНС</w:t>
      </w:r>
      <w:r>
        <w:rPr>
          <w:sz w:val="22"/>
          <w:szCs w:val="22"/>
        </w:rPr>
        <w:t xml:space="preserve"> – инспекция Федеральной налоговой службы Российской Федерации.</w:t>
      </w:r>
    </w:p>
    <w:p>
      <w:pPr>
        <w:pStyle w:val="Style30"/>
        <w:ind w:firstLine="567"/>
        <w:rPr>
          <w:sz w:val="22"/>
          <w:szCs w:val="22"/>
        </w:rPr>
      </w:pPr>
      <w:r>
        <w:rPr>
          <w:b/>
          <w:bCs/>
          <w:sz w:val="22"/>
          <w:szCs w:val="22"/>
        </w:rPr>
        <w:t>МТР</w:t>
      </w:r>
      <w:r>
        <w:rPr>
          <w:sz w:val="22"/>
          <w:szCs w:val="22"/>
        </w:rPr>
        <w:t xml:space="preserve"> – материально-технические ресурсы.</w:t>
      </w:r>
    </w:p>
    <w:p>
      <w:pPr>
        <w:pStyle w:val="Style30"/>
        <w:ind w:firstLine="567"/>
        <w:rPr>
          <w:sz w:val="22"/>
          <w:szCs w:val="22"/>
        </w:rPr>
      </w:pPr>
      <w:r>
        <w:rPr>
          <w:b/>
          <w:bCs/>
          <w:sz w:val="22"/>
          <w:szCs w:val="22"/>
        </w:rPr>
        <w:t>НДС</w:t>
      </w:r>
      <w:r>
        <w:rPr>
          <w:sz w:val="22"/>
          <w:szCs w:val="22"/>
        </w:rPr>
        <w:t xml:space="preserve"> – налог на добавленную стоимость.</w:t>
      </w:r>
    </w:p>
    <w:p>
      <w:pPr>
        <w:pStyle w:val="Style30"/>
        <w:ind w:firstLine="567"/>
        <w:rPr>
          <w:sz w:val="22"/>
          <w:szCs w:val="22"/>
        </w:rPr>
      </w:pPr>
      <w:r>
        <w:rPr>
          <w:b/>
          <w:bCs/>
          <w:sz w:val="22"/>
          <w:szCs w:val="22"/>
        </w:rPr>
        <w:t>НМЦ</w:t>
      </w:r>
      <w:r>
        <w:rPr>
          <w:sz w:val="22"/>
          <w:szCs w:val="22"/>
        </w:rPr>
        <w:t xml:space="preserve"> – начальная (максимальная) цена договора.</w:t>
      </w:r>
    </w:p>
    <w:p>
      <w:pPr>
        <w:pStyle w:val="Style30"/>
        <w:ind w:firstLine="567"/>
        <w:rPr>
          <w:sz w:val="22"/>
          <w:szCs w:val="22"/>
        </w:rPr>
      </w:pPr>
      <w:r>
        <w:rPr>
          <w:b/>
          <w:bCs/>
          <w:sz w:val="22"/>
          <w:szCs w:val="22"/>
        </w:rPr>
        <w:t>Оператор ЭП</w:t>
      </w:r>
      <w:r>
        <w:rPr>
          <w:sz w:val="22"/>
          <w:szCs w:val="22"/>
        </w:rPr>
        <w:t xml:space="preserve"> – оператор электронной площадки.</w:t>
      </w:r>
    </w:p>
    <w:p>
      <w:pPr>
        <w:pStyle w:val="Style30"/>
        <w:ind w:firstLine="567"/>
        <w:rPr>
          <w:sz w:val="22"/>
          <w:szCs w:val="22"/>
        </w:rPr>
      </w:pPr>
      <w:r>
        <w:rPr>
          <w:b/>
          <w:bCs/>
          <w:sz w:val="22"/>
          <w:szCs w:val="22"/>
        </w:rPr>
        <w:t>Официальный сайт</w:t>
      </w:r>
      <w:r>
        <w:rPr>
          <w:sz w:val="22"/>
          <w:szCs w:val="22"/>
        </w:rPr>
        <w:t xml:space="preserve"> – официальный сайт Единой информационной системы в сфере закупок, расположенный в сети Интернет по </w:t>
      </w:r>
      <w:r>
        <w:rPr>
          <w:sz w:val="22"/>
          <w:szCs w:val="22"/>
          <w:lang w:val="en-US"/>
        </w:rPr>
        <w:t>URL</w:t>
      </w:r>
      <w:r>
        <w:rPr>
          <w:sz w:val="22"/>
          <w:szCs w:val="22"/>
        </w:rPr>
        <w:t>-адресу https://zakupki.gov.ru/.</w:t>
      </w:r>
    </w:p>
    <w:p>
      <w:pPr>
        <w:pStyle w:val="Style30"/>
        <w:ind w:firstLine="567"/>
        <w:rPr>
          <w:sz w:val="22"/>
          <w:szCs w:val="22"/>
        </w:rPr>
      </w:pPr>
      <w:r>
        <w:rPr>
          <w:b/>
          <w:bCs/>
          <w:sz w:val="22"/>
          <w:szCs w:val="22"/>
        </w:rPr>
        <w:t>Положение о закупке</w:t>
      </w:r>
      <w:r>
        <w:rPr>
          <w:sz w:val="22"/>
          <w:szCs w:val="22"/>
        </w:rPr>
        <w:t xml:space="preserve"> – Единое Положение о закупке продукции для нужд Группы РусГидро.</w:t>
      </w:r>
    </w:p>
    <w:p>
      <w:pPr>
        <w:pStyle w:val="Style30"/>
        <w:ind w:firstLine="567"/>
        <w:rPr>
          <w:sz w:val="22"/>
          <w:szCs w:val="22"/>
        </w:rPr>
      </w:pPr>
      <w:r>
        <w:rPr>
          <w:b/>
          <w:bCs/>
          <w:sz w:val="22"/>
          <w:szCs w:val="22"/>
        </w:rPr>
        <w:t>Положение об аккредитации</w:t>
      </w:r>
      <w:r>
        <w:rPr>
          <w:sz w:val="22"/>
          <w:szCs w:val="22"/>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sz w:val="22"/>
          <w:szCs w:val="22"/>
        </w:rPr>
      </w:pPr>
      <w:r>
        <w:rPr>
          <w:b/>
          <w:bCs/>
          <w:sz w:val="22"/>
          <w:szCs w:val="22"/>
        </w:rPr>
        <w:t>ПП 325</w:t>
      </w:r>
      <w:r>
        <w:rPr>
          <w:sz w:val="22"/>
          <w:szCs w:val="22"/>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sz w:val="22"/>
          <w:szCs w:val="22"/>
        </w:rPr>
      </w:pPr>
      <w:r>
        <w:rPr>
          <w:b/>
          <w:bCs/>
          <w:sz w:val="22"/>
          <w:szCs w:val="22"/>
        </w:rPr>
        <w:t>ПП 719</w:t>
      </w:r>
      <w:r>
        <w:rPr>
          <w:sz w:val="22"/>
          <w:szCs w:val="22"/>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sz w:val="22"/>
          <w:szCs w:val="22"/>
        </w:rPr>
      </w:pPr>
      <w:r>
        <w:rPr>
          <w:sz w:val="22"/>
          <w:szCs w:val="22"/>
        </w:rPr>
      </w:r>
    </w:p>
    <w:p>
      <w:pPr>
        <w:pStyle w:val="Style30"/>
        <w:ind w:firstLine="567"/>
        <w:rPr>
          <w:sz w:val="22"/>
          <w:szCs w:val="22"/>
        </w:rPr>
      </w:pPr>
      <w:r>
        <w:rPr>
          <w:b/>
          <w:bCs/>
          <w:sz w:val="22"/>
          <w:szCs w:val="22"/>
        </w:rPr>
        <w:t>ПП 1352</w:t>
      </w:r>
      <w:r>
        <w:rPr>
          <w:sz w:val="22"/>
          <w:szCs w:val="22"/>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sz w:val="22"/>
          <w:szCs w:val="22"/>
        </w:rPr>
      </w:pPr>
      <w:r>
        <w:rPr>
          <w:b/>
          <w:bCs/>
          <w:sz w:val="22"/>
          <w:szCs w:val="22"/>
        </w:rPr>
        <w:t>ПП 1875</w:t>
      </w:r>
      <w:r>
        <w:rPr>
          <w:sz w:val="22"/>
          <w:szCs w:val="22"/>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sz w:val="22"/>
          <w:szCs w:val="22"/>
        </w:rPr>
      </w:pPr>
      <w:r>
        <w:rPr>
          <w:b/>
          <w:bCs/>
          <w:sz w:val="22"/>
          <w:szCs w:val="22"/>
        </w:rPr>
        <w:t>Реестр МСП</w:t>
      </w:r>
      <w:r>
        <w:rPr>
          <w:sz w:val="22"/>
          <w:szCs w:val="22"/>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sz w:val="22"/>
          <w:szCs w:val="22"/>
        </w:rPr>
      </w:pPr>
      <w:r>
        <w:rPr>
          <w:b/>
          <w:bCs/>
          <w:sz w:val="22"/>
          <w:szCs w:val="22"/>
        </w:rPr>
        <w:t>Стороны</w:t>
      </w:r>
      <w:r>
        <w:rPr>
          <w:sz w:val="22"/>
          <w:szCs w:val="22"/>
        </w:rPr>
        <w:t xml:space="preserve"> – Организатор, Заказчик и Участники, являющиеся сторонами данной закупки (при совместном упоминании).</w:t>
      </w:r>
    </w:p>
    <w:p>
      <w:pPr>
        <w:pStyle w:val="Style30"/>
        <w:ind w:firstLine="567"/>
        <w:rPr>
          <w:sz w:val="22"/>
          <w:szCs w:val="22"/>
        </w:rPr>
      </w:pPr>
      <w:r>
        <w:rPr>
          <w:b/>
          <w:bCs/>
          <w:sz w:val="22"/>
          <w:szCs w:val="22"/>
        </w:rPr>
        <w:t>Субъект МСП</w:t>
      </w:r>
      <w:r>
        <w:rPr>
          <w:sz w:val="22"/>
          <w:szCs w:val="22"/>
        </w:rPr>
        <w:t xml:space="preserve"> – субъект малого и среднего предпринимательства.</w:t>
      </w:r>
    </w:p>
    <w:p>
      <w:pPr>
        <w:pStyle w:val="Style30"/>
        <w:ind w:firstLine="567"/>
        <w:rPr>
          <w:sz w:val="22"/>
          <w:szCs w:val="22"/>
        </w:rPr>
      </w:pPr>
      <w:r>
        <w:rPr>
          <w:b/>
          <w:bCs/>
          <w:sz w:val="22"/>
          <w:szCs w:val="22"/>
        </w:rPr>
        <w:t>ЭП</w:t>
      </w:r>
      <w:r>
        <w:rPr>
          <w:sz w:val="22"/>
          <w:szCs w:val="22"/>
        </w:rPr>
        <w:t xml:space="preserve"> – электронная площадка.</w:t>
      </w:r>
    </w:p>
    <w:p>
      <w:pPr>
        <w:pStyle w:val="Style29"/>
        <w:numPr>
          <w:ilvl w:val="0"/>
          <w:numId w:val="0"/>
        </w:numPr>
        <w:ind w:hanging="0" w:left="0"/>
        <w:outlineLvl w:val="0"/>
        <w:rPr>
          <w:sz w:val="22"/>
          <w:szCs w:val="22"/>
        </w:rPr>
      </w:pPr>
      <w:bookmarkStart w:id="1" w:name="_Toc224744283"/>
      <w:r>
        <w:rPr>
          <w:sz w:val="22"/>
          <w:szCs w:val="22"/>
        </w:rPr>
        <w:t>Термины и определения</w:t>
      </w:r>
      <w:bookmarkEnd w:id="1"/>
    </w:p>
    <w:p>
      <w:pPr>
        <w:pStyle w:val="Style30"/>
        <w:ind w:firstLine="567"/>
        <w:rPr>
          <w:sz w:val="22"/>
          <w:szCs w:val="22"/>
        </w:rPr>
      </w:pPr>
      <w:r>
        <w:rPr>
          <w:b/>
          <w:bCs/>
          <w:sz w:val="22"/>
          <w:szCs w:val="22"/>
        </w:rPr>
        <w:t>Аккредитация</w:t>
      </w:r>
      <w:r>
        <w:rPr>
          <w:sz w:val="22"/>
          <w:szCs w:val="22"/>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sz w:val="22"/>
          <w:szCs w:val="22"/>
        </w:rPr>
      </w:pPr>
      <w:r>
        <w:rPr>
          <w:b/>
          <w:bCs/>
          <w:sz w:val="22"/>
          <w:szCs w:val="22"/>
        </w:rPr>
        <w:t>Актуализация статуса (аккредитации)</w:t>
      </w:r>
      <w:r>
        <w:rPr>
          <w:sz w:val="22"/>
          <w:szCs w:val="22"/>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sz w:val="22"/>
          <w:szCs w:val="22"/>
        </w:rPr>
      </w:pPr>
      <w:r>
        <w:rPr>
          <w:b/>
          <w:bCs/>
          <w:sz w:val="22"/>
          <w:szCs w:val="22"/>
        </w:rPr>
        <w:t>Генеральный подрядчик</w:t>
      </w:r>
      <w:r>
        <w:rPr>
          <w:sz w:val="22"/>
          <w:szCs w:val="22"/>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sz w:val="22"/>
          <w:szCs w:val="22"/>
        </w:rPr>
      </w:pPr>
      <w:r>
        <w:rPr>
          <w:b/>
          <w:bCs/>
          <w:sz w:val="22"/>
          <w:szCs w:val="22"/>
        </w:rPr>
        <w:t>Документация о закупке</w:t>
      </w:r>
      <w:r>
        <w:rPr>
          <w:sz w:val="22"/>
          <w:szCs w:val="22"/>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sz w:val="22"/>
          <w:szCs w:val="22"/>
        </w:rPr>
      </w:pPr>
      <w:r>
        <w:rPr>
          <w:b/>
          <w:bCs/>
          <w:sz w:val="22"/>
          <w:szCs w:val="22"/>
        </w:rPr>
        <w:t>Единая информационная система в сфере закупок</w:t>
      </w:r>
      <w:r>
        <w:rPr>
          <w:sz w:val="22"/>
          <w:szCs w:val="22"/>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sz w:val="22"/>
          <w:szCs w:val="22"/>
        </w:rPr>
      </w:pPr>
      <w:r>
        <w:rPr>
          <w:b/>
          <w:bCs/>
          <w:sz w:val="22"/>
          <w:szCs w:val="22"/>
        </w:rPr>
        <w:t>Единый реестр субъектов малого и среднего предпринимательства</w:t>
      </w:r>
      <w:r>
        <w:rPr>
          <w:sz w:val="22"/>
          <w:szCs w:val="22"/>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sz w:val="22"/>
          <w:szCs w:val="22"/>
        </w:rPr>
      </w:pPr>
      <w:r>
        <w:rPr>
          <w:b/>
          <w:bCs/>
          <w:sz w:val="22"/>
          <w:szCs w:val="22"/>
        </w:rPr>
        <w:t>Заказчик</w:t>
      </w:r>
      <w:r>
        <w:rPr>
          <w:sz w:val="22"/>
          <w:szCs w:val="22"/>
        </w:rPr>
        <w:t xml:space="preserve"> – юридическое лицо, в интересах и за счет средств, которого осуществляется закупка.</w:t>
      </w:r>
    </w:p>
    <w:p>
      <w:pPr>
        <w:pStyle w:val="Style30"/>
        <w:ind w:firstLine="567"/>
        <w:rPr>
          <w:sz w:val="22"/>
          <w:szCs w:val="22"/>
        </w:rPr>
      </w:pPr>
      <w:r>
        <w:rPr>
          <w:b/>
          <w:bCs/>
          <w:sz w:val="22"/>
          <w:szCs w:val="22"/>
        </w:rPr>
        <w:t>Закупка</w:t>
      </w:r>
      <w:r>
        <w:rPr>
          <w:sz w:val="22"/>
          <w:szCs w:val="22"/>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sz w:val="22"/>
          <w:szCs w:val="22"/>
        </w:rPr>
      </w:pPr>
      <w:r>
        <w:rPr>
          <w:b/>
          <w:bCs/>
          <w:sz w:val="22"/>
          <w:szCs w:val="22"/>
        </w:rPr>
        <w:t>Закупочная комиссия</w:t>
      </w:r>
      <w:r>
        <w:rPr>
          <w:sz w:val="22"/>
          <w:szCs w:val="22"/>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sz w:val="22"/>
          <w:szCs w:val="22"/>
        </w:rPr>
      </w:pPr>
      <w:r>
        <w:rPr>
          <w:b/>
          <w:bCs/>
          <w:sz w:val="22"/>
          <w:szCs w:val="22"/>
        </w:rPr>
        <w:t>Заявка (заявка на участие в закупке)</w:t>
      </w:r>
      <w:r>
        <w:rPr>
          <w:sz w:val="22"/>
          <w:szCs w:val="22"/>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sz w:val="22"/>
          <w:szCs w:val="22"/>
        </w:rPr>
      </w:pPr>
      <w:r>
        <w:rPr>
          <w:b/>
          <w:bCs/>
          <w:sz w:val="22"/>
          <w:szCs w:val="22"/>
        </w:rPr>
        <w:t>Заявка на аккредитацию</w:t>
      </w:r>
      <w:r>
        <w:rPr>
          <w:sz w:val="22"/>
          <w:szCs w:val="22"/>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sz w:val="22"/>
          <w:szCs w:val="22"/>
        </w:rPr>
      </w:pPr>
      <w:r>
        <w:rPr>
          <w:b/>
          <w:bCs/>
          <w:sz w:val="22"/>
          <w:szCs w:val="22"/>
        </w:rPr>
        <w:t>Извещение о закупке (Извещение)</w:t>
      </w:r>
      <w:r>
        <w:rPr>
          <w:sz w:val="22"/>
          <w:szCs w:val="22"/>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sz w:val="22"/>
          <w:szCs w:val="22"/>
        </w:rPr>
      </w:pPr>
      <w:r>
        <w:rPr>
          <w:b/>
          <w:bCs/>
          <w:sz w:val="22"/>
          <w:szCs w:val="22"/>
        </w:rPr>
        <w:t>Интеллектуальные системы управления электросетевым хозяйством</w:t>
      </w:r>
      <w:r>
        <w:rPr>
          <w:sz w:val="22"/>
          <w:szCs w:val="22"/>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sz w:val="22"/>
          <w:szCs w:val="22"/>
        </w:rPr>
      </w:pPr>
      <w:r>
        <w:rPr>
          <w:b/>
          <w:bCs/>
          <w:sz w:val="22"/>
          <w:szCs w:val="22"/>
        </w:rPr>
        <w:t>Лот</w:t>
      </w:r>
      <w:r>
        <w:rPr>
          <w:sz w:val="22"/>
          <w:szCs w:val="22"/>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sz w:val="22"/>
          <w:szCs w:val="22"/>
        </w:rPr>
      </w:pPr>
      <w:r>
        <w:rPr>
          <w:b/>
          <w:bCs/>
          <w:sz w:val="22"/>
          <w:szCs w:val="22"/>
        </w:rPr>
        <w:t>Мониторинг аккредитованных поставщиков</w:t>
      </w:r>
      <w:r>
        <w:rPr>
          <w:sz w:val="22"/>
          <w:szCs w:val="22"/>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sz w:val="22"/>
          <w:szCs w:val="22"/>
        </w:rPr>
      </w:pPr>
      <w:r>
        <w:rPr>
          <w:b/>
          <w:bCs/>
          <w:sz w:val="22"/>
          <w:szCs w:val="22"/>
        </w:rPr>
        <w:t>Начальная (максимальная) цена договора</w:t>
      </w:r>
      <w:r>
        <w:rPr>
          <w:sz w:val="22"/>
          <w:szCs w:val="22"/>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sz w:val="22"/>
          <w:szCs w:val="22"/>
        </w:rPr>
      </w:pPr>
      <w:r>
        <w:rPr>
          <w:b/>
          <w:bCs/>
          <w:sz w:val="22"/>
          <w:szCs w:val="22"/>
        </w:rPr>
        <w:t>Оператор электронной площадки</w:t>
      </w:r>
      <w:r>
        <w:rPr>
          <w:sz w:val="22"/>
          <w:szCs w:val="22"/>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sz w:val="22"/>
          <w:szCs w:val="22"/>
        </w:rPr>
      </w:pPr>
      <w:r>
        <w:rPr>
          <w:b/>
          <w:bCs/>
          <w:sz w:val="22"/>
          <w:szCs w:val="22"/>
        </w:rPr>
        <w:t>Организатор</w:t>
      </w:r>
      <w:r>
        <w:rPr>
          <w:sz w:val="22"/>
          <w:szCs w:val="22"/>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sz w:val="22"/>
          <w:szCs w:val="22"/>
        </w:rPr>
      </w:pPr>
      <w:r>
        <w:rPr>
          <w:b/>
          <w:bCs/>
          <w:sz w:val="22"/>
          <w:szCs w:val="22"/>
        </w:rPr>
        <w:t>Официальное размещение</w:t>
      </w:r>
      <w:r>
        <w:rPr>
          <w:sz w:val="22"/>
          <w:szCs w:val="22"/>
        </w:rPr>
        <w:t xml:space="preserve"> – размещение информации о закупке в ЕИС, на</w:t>
      </w:r>
      <w:r>
        <w:rPr>
          <w:sz w:val="22"/>
          <w:szCs w:val="22"/>
          <w:lang w:val="en-US"/>
        </w:rPr>
        <w:t> </w:t>
      </w:r>
      <w:r>
        <w:rPr>
          <w:sz w:val="22"/>
          <w:szCs w:val="22"/>
        </w:rPr>
        <w:t>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sz w:val="22"/>
          <w:szCs w:val="22"/>
        </w:rPr>
      </w:pPr>
      <w:r>
        <w:rPr>
          <w:b/>
          <w:bCs/>
          <w:sz w:val="22"/>
          <w:szCs w:val="22"/>
        </w:rPr>
        <w:t>Победитель</w:t>
      </w:r>
      <w:r>
        <w:rPr>
          <w:sz w:val="22"/>
          <w:szCs w:val="22"/>
        </w:rPr>
        <w:t xml:space="preserve"> – Участник, заявка которого соответствует требованиям Документации о закупке и который предложил наиболее низкую стоимость заявки (цену Договора). В</w:t>
      </w:r>
      <w:r>
        <w:rPr>
          <w:sz w:val="22"/>
          <w:szCs w:val="22"/>
          <w:lang w:val="en-US"/>
        </w:rPr>
        <w:t> </w:t>
      </w:r>
      <w:r>
        <w:rPr>
          <w:sz w:val="22"/>
          <w:szCs w:val="22"/>
        </w:rPr>
        <w:t>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sz w:val="22"/>
          <w:szCs w:val="22"/>
        </w:rPr>
      </w:pPr>
      <w:r>
        <w:rPr>
          <w:b/>
          <w:bCs/>
          <w:sz w:val="22"/>
          <w:szCs w:val="22"/>
        </w:rPr>
        <w:t>Поставщик</w:t>
      </w:r>
      <w:r>
        <w:rPr>
          <w:sz w:val="22"/>
          <w:szCs w:val="22"/>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sz w:val="22"/>
          <w:szCs w:val="22"/>
        </w:rPr>
      </w:pPr>
      <w:r>
        <w:rPr>
          <w:b/>
          <w:bCs/>
          <w:sz w:val="22"/>
          <w:szCs w:val="22"/>
        </w:rPr>
        <w:t>Предмет закупки / предмет договора</w:t>
      </w:r>
      <w:r>
        <w:rPr>
          <w:sz w:val="22"/>
          <w:szCs w:val="22"/>
        </w:rPr>
        <w:t xml:space="preserve"> – конкретная продукция, которую предполагается закупить в объеме и на условиях, определенных Заказчиком.</w:t>
      </w:r>
    </w:p>
    <w:p>
      <w:pPr>
        <w:pStyle w:val="Style30"/>
        <w:ind w:firstLine="567"/>
        <w:rPr>
          <w:sz w:val="22"/>
          <w:szCs w:val="22"/>
        </w:rPr>
      </w:pPr>
      <w:r>
        <w:rPr>
          <w:b/>
          <w:bCs/>
          <w:sz w:val="22"/>
          <w:szCs w:val="22"/>
        </w:rPr>
        <w:t>Преференция</w:t>
      </w:r>
      <w:r>
        <w:rPr>
          <w:sz w:val="22"/>
          <w:szCs w:val="22"/>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sz w:val="22"/>
          <w:szCs w:val="22"/>
        </w:rPr>
      </w:pPr>
      <w:r>
        <w:rPr>
          <w:b/>
          <w:bCs/>
          <w:sz w:val="22"/>
          <w:szCs w:val="22"/>
        </w:rPr>
        <w:t>Применение законодательства о национальном режиме</w:t>
      </w:r>
      <w:r>
        <w:rPr>
          <w:sz w:val="22"/>
          <w:szCs w:val="22"/>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sz w:val="22"/>
          <w:szCs w:val="22"/>
        </w:rPr>
      </w:pPr>
      <w:r>
        <w:rPr>
          <w:b/>
          <w:bCs/>
          <w:sz w:val="22"/>
          <w:szCs w:val="22"/>
        </w:rPr>
        <w:t>Программное обеспечение</w:t>
      </w:r>
      <w:r>
        <w:rPr>
          <w:sz w:val="22"/>
          <w:szCs w:val="22"/>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sz w:val="22"/>
          <w:szCs w:val="22"/>
        </w:rPr>
      </w:pPr>
      <w:r>
        <w:rPr>
          <w:b/>
          <w:bCs/>
          <w:sz w:val="22"/>
          <w:szCs w:val="22"/>
        </w:rPr>
        <w:t>Продукция</w:t>
      </w:r>
      <w:r>
        <w:rPr>
          <w:sz w:val="22"/>
          <w:szCs w:val="22"/>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sz w:val="22"/>
          <w:szCs w:val="22"/>
        </w:rPr>
      </w:pPr>
      <w:r>
        <w:rPr>
          <w:b/>
          <w:bCs/>
          <w:sz w:val="22"/>
          <w:szCs w:val="22"/>
        </w:rPr>
        <w:t>Реестр аккредитации</w:t>
      </w:r>
      <w:r>
        <w:rPr>
          <w:sz w:val="22"/>
          <w:szCs w:val="22"/>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sz w:val="22"/>
          <w:szCs w:val="22"/>
        </w:rPr>
      </w:pPr>
      <w:r>
        <w:rPr>
          <w:b/>
          <w:bCs/>
          <w:sz w:val="22"/>
          <w:szCs w:val="22"/>
        </w:rPr>
        <w:t>Субъект малого и среднего предпринимательства</w:t>
      </w:r>
      <w:r>
        <w:rPr>
          <w:sz w:val="22"/>
          <w:szCs w:val="22"/>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sz w:val="22"/>
          <w:szCs w:val="22"/>
        </w:rPr>
        <w:footnoteReference w:id="2"/>
      </w:r>
      <w:r>
        <w:rPr>
          <w:sz w:val="22"/>
          <w:szCs w:val="22"/>
        </w:rPr>
        <w:t>, если иное не установлено в Документации о закупке.</w:t>
      </w:r>
    </w:p>
    <w:p>
      <w:pPr>
        <w:pStyle w:val="Style30"/>
        <w:ind w:firstLine="567"/>
        <w:rPr>
          <w:sz w:val="22"/>
          <w:szCs w:val="22"/>
        </w:rPr>
      </w:pPr>
      <w:r>
        <w:rPr>
          <w:b/>
          <w:bCs/>
          <w:sz w:val="22"/>
          <w:szCs w:val="22"/>
        </w:rPr>
        <w:t>Уполномоченное лицо</w:t>
      </w:r>
      <w:r>
        <w:rPr>
          <w:sz w:val="22"/>
          <w:szCs w:val="22"/>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z w:val="22"/>
          <w:szCs w:val="22"/>
          <w:shd w:fill="FFFFFF" w:val="clear"/>
        </w:rPr>
        <w:t>в том числе выданной в порядке передоверия,</w:t>
      </w:r>
      <w:r>
        <w:rPr>
          <w:sz w:val="22"/>
          <w:szCs w:val="22"/>
        </w:rPr>
        <w:t xml:space="preserve"> от имени организации, полномочия которых подтверждены соответствующими документами.</w:t>
      </w:r>
    </w:p>
    <w:p>
      <w:pPr>
        <w:pStyle w:val="Style30"/>
        <w:ind w:firstLine="567"/>
        <w:rPr>
          <w:sz w:val="22"/>
          <w:szCs w:val="22"/>
        </w:rPr>
      </w:pPr>
      <w:r>
        <w:rPr>
          <w:b/>
          <w:bCs/>
          <w:sz w:val="22"/>
          <w:szCs w:val="22"/>
        </w:rPr>
        <w:t>Участник</w:t>
      </w:r>
      <w:r>
        <w:rPr>
          <w:sz w:val="22"/>
          <w:szCs w:val="22"/>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4"/>
        <w:rPr>
          <w:sz w:val="22"/>
          <w:szCs w:val="22"/>
        </w:rPr>
      </w:pPr>
      <w:bookmarkStart w:id="2" w:name="_Toc224744284"/>
      <w:bookmarkStart w:id="3" w:name="_Ref125359988"/>
      <w:r>
        <w:rPr>
          <w:sz w:val="22"/>
          <w:szCs w:val="22"/>
        </w:rPr>
        <w:t>Основные сведения о закупке</w:t>
      </w:r>
      <w:bookmarkEnd w:id="2"/>
      <w:bookmarkEnd w:id="3"/>
    </w:p>
    <w:p>
      <w:pPr>
        <w:pStyle w:val="Style25"/>
        <w:rPr>
          <w:sz w:val="22"/>
          <w:szCs w:val="22"/>
        </w:rPr>
      </w:pPr>
      <w:bookmarkStart w:id="4" w:name="_Toc224744285"/>
      <w:r>
        <w:rPr>
          <w:sz w:val="22"/>
          <w:szCs w:val="22"/>
        </w:rPr>
        <w:t>Статус настоящего раздела</w:t>
      </w:r>
      <w:bookmarkEnd w:id="4"/>
    </w:p>
    <w:p>
      <w:pPr>
        <w:pStyle w:val="Style26"/>
        <w:rPr>
          <w:sz w:val="22"/>
          <w:szCs w:val="22"/>
        </w:rPr>
      </w:pPr>
      <w:r>
        <w:rPr>
          <w:sz w:val="22"/>
          <w:szCs w:val="22"/>
        </w:rPr>
        <w:t>В настоящем разделе содержатся основные сведения о предмете, способе и иных ключевых условиях проводимой закупки.</w:t>
      </w:r>
    </w:p>
    <w:p>
      <w:pPr>
        <w:pStyle w:val="Style26"/>
        <w:rPr/>
      </w:pPr>
      <w:r>
        <w:rPr>
          <w:sz w:val="22"/>
          <w:szCs w:val="22"/>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4"/>
            <w:sz w:val="22"/>
            <w:szCs w:val="22"/>
          </w:rPr>
          <w:t>Технических требованиях (Приложение № 1)</w:t>
        </w:r>
      </w:hyperlink>
      <w:r>
        <w:rPr>
          <w:rStyle w:val="Style14"/>
          <w:sz w:val="22"/>
          <w:szCs w:val="22"/>
        </w:rPr>
        <w:t>,</w:t>
      </w:r>
      <w:r>
        <w:rPr>
          <w:sz w:val="22"/>
          <w:szCs w:val="22"/>
        </w:rPr>
        <w:t xml:space="preserve"> в </w:t>
      </w:r>
      <w:hyperlink w:anchor="Прил02_ПроектДоговора">
        <w:r>
          <w:rPr>
            <w:rStyle w:val="Style14"/>
            <w:sz w:val="22"/>
            <w:szCs w:val="22"/>
          </w:rPr>
          <w:t>Проекте договора (Приложение № 2)</w:t>
        </w:r>
      </w:hyperlink>
      <w:r>
        <w:rPr>
          <w:sz w:val="22"/>
          <w:szCs w:val="22"/>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rPr>
          <w:sz w:val="22"/>
          <w:szCs w:val="22"/>
        </w:rPr>
      </w:pPr>
      <w:bookmarkStart w:id="5" w:name="_Ref136768031"/>
      <w:r>
        <w:rPr>
          <w:sz w:val="22"/>
          <w:szCs w:val="22"/>
        </w:rPr>
        <w:t>Информация о проводимой закупке, указанная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 объеме, определенном частью 9 статьи 4 Закона 223-ФЗ, составляет Извещение о закупке.</w:t>
      </w:r>
      <w:bookmarkEnd w:id="5"/>
    </w:p>
    <w:p>
      <w:pPr>
        <w:pStyle w:val="Style25"/>
        <w:spacing w:before="360" w:after="120"/>
        <w:rPr>
          <w:sz w:val="22"/>
          <w:szCs w:val="22"/>
        </w:rPr>
      </w:pPr>
      <w:bookmarkStart w:id="6" w:name="_Toc224744286"/>
      <w:bookmarkStart w:id="7" w:name="_Ref127270076"/>
      <w:bookmarkStart w:id="8" w:name="_Ref125359973"/>
      <w:r>
        <w:rPr>
          <w:sz w:val="22"/>
          <w:szCs w:val="22"/>
        </w:rPr>
        <w:t>Информация о проводимой закупке</w:t>
      </w:r>
      <w:bookmarkEnd w:id="6"/>
      <w:bookmarkEnd w:id="7"/>
      <w:bookmarkEnd w:id="8"/>
    </w:p>
    <w:tbl>
      <w:tblPr>
        <w:tblStyle w:val="af6"/>
        <w:tblW w:w="9754"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39"/>
        <w:gridCol w:w="3239"/>
        <w:gridCol w:w="5676"/>
      </w:tblGrid>
      <w:tr>
        <w:trPr>
          <w:cnfStyle w:val="100000000000" w:firstRow="1" w:lastRow="0" w:firstColumn="0" w:lastColumn="0" w:oddVBand="0" w:evenVBand="0" w:oddHBand="0" w:evenHBand="0" w:firstRowFirstColumn="0" w:firstRowLastColumn="0" w:lastRowFirstColumn="0" w:lastRowLastColumn="0"/>
        </w:trPr>
        <w:tc>
          <w:tcPr>
            <w:tcW w:w="839"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2"/>
                <w:szCs w:val="22"/>
                <w:lang w:val="ru-RU" w:eastAsia="en-US" w:bidi="ar-SA"/>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3239"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2"/>
                <w:szCs w:val="22"/>
                <w:lang w:val="ru-RU" w:eastAsia="en-US" w:bidi="ar-SA"/>
              </w:rPr>
            </w:pPr>
            <w:r>
              <w:rPr>
                <w:rFonts w:eastAsia="Calibri" w:cs=""/>
                <w:b/>
                <w:kern w:val="0"/>
                <w:sz w:val="22"/>
                <w:szCs w:val="22"/>
                <w:lang w:val="ru-RU" w:eastAsia="en-US" w:bidi="ar-SA"/>
              </w:rPr>
              <w:t>Наименование пункта</w:t>
            </w:r>
          </w:p>
        </w:tc>
        <w:tc>
          <w:tcPr>
            <w:tcW w:w="567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2"/>
                <w:szCs w:val="22"/>
                <w:lang w:val="ru-RU" w:eastAsia="en-US" w:bidi="ar-SA"/>
              </w:rPr>
            </w:pPr>
            <w:r>
              <w:rPr>
                <w:rFonts w:eastAsia="Calibri" w:cs=""/>
                <w:b/>
                <w:kern w:val="0"/>
                <w:sz w:val="22"/>
                <w:szCs w:val="22"/>
                <w:lang w:val="ru-RU" w:eastAsia="en-US" w:bidi="ar-SA"/>
              </w:rPr>
              <w:t>Содержание пункта</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9" w:name="_Ref125360980"/>
            <w:bookmarkStart w:id="10" w:name="_Ref125360980"/>
            <w:bookmarkEnd w:id="10"/>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Способ закупки:</w:t>
            </w:r>
          </w:p>
        </w:tc>
        <w:tc>
          <w:tcPr>
            <w:tcW w:w="5676" w:type="dxa"/>
            <w:tcBorders/>
          </w:tcPr>
          <w:p>
            <w:pPr>
              <w:pStyle w:val="Style30"/>
              <w:widowControl w:val="false"/>
              <w:suppressAutoHyphens w:val="true"/>
              <w:spacing w:before="0" w:after="0"/>
              <w:rPr/>
            </w:pPr>
            <w:r>
              <w:rPr>
                <w:rFonts w:eastAsia="Calibri" w:cs=""/>
                <w:i w:val="false"/>
                <w:iCs w:val="false"/>
                <w:kern w:val="0"/>
                <w:sz w:val="22"/>
                <w:szCs w:val="22"/>
                <w:shd w:fill="auto" w:val="clear"/>
                <w:lang w:val="ru-RU" w:eastAsia="en-US" w:bidi="ar-SA"/>
              </w:rPr>
              <w:t>Запрос котировок в электронной форме, участниками которого могут быть только субъекты МСП.</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1" w:name="_Ref125360996"/>
            <w:bookmarkStart w:id="12" w:name="_Ref125360996"/>
            <w:bookmarkEnd w:id="12"/>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Предмет Договора (в том числе номер лота):</w:t>
            </w:r>
          </w:p>
        </w:tc>
        <w:tc>
          <w:tcPr>
            <w:tcW w:w="5676" w:type="dxa"/>
            <w:tcBorders/>
          </w:tcPr>
          <w:p>
            <w:pPr>
              <w:pStyle w:val="Style30"/>
              <w:widowControl w:val="false"/>
              <w:suppressAutoHyphens w:val="true"/>
              <w:spacing w:before="0" w:after="0"/>
              <w:rPr/>
            </w:pPr>
            <w:r>
              <w:rPr>
                <w:rFonts w:eastAsia="Calibri" w:cs=""/>
                <w:b/>
                <w:bCs/>
                <w:i w:val="false"/>
                <w:iCs w:val="false"/>
                <w:kern w:val="0"/>
                <w:sz w:val="22"/>
                <w:szCs w:val="22"/>
                <w:shd w:fill="auto" w:val="clear"/>
                <w:lang w:val="ru-RU" w:eastAsia="en-US" w:bidi="ar-SA"/>
              </w:rPr>
              <w:t>Лот</w:t>
            </w:r>
            <w:r>
              <w:rPr>
                <w:rFonts w:eastAsia="Calibri" w:cs=""/>
                <w:i w:val="false"/>
                <w:iCs w:val="false"/>
                <w:kern w:val="0"/>
                <w:sz w:val="22"/>
                <w:szCs w:val="22"/>
                <w:shd w:fill="auto" w:val="clear"/>
                <w:lang w:val="ru-RU" w:eastAsia="en-US" w:bidi="ar-SA"/>
              </w:rPr>
              <w:t xml:space="preserve"> </w:t>
            </w:r>
            <w:r>
              <w:rPr>
                <w:rFonts w:eastAsia="Calibri" w:cs=""/>
                <w:b/>
                <w:bCs/>
                <w:i w:val="false"/>
                <w:iCs w:val="false"/>
                <w:kern w:val="0"/>
                <w:sz w:val="22"/>
                <w:szCs w:val="22"/>
                <w:shd w:fill="auto" w:val="clear"/>
                <w:lang w:val="ru-RU" w:eastAsia="en-US" w:bidi="ar-SA"/>
              </w:rPr>
              <w:t>№ 000</w:t>
            </w:r>
            <w:r>
              <w:rPr>
                <w:rFonts w:eastAsia="Calibri" w:cs=""/>
                <w:b/>
                <w:bCs/>
                <w:i w:val="false"/>
                <w:iCs w:val="false"/>
                <w:kern w:val="0"/>
                <w:sz w:val="22"/>
                <w:szCs w:val="22"/>
                <w:shd w:fill="auto" w:val="clear"/>
                <w:lang w:val="ru-RU" w:eastAsia="en-US" w:bidi="ar-SA"/>
              </w:rPr>
              <w:t>5</w:t>
            </w:r>
            <w:r>
              <w:rPr>
                <w:rFonts w:eastAsia="Calibri" w:cs=""/>
                <w:b/>
                <w:bCs/>
                <w:i w:val="false"/>
                <w:iCs w:val="false"/>
                <w:kern w:val="0"/>
                <w:sz w:val="22"/>
                <w:szCs w:val="22"/>
                <w:shd w:fill="auto" w:val="clear"/>
                <w:lang w:val="ru-RU" w:eastAsia="en-US" w:bidi="ar-SA"/>
              </w:rPr>
              <w:t xml:space="preserve">-ТО ДУД-2027-СК РусГидро: </w:t>
            </w:r>
            <w:r>
              <w:rPr>
                <w:rStyle w:val="Style11"/>
                <w:rFonts w:eastAsia="Calibri" w:cs=""/>
                <w:b/>
                <w:bCs/>
                <w:i w:val="false"/>
                <w:iCs w:val="false"/>
                <w:kern w:val="0"/>
                <w:sz w:val="22"/>
                <w:szCs w:val="22"/>
                <w:shd w:fill="auto" w:val="clear"/>
                <w:lang w:val="ru-RU" w:eastAsia="en-US" w:bidi="ar-SA"/>
              </w:rPr>
              <w:t>ОКПД2 81.29.12.000 Услуги по подметанию и уборке снега на объектах филиала ПАО "РусГидро" - "Нижегородская ГЭС"</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3" w:name="_Ref135729276"/>
            <w:bookmarkStart w:id="14" w:name="_Ref135729276"/>
            <w:bookmarkEnd w:id="14"/>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Описание предмета закупки:</w:t>
            </w:r>
          </w:p>
        </w:tc>
        <w:tc>
          <w:tcPr>
            <w:tcW w:w="5676" w:type="dxa"/>
            <w:tcBorders/>
          </w:tcPr>
          <w:p>
            <w:pPr>
              <w:pStyle w:val="Style30"/>
              <w:widowControl w:val="false"/>
              <w:suppressAutoHyphens w:val="true"/>
              <w:spacing w:before="0" w:after="0"/>
              <w:rPr/>
            </w:pPr>
            <w:r>
              <w:rPr>
                <w:rFonts w:eastAsia="Calibri" w:cs=""/>
                <w:kern w:val="0"/>
                <w:sz w:val="22"/>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4"/>
                  <w:rFonts w:eastAsia="Calibri" w:cs=""/>
                  <w:kern w:val="0"/>
                  <w:sz w:val="22"/>
                  <w:szCs w:val="22"/>
                  <w:lang w:val="ru-RU" w:eastAsia="en-US" w:bidi="ar-SA"/>
                </w:rPr>
                <w:t>Технических требованиях (Приложении № 1)</w:t>
              </w:r>
            </w:hyperlink>
            <w:r>
              <w:rPr>
                <w:rFonts w:eastAsia="Calibri" w:cs=""/>
                <w:kern w:val="0"/>
                <w:sz w:val="22"/>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5" w:name="_Ref125367124"/>
            <w:bookmarkStart w:id="16" w:name="_Ref125367124"/>
            <w:bookmarkEnd w:id="16"/>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Многолотовая закупка:</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Нет.</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7" w:name="_Ref125360764"/>
            <w:bookmarkStart w:id="18" w:name="_Ref125360764"/>
            <w:bookmarkEnd w:id="18"/>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Наименование и адрес ЭП, на которой проводится закупка:</w:t>
            </w:r>
          </w:p>
        </w:tc>
        <w:tc>
          <w:tcPr>
            <w:tcW w:w="5676" w:type="dxa"/>
            <w:tcBorders/>
          </w:tcPr>
          <w:p>
            <w:pPr>
              <w:pStyle w:val="Style30"/>
              <w:widowControl w:val="false"/>
              <w:suppressAutoHyphens w:val="true"/>
              <w:spacing w:before="0" w:after="0"/>
              <w:rPr/>
            </w:pPr>
            <w:r>
              <w:rPr>
                <w:rFonts w:eastAsia="Calibri" w:cs=""/>
                <w:kern w:val="0"/>
                <w:sz w:val="22"/>
                <w:szCs w:val="22"/>
                <w:lang w:val="ru-RU" w:eastAsia="en-US" w:bidi="ar-SA"/>
              </w:rPr>
              <w:t xml:space="preserve">Электронная площадка: </w:t>
            </w:r>
            <w:r>
              <w:rPr>
                <w:rStyle w:val="Style11"/>
                <w:rFonts w:eastAsia="Calibri" w:cs=""/>
                <w:i w:val="false"/>
                <w:iCs w:val="false"/>
                <w:kern w:val="0"/>
                <w:sz w:val="22"/>
                <w:szCs w:val="22"/>
                <w:shd w:fill="auto" w:val="clear"/>
                <w:lang w:val="ru-RU" w:eastAsia="en-US" w:bidi="ar-SA"/>
              </w:rPr>
              <w:t xml:space="preserve">АО «Российский аукционный дом» (РАД) </w:t>
            </w:r>
            <w:hyperlink r:id="rId3">
              <w:r>
                <w:rPr>
                  <w:rStyle w:val="Hyperlink"/>
                  <w:rFonts w:eastAsia="Calibri" w:cs=""/>
                  <w:i w:val="false"/>
                  <w:iCs w:val="false"/>
                  <w:kern w:val="0"/>
                  <w:sz w:val="22"/>
                  <w:szCs w:val="22"/>
                  <w:shd w:fill="auto" w:val="clear"/>
                  <w:lang w:val="ru-RU" w:eastAsia="en-US" w:bidi="ar-SA"/>
                </w:rPr>
                <w:t>https://tender.lot-online.ru/</w:t>
              </w:r>
            </w:hyperlink>
            <w:r>
              <w:rPr>
                <w:rStyle w:val="Style11"/>
                <w:rFonts w:eastAsia="Calibri" w:cs=""/>
                <w:i w:val="false"/>
                <w:iCs w:val="false"/>
                <w:kern w:val="0"/>
                <w:sz w:val="22"/>
                <w:szCs w:val="22"/>
                <w:shd w:fill="auto" w:val="clear"/>
                <w:lang w:val="ru-RU" w:eastAsia="en-US" w:bidi="ar-SA"/>
              </w:rPr>
              <w:t xml:space="preserve"> </w:t>
            </w:r>
          </w:p>
          <w:p>
            <w:pPr>
              <w:pStyle w:val="Style30"/>
              <w:widowControl w:val="false"/>
              <w:suppressAutoHyphens w:val="true"/>
              <w:spacing w:before="0" w:after="0"/>
              <w:rPr/>
            </w:pPr>
            <w:r>
              <w:rPr>
                <w:rFonts w:eastAsia="Calibri" w:cs=""/>
                <w:i w:val="false"/>
                <w:iCs w:val="false"/>
                <w:kern w:val="0"/>
                <w:sz w:val="22"/>
                <w:szCs w:val="22"/>
                <w:shd w:fill="auto" w:val="clear"/>
                <w:lang w:val="ru-RU" w:eastAsia="en-US" w:bidi="ar-SA"/>
              </w:rPr>
              <w:t xml:space="preserve">Регламент ЭП, в соответствии с </w:t>
            </w:r>
            <w:r>
              <w:rPr>
                <w:rFonts w:eastAsia="Calibri" w:cs=""/>
                <w:kern w:val="0"/>
                <w:sz w:val="22"/>
                <w:szCs w:val="22"/>
                <w:lang w:val="ru-RU" w:eastAsia="en-US" w:bidi="ar-SA"/>
              </w:rPr>
              <w:t xml:space="preserve">которым проводится закупка, размещен по адресу: </w:t>
            </w:r>
            <w:hyperlink r:id="rId4">
              <w:r>
                <w:rPr>
                  <w:rStyle w:val="Hyperlink"/>
                  <w:rFonts w:eastAsia="Calibri" w:cs=""/>
                  <w:kern w:val="0"/>
                  <w:sz w:val="22"/>
                  <w:szCs w:val="22"/>
                  <w:lang w:val="ru-RU" w:eastAsia="en-US" w:bidi="ar-SA"/>
                </w:rPr>
                <w:t>https://tender.lot-online.ru/</w:t>
              </w:r>
            </w:hyperlink>
            <w:r>
              <w:rPr>
                <w:rFonts w:eastAsia="Calibri" w:cs=""/>
                <w:kern w:val="0"/>
                <w:sz w:val="22"/>
                <w:szCs w:val="22"/>
                <w:lang w:val="ru-RU" w:eastAsia="en-US" w:bidi="ar-SA"/>
              </w:rPr>
              <w:t xml:space="preserve"> </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19" w:name="_Ref125360970"/>
            <w:bookmarkStart w:id="20" w:name="_Ref125360970"/>
            <w:bookmarkEnd w:id="20"/>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Участники:</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0" w:after="0"/>
              <w:rPr/>
            </w:pPr>
            <w:r>
              <w:rPr>
                <w:rFonts w:eastAsia="Calibri" w:cs=""/>
                <w:kern w:val="0"/>
                <w:sz w:val="22"/>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4"/>
                  <w:rFonts w:eastAsia="Calibri" w:cs=""/>
                  <w:kern w:val="0"/>
                  <w:sz w:val="22"/>
                  <w:szCs w:val="22"/>
                  <w:lang w:val="ru-RU" w:eastAsia="en-US" w:bidi="ar-SA"/>
                </w:rPr>
                <w:t>Проекта Договора (Приложение № 2)</w:t>
              </w:r>
            </w:hyperlink>
            <w:r>
              <w:rPr>
                <w:rFonts w:eastAsia="Calibri" w:cs=""/>
                <w:kern w:val="0"/>
                <w:sz w:val="22"/>
                <w:szCs w:val="22"/>
                <w:lang w:val="ru-RU" w:eastAsia="en-US" w:bidi="ar-SA"/>
              </w:rPr>
              <w:t xml:space="preserve"> прямого запрета на привлечение к исполнению обязательств по Договору третьих лиц).</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1" w:name="_Ref125360988"/>
            <w:bookmarkStart w:id="22" w:name="_Ref125360988"/>
            <w:bookmarkEnd w:id="22"/>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Заказчик:</w:t>
            </w:r>
          </w:p>
        </w:tc>
        <w:tc>
          <w:tcPr>
            <w:tcW w:w="5676" w:type="dxa"/>
            <w:tcBorders/>
          </w:tcPr>
          <w:p>
            <w:pPr>
              <w:pStyle w:val="Style30"/>
              <w:keepNext w:val="true"/>
              <w:widowControl w:val="false"/>
              <w:suppressAutoHyphens w:val="true"/>
              <w:spacing w:before="0" w:after="0"/>
              <w:jc w:val="both"/>
              <w:rPr>
                <w:sz w:val="22"/>
                <w:szCs w:val="22"/>
              </w:rPr>
            </w:pPr>
            <w:r>
              <w:rPr>
                <w:rFonts w:eastAsia="Calibri" w:cs=""/>
                <w:kern w:val="0"/>
                <w:sz w:val="22"/>
                <w:szCs w:val="22"/>
                <w:lang w:val="ru-RU" w:eastAsia="en-US" w:bidi="ar-SA"/>
              </w:rPr>
              <w:t xml:space="preserve">Наименование (полное): Акционерное общество </w:t>
            </w:r>
            <w:r>
              <w:rPr>
                <w:rFonts w:eastAsia="Calibri" w:cs=""/>
                <w:i w:val="false"/>
                <w:iCs w:val="false"/>
                <w:kern w:val="0"/>
                <w:sz w:val="22"/>
                <w:szCs w:val="22"/>
                <w:shd w:fill="auto" w:val="clear"/>
                <w:lang w:val="ru-RU" w:eastAsia="en-US" w:bidi="ar-SA"/>
              </w:rPr>
              <w:t>«Сервисная компания «РусГидро»</w:t>
            </w:r>
          </w:p>
          <w:p>
            <w:pPr>
              <w:pStyle w:val="Style30"/>
              <w:keepNext w:val="true"/>
              <w:widowControl w:val="false"/>
              <w:suppressAutoHyphens w:val="true"/>
              <w:spacing w:before="0" w:after="0"/>
              <w:jc w:val="both"/>
              <w:rPr>
                <w:sz w:val="22"/>
                <w:szCs w:val="22"/>
              </w:rPr>
            </w:pPr>
            <w:r>
              <w:rPr>
                <w:rFonts w:eastAsia="Calibri" w:cs=""/>
                <w:i w:val="false"/>
                <w:iCs w:val="false"/>
                <w:kern w:val="0"/>
                <w:sz w:val="22"/>
                <w:szCs w:val="22"/>
                <w:shd w:fill="auto" w:val="clear"/>
                <w:lang w:val="ru-RU" w:eastAsia="en-US" w:bidi="ar-SA"/>
              </w:rPr>
              <w:t>Наименование (сокращенное): АО «СК РусГидро»</w:t>
            </w:r>
          </w:p>
          <w:p>
            <w:pPr>
              <w:pStyle w:val="Style30"/>
              <w:keepNext w:val="true"/>
              <w:widowControl w:val="false"/>
              <w:suppressAutoHyphens w:val="true"/>
              <w:spacing w:before="0" w:after="0"/>
              <w:jc w:val="both"/>
              <w:rPr>
                <w:sz w:val="22"/>
                <w:szCs w:val="22"/>
              </w:rPr>
            </w:pPr>
            <w:r>
              <w:rPr>
                <w:rFonts w:eastAsia="Calibri" w:cs=""/>
                <w:i w:val="false"/>
                <w:iCs w:val="false"/>
                <w:kern w:val="0"/>
                <w:sz w:val="22"/>
                <w:szCs w:val="22"/>
                <w:shd w:fill="auto" w:val="clear"/>
                <w:lang w:val="ru-RU" w:eastAsia="en-US" w:bidi="ar-SA"/>
              </w:rPr>
              <w:t>Место нахождения: 680000, Хабаровский край, г. Хабаровск, ул. Тургенева, д. 80</w:t>
            </w:r>
          </w:p>
          <w:p>
            <w:pPr>
              <w:pStyle w:val="Style30"/>
              <w:keepNext w:val="true"/>
              <w:widowControl w:val="false"/>
              <w:suppressAutoHyphens w:val="true"/>
              <w:spacing w:before="0" w:after="0"/>
              <w:jc w:val="both"/>
              <w:rPr>
                <w:sz w:val="22"/>
                <w:szCs w:val="22"/>
              </w:rPr>
            </w:pPr>
            <w:r>
              <w:rPr>
                <w:rFonts w:eastAsia="Calibri" w:cs=""/>
                <w:i w:val="false"/>
                <w:iCs w:val="false"/>
                <w:kern w:val="0"/>
                <w:sz w:val="22"/>
                <w:szCs w:val="22"/>
                <w:shd w:fill="auto" w:val="clear"/>
                <w:lang w:val="ru-RU" w:eastAsia="en-US" w:bidi="ar-SA"/>
              </w:rPr>
              <w:t>Почтовый адрес: 680000, Хабаровский край, г. Хабаровск, ул. Тургенева, д. 80</w:t>
            </w:r>
          </w:p>
          <w:p>
            <w:pPr>
              <w:pStyle w:val="Style30"/>
              <w:keepNext w:val="true"/>
              <w:widowControl w:val="false"/>
              <w:suppressAutoHyphens w:val="true"/>
              <w:spacing w:before="0" w:after="0"/>
              <w:jc w:val="both"/>
              <w:rPr/>
            </w:pPr>
            <w:r>
              <w:rPr>
                <w:rFonts w:eastAsia="Calibri" w:cs=""/>
                <w:i w:val="false"/>
                <w:iCs w:val="false"/>
                <w:kern w:val="0"/>
                <w:sz w:val="22"/>
                <w:szCs w:val="22"/>
                <w:shd w:fill="auto" w:val="clear"/>
                <w:lang w:val="ru-RU" w:eastAsia="en-US" w:bidi="ar-SA"/>
              </w:rPr>
              <w:t xml:space="preserve">Адрес электронной почты: </w:t>
            </w:r>
            <w:hyperlink r:id="rId5">
              <w:r>
                <w:rPr>
                  <w:rStyle w:val="Hyperlink"/>
                  <w:rFonts w:eastAsia="Calibri" w:cs=""/>
                  <w:i w:val="false"/>
                  <w:iCs w:val="false"/>
                  <w:kern w:val="0"/>
                  <w:sz w:val="22"/>
                  <w:szCs w:val="22"/>
                  <w:shd w:fill="auto" w:val="clear"/>
                  <w:lang w:val="ru-RU" w:eastAsia="en-US" w:bidi="ar-SA"/>
                </w:rPr>
                <w:t>sk@rushydro.ru</w:t>
              </w:r>
            </w:hyperlink>
          </w:p>
          <w:p>
            <w:pPr>
              <w:pStyle w:val="Style30"/>
              <w:keepNext w:val="true"/>
              <w:widowControl w:val="false"/>
              <w:suppressAutoHyphens w:val="true"/>
              <w:spacing w:before="0" w:after="0"/>
              <w:jc w:val="both"/>
              <w:rPr/>
            </w:pPr>
            <w:r>
              <w:rPr>
                <w:rStyle w:val="Style11"/>
                <w:rFonts w:eastAsia="Calibri" w:cs=""/>
                <w:i w:val="false"/>
                <w:iCs w:val="false"/>
                <w:kern w:val="0"/>
                <w:sz w:val="22"/>
                <w:szCs w:val="22"/>
                <w:shd w:fill="auto" w:val="clear"/>
                <w:lang w:val="ru-RU" w:eastAsia="en-US" w:bidi="ar-SA"/>
              </w:rPr>
              <w:t>Контактный телефон: 8 (4212) 35-87-20</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3" w:name="_Ref125360954"/>
            <w:bookmarkStart w:id="24" w:name="_Ref125360954"/>
            <w:bookmarkEnd w:id="24"/>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Организатор:</w:t>
            </w:r>
          </w:p>
        </w:tc>
        <w:tc>
          <w:tcPr>
            <w:tcW w:w="5676" w:type="dxa"/>
            <w:tcBorders/>
          </w:tcPr>
          <w:p>
            <w:pPr>
              <w:pStyle w:val="Style30"/>
              <w:keepNext w:val="true"/>
              <w:widowControl w:val="false"/>
              <w:suppressAutoHyphens w:val="true"/>
              <w:spacing w:before="0" w:after="0"/>
              <w:jc w:val="both"/>
              <w:rPr>
                <w:sz w:val="22"/>
                <w:szCs w:val="22"/>
              </w:rPr>
            </w:pPr>
            <w:r>
              <w:rPr>
                <w:rFonts w:eastAsia="Calibri" w:cs=""/>
                <w:kern w:val="0"/>
                <w:sz w:val="22"/>
                <w:szCs w:val="22"/>
                <w:lang w:val="ru-RU" w:eastAsia="en-US" w:bidi="ar-SA"/>
              </w:rPr>
              <w:t>Наименование (полное): Акционерное общество «Сервисная компания «РусГидро»</w:t>
            </w:r>
          </w:p>
          <w:p>
            <w:pPr>
              <w:pStyle w:val="Style30"/>
              <w:keepNext w:val="true"/>
              <w:widowControl w:val="false"/>
              <w:suppressAutoHyphens w:val="true"/>
              <w:spacing w:before="0" w:after="0"/>
              <w:jc w:val="both"/>
              <w:rPr>
                <w:sz w:val="22"/>
                <w:szCs w:val="22"/>
              </w:rPr>
            </w:pPr>
            <w:r>
              <w:rPr>
                <w:rFonts w:eastAsia="Calibri" w:cs=""/>
                <w:kern w:val="0"/>
                <w:sz w:val="22"/>
                <w:szCs w:val="22"/>
                <w:lang w:val="ru-RU" w:eastAsia="en-US" w:bidi="ar-SA"/>
              </w:rPr>
              <w:t>Наименование (сокращенное): АО «СК РусГидро»</w:t>
            </w:r>
          </w:p>
          <w:p>
            <w:pPr>
              <w:pStyle w:val="Style30"/>
              <w:keepNext w:val="true"/>
              <w:widowControl w:val="false"/>
              <w:suppressAutoHyphens w:val="true"/>
              <w:spacing w:before="0" w:after="0"/>
              <w:jc w:val="both"/>
              <w:rPr>
                <w:sz w:val="22"/>
                <w:szCs w:val="22"/>
              </w:rPr>
            </w:pPr>
            <w:r>
              <w:rPr>
                <w:rFonts w:eastAsia="Calibri" w:cs=""/>
                <w:kern w:val="0"/>
                <w:sz w:val="22"/>
                <w:szCs w:val="22"/>
                <w:lang w:val="ru-RU" w:eastAsia="en-US" w:bidi="ar-SA"/>
              </w:rPr>
              <w:t>Место нахождения: 680000, Хабаровский край, г. Хабаровск, ул</w:t>
            </w:r>
            <w:r>
              <w:rPr>
                <w:rFonts w:eastAsia="Calibri" w:cs=""/>
                <w:i w:val="false"/>
                <w:iCs w:val="false"/>
                <w:kern w:val="0"/>
                <w:sz w:val="22"/>
                <w:szCs w:val="22"/>
                <w:shd w:fill="auto" w:val="clear"/>
                <w:lang w:val="ru-RU" w:eastAsia="en-US" w:bidi="ar-SA"/>
              </w:rPr>
              <w:t>. Тургенева, д. 80</w:t>
            </w:r>
          </w:p>
          <w:p>
            <w:pPr>
              <w:pStyle w:val="Style30"/>
              <w:keepNext w:val="true"/>
              <w:widowControl w:val="false"/>
              <w:suppressAutoHyphens w:val="true"/>
              <w:spacing w:before="0" w:after="0"/>
              <w:jc w:val="both"/>
              <w:rPr>
                <w:sz w:val="22"/>
                <w:szCs w:val="22"/>
              </w:rPr>
            </w:pPr>
            <w:r>
              <w:rPr>
                <w:rFonts w:eastAsia="Calibri" w:cs=""/>
                <w:i w:val="false"/>
                <w:iCs w:val="false"/>
                <w:kern w:val="0"/>
                <w:sz w:val="22"/>
                <w:szCs w:val="22"/>
                <w:shd w:fill="auto" w:val="clear"/>
                <w:lang w:val="ru-RU" w:eastAsia="en-US" w:bidi="ar-SA"/>
              </w:rPr>
              <w:t>Почтовый адрес: 680000, Хабаровский край, г. Хабаровск, ул. Тургенева, д. 80</w:t>
            </w:r>
          </w:p>
          <w:p>
            <w:pPr>
              <w:pStyle w:val="Style30"/>
              <w:keepNext w:val="true"/>
              <w:widowControl w:val="false"/>
              <w:suppressAutoHyphens w:val="true"/>
              <w:spacing w:before="0" w:after="0"/>
              <w:jc w:val="both"/>
              <w:rPr/>
            </w:pPr>
            <w:r>
              <w:rPr>
                <w:rFonts w:eastAsia="Calibri" w:cs=""/>
                <w:i w:val="false"/>
                <w:iCs w:val="false"/>
                <w:kern w:val="0"/>
                <w:sz w:val="22"/>
                <w:szCs w:val="22"/>
                <w:shd w:fill="auto" w:val="clear"/>
                <w:lang w:val="ru-RU" w:eastAsia="en-US" w:bidi="ar-SA"/>
              </w:rPr>
              <w:t xml:space="preserve">Адрес электронной почты: </w:t>
            </w:r>
            <w:hyperlink r:id="rId6">
              <w:r>
                <w:rPr>
                  <w:rStyle w:val="Hyperlink"/>
                  <w:rFonts w:eastAsia="Calibri" w:cs=""/>
                  <w:i w:val="false"/>
                  <w:iCs w:val="false"/>
                  <w:kern w:val="0"/>
                  <w:sz w:val="22"/>
                  <w:szCs w:val="22"/>
                  <w:shd w:fill="auto" w:val="clear"/>
                  <w:lang w:val="ru-RU" w:eastAsia="en-US" w:bidi="ar-SA"/>
                </w:rPr>
                <w:t>sk@rushydro.ru</w:t>
              </w:r>
            </w:hyperlink>
          </w:p>
          <w:p>
            <w:pPr>
              <w:pStyle w:val="Style30"/>
              <w:widowControl w:val="false"/>
              <w:suppressAutoHyphens w:val="true"/>
              <w:spacing w:before="0" w:after="0"/>
              <w:jc w:val="both"/>
              <w:rPr/>
            </w:pPr>
            <w:r>
              <w:rPr>
                <w:rStyle w:val="Style11"/>
                <w:i w:val="false"/>
                <w:iCs w:val="false"/>
                <w:sz w:val="22"/>
                <w:szCs w:val="22"/>
                <w:shd w:fill="auto" w:val="clear"/>
                <w:lang w:val="ru-RU"/>
              </w:rPr>
              <w:t>Контактный телефон: 8 (4212) 35-87-20</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5" w:name="_Ref125361238"/>
            <w:bookmarkStart w:id="26" w:name="_Ref125361238"/>
            <w:bookmarkEnd w:id="26"/>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Представитель Организатора:</w:t>
            </w:r>
          </w:p>
        </w:tc>
        <w:tc>
          <w:tcPr>
            <w:tcW w:w="5676" w:type="dxa"/>
            <w:tcBorders/>
          </w:tcPr>
          <w:p>
            <w:pPr>
              <w:pStyle w:val="Style30"/>
              <w:keepNext w:val="true"/>
              <w:widowControl w:val="false"/>
              <w:suppressAutoHyphens w:val="true"/>
              <w:spacing w:before="0" w:after="0"/>
              <w:jc w:val="both"/>
              <w:rPr>
                <w:sz w:val="22"/>
                <w:szCs w:val="22"/>
              </w:rPr>
            </w:pPr>
            <w:r>
              <w:rPr>
                <w:rFonts w:eastAsia="Calibri" w:cs=""/>
                <w:kern w:val="0"/>
                <w:sz w:val="22"/>
                <w:szCs w:val="22"/>
                <w:lang w:val="ru-RU" w:eastAsia="en-US" w:bidi="ar-SA"/>
              </w:rPr>
              <w:t>О</w:t>
            </w:r>
            <w:r>
              <w:rPr>
                <w:rFonts w:eastAsia="Calibri" w:cs=""/>
                <w:i w:val="false"/>
                <w:iCs w:val="false"/>
                <w:kern w:val="0"/>
                <w:sz w:val="22"/>
                <w:szCs w:val="22"/>
                <w:shd w:fill="auto" w:val="clear"/>
                <w:lang w:val="ru-RU" w:eastAsia="en-US" w:bidi="ar-SA"/>
              </w:rPr>
              <w:t>тветственное лицо по организационным вопросам проведения закупки:</w:t>
            </w:r>
          </w:p>
          <w:p>
            <w:pPr>
              <w:pStyle w:val="Style30"/>
              <w:widowControl w:val="false"/>
              <w:suppressAutoHyphens w:val="true"/>
              <w:spacing w:before="0" w:after="0"/>
              <w:jc w:val="both"/>
              <w:rPr>
                <w:sz w:val="22"/>
                <w:szCs w:val="22"/>
              </w:rPr>
            </w:pPr>
            <w:r>
              <w:rPr>
                <w:rFonts w:eastAsia="Calibri" w:cs=""/>
                <w:i w:val="false"/>
                <w:iCs w:val="false"/>
                <w:kern w:val="0"/>
                <w:sz w:val="22"/>
                <w:szCs w:val="22"/>
                <w:shd w:fill="auto" w:val="clear"/>
                <w:lang w:val="ru-RU" w:eastAsia="en-US" w:bidi="ar-SA"/>
              </w:rPr>
              <w:t xml:space="preserve">Лиситченко Марина Александровна, </w:t>
            </w:r>
          </w:p>
          <w:p>
            <w:pPr>
              <w:pStyle w:val="Style30"/>
              <w:widowControl w:val="false"/>
              <w:suppressAutoHyphens w:val="true"/>
              <w:spacing w:before="0" w:after="0"/>
              <w:jc w:val="both"/>
              <w:rPr/>
            </w:pPr>
            <w:r>
              <w:rPr>
                <w:rStyle w:val="Style11"/>
                <w:rFonts w:eastAsia="Calibri" w:cs=""/>
                <w:i w:val="false"/>
                <w:iCs w:val="false"/>
                <w:kern w:val="0"/>
                <w:sz w:val="22"/>
                <w:szCs w:val="22"/>
                <w:shd w:fill="auto" w:val="clear"/>
                <w:lang w:val="ru-RU" w:eastAsia="en-US" w:bidi="ar-SA"/>
              </w:rPr>
              <w:t xml:space="preserve">e-mail: </w:t>
            </w:r>
            <w:r>
              <w:rPr>
                <w:rStyle w:val="Hyperlink"/>
                <w:rFonts w:eastAsia="Calibri" w:cs=""/>
                <w:i w:val="false"/>
                <w:iCs w:val="false"/>
                <w:kern w:val="0"/>
                <w:sz w:val="22"/>
                <w:szCs w:val="22"/>
                <w:shd w:fill="auto" w:val="clear"/>
                <w:lang w:val="ru-RU" w:eastAsia="en-US" w:bidi="ar-SA"/>
              </w:rPr>
              <w:t>lisitchenkoma@rushydro.ru</w:t>
            </w:r>
            <w:r>
              <w:rPr>
                <w:rStyle w:val="Style11"/>
                <w:rFonts w:eastAsia="Calibri" w:cs=""/>
                <w:i w:val="false"/>
                <w:iCs w:val="false"/>
                <w:kern w:val="0"/>
                <w:sz w:val="22"/>
                <w:szCs w:val="22"/>
                <w:shd w:fill="auto" w:val="clear"/>
                <w:lang w:val="ru-RU" w:eastAsia="en-US" w:bidi="ar-SA"/>
              </w:rPr>
              <w:t xml:space="preserve">, </w:t>
            </w:r>
          </w:p>
          <w:p>
            <w:pPr>
              <w:pStyle w:val="Style30"/>
              <w:widowControl w:val="false"/>
              <w:suppressAutoHyphens w:val="true"/>
              <w:spacing w:before="0" w:after="0"/>
              <w:jc w:val="both"/>
              <w:rPr/>
            </w:pPr>
            <w:r>
              <w:rPr>
                <w:rStyle w:val="Style11"/>
                <w:i w:val="false"/>
                <w:iCs w:val="false"/>
                <w:sz w:val="22"/>
                <w:szCs w:val="22"/>
                <w:shd w:fill="auto" w:val="clear"/>
                <w:lang w:val="ru-RU"/>
              </w:rPr>
              <w:t>тел. 8 (4212) 35-87-20, доб. 37</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7" w:name="_Ref125362694"/>
            <w:bookmarkStart w:id="28" w:name="_Ref125362694"/>
            <w:bookmarkEnd w:id="28"/>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 xml:space="preserve">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 </w:t>
            </w:r>
          </w:p>
          <w:p>
            <w:pPr>
              <w:pStyle w:val="Style30"/>
              <w:widowControl w:val="false"/>
              <w:suppressAutoHyphens w:val="true"/>
              <w:spacing w:before="0" w:after="0"/>
              <w:rPr>
                <w:sz w:val="22"/>
                <w:szCs w:val="22"/>
              </w:rPr>
            </w:pPr>
            <w:r>
              <w:rPr>
                <w:rFonts w:eastAsia="Calibri" w:cs=""/>
                <w:kern w:val="0"/>
                <w:sz w:val="22"/>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9" w:name="_Ref125360963"/>
            <w:bookmarkStart w:id="30" w:name="_Ref125360963"/>
            <w:bookmarkEnd w:id="30"/>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Дата размещения Извещения о проведении закупки:</w:t>
            </w:r>
          </w:p>
        </w:tc>
        <w:tc>
          <w:tcPr>
            <w:tcW w:w="5676" w:type="dxa"/>
            <w:tcBorders/>
          </w:tcPr>
          <w:p>
            <w:pPr>
              <w:pStyle w:val="Style30"/>
              <w:widowControl w:val="false"/>
              <w:suppressAutoHyphens w:val="true"/>
              <w:spacing w:before="0" w:after="0"/>
              <w:rPr>
                <w:b/>
                <w:bCs/>
                <w:i w:val="false"/>
                <w:i w:val="false"/>
                <w:iCs w:val="false"/>
                <w:sz w:val="22"/>
                <w:szCs w:val="22"/>
              </w:rPr>
            </w:pPr>
            <w:r>
              <w:rPr>
                <w:rFonts w:eastAsia="Calibri" w:cs=""/>
                <w:b/>
                <w:bCs/>
                <w:i w:val="false"/>
                <w:iCs w:val="false"/>
                <w:kern w:val="0"/>
                <w:sz w:val="22"/>
                <w:szCs w:val="22"/>
                <w:lang w:val="ru-RU" w:eastAsia="en-US" w:bidi="ar-SA"/>
              </w:rPr>
              <w:t>«1</w:t>
            </w:r>
            <w:r>
              <w:rPr>
                <w:rFonts w:eastAsia="Calibri" w:cs=""/>
                <w:b/>
                <w:bCs/>
                <w:i w:val="false"/>
                <w:iCs w:val="false"/>
                <w:kern w:val="0"/>
                <w:sz w:val="22"/>
                <w:szCs w:val="22"/>
                <w:lang w:val="ru-RU" w:eastAsia="en-US" w:bidi="ar-SA"/>
              </w:rPr>
              <w:t>3</w:t>
            </w:r>
            <w:r>
              <w:rPr>
                <w:rFonts w:eastAsia="Calibri" w:cs=""/>
                <w:b/>
                <w:bCs/>
                <w:i w:val="false"/>
                <w:iCs w:val="false"/>
                <w:kern w:val="0"/>
                <w:sz w:val="22"/>
                <w:szCs w:val="22"/>
                <w:lang w:val="ru-RU" w:eastAsia="en-US" w:bidi="ar-SA"/>
              </w:rPr>
              <w:t>» октября 2026 года</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1" w:name="_Ref125362837"/>
            <w:bookmarkStart w:id="32" w:name="_Ref125362837"/>
            <w:bookmarkEnd w:id="32"/>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Начальная (максимальная) цена договора (цена лота):</w:t>
            </w:r>
          </w:p>
        </w:tc>
        <w:tc>
          <w:tcPr>
            <w:tcW w:w="5676" w:type="dxa"/>
            <w:tcBorders/>
          </w:tcPr>
          <w:p>
            <w:pPr>
              <w:pStyle w:val="Style30"/>
              <w:widowControl w:val="false"/>
              <w:suppressAutoHyphens w:val="true"/>
              <w:spacing w:before="0" w:after="0"/>
              <w:rPr>
                <w:sz w:val="22"/>
                <w:szCs w:val="22"/>
              </w:rPr>
            </w:pPr>
            <w:r>
              <w:rPr>
                <w:rFonts w:eastAsia="Calibri" w:cs=""/>
                <w:b/>
                <w:bCs/>
                <w:kern w:val="0"/>
                <w:sz w:val="22"/>
                <w:szCs w:val="22"/>
                <w:lang w:val="ru-RU" w:eastAsia="en-US" w:bidi="ar-SA"/>
              </w:rPr>
              <w:t>НМЦ составляет 881 435,42 руб., без учета НДС.</w:t>
            </w:r>
          </w:p>
          <w:p>
            <w:pPr>
              <w:pStyle w:val="Style30"/>
              <w:widowControl w:val="false"/>
              <w:suppressAutoHyphens w:val="true"/>
              <w:spacing w:before="0" w:after="0"/>
              <w:rPr/>
            </w:pPr>
            <w:r>
              <w:rPr>
                <w:rFonts w:eastAsia="Calibri" w:cs=""/>
                <w:kern w:val="0"/>
                <w:sz w:val="22"/>
                <w:szCs w:val="22"/>
                <w:lang w:val="ru-RU" w:eastAsia="en-US" w:bidi="ar-SA"/>
              </w:rPr>
              <w:t xml:space="preserve">Обоснование НМЦ представлено в </w:t>
            </w:r>
            <w:hyperlink w:anchor="Прил09_ОбоснованиеНМЦ">
              <w:r>
                <w:rPr>
                  <w:rStyle w:val="Style14"/>
                  <w:rFonts w:eastAsia="Calibri" w:cs=""/>
                  <w:kern w:val="0"/>
                  <w:sz w:val="22"/>
                  <w:szCs w:val="22"/>
                  <w:lang w:val="ru-RU" w:eastAsia="en-US" w:bidi="ar-SA"/>
                </w:rPr>
                <w:t>Приложении № 9</w:t>
              </w:r>
            </w:hyperlink>
            <w:r>
              <w:rPr>
                <w:rFonts w:eastAsia="Calibri" w:cs=""/>
                <w:kern w:val="0"/>
                <w:sz w:val="22"/>
                <w:szCs w:val="22"/>
                <w:lang w:val="ru-RU" w:eastAsia="en-US" w:bidi="ar-SA"/>
              </w:rPr>
              <w:t>.</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3" w:name="_Ref125363076"/>
            <w:bookmarkStart w:id="34" w:name="_Ref125363076"/>
            <w:bookmarkEnd w:id="34"/>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Обеспечение заявки на участие в закупке:</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Не требуется.</w:t>
            </w:r>
          </w:p>
          <w:p>
            <w:pPr>
              <w:pStyle w:val="Style33"/>
              <w:widowControl w:val="false"/>
              <w:suppressAutoHyphens w:val="true"/>
              <w:spacing w:before="0" w:after="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p>
            <w:pPr>
              <w:pStyle w:val="Style30"/>
              <w:widowControl w:val="false"/>
              <w:suppressAutoHyphens w:val="true"/>
              <w:spacing w:before="0" w:after="0"/>
              <w:rPr/>
            </w:pPr>
            <w:r>
              <w:rPr>
                <w:rStyle w:val="Style11"/>
                <w:rFonts w:eastAsia="Calibri" w:cs=""/>
                <w:i w:val="false"/>
                <w:iCs w:val="false"/>
                <w:kern w:val="0"/>
                <w:sz w:val="22"/>
                <w:szCs w:val="22"/>
                <w:shd w:fill="FFFF00"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5" w:name="_Ref125362995"/>
            <w:bookmarkStart w:id="36" w:name="_Ref125362995"/>
            <w:bookmarkEnd w:id="36"/>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Требования к описанию продукции:</w:t>
            </w:r>
          </w:p>
        </w:tc>
        <w:tc>
          <w:tcPr>
            <w:tcW w:w="5676" w:type="dxa"/>
            <w:tcBorders/>
          </w:tcPr>
          <w:p>
            <w:pPr>
              <w:pStyle w:val="Style30"/>
              <w:widowControl w:val="false"/>
              <w:suppressAutoHyphens w:val="true"/>
              <w:spacing w:before="0" w:after="0"/>
              <w:rPr/>
            </w:pPr>
            <w:r>
              <w:rPr>
                <w:rFonts w:eastAsia="Calibri" w:cs=""/>
                <w:kern w:val="0"/>
                <w:sz w:val="22"/>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Применение законодательства о национальном режиме:</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Национальный режим предоставляется.</w:t>
            </w:r>
          </w:p>
          <w:p>
            <w:pPr>
              <w:pStyle w:val="Style33"/>
              <w:keepNext w:val="true"/>
              <w:widowControl w:val="false"/>
              <w:suppressAutoHyphens w:val="true"/>
              <w:spacing w:before="0" w:after="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p>
            <w:pPr>
              <w:pStyle w:val="Style30"/>
              <w:widowControl w:val="false"/>
              <w:suppressAutoHyphens w:val="true"/>
              <w:spacing w:before="0" w:after="0"/>
              <w:rPr/>
            </w:pPr>
            <w:r>
              <w:rPr>
                <w:rFonts w:eastAsia="Calibri" w:cs=""/>
                <w:kern w:val="0"/>
                <w:sz w:val="22"/>
                <w:szCs w:val="22"/>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7" w:name="_Ref125475086"/>
            <w:bookmarkStart w:id="38" w:name="_Ref125475086"/>
            <w:bookmarkEnd w:id="38"/>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Место и порядок подачи заявок:</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Заявки подаются посредством функционала ЭП, по адресу ЭП, указанному в пункте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_Ref125360764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1.2.5</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9" w:name="_Ref125360779"/>
            <w:bookmarkStart w:id="40" w:name="_Ref125360779"/>
            <w:bookmarkEnd w:id="40"/>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Дата начала; дата и время окончания срока подачи заявок:</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 xml:space="preserve">Дата начала подачи заявок: </w:t>
            </w:r>
            <w:r>
              <w:rPr>
                <w:rFonts w:eastAsia="Calibri" w:cs=""/>
                <w:b/>
                <w:bCs/>
                <w:kern w:val="0"/>
                <w:sz w:val="22"/>
                <w:szCs w:val="22"/>
                <w:lang w:val="ru-RU" w:eastAsia="en-US" w:bidi="ar-SA"/>
              </w:rPr>
              <w:t>«1</w:t>
            </w:r>
            <w:r>
              <w:rPr>
                <w:rFonts w:eastAsia="Calibri" w:cs=""/>
                <w:b/>
                <w:bCs/>
                <w:kern w:val="0"/>
                <w:sz w:val="22"/>
                <w:szCs w:val="22"/>
                <w:lang w:val="ru-RU" w:eastAsia="en-US" w:bidi="ar-SA"/>
              </w:rPr>
              <w:t>3</w:t>
            </w:r>
            <w:r>
              <w:rPr>
                <w:rFonts w:eastAsia="Calibri" w:cs=""/>
                <w:b/>
                <w:bCs/>
                <w:kern w:val="0"/>
                <w:sz w:val="22"/>
                <w:szCs w:val="22"/>
                <w:lang w:val="ru-RU" w:eastAsia="en-US" w:bidi="ar-SA"/>
              </w:rPr>
              <w:t>» октября 2026 года</w:t>
            </w:r>
          </w:p>
          <w:p>
            <w:pPr>
              <w:pStyle w:val="Style30"/>
              <w:widowControl w:val="false"/>
              <w:suppressAutoHyphens w:val="true"/>
              <w:spacing w:before="0" w:after="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p>
            <w:pPr>
              <w:pStyle w:val="Style30"/>
              <w:widowControl w:val="false"/>
              <w:suppressAutoHyphens w:val="true"/>
              <w:spacing w:before="0" w:after="0"/>
              <w:rPr>
                <w:sz w:val="22"/>
                <w:szCs w:val="22"/>
              </w:rPr>
            </w:pPr>
            <w:r>
              <w:rPr>
                <w:rFonts w:eastAsia="Calibri" w:cs=""/>
                <w:kern w:val="0"/>
                <w:sz w:val="22"/>
                <w:szCs w:val="22"/>
                <w:lang w:val="ru-RU" w:eastAsia="en-US" w:bidi="ar-SA"/>
              </w:rPr>
              <w:t xml:space="preserve">Дата и время окончания срока подачи заявок: </w:t>
              <w:br/>
            </w:r>
            <w:r>
              <w:rPr>
                <w:rFonts w:eastAsia="Calibri" w:cs=""/>
                <w:b/>
                <w:bCs/>
                <w:kern w:val="0"/>
                <w:sz w:val="22"/>
                <w:szCs w:val="22"/>
                <w:lang w:val="ru-RU" w:eastAsia="en-US" w:bidi="ar-SA"/>
              </w:rPr>
              <w:t>«</w:t>
            </w:r>
            <w:r>
              <w:rPr>
                <w:rFonts w:eastAsia="Calibri" w:cs=""/>
                <w:b/>
                <w:bCs/>
                <w:kern w:val="0"/>
                <w:sz w:val="22"/>
                <w:szCs w:val="22"/>
                <w:lang w:val="ru-RU" w:eastAsia="en-US" w:bidi="ar-SA"/>
              </w:rPr>
              <w:t>20</w:t>
            </w:r>
            <w:r>
              <w:rPr>
                <w:rFonts w:eastAsia="Calibri" w:cs=""/>
                <w:b/>
                <w:bCs/>
                <w:kern w:val="0"/>
                <w:sz w:val="22"/>
                <w:szCs w:val="22"/>
                <w:lang w:val="ru-RU" w:eastAsia="en-US" w:bidi="ar-SA"/>
              </w:rPr>
              <w:t>» октября 2026 года в 15 ч. 00 мин. (по местному времени Организатора).</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Срок предоставления Участникам разъяснений Документации о закупке:</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 xml:space="preserve">Дата и время окончания срока предоставления разъяснений: </w:t>
            </w:r>
            <w:r>
              <w:rPr>
                <w:rFonts w:eastAsia="Calibri" w:cs=""/>
                <w:b/>
                <w:bCs/>
                <w:kern w:val="0"/>
                <w:sz w:val="22"/>
                <w:szCs w:val="22"/>
                <w:lang w:val="ru-RU" w:eastAsia="en-US" w:bidi="ar-SA"/>
              </w:rPr>
              <w:t>«</w:t>
            </w:r>
            <w:r>
              <w:rPr>
                <w:rFonts w:eastAsia="Calibri" w:cs=""/>
                <w:b/>
                <w:bCs/>
                <w:kern w:val="0"/>
                <w:sz w:val="22"/>
                <w:szCs w:val="22"/>
                <w:lang w:val="ru-RU" w:eastAsia="en-US" w:bidi="ar-SA"/>
              </w:rPr>
              <w:t>20</w:t>
            </w:r>
            <w:r>
              <w:rPr>
                <w:rFonts w:eastAsia="Calibri" w:cs=""/>
                <w:b/>
                <w:bCs/>
                <w:kern w:val="0"/>
                <w:sz w:val="22"/>
                <w:szCs w:val="22"/>
                <w:lang w:val="ru-RU" w:eastAsia="en-US" w:bidi="ar-SA"/>
              </w:rPr>
              <w:t>» октября 2026 года в 12 ч. 00 мин.(по местному времени Организатора).</w:t>
            </w:r>
          </w:p>
          <w:p>
            <w:pPr>
              <w:pStyle w:val="Style30"/>
              <w:widowControl w:val="false"/>
              <w:suppressAutoHyphens w:val="true"/>
              <w:spacing w:before="0" w:after="0"/>
              <w:rPr>
                <w:sz w:val="22"/>
                <w:szCs w:val="22"/>
              </w:rPr>
            </w:pPr>
            <w:r>
              <w:rPr>
                <w:rFonts w:eastAsia="Calibri" w:cs=""/>
                <w:kern w:val="0"/>
                <w:sz w:val="22"/>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_Ref125360779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1.2.17</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1" w:name="_Ref125476197"/>
            <w:bookmarkStart w:id="42" w:name="_Ref125476197"/>
            <w:bookmarkEnd w:id="42"/>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Место открытия доступа к заявкам:</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_Ref125360764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1.2.5</w:t>
            </w:r>
            <w:r>
              <w:rPr>
                <w:sz w:val="22"/>
                <w:kern w:val="0"/>
                <w:szCs w:val="22"/>
                <w:rFonts w:eastAsia="Calibri" w:cs=""/>
                <w:lang w:val="ru-RU" w:eastAsia="en-US" w:bidi="ar-SA"/>
              </w:rPr>
              <w:fldChar w:fldCharType="end"/>
            </w:r>
            <w:r>
              <w:rPr>
                <w:rFonts w:eastAsia="Calibri" w:cs=""/>
                <w:kern w:val="0"/>
                <w:sz w:val="22"/>
                <w:szCs w:val="22"/>
                <w:lang w:val="ru-RU" w:eastAsia="en-US" w:bidi="ar-SA"/>
              </w:rPr>
              <w:t>.</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3" w:name="_Ref125362733"/>
            <w:bookmarkStart w:id="44" w:name="_Ref125362733"/>
            <w:bookmarkEnd w:id="44"/>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Дата окончания рассмотрения заявок:</w:t>
            </w:r>
          </w:p>
        </w:tc>
        <w:tc>
          <w:tcPr>
            <w:tcW w:w="5676" w:type="dxa"/>
            <w:tcBorders/>
          </w:tcPr>
          <w:p>
            <w:pPr>
              <w:pStyle w:val="Style30"/>
              <w:widowControl w:val="false"/>
              <w:suppressAutoHyphens w:val="true"/>
              <w:spacing w:before="0" w:after="0"/>
              <w:rPr>
                <w:b/>
                <w:bCs/>
                <w:sz w:val="22"/>
                <w:szCs w:val="22"/>
              </w:rPr>
            </w:pPr>
            <w:r>
              <w:rPr>
                <w:rFonts w:eastAsia="Calibri" w:cs=""/>
                <w:b/>
                <w:bCs/>
                <w:kern w:val="0"/>
                <w:sz w:val="22"/>
                <w:szCs w:val="22"/>
                <w:lang w:val="ru-RU" w:eastAsia="en-US" w:bidi="ar-SA"/>
              </w:rPr>
              <w:t>Не позднее «1</w:t>
            </w:r>
            <w:r>
              <w:rPr>
                <w:rFonts w:eastAsia="Calibri" w:cs=""/>
                <w:b/>
                <w:bCs/>
                <w:kern w:val="0"/>
                <w:sz w:val="22"/>
                <w:szCs w:val="22"/>
                <w:lang w:val="ru-RU" w:eastAsia="en-US" w:bidi="ar-SA"/>
              </w:rPr>
              <w:t>0</w:t>
            </w:r>
            <w:r>
              <w:rPr>
                <w:rFonts w:eastAsia="Calibri" w:cs=""/>
                <w:b/>
                <w:bCs/>
                <w:kern w:val="0"/>
                <w:sz w:val="22"/>
                <w:szCs w:val="22"/>
                <w:lang w:val="ru-RU" w:eastAsia="en-US" w:bidi="ar-SA"/>
              </w:rPr>
              <w:t>» ноября 2026 года</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5" w:name="_Ref125362757"/>
            <w:bookmarkStart w:id="46" w:name="_Ref125362757"/>
            <w:bookmarkEnd w:id="46"/>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Дата подведения итогов закупки:</w:t>
            </w:r>
          </w:p>
        </w:tc>
        <w:tc>
          <w:tcPr>
            <w:tcW w:w="5676" w:type="dxa"/>
            <w:tcBorders/>
          </w:tcPr>
          <w:p>
            <w:pPr>
              <w:pStyle w:val="Style30"/>
              <w:widowControl w:val="false"/>
              <w:suppressAutoHyphens w:val="true"/>
              <w:spacing w:before="0" w:after="0"/>
              <w:rPr>
                <w:b/>
                <w:bCs/>
                <w:sz w:val="22"/>
                <w:szCs w:val="22"/>
              </w:rPr>
            </w:pPr>
            <w:r>
              <w:rPr>
                <w:rFonts w:eastAsia="Calibri" w:cs=""/>
                <w:b/>
                <w:bCs/>
                <w:kern w:val="0"/>
                <w:sz w:val="22"/>
                <w:szCs w:val="22"/>
                <w:lang w:val="ru-RU" w:eastAsia="en-US" w:bidi="ar-SA"/>
              </w:rPr>
              <w:t>Не позднее «1</w:t>
            </w:r>
            <w:r>
              <w:rPr>
                <w:rFonts w:eastAsia="Calibri" w:cs=""/>
                <w:b/>
                <w:bCs/>
                <w:kern w:val="0"/>
                <w:sz w:val="22"/>
                <w:szCs w:val="22"/>
                <w:lang w:val="ru-RU" w:eastAsia="en-US" w:bidi="ar-SA"/>
              </w:rPr>
              <w:t>0</w:t>
            </w:r>
            <w:r>
              <w:rPr>
                <w:rFonts w:eastAsia="Calibri" w:cs=""/>
                <w:b/>
                <w:bCs/>
                <w:kern w:val="0"/>
                <w:sz w:val="22"/>
                <w:szCs w:val="22"/>
                <w:lang w:val="ru-RU" w:eastAsia="en-US" w:bidi="ar-SA"/>
              </w:rPr>
              <w:t>» ноября 2026 года</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7" w:name="_Ref125366047"/>
            <w:bookmarkStart w:id="48" w:name="_Ref125366047"/>
            <w:bookmarkEnd w:id="48"/>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Не предоставляется.</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49" w:name="_Ref125361769"/>
            <w:bookmarkStart w:id="50" w:name="_Ref125361769"/>
            <w:bookmarkEnd w:id="50"/>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Не предусмотрено.</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Порядок подведения</w:t>
              <w:br/>
              <w:t>итогов закупки:</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Победителем закупки признается Участник, заявка которого соответствует требованиям Документации о закупке и который предложил наиболее низкую цену Договора (стоимость заявки).</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51" w:name="_Ref125366606"/>
            <w:bookmarkStart w:id="52" w:name="_Ref125366606"/>
            <w:bookmarkEnd w:id="52"/>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Количество победителей закупки (в рамках одного лота):</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Один победитель.</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53" w:name="_Ref125366813"/>
            <w:bookmarkStart w:id="54" w:name="_Ref125366813"/>
            <w:bookmarkEnd w:id="54"/>
          </w:p>
        </w:tc>
        <w:tc>
          <w:tcPr>
            <w:tcW w:w="3239" w:type="dxa"/>
            <w:tcBorders/>
          </w:tcPr>
          <w:p>
            <w:pPr>
              <w:pStyle w:val="Style30"/>
              <w:widowControl w:val="false"/>
              <w:suppressAutoHyphens w:val="true"/>
              <w:spacing w:before="0" w:after="0"/>
              <w:jc w:val="left"/>
              <w:rPr>
                <w:highlight w:val="none"/>
                <w:shd w:fill="auto" w:val="clear"/>
              </w:rPr>
            </w:pPr>
            <w:r>
              <w:rPr>
                <w:rFonts w:eastAsia="Calibri" w:cs=""/>
                <w:kern w:val="0"/>
                <w:sz w:val="22"/>
                <w:szCs w:val="22"/>
                <w:shd w:fill="auto" w:val="clear"/>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30"/>
              <w:keepNext w:val="true"/>
              <w:widowControl w:val="false"/>
              <w:suppressAutoHyphens w:val="true"/>
              <w:spacing w:before="0" w:after="0"/>
              <w:rPr>
                <w:sz w:val="22"/>
                <w:szCs w:val="22"/>
              </w:rPr>
            </w:pPr>
            <w:r>
              <w:rPr>
                <w:rFonts w:eastAsia="Calibri" w:cs=""/>
                <w:b/>
                <w:bCs/>
                <w:kern w:val="0"/>
                <w:sz w:val="22"/>
                <w:szCs w:val="22"/>
                <w:lang w:val="ru-RU" w:eastAsia="en-US" w:bidi="ar-SA"/>
              </w:rPr>
              <w:t>Для подачи документов в бумажной форме:</w:t>
            </w:r>
          </w:p>
          <w:p>
            <w:pPr>
              <w:pStyle w:val="Style30"/>
              <w:widowControl w:val="false"/>
              <w:suppressAutoHyphens w:val="true"/>
              <w:spacing w:before="0" w:after="0"/>
              <w:rPr>
                <w:sz w:val="22"/>
                <w:szCs w:val="22"/>
              </w:rPr>
            </w:pPr>
            <w:r>
              <w:rPr>
                <w:rFonts w:eastAsia="Calibri" w:cs=""/>
                <w:kern w:val="0"/>
                <w:sz w:val="22"/>
                <w:szCs w:val="22"/>
                <w:lang w:val="ru-RU" w:eastAsia="en-US" w:bidi="ar-SA"/>
              </w:rPr>
              <w:t>680000, г. Хабаровск, ул. Тургенева, д. 80</w:t>
            </w:r>
          </w:p>
          <w:p>
            <w:pPr>
              <w:pStyle w:val="Style30"/>
              <w:widowControl w:val="false"/>
              <w:suppressAutoHyphens w:val="true"/>
              <w:spacing w:before="0" w:after="0"/>
              <w:rPr>
                <w:sz w:val="22"/>
                <w:szCs w:val="22"/>
              </w:rPr>
            </w:pPr>
            <w:r>
              <w:rPr>
                <w:rFonts w:eastAsia="Calibri" w:cs=""/>
                <w:kern w:val="0"/>
                <w:sz w:val="22"/>
                <w:szCs w:val="22"/>
                <w:lang w:val="ru-RU" w:eastAsia="en-US" w:bidi="ar-SA"/>
              </w:rPr>
              <w:t>Контактное лицо для приема документов: Осипов Антон Михайлович</w:t>
            </w:r>
          </w:p>
          <w:p>
            <w:pPr>
              <w:pStyle w:val="Style30"/>
              <w:widowControl w:val="false"/>
              <w:suppressAutoHyphens w:val="true"/>
              <w:spacing w:before="0" w:after="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p>
            <w:pPr>
              <w:pStyle w:val="Style30"/>
              <w:widowControl w:val="false"/>
              <w:suppressAutoHyphens w:val="true"/>
              <w:spacing w:before="0" w:after="0"/>
              <w:rPr>
                <w:sz w:val="22"/>
                <w:szCs w:val="22"/>
              </w:rPr>
            </w:pPr>
            <w:r>
              <w:rPr>
                <w:rFonts w:eastAsia="Calibri" w:cs=""/>
                <w:b/>
                <w:bCs/>
                <w:kern w:val="0"/>
                <w:sz w:val="22"/>
                <w:szCs w:val="22"/>
                <w:lang w:val="ru-RU" w:eastAsia="en-US" w:bidi="ar-SA"/>
              </w:rPr>
              <w:t>Для подачи документов в электронной форме:</w:t>
            </w:r>
          </w:p>
          <w:p>
            <w:pPr>
              <w:pStyle w:val="Style30"/>
              <w:widowControl w:val="false"/>
              <w:suppressAutoHyphens w:val="true"/>
              <w:spacing w:before="0" w:after="0"/>
              <w:rPr>
                <w:sz w:val="22"/>
                <w:szCs w:val="22"/>
              </w:rPr>
            </w:pPr>
            <w:r>
              <w:rPr>
                <w:rFonts w:eastAsia="Calibri" w:cs=""/>
                <w:kern w:val="0"/>
                <w:sz w:val="22"/>
                <w:szCs w:val="22"/>
                <w:lang w:val="ru-RU" w:eastAsia="en-US" w:bidi="ar-SA"/>
              </w:rPr>
              <w:t>Корпоративный сайт ПАО «РусГидро», через специально созданную учетную запись (подробный порядок содержится в разделе</w:t>
            </w:r>
            <w:r>
              <w:rPr>
                <w:rFonts w:eastAsia="Calibri" w:cs=""/>
                <w:kern w:val="0"/>
                <w:sz w:val="22"/>
                <w:szCs w:val="22"/>
                <w:lang w:val="en-US" w:eastAsia="en-US" w:bidi="ar-SA"/>
              </w:rPr>
              <w:t> </w:t>
            </w:r>
            <w:r>
              <w:rPr>
                <w:rFonts w:eastAsia="Calibri" w:cs=""/>
                <w:kern w:val="0"/>
                <w:sz w:val="22"/>
                <w:szCs w:val="22"/>
                <w:lang w:val="en-US" w:eastAsia="en-US" w:bidi="ar-SA"/>
              </w:rPr>
              <w:fldChar w:fldCharType="begin"/>
            </w:r>
            <w:r>
              <w:rPr>
                <w:sz w:val="22"/>
                <w:kern w:val="0"/>
                <w:szCs w:val="22"/>
                <w:rFonts w:eastAsia="Calibri" w:cs=""/>
                <w:lang w:val="en-US" w:eastAsia="en-US" w:bidi="ar-SA"/>
              </w:rPr>
              <w:instrText xml:space="preserve"> REF _Ref126142429 \r \h </w:instrText>
            </w:r>
            <w:r>
              <w:rPr>
                <w:sz w:val="22"/>
                <w:kern w:val="0"/>
                <w:szCs w:val="22"/>
                <w:rFonts w:eastAsia="Calibri" w:cs=""/>
                <w:lang w:val="en-US" w:eastAsia="en-US" w:bidi="ar-SA"/>
              </w:rPr>
              <w:fldChar w:fldCharType="separate"/>
            </w:r>
            <w:r>
              <w:rPr>
                <w:sz w:val="22"/>
                <w:kern w:val="0"/>
                <w:szCs w:val="22"/>
                <w:rFonts w:eastAsia="Calibri" w:cs=""/>
                <w:lang w:val="en-US" w:eastAsia="en-US" w:bidi="ar-SA"/>
              </w:rPr>
              <w:t>5</w:t>
            </w:r>
            <w:r>
              <w:rPr>
                <w:sz w:val="22"/>
                <w:kern w:val="0"/>
                <w:szCs w:val="22"/>
                <w:rFonts w:eastAsia="Calibri" w:cs=""/>
                <w:lang w:val="en-US" w:eastAsia="en-US" w:bidi="ar-SA"/>
              </w:rPr>
              <w:fldChar w:fldCharType="end"/>
            </w:r>
            <w:r>
              <w:rPr>
                <w:rFonts w:eastAsia="Calibri" w:cs=""/>
                <w:kern w:val="0"/>
                <w:sz w:val="22"/>
                <w:szCs w:val="22"/>
                <w:lang w:val="ru-RU" w:eastAsia="en-US" w:bidi="ar-SA"/>
              </w:rPr>
              <w:t>).</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55" w:name="_Ref125368490"/>
            <w:bookmarkStart w:id="56" w:name="_Ref125368490"/>
            <w:bookmarkEnd w:id="56"/>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Некритичные пункты Проекта договора:</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Отсутствуют.</w:t>
            </w:r>
          </w:p>
        </w:tc>
      </w:tr>
      <w:tr>
        <w:trPr/>
        <w:tc>
          <w:tcPr>
            <w:tcW w:w="839" w:type="dxa"/>
            <w:tcBorders/>
          </w:tcPr>
          <w:p>
            <w:pPr>
              <w:pStyle w:val="Style26"/>
              <w:widowControl w:val="false"/>
              <w:suppressAutoHyphens w:val="true"/>
              <w:spacing w:before="60" w:after="60"/>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3239" w:type="dxa"/>
            <w:tcBorders/>
          </w:tcPr>
          <w:p>
            <w:pPr>
              <w:pStyle w:val="Style30"/>
              <w:widowControl w:val="false"/>
              <w:suppressAutoHyphens w:val="true"/>
              <w:spacing w:before="0" w:after="0"/>
              <w:jc w:val="left"/>
              <w:rPr/>
            </w:pPr>
            <w:r>
              <w:rPr>
                <w:rFonts w:eastAsia="Calibri" w:cs=""/>
                <w:kern w:val="0"/>
                <w:sz w:val="22"/>
                <w:szCs w:val="22"/>
                <w:lang w:val="ru-RU" w:eastAsia="en-US" w:bidi="ar-SA"/>
              </w:rPr>
              <w:t>Обеспечение исполнения Договора:</w:t>
            </w:r>
          </w:p>
        </w:tc>
        <w:tc>
          <w:tcPr>
            <w:tcW w:w="5676" w:type="dxa"/>
            <w:tcBorders/>
          </w:tcPr>
          <w:p>
            <w:pPr>
              <w:pStyle w:val="Style30"/>
              <w:widowControl w:val="false"/>
              <w:suppressAutoHyphens w:val="true"/>
              <w:spacing w:before="0" w:after="0"/>
              <w:rPr>
                <w:sz w:val="22"/>
                <w:szCs w:val="22"/>
              </w:rPr>
            </w:pPr>
            <w:r>
              <w:rPr>
                <w:rFonts w:eastAsia="Calibri" w:cs=""/>
                <w:kern w:val="0"/>
                <w:sz w:val="22"/>
                <w:szCs w:val="22"/>
                <w:lang w:val="ru-RU" w:eastAsia="en-US" w:bidi="ar-SA"/>
              </w:rPr>
              <w:t>Не требуется.</w:t>
            </w:r>
          </w:p>
        </w:tc>
      </w:tr>
    </w:tbl>
    <w:p>
      <w:pPr>
        <w:pStyle w:val="Style24"/>
        <w:rPr>
          <w:sz w:val="22"/>
          <w:szCs w:val="22"/>
        </w:rPr>
      </w:pPr>
      <w:bookmarkStart w:id="57" w:name="_Ref125360073"/>
      <w:bookmarkStart w:id="58" w:name="_Ref125360337"/>
      <w:bookmarkStart w:id="59" w:name="_Toc224744287"/>
      <w:r>
        <w:rPr>
          <w:sz w:val="22"/>
          <w:szCs w:val="22"/>
        </w:rPr>
        <w:t>Общие положения</w:t>
      </w:r>
      <w:bookmarkEnd w:id="57"/>
      <w:bookmarkEnd w:id="58"/>
      <w:bookmarkEnd w:id="59"/>
    </w:p>
    <w:p>
      <w:pPr>
        <w:pStyle w:val="Style25"/>
        <w:rPr>
          <w:sz w:val="22"/>
          <w:szCs w:val="22"/>
        </w:rPr>
      </w:pPr>
      <w:bookmarkStart w:id="60" w:name="_Toc224744288"/>
      <w:r>
        <w:rPr>
          <w:sz w:val="22"/>
          <w:szCs w:val="22"/>
        </w:rPr>
        <w:t>Общие сведения о закупке</w:t>
      </w:r>
      <w:bookmarkEnd w:id="60"/>
    </w:p>
    <w:p>
      <w:pPr>
        <w:pStyle w:val="Style26"/>
        <w:rPr>
          <w:sz w:val="22"/>
          <w:szCs w:val="22"/>
        </w:rPr>
      </w:pPr>
      <w:r>
        <w:rPr>
          <w:sz w:val="22"/>
          <w:szCs w:val="22"/>
        </w:rPr>
        <w:t>Организатор официально размещенным Извещением приглашает лиц, указанных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к участию в закупке на право заключения договора, предмет которого указан в том же подразделе.</w:t>
      </w:r>
    </w:p>
    <w:p>
      <w:pPr>
        <w:pStyle w:val="Style26"/>
        <w:rPr>
          <w:sz w:val="22"/>
          <w:szCs w:val="22"/>
        </w:rPr>
      </w:pPr>
      <w:r>
        <w:rPr>
          <w:sz w:val="22"/>
          <w:szCs w:val="22"/>
        </w:rPr>
        <w:t>Требования к Участникам, а также к документам, подтверждающим соответствие установленным требованиям, приведены в разделе </w:t>
      </w:r>
      <w:r>
        <w:rPr>
          <w:sz w:val="22"/>
          <w:szCs w:val="22"/>
        </w:rPr>
        <w:fldChar w:fldCharType="begin"/>
      </w:r>
      <w:r>
        <w:rPr>
          <w:sz w:val="22"/>
          <w:szCs w:val="22"/>
        </w:rPr>
        <w:instrText xml:space="preserve"> REF _Ref125361210 \r \h </w:instrText>
      </w:r>
      <w:r>
        <w:rPr>
          <w:sz w:val="22"/>
          <w:szCs w:val="22"/>
        </w:rPr>
        <w:fldChar w:fldCharType="separate"/>
      </w:r>
      <w:r>
        <w:rPr>
          <w:sz w:val="22"/>
          <w:szCs w:val="22"/>
        </w:rPr>
        <w:t>3</w:t>
      </w:r>
      <w:r>
        <w:rPr>
          <w:sz w:val="22"/>
          <w:szCs w:val="22"/>
        </w:rPr>
        <w:fldChar w:fldCharType="end"/>
      </w:r>
      <w:r>
        <w:rPr>
          <w:sz w:val="22"/>
          <w:szCs w:val="22"/>
        </w:rPr>
        <w:t xml:space="preserve"> Документации о закупке.</w:t>
      </w:r>
    </w:p>
    <w:p>
      <w:pPr>
        <w:pStyle w:val="Style26"/>
        <w:rPr/>
      </w:pPr>
      <w:r>
        <w:rPr>
          <w:sz w:val="22"/>
          <w:szCs w:val="22"/>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4"/>
            <w:sz w:val="22"/>
            <w:szCs w:val="22"/>
          </w:rPr>
          <w:t>Технических требованиях (Приложение № 1)</w:t>
        </w:r>
      </w:hyperlink>
      <w:r>
        <w:rPr>
          <w:sz w:val="22"/>
          <w:szCs w:val="22"/>
        </w:rPr>
        <w:t xml:space="preserve">. </w:t>
      </w:r>
      <w:hyperlink w:anchor="Прил02_ПроектДоговора">
        <w:r>
          <w:rPr>
            <w:rStyle w:val="Style14"/>
            <w:sz w:val="22"/>
            <w:szCs w:val="22"/>
          </w:rPr>
          <w:t>Проект договора</w:t>
        </w:r>
      </w:hyperlink>
      <w:r>
        <w:rPr>
          <w:sz w:val="22"/>
          <w:szCs w:val="22"/>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4"/>
            <w:sz w:val="22"/>
            <w:szCs w:val="22"/>
          </w:rPr>
          <w:t>Приложении № 2</w:t>
        </w:r>
      </w:hyperlink>
      <w:r>
        <w:rPr>
          <w:sz w:val="22"/>
          <w:szCs w:val="22"/>
        </w:rPr>
        <w:t>. 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4"/>
            <w:sz w:val="22"/>
            <w:szCs w:val="22"/>
          </w:rPr>
          <w:t>Приложение № 4</w:t>
        </w:r>
      </w:hyperlink>
      <w:r>
        <w:rPr>
          <w:sz w:val="22"/>
          <w:szCs w:val="22"/>
        </w:rPr>
        <w:t>)).</w:t>
      </w:r>
    </w:p>
    <w:p>
      <w:pPr>
        <w:pStyle w:val="Style26"/>
        <w:rPr/>
      </w:pPr>
      <w:r>
        <w:rPr>
          <w:sz w:val="22"/>
          <w:szCs w:val="22"/>
        </w:rPr>
        <w:t>Подробная информация о порядке проведения закупки и участия в ней, а также о порядке заключения Договора, приведены в разделах </w:t>
      </w:r>
      <w:r>
        <w:rPr>
          <w:sz w:val="22"/>
          <w:szCs w:val="22"/>
        </w:rPr>
        <w:fldChar w:fldCharType="begin"/>
      </w:r>
      <w:r>
        <w:rPr>
          <w:sz w:val="22"/>
          <w:szCs w:val="22"/>
        </w:rPr>
        <w:instrText xml:space="preserve"> REF _Ref125361211 \r \h </w:instrText>
      </w:r>
      <w:r>
        <w:rPr>
          <w:sz w:val="22"/>
          <w:szCs w:val="22"/>
        </w:rPr>
        <w:fldChar w:fldCharType="separate"/>
      </w:r>
      <w:r>
        <w:rPr>
          <w:sz w:val="22"/>
          <w:szCs w:val="22"/>
        </w:rPr>
        <w:t>4</w:t>
      </w:r>
      <w:r>
        <w:rPr>
          <w:sz w:val="22"/>
          <w:szCs w:val="22"/>
        </w:rPr>
        <w:fldChar w:fldCharType="end"/>
      </w:r>
      <w:r>
        <w:rPr>
          <w:sz w:val="22"/>
          <w:szCs w:val="22"/>
        </w:rPr>
        <w:t xml:space="preserve">, </w:t>
      </w:r>
      <w:r>
        <w:rPr>
          <w:sz w:val="22"/>
          <w:szCs w:val="22"/>
        </w:rPr>
        <w:fldChar w:fldCharType="begin"/>
      </w:r>
      <w:r>
        <w:rPr>
          <w:sz w:val="22"/>
          <w:szCs w:val="22"/>
        </w:rPr>
        <w:instrText xml:space="preserve"> REF _Ref126142429 \r \h </w:instrText>
      </w:r>
      <w:r>
        <w:rPr>
          <w:sz w:val="22"/>
          <w:szCs w:val="22"/>
        </w:rPr>
        <w:fldChar w:fldCharType="separate"/>
      </w:r>
      <w:r>
        <w:rPr>
          <w:sz w:val="22"/>
          <w:szCs w:val="22"/>
        </w:rPr>
        <w:t>5</w:t>
      </w:r>
      <w:r>
        <w:rPr>
          <w:sz w:val="22"/>
          <w:szCs w:val="22"/>
        </w:rPr>
        <w:fldChar w:fldCharType="end"/>
      </w:r>
      <w:r>
        <w:rPr>
          <w:sz w:val="22"/>
          <w:szCs w:val="22"/>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4"/>
            <w:sz w:val="22"/>
            <w:szCs w:val="22"/>
          </w:rPr>
          <w:t>№ 4</w:t>
        </w:r>
      </w:hyperlink>
      <w:r>
        <w:rPr>
          <w:sz w:val="22"/>
          <w:szCs w:val="22"/>
        </w:rPr>
        <w:t xml:space="preserve">, </w:t>
      </w:r>
      <w:hyperlink w:anchor="Прил05_ФормыПобедителя">
        <w:r>
          <w:rPr>
            <w:rStyle w:val="Style14"/>
            <w:sz w:val="22"/>
            <w:szCs w:val="22"/>
          </w:rPr>
          <w:t>№ 5</w:t>
        </w:r>
      </w:hyperlink>
      <w:r>
        <w:rPr>
          <w:sz w:val="22"/>
          <w:szCs w:val="22"/>
        </w:rPr>
        <w:t>.</w:t>
      </w:r>
    </w:p>
    <w:p>
      <w:pPr>
        <w:pStyle w:val="Style25"/>
        <w:rPr>
          <w:sz w:val="22"/>
          <w:szCs w:val="22"/>
        </w:rPr>
      </w:pPr>
      <w:bookmarkStart w:id="61" w:name="_Toc224744289"/>
      <w:r>
        <w:rPr>
          <w:sz w:val="22"/>
          <w:szCs w:val="22"/>
        </w:rPr>
        <w:t>Правовой статус документов</w:t>
      </w:r>
      <w:bookmarkEnd w:id="61"/>
    </w:p>
    <w:p>
      <w:pPr>
        <w:pStyle w:val="Style26"/>
        <w:rPr>
          <w:sz w:val="22"/>
          <w:szCs w:val="22"/>
        </w:rPr>
      </w:pPr>
      <w:r>
        <w:rPr>
          <w:sz w:val="22"/>
          <w:szCs w:val="22"/>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rPr>
          <w:sz w:val="22"/>
          <w:szCs w:val="22"/>
        </w:rPr>
      </w:pPr>
      <w:r>
        <w:rPr>
          <w:sz w:val="22"/>
          <w:szCs w:val="22"/>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rPr>
          <w:sz w:val="22"/>
          <w:szCs w:val="22"/>
        </w:rPr>
      </w:pPr>
      <w:bookmarkStart w:id="62" w:name="_Ref125366985"/>
      <w:r>
        <w:rPr>
          <w:sz w:val="22"/>
          <w:szCs w:val="22"/>
        </w:rPr>
        <w:t>При определении условий Договора по результатам закупки используется иерархия документов, установленная в пункте </w:t>
      </w:r>
      <w:r>
        <w:rPr>
          <w:sz w:val="22"/>
          <w:szCs w:val="22"/>
        </w:rPr>
        <w:fldChar w:fldCharType="begin"/>
      </w:r>
      <w:r>
        <w:rPr>
          <w:sz w:val="22"/>
          <w:szCs w:val="22"/>
        </w:rPr>
        <w:instrText xml:space="preserve"> REF _Ref132288402 \r \h </w:instrText>
      </w:r>
      <w:r>
        <w:rPr>
          <w:sz w:val="22"/>
          <w:szCs w:val="22"/>
        </w:rPr>
        <w:fldChar w:fldCharType="separate"/>
      </w:r>
      <w:r>
        <w:rPr>
          <w:sz w:val="22"/>
          <w:szCs w:val="22"/>
        </w:rPr>
        <w:t>5.2.9</w:t>
      </w:r>
      <w:r>
        <w:rPr>
          <w:sz w:val="22"/>
          <w:szCs w:val="22"/>
        </w:rPr>
        <w:fldChar w:fldCharType="end"/>
      </w:r>
      <w:bookmarkEnd w:id="62"/>
      <w:r>
        <w:rPr>
          <w:sz w:val="22"/>
          <w:szCs w:val="22"/>
        </w:rPr>
        <w:t>.</w:t>
      </w:r>
    </w:p>
    <w:p>
      <w:pPr>
        <w:pStyle w:val="Style26"/>
        <w:rPr>
          <w:sz w:val="22"/>
          <w:szCs w:val="22"/>
        </w:rPr>
      </w:pPr>
      <w:r>
        <w:rPr>
          <w:sz w:val="22"/>
          <w:szCs w:val="22"/>
        </w:rPr>
        <w:t>Заключенный по результатам закупки Договор, в том числе, фиксирует все достигнутые сторонами договоренности.</w:t>
      </w:r>
    </w:p>
    <w:p>
      <w:pPr>
        <w:pStyle w:val="Style26"/>
        <w:rPr>
          <w:sz w:val="22"/>
          <w:szCs w:val="22"/>
        </w:rPr>
      </w:pPr>
      <w:r>
        <w:rPr>
          <w:sz w:val="22"/>
          <w:szCs w:val="22"/>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rPr>
          <w:sz w:val="22"/>
          <w:szCs w:val="22"/>
        </w:rPr>
      </w:pPr>
      <w:r>
        <w:rPr>
          <w:sz w:val="22"/>
          <w:szCs w:val="22"/>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rPr>
          <w:sz w:val="22"/>
          <w:szCs w:val="22"/>
        </w:rPr>
      </w:pPr>
      <w:r>
        <w:rPr>
          <w:sz w:val="22"/>
          <w:szCs w:val="22"/>
        </w:rPr>
        <w:t>Иные документы Организатора и Участников не определяют права и обязанности сторон в связи с данной закупкой.</w:t>
      </w:r>
    </w:p>
    <w:p>
      <w:pPr>
        <w:pStyle w:val="Style26"/>
        <w:rPr>
          <w:sz w:val="22"/>
          <w:szCs w:val="22"/>
        </w:rPr>
      </w:pPr>
      <w:r>
        <w:rPr>
          <w:sz w:val="22"/>
          <w:szCs w:val="22"/>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sz w:val="22"/>
          <w:szCs w:val="22"/>
        </w:rPr>
      </w:pPr>
      <w:bookmarkStart w:id="63" w:name="_Toc224744290"/>
      <w:bookmarkStart w:id="64" w:name="_Ref125363536"/>
      <w:r>
        <w:rPr>
          <w:sz w:val="22"/>
          <w:szCs w:val="22"/>
        </w:rPr>
        <w:t>Обжалование</w:t>
      </w:r>
      <w:bookmarkEnd w:id="63"/>
      <w:bookmarkEnd w:id="64"/>
    </w:p>
    <w:p>
      <w:pPr>
        <w:pStyle w:val="Style26"/>
        <w:rPr>
          <w:sz w:val="22"/>
          <w:szCs w:val="22"/>
        </w:rPr>
      </w:pPr>
      <w:r>
        <w:rPr>
          <w:sz w:val="22"/>
          <w:szCs w:val="22"/>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rPr>
          <w:sz w:val="22"/>
          <w:szCs w:val="22"/>
        </w:rPr>
      </w:pPr>
      <w:r>
        <w:rPr>
          <w:sz w:val="22"/>
          <w:szCs w:val="22"/>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rPr>
          <w:sz w:val="22"/>
          <w:szCs w:val="22"/>
        </w:rPr>
      </w:pPr>
      <w:r>
        <w:rPr>
          <w:sz w:val="22"/>
          <w:szCs w:val="22"/>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sz w:val="22"/>
          <w:szCs w:val="22"/>
        </w:rPr>
      </w:pPr>
      <w:r>
        <w:rPr>
          <w:sz w:val="22"/>
          <w:szCs w:val="22"/>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sz w:val="22"/>
          <w:szCs w:val="22"/>
        </w:rPr>
      </w:pPr>
      <w:r>
        <w:rPr>
          <w:sz w:val="22"/>
          <w:szCs w:val="22"/>
        </w:rPr>
        <w:t>признать заявление Участника необоснованным.</w:t>
      </w:r>
    </w:p>
    <w:p>
      <w:pPr>
        <w:pStyle w:val="Style26"/>
        <w:rPr>
          <w:sz w:val="22"/>
          <w:szCs w:val="22"/>
        </w:rPr>
      </w:pPr>
      <w:r>
        <w:rPr>
          <w:sz w:val="22"/>
          <w:szCs w:val="22"/>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обжалование таких действий (бездействия) может осуществляться только Участником, подавшим заявку на участие в такой закупке.</w:t>
      </w:r>
    </w:p>
    <w:p>
      <w:pPr>
        <w:pStyle w:val="Style26"/>
        <w:rPr>
          <w:sz w:val="22"/>
          <w:szCs w:val="22"/>
        </w:rPr>
      </w:pPr>
      <w:r>
        <w:rPr>
          <w:sz w:val="22"/>
          <w:szCs w:val="22"/>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sz w:val="22"/>
          <w:szCs w:val="22"/>
        </w:rPr>
      </w:pPr>
      <w:r>
        <w:rPr>
          <w:sz w:val="22"/>
          <w:szCs w:val="22"/>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sz w:val="22"/>
          <w:szCs w:val="22"/>
        </w:rPr>
      </w:pPr>
      <w:r>
        <w:rPr>
          <w:sz w:val="22"/>
          <w:szCs w:val="22"/>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5" w:name="_Hlk219301278"/>
      <w:bookmarkStart w:id="66" w:name="_Hlk219296876"/>
      <w:r>
        <w:rPr>
          <w:sz w:val="22"/>
          <w:szCs w:val="22"/>
        </w:rPr>
        <w:t>Красноярского края</w:t>
      </w:r>
      <w:bookmarkEnd w:id="65"/>
      <w:bookmarkEnd w:id="66"/>
      <w:r>
        <w:rPr>
          <w:sz w:val="22"/>
          <w:szCs w:val="22"/>
        </w:rPr>
        <w:t>.</w:t>
      </w:r>
    </w:p>
    <w:p>
      <w:pPr>
        <w:pStyle w:val="Style30"/>
        <w:ind w:hanging="0" w:left="1134"/>
        <w:rPr>
          <w:sz w:val="22"/>
          <w:szCs w:val="22"/>
        </w:rPr>
      </w:pPr>
      <w:r>
        <w:rPr>
          <w:sz w:val="22"/>
          <w:szCs w:val="22"/>
        </w:rPr>
        <w:t>Закупочная комиссия определяется в соответствии с Положением о закупке.</w:t>
      </w:r>
    </w:p>
    <w:p>
      <w:pPr>
        <w:pStyle w:val="Style25"/>
        <w:rPr>
          <w:sz w:val="22"/>
          <w:szCs w:val="22"/>
        </w:rPr>
      </w:pPr>
      <w:bookmarkStart w:id="67" w:name="_Toc224744291"/>
      <w:bookmarkStart w:id="68" w:name="_Ref125472658"/>
      <w:r>
        <w:rPr>
          <w:sz w:val="22"/>
          <w:szCs w:val="22"/>
        </w:rPr>
        <w:t>Особые положения при проведении закупки с использованием ЭП</w:t>
      </w:r>
      <w:bookmarkEnd w:id="67"/>
      <w:bookmarkEnd w:id="68"/>
    </w:p>
    <w:p>
      <w:pPr>
        <w:pStyle w:val="Style26"/>
        <w:rPr>
          <w:sz w:val="22"/>
          <w:szCs w:val="22"/>
        </w:rPr>
      </w:pPr>
      <w:r>
        <w:rPr>
          <w:sz w:val="22"/>
          <w:szCs w:val="22"/>
        </w:rPr>
        <w:t>Наименование ЭП, посредством которой проводится закупка, указано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До подачи заявки Участник обязан ознакомиться с Регламентом ЭП, опубликованными на сайте соответствующей ЭП.</w:t>
      </w:r>
    </w:p>
    <w:p>
      <w:pPr>
        <w:pStyle w:val="Style26"/>
        <w:rPr>
          <w:sz w:val="22"/>
          <w:szCs w:val="22"/>
        </w:rPr>
      </w:pPr>
      <w:r>
        <w:rPr>
          <w:sz w:val="22"/>
          <w:szCs w:val="22"/>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rPr>
          <w:sz w:val="22"/>
          <w:szCs w:val="22"/>
        </w:rPr>
      </w:pPr>
      <w:r>
        <w:rPr>
          <w:sz w:val="22"/>
          <w:szCs w:val="22"/>
        </w:rPr>
        <w:t>Правила проведения закупки в том числе определяются Регламентом ЭП.</w:t>
      </w:r>
    </w:p>
    <w:p>
      <w:pPr>
        <w:pStyle w:val="Style26"/>
        <w:rPr>
          <w:sz w:val="22"/>
          <w:szCs w:val="22"/>
        </w:rPr>
      </w:pPr>
      <w:bookmarkStart w:id="69" w:name="_Ref135748672"/>
      <w:r>
        <w:rPr>
          <w:sz w:val="22"/>
          <w:szCs w:val="22"/>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69"/>
    </w:p>
    <w:p>
      <w:pPr>
        <w:pStyle w:val="Style26"/>
        <w:rPr>
          <w:sz w:val="22"/>
          <w:szCs w:val="22"/>
        </w:rPr>
      </w:pPr>
      <w:bookmarkStart w:id="70" w:name="_Ref135748741"/>
      <w:r>
        <w:rPr>
          <w:sz w:val="22"/>
          <w:szCs w:val="22"/>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0"/>
    </w:p>
    <w:p>
      <w:pPr>
        <w:pStyle w:val="Style25"/>
        <w:rPr>
          <w:sz w:val="22"/>
          <w:szCs w:val="22"/>
        </w:rPr>
      </w:pPr>
      <w:bookmarkStart w:id="71" w:name="_Toc224744292"/>
      <w:r>
        <w:rPr>
          <w:sz w:val="22"/>
          <w:szCs w:val="22"/>
        </w:rPr>
        <w:t>Прочие положения</w:t>
      </w:r>
      <w:bookmarkEnd w:id="71"/>
    </w:p>
    <w:p>
      <w:pPr>
        <w:pStyle w:val="Style26"/>
        <w:rPr>
          <w:sz w:val="22"/>
          <w:szCs w:val="22"/>
        </w:rPr>
      </w:pPr>
      <w:r>
        <w:rPr>
          <w:sz w:val="22"/>
          <w:szCs w:val="22"/>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rPr>
          <w:sz w:val="22"/>
          <w:szCs w:val="22"/>
        </w:rPr>
      </w:pPr>
      <w:bookmarkStart w:id="72" w:name="_Ref136257236"/>
      <w:r>
        <w:rPr>
          <w:sz w:val="22"/>
          <w:szCs w:val="22"/>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2"/>
    </w:p>
    <w:p>
      <w:pPr>
        <w:pStyle w:val="Style26"/>
        <w:rPr>
          <w:sz w:val="22"/>
          <w:szCs w:val="22"/>
        </w:rPr>
      </w:pPr>
      <w:r>
        <w:rPr>
          <w:sz w:val="22"/>
          <w:szCs w:val="22"/>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sz w:val="22"/>
          <w:szCs w:val="22"/>
        </w:rPr>
      </w:pPr>
      <w:bookmarkStart w:id="73" w:name="_Toc224744293"/>
      <w:bookmarkStart w:id="74" w:name="_Ref125361210"/>
      <w:r>
        <w:rPr>
          <w:sz w:val="22"/>
          <w:szCs w:val="22"/>
        </w:rPr>
        <w:t>Требования к Участникам</w:t>
      </w:r>
      <w:bookmarkEnd w:id="73"/>
      <w:bookmarkEnd w:id="74"/>
    </w:p>
    <w:p>
      <w:pPr>
        <w:pStyle w:val="Style25"/>
        <w:rPr>
          <w:sz w:val="22"/>
          <w:szCs w:val="22"/>
        </w:rPr>
      </w:pPr>
      <w:bookmarkStart w:id="75" w:name="_Toc224744294"/>
      <w:bookmarkStart w:id="76" w:name="_Ref127524530"/>
      <w:r>
        <w:rPr>
          <w:sz w:val="22"/>
          <w:szCs w:val="22"/>
        </w:rPr>
        <w:t>Общие требования к Участникам</w:t>
      </w:r>
      <w:bookmarkEnd w:id="75"/>
      <w:bookmarkEnd w:id="76"/>
    </w:p>
    <w:p>
      <w:pPr>
        <w:pStyle w:val="Style26"/>
        <w:rPr>
          <w:sz w:val="22"/>
          <w:szCs w:val="22"/>
        </w:rPr>
      </w:pPr>
      <w:bookmarkStart w:id="77" w:name="_Ref125361514"/>
      <w:r>
        <w:rPr>
          <w:sz w:val="22"/>
          <w:szCs w:val="22"/>
        </w:rPr>
        <w:t>Из лиц, указанных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7"/>
    </w:p>
    <w:p>
      <w:pPr>
        <w:pStyle w:val="Style26"/>
        <w:rPr>
          <w:sz w:val="22"/>
          <w:szCs w:val="22"/>
        </w:rPr>
      </w:pPr>
      <w:r>
        <w:rPr>
          <w:sz w:val="22"/>
          <w:szCs w:val="22"/>
        </w:rPr>
        <w:t>Однако, чтобы претендовать на победу в закупке Участник должен отвечать требованиям, установленным в Документации о закупке.</w:t>
      </w:r>
    </w:p>
    <w:p>
      <w:pPr>
        <w:pStyle w:val="Style26"/>
        <w:rPr/>
      </w:pPr>
      <w:r>
        <w:rPr>
          <w:sz w:val="22"/>
          <w:szCs w:val="22"/>
        </w:rPr>
        <w:t xml:space="preserve">Требования к Участникам установлены с учетом предмета договора, </w:t>
      </w:r>
      <w:hyperlink w:anchor="Прил01_ТехТребования">
        <w:r>
          <w:rPr>
            <w:rStyle w:val="Style14"/>
            <w:sz w:val="22"/>
            <w:szCs w:val="22"/>
          </w:rPr>
          <w:t>Технических требований (Приложение № 1)</w:t>
        </w:r>
      </w:hyperlink>
      <w:r>
        <w:rPr>
          <w:sz w:val="22"/>
          <w:szCs w:val="22"/>
        </w:rPr>
        <w:t xml:space="preserve"> и </w:t>
      </w:r>
      <w:hyperlink w:anchor="Прил02_ПроектДоговора">
        <w:r>
          <w:rPr>
            <w:rStyle w:val="Style14"/>
            <w:sz w:val="22"/>
            <w:szCs w:val="22"/>
          </w:rPr>
          <w:t>Проекта договора (Приложение № 2)</w:t>
        </w:r>
      </w:hyperlink>
      <w:r>
        <w:rPr>
          <w:sz w:val="22"/>
          <w:szCs w:val="22"/>
        </w:rPr>
        <w:t>. 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4"/>
            <w:sz w:val="22"/>
            <w:szCs w:val="22"/>
          </w:rPr>
          <w:t>Приложение № 4</w:t>
        </w:r>
      </w:hyperlink>
      <w:r>
        <w:rPr>
          <w:sz w:val="22"/>
          <w:szCs w:val="22"/>
        </w:rPr>
        <w:t>)).</w:t>
      </w:r>
    </w:p>
    <w:p>
      <w:pPr>
        <w:pStyle w:val="Style26"/>
        <w:keepNext w:val="true"/>
        <w:rPr/>
      </w:pPr>
      <w:r>
        <w:rPr>
          <w:sz w:val="22"/>
          <w:szCs w:val="22"/>
        </w:rPr>
        <w:t>Установлены следующие требования к Участникам, которые приведены в </w:t>
      </w:r>
      <w:hyperlink w:anchor="Прил03_ТребованияУчастникам">
        <w:r>
          <w:rPr>
            <w:rStyle w:val="Style14"/>
            <w:sz w:val="22"/>
            <w:szCs w:val="22"/>
          </w:rPr>
          <w:t>Приложении № 3</w:t>
        </w:r>
      </w:hyperlink>
      <w:r>
        <w:rPr>
          <w:sz w:val="22"/>
          <w:szCs w:val="22"/>
        </w:rPr>
        <w:t>:</w:t>
      </w:r>
    </w:p>
    <w:p>
      <w:pPr>
        <w:pStyle w:val="Style27"/>
        <w:rPr>
          <w:sz w:val="22"/>
          <w:szCs w:val="22"/>
        </w:rPr>
      </w:pPr>
      <w:r>
        <w:rPr>
          <w:sz w:val="22"/>
          <w:szCs w:val="22"/>
        </w:rPr>
        <w:t>обязательные требования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 – Участники должны им соответствовать;</w:t>
      </w:r>
    </w:p>
    <w:p>
      <w:pPr>
        <w:pStyle w:val="Style27"/>
        <w:rPr>
          <w:sz w:val="22"/>
          <w:szCs w:val="22"/>
        </w:rPr>
      </w:pPr>
      <w:r>
        <w:rPr>
          <w:sz w:val="22"/>
          <w:szCs w:val="22"/>
        </w:rPr>
        <w:t>специальные требования – Участники должны им соответствовать, если они установлены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w:t>
      </w:r>
    </w:p>
    <w:p>
      <w:pPr>
        <w:pStyle w:val="Style26"/>
        <w:keepNext w:val="true"/>
        <w:rPr>
          <w:sz w:val="22"/>
          <w:szCs w:val="22"/>
        </w:rPr>
      </w:pPr>
      <w:r>
        <w:rPr>
          <w:sz w:val="22"/>
          <w:szCs w:val="22"/>
        </w:rPr>
        <w:t>В рамках требований к Участникам могут быть установлены дополнительные требования к Генеральным подрядчикам (подраздел </w:t>
      </w:r>
      <w:r>
        <w:rPr>
          <w:sz w:val="22"/>
          <w:szCs w:val="22"/>
        </w:rPr>
        <w:fldChar w:fldCharType="begin"/>
      </w:r>
      <w:r>
        <w:rPr>
          <w:sz w:val="22"/>
          <w:szCs w:val="22"/>
        </w:rPr>
        <w:instrText xml:space="preserve"> REF _Ref125361702 \r \h </w:instrText>
      </w:r>
      <w:r>
        <w:rPr>
          <w:sz w:val="22"/>
          <w:szCs w:val="22"/>
        </w:rPr>
        <w:fldChar w:fldCharType="separate"/>
      </w:r>
      <w:r>
        <w:rPr>
          <w:sz w:val="22"/>
          <w:szCs w:val="22"/>
        </w:rPr>
        <w:t>3.2</w:t>
      </w:r>
      <w:r>
        <w:rPr>
          <w:sz w:val="22"/>
          <w:szCs w:val="22"/>
        </w:rPr>
        <w:fldChar w:fldCharType="end"/>
      </w:r>
      <w:r>
        <w:rPr>
          <w:sz w:val="22"/>
          <w:szCs w:val="22"/>
        </w:rPr>
        <w:t>).</w:t>
      </w:r>
    </w:p>
    <w:p>
      <w:pPr>
        <w:pStyle w:val="Style26"/>
        <w:rPr/>
      </w:pPr>
      <w:bookmarkStart w:id="78" w:name="_Ref125361976"/>
      <w:bookmarkStart w:id="79" w:name="_Ref125361969"/>
      <w:bookmarkEnd w:id="78"/>
      <w:bookmarkEnd w:id="79"/>
      <w:r>
        <w:rPr>
          <w:sz w:val="22"/>
          <w:szCs w:val="22"/>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4"/>
            <w:sz w:val="22"/>
            <w:szCs w:val="22"/>
          </w:rPr>
          <w:t>Требованиях к Участникам (Приложение № 3)</w:t>
        </w:r>
      </w:hyperlink>
      <w:r>
        <w:rPr>
          <w:sz w:val="22"/>
          <w:szCs w:val="22"/>
        </w:rPr>
        <w:t>, если иное не установлено в Документации о закупке.</w:t>
      </w:r>
    </w:p>
    <w:p>
      <w:pPr>
        <w:pStyle w:val="Style25"/>
        <w:rPr>
          <w:sz w:val="22"/>
          <w:szCs w:val="22"/>
        </w:rPr>
      </w:pPr>
      <w:bookmarkStart w:id="80" w:name="_Toc224744315"/>
      <w:bookmarkStart w:id="81" w:name="_Ref125361702"/>
      <w:bookmarkStart w:id="82" w:name="_Ref125361976_Копия_1"/>
      <w:bookmarkStart w:id="83" w:name="_Toc224744296"/>
      <w:bookmarkStart w:id="84" w:name="_Toc224744298"/>
      <w:bookmarkStart w:id="85" w:name="_Toc224744297"/>
      <w:bookmarkStart w:id="86" w:name="_Toc224744299"/>
      <w:bookmarkStart w:id="87" w:name="_Toc224744300"/>
      <w:bookmarkStart w:id="88" w:name="_Toc224744301"/>
      <w:bookmarkStart w:id="89" w:name="_Toc224744302"/>
      <w:bookmarkStart w:id="90" w:name="_Toc224744303"/>
      <w:bookmarkStart w:id="91" w:name="_Toc224744304"/>
      <w:bookmarkStart w:id="92" w:name="_Toc224744305"/>
      <w:bookmarkStart w:id="93" w:name="_Ref125361969_Копия_1"/>
      <w:bookmarkStart w:id="94" w:name="_Toc224744295"/>
      <w:bookmarkStart w:id="95" w:name="_Toc224744306"/>
      <w:bookmarkStart w:id="96" w:name="_Toc224744314"/>
      <w:bookmarkStart w:id="97" w:name="_Toc224744313"/>
      <w:bookmarkStart w:id="98" w:name="_Toc224744312"/>
      <w:bookmarkStart w:id="99" w:name="_Toc224744311"/>
      <w:bookmarkStart w:id="100" w:name="_Toc224744310"/>
      <w:bookmarkStart w:id="101" w:name="_Toc224744308"/>
      <w:bookmarkStart w:id="102" w:name="_Toc224744309"/>
      <w:bookmarkStart w:id="103" w:name="_Toc224744307"/>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sz w:val="22"/>
          <w:szCs w:val="22"/>
        </w:rPr>
        <w:t>Генеральные подрядчики</w:t>
      </w:r>
      <w:bookmarkEnd w:id="80"/>
      <w:bookmarkEnd w:id="81"/>
    </w:p>
    <w:p>
      <w:pPr>
        <w:pStyle w:val="Style26"/>
        <w:rPr>
          <w:sz w:val="22"/>
          <w:szCs w:val="22"/>
        </w:rPr>
      </w:pPr>
      <w:r>
        <w:rPr>
          <w:sz w:val="22"/>
          <w:szCs w:val="22"/>
        </w:rPr>
        <w:t>Нормы настоящего подраздела применяются только,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предусмотрено рассмотрение заявок Участников с учетом привлекаемых субподрядчиков.</w:t>
      </w:r>
    </w:p>
    <w:p>
      <w:pPr>
        <w:pStyle w:val="Style26"/>
        <w:rPr/>
      </w:pPr>
      <w:r>
        <w:rPr>
          <w:sz w:val="22"/>
          <w:szCs w:val="22"/>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sz w:val="22"/>
          <w:szCs w:val="22"/>
        </w:rPr>
        <w:fldChar w:fldCharType="begin"/>
      </w:r>
      <w:r>
        <w:rPr>
          <w:sz w:val="22"/>
          <w:szCs w:val="22"/>
        </w:rPr>
        <w:instrText xml:space="preserve"> REF _Ref125709777 \r \h </w:instrText>
      </w:r>
      <w:r>
        <w:rPr>
          <w:sz w:val="22"/>
          <w:szCs w:val="22"/>
        </w:rPr>
        <w:fldChar w:fldCharType="separate"/>
      </w:r>
      <w:r>
        <w:rPr>
          <w:sz w:val="22"/>
          <w:szCs w:val="22"/>
        </w:rPr>
        <w:t>8.4</w:t>
      </w:r>
      <w:r>
        <w:rPr>
          <w:sz w:val="22"/>
          <w:szCs w:val="22"/>
        </w:rPr>
        <w:fldChar w:fldCharType="end"/>
      </w:r>
      <w:r>
        <w:rPr>
          <w:sz w:val="22"/>
          <w:szCs w:val="22"/>
        </w:rPr>
        <w:t xml:space="preserve"> </w:t>
      </w:r>
      <w:hyperlink w:anchor="Прил03_ТребованияУчастникам">
        <w:r>
          <w:rPr>
            <w:rStyle w:val="Style14"/>
            <w:sz w:val="22"/>
            <w:szCs w:val="22"/>
          </w:rPr>
          <w:t>Требований к Участникам (Приложение № 3)</w:t>
        </w:r>
      </w:hyperlink>
      <w:r>
        <w:rPr>
          <w:sz w:val="22"/>
          <w:szCs w:val="22"/>
        </w:rPr>
        <w:t>.</w:t>
      </w:r>
    </w:p>
    <w:p>
      <w:pPr>
        <w:pStyle w:val="Style26"/>
        <w:keepNext w:val="true"/>
        <w:rPr>
          <w:sz w:val="22"/>
          <w:szCs w:val="22"/>
        </w:rPr>
      </w:pPr>
      <w:r>
        <w:rPr>
          <w:sz w:val="22"/>
          <w:szCs w:val="22"/>
        </w:rPr>
        <w:t>Генеральный подрядчик:</w:t>
      </w:r>
    </w:p>
    <w:p>
      <w:pPr>
        <w:pStyle w:val="Style27"/>
        <w:rPr>
          <w:sz w:val="22"/>
          <w:szCs w:val="22"/>
        </w:rPr>
      </w:pPr>
      <w:r>
        <w:rPr>
          <w:sz w:val="22"/>
          <w:szCs w:val="22"/>
        </w:rPr>
        <w:t>должен самостоятельно отвечать всем обязательным требованиям к Участникам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w:t>
      </w:r>
    </w:p>
    <w:p>
      <w:pPr>
        <w:pStyle w:val="Style27"/>
        <w:rPr>
          <w:sz w:val="22"/>
          <w:szCs w:val="22"/>
        </w:rPr>
      </w:pPr>
      <w:r>
        <w:rPr>
          <w:sz w:val="22"/>
          <w:szCs w:val="22"/>
        </w:rPr>
        <w:t>в рамках специальных требований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sz w:val="22"/>
          <w:szCs w:val="22"/>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4"/>
            <w:sz w:val="22"/>
            <w:szCs w:val="22"/>
          </w:rPr>
          <w:t>Приложение № 4</w:t>
        </w:r>
      </w:hyperlink>
      <w:r>
        <w:rPr>
          <w:sz w:val="22"/>
          <w:szCs w:val="22"/>
        </w:rPr>
        <w:t>).</w:t>
      </w:r>
    </w:p>
    <w:p>
      <w:pPr>
        <w:pStyle w:val="Style26"/>
        <w:keepNext w:val="true"/>
        <w:rPr>
          <w:sz w:val="22"/>
          <w:szCs w:val="22"/>
        </w:rPr>
      </w:pPr>
      <w:r>
        <w:rPr>
          <w:sz w:val="22"/>
          <w:szCs w:val="22"/>
        </w:rPr>
        <w:t>Каждый субподрядчик из привлекаемых Генеральным подрядчиком должен отвечать:</w:t>
      </w:r>
    </w:p>
    <w:p>
      <w:pPr>
        <w:pStyle w:val="Style27"/>
        <w:rPr>
          <w:sz w:val="22"/>
          <w:szCs w:val="22"/>
        </w:rPr>
      </w:pPr>
      <w:r>
        <w:rPr>
          <w:sz w:val="22"/>
          <w:szCs w:val="22"/>
        </w:rPr>
        <w:t>обязательным требованиям (подраздел </w:t>
      </w:r>
      <w:r>
        <w:rPr>
          <w:sz w:val="22"/>
          <w:szCs w:val="22"/>
        </w:rPr>
        <w:fldChar w:fldCharType="begin"/>
      </w:r>
      <w:r>
        <w:rPr>
          <w:sz w:val="22"/>
          <w:szCs w:val="22"/>
        </w:rPr>
        <w:instrText xml:space="preserve"> REF _Ref125361435 \r \h </w:instrText>
      </w:r>
      <w:r>
        <w:rPr>
          <w:sz w:val="22"/>
          <w:szCs w:val="22"/>
        </w:rPr>
        <w:fldChar w:fldCharType="separate"/>
      </w:r>
      <w:r>
        <w:rPr>
          <w:sz w:val="22"/>
          <w:szCs w:val="22"/>
        </w:rPr>
        <w:t>8.2</w:t>
      </w:r>
      <w:r>
        <w:rPr>
          <w:sz w:val="22"/>
          <w:szCs w:val="22"/>
        </w:rPr>
        <w:fldChar w:fldCharType="end"/>
      </w:r>
      <w:r>
        <w:rPr>
          <w:sz w:val="22"/>
          <w:szCs w:val="22"/>
        </w:rPr>
        <w:t>);</w:t>
      </w:r>
    </w:p>
    <w:p>
      <w:pPr>
        <w:pStyle w:val="Style27"/>
        <w:rPr>
          <w:sz w:val="22"/>
          <w:szCs w:val="22"/>
        </w:rPr>
      </w:pPr>
      <w:r>
        <w:rPr>
          <w:sz w:val="22"/>
          <w:szCs w:val="22"/>
        </w:rPr>
        <w:t>специальным требованиям (подраздел </w:t>
      </w:r>
      <w:r>
        <w:rPr>
          <w:sz w:val="22"/>
          <w:szCs w:val="22"/>
        </w:rPr>
        <w:fldChar w:fldCharType="begin"/>
      </w:r>
      <w:r>
        <w:rPr>
          <w:sz w:val="22"/>
          <w:szCs w:val="22"/>
        </w:rPr>
        <w:instrText xml:space="preserve"> REF _Ref125709153 \r \h </w:instrText>
      </w:r>
      <w:r>
        <w:rPr>
          <w:sz w:val="22"/>
          <w:szCs w:val="22"/>
        </w:rPr>
        <w:fldChar w:fldCharType="separate"/>
      </w:r>
      <w:r>
        <w:rPr>
          <w:sz w:val="22"/>
          <w:szCs w:val="22"/>
        </w:rPr>
        <w:t>8.3</w:t>
      </w:r>
      <w:r>
        <w:rPr>
          <w:sz w:val="22"/>
          <w:szCs w:val="22"/>
        </w:rPr>
        <w:fldChar w:fldCharType="end"/>
      </w:r>
      <w:r>
        <w:rPr>
          <w:sz w:val="22"/>
          <w:szCs w:val="22"/>
        </w:rPr>
        <w:t>) (в случае их установления), за исключением требования о наличии членства в саморегулируемых организациях.</w:t>
      </w:r>
    </w:p>
    <w:p>
      <w:pPr>
        <w:pStyle w:val="Style30"/>
        <w:ind w:hanging="0" w:left="1134"/>
        <w:rPr/>
      </w:pPr>
      <w:bookmarkStart w:id="104" w:name="_Ref125368863"/>
      <w:r>
        <w:rPr>
          <w:sz w:val="22"/>
          <w:szCs w:val="22"/>
        </w:rPr>
        <w:t xml:space="preserve">При этом соответствовать специальным требованиям субподрядчик должен только в части объема поставки продукции, который ему поручен </w:t>
      </w:r>
      <w:bookmarkEnd w:id="104"/>
      <w:r>
        <w:rPr>
          <w:sz w:val="22"/>
          <w:szCs w:val="22"/>
        </w:rPr>
        <w:t>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4"/>
            <w:sz w:val="22"/>
            <w:szCs w:val="22"/>
          </w:rPr>
          <w:t>Приложение № 4</w:t>
        </w:r>
      </w:hyperlink>
      <w:r>
        <w:rPr>
          <w:sz w:val="22"/>
          <w:szCs w:val="22"/>
        </w:rPr>
        <w:t>).</w:t>
      </w:r>
    </w:p>
    <w:p>
      <w:pPr>
        <w:pStyle w:val="Style26"/>
        <w:rPr>
          <w:sz w:val="22"/>
          <w:szCs w:val="22"/>
        </w:rPr>
      </w:pPr>
      <w:bookmarkStart w:id="105" w:name="_Ref125361799"/>
      <w:r>
        <w:rPr>
          <w:sz w:val="22"/>
          <w:szCs w:val="22"/>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5"/>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sz w:val="22"/>
          <w:szCs w:val="22"/>
        </w:rPr>
        <w:t>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не предусмотрено рассмотрение заявок Участников с учетом привлекаемых субподрядчиков, то при рассмотрении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sz w:val="22"/>
          <w:szCs w:val="22"/>
        </w:rPr>
        <w:fldChar w:fldCharType="begin"/>
      </w:r>
      <w:r>
        <w:rPr>
          <w:sz w:val="22"/>
          <w:szCs w:val="22"/>
        </w:rPr>
        <w:instrText xml:space="preserve"> REF _Ref125709973 \r \h </w:instrText>
      </w:r>
      <w:r>
        <w:rPr>
          <w:sz w:val="22"/>
          <w:szCs w:val="22"/>
        </w:rPr>
        <w:fldChar w:fldCharType="separate"/>
      </w:r>
      <w:r>
        <w:rPr>
          <w:sz w:val="22"/>
          <w:szCs w:val="22"/>
        </w:rPr>
        <w:t>8.4</w:t>
      </w:r>
      <w:r>
        <w:rPr>
          <w:sz w:val="22"/>
          <w:szCs w:val="22"/>
        </w:rPr>
        <w:fldChar w:fldCharType="end"/>
      </w:r>
      <w:r>
        <w:rPr>
          <w:sz w:val="22"/>
          <w:szCs w:val="22"/>
        </w:rPr>
        <w:t xml:space="preserve"> </w:t>
      </w:r>
      <w:hyperlink w:anchor="Прил03_ТребованияУчастникам">
        <w:r>
          <w:rPr>
            <w:rStyle w:val="Style14"/>
            <w:sz w:val="22"/>
            <w:szCs w:val="22"/>
          </w:rPr>
          <w:t>Требований к Участникам (Приложение № 3)</w:t>
        </w:r>
      </w:hyperlink>
      <w:r>
        <w:rPr>
          <w:sz w:val="22"/>
          <w:szCs w:val="22"/>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sz w:val="22"/>
          <w:szCs w:val="22"/>
        </w:rPr>
      </w:pPr>
      <w:bookmarkStart w:id="106" w:name="_Toc224744316"/>
      <w:bookmarkStart w:id="107" w:name="_Ref125367974"/>
      <w:bookmarkStart w:id="108" w:name="_Ref125367107"/>
      <w:bookmarkStart w:id="109" w:name="_Ref125367098"/>
      <w:bookmarkStart w:id="110" w:name="_Ref125361211"/>
      <w:r>
        <w:rPr>
          <w:sz w:val="22"/>
          <w:szCs w:val="22"/>
        </w:rPr>
        <w:t>Порядок проведения закупки</w:t>
      </w:r>
      <w:bookmarkEnd w:id="106"/>
      <w:bookmarkEnd w:id="107"/>
      <w:bookmarkEnd w:id="108"/>
      <w:bookmarkEnd w:id="109"/>
      <w:bookmarkEnd w:id="110"/>
    </w:p>
    <w:p>
      <w:pPr>
        <w:pStyle w:val="Style25"/>
        <w:rPr>
          <w:sz w:val="22"/>
          <w:szCs w:val="22"/>
        </w:rPr>
      </w:pPr>
      <w:bookmarkStart w:id="111" w:name="_Toc224744317"/>
      <w:bookmarkStart w:id="112" w:name="_Ref126141932"/>
      <w:r>
        <w:rPr>
          <w:sz w:val="22"/>
          <w:szCs w:val="22"/>
        </w:rPr>
        <w:t>Общий порядок проведения закупки</w:t>
      </w:r>
      <w:bookmarkEnd w:id="111"/>
      <w:bookmarkEnd w:id="112"/>
    </w:p>
    <w:p>
      <w:pPr>
        <w:pStyle w:val="Style26"/>
        <w:keepNext w:val="true"/>
        <w:spacing w:before="120" w:after="120"/>
        <w:rPr>
          <w:sz w:val="22"/>
          <w:szCs w:val="22"/>
        </w:rPr>
      </w:pPr>
      <w:r>
        <w:rPr>
          <w:sz w:val="22"/>
          <w:szCs w:val="22"/>
        </w:rPr>
        <w:t>Закупка проводится в следующем порядке:</w:t>
      </w:r>
    </w:p>
    <w:tbl>
      <w:tblPr>
        <w:tblStyle w:val="af6"/>
        <w:tblW w:w="14003"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428"/>
        <w:gridCol w:w="1986"/>
        <w:gridCol w:w="1348"/>
        <w:gridCol w:w="3334"/>
        <w:gridCol w:w="2409"/>
        <w:gridCol w:w="2267"/>
        <w:gridCol w:w="2230"/>
      </w:tblGrid>
      <w:tr>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pPr>
              <w:pStyle w:val="Style30"/>
              <w:keepNext w:val="true"/>
              <w:keepLines w:val="false"/>
              <w:widowControl w:val="false"/>
              <w:suppressAutoHyphens w:val="true"/>
              <w:spacing w:before="40" w:after="40"/>
              <w:jc w:val="center"/>
              <w:rPr>
                <w:rFonts w:ascii="Times New Roman" w:hAnsi="Times New Roman"/>
                <w:kern w:val="0"/>
                <w:sz w:val="22"/>
                <w:szCs w:val="22"/>
                <w:lang w:val="ru-RU" w:eastAsia="en-US" w:bidi="ar-SA"/>
              </w:rPr>
            </w:pPr>
            <w:r>
              <w:rPr>
                <w:rFonts w:eastAsia="Wingdings 3" w:cs="Wingdings 3"/>
                <w:b w:val="false"/>
                <w:bCs/>
                <w:kern w:val="0"/>
                <w:sz w:val="22"/>
                <w:szCs w:val="22"/>
                <w:lang w:val="ru-RU" w:eastAsia="en-US" w:bidi="ar-SA"/>
              </w:rPr>
              <w:t></w:t>
            </w:r>
          </w:p>
        </w:tc>
        <w:tc>
          <w:tcPr>
            <w:tcW w:w="13574" w:type="dxa"/>
            <w:gridSpan w:val="6"/>
            <w:tcBorders>
              <w:right w:val="nil"/>
            </w:tcBorders>
          </w:tcPr>
          <w:p>
            <w:pPr>
              <w:pStyle w:val="Style30"/>
              <w:keepNext w:val="true"/>
              <w:keepLines w:val="false"/>
              <w:widowControl w:val="false"/>
              <w:suppressAutoHyphens w:val="true"/>
              <w:spacing w:before="40" w:after="40"/>
              <w:jc w:val="center"/>
              <w:rPr>
                <w:rFonts w:ascii="Times New Roman" w:hAnsi="Times New Roman" w:eastAsia="Calibri" w:cs=""/>
                <w:b/>
                <w:kern w:val="0"/>
                <w:sz w:val="22"/>
                <w:szCs w:val="22"/>
                <w:lang w:val="ru-RU" w:eastAsia="en-US" w:bidi="ar-SA"/>
              </w:rPr>
            </w:pPr>
            <w:r>
              <w:rPr>
                <w:rFonts w:eastAsia="Calibri" w:cs=""/>
                <w:b/>
                <w:bCs/>
                <w:kern w:val="0"/>
                <w:sz w:val="22"/>
                <w:szCs w:val="22"/>
                <w:lang w:val="ru-RU" w:eastAsia="en-US" w:bidi="ar-SA"/>
              </w:rPr>
              <w:t>Официальное размещение Извещения и Документации о закупке (подраздел </w:t>
            </w:r>
            <w:r>
              <w:rPr>
                <w:rFonts w:eastAsia="Calibri" w:cs=""/>
                <w:b/>
                <w:bCs/>
                <w:kern w:val="0"/>
                <w:sz w:val="22"/>
                <w:szCs w:val="22"/>
                <w:lang w:val="ru-RU" w:eastAsia="en-US" w:bidi="ar-SA"/>
              </w:rPr>
              <w:fldChar w:fldCharType="begin"/>
            </w:r>
            <w:r>
              <w:rPr>
                <w:sz w:val="22"/>
                <w:b/>
                <w:kern w:val="0"/>
                <w:szCs w:val="22"/>
                <w:bCs/>
                <w:rFonts w:eastAsia="Calibri" w:cs=""/>
                <w:lang w:val="ru-RU" w:eastAsia="en-US" w:bidi="ar-SA"/>
              </w:rPr>
              <w:instrText xml:space="preserve"> REF _Ref130286532 \r \h </w:instrText>
            </w:r>
            <w:r>
              <w:rPr>
                <w:sz w:val="22"/>
                <w:b/>
                <w:kern w:val="0"/>
                <w:szCs w:val="22"/>
                <w:bCs/>
                <w:rFonts w:eastAsia="Calibri" w:cs=""/>
                <w:lang w:val="ru-RU" w:eastAsia="en-US" w:bidi="ar-SA"/>
              </w:rPr>
              <w:fldChar w:fldCharType="separate"/>
            </w:r>
            <w:r>
              <w:rPr>
                <w:sz w:val="22"/>
                <w:b/>
                <w:kern w:val="0"/>
                <w:szCs w:val="22"/>
                <w:bCs/>
                <w:rFonts w:eastAsia="Calibri" w:cs=""/>
                <w:lang w:val="ru-RU" w:eastAsia="en-US" w:bidi="ar-SA"/>
              </w:rPr>
              <w:t>4.2</w:t>
            </w:r>
            <w:r>
              <w:rPr>
                <w:sz w:val="22"/>
                <w:b/>
                <w:kern w:val="0"/>
                <w:szCs w:val="22"/>
                <w:bCs/>
                <w:rFonts w:eastAsia="Calibri" w:cs=""/>
                <w:lang w:val="ru-RU" w:eastAsia="en-US" w:bidi="ar-SA"/>
              </w:rPr>
              <w:fldChar w:fldCharType="end"/>
            </w:r>
            <w:r>
              <w:rPr>
                <w:rFonts w:eastAsia="Calibri" w:cs=""/>
                <w:b/>
                <w:bCs/>
                <w:kern w:val="0"/>
                <w:sz w:val="22"/>
                <w:szCs w:val="22"/>
                <w:lang w:val="ru-RU" w:eastAsia="en-US" w:bidi="ar-SA"/>
              </w:rPr>
              <w:t>)</w:t>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kern w:val="0"/>
                <w:sz w:val="22"/>
                <w:szCs w:val="22"/>
                <w:lang w:val="ru-RU" w:eastAsia="en-US" w:bidi="ar-SA"/>
              </w:rPr>
            </w:pPr>
            <w:r>
              <w:rPr>
                <w:rFonts w:eastAsia="Wingdings 3" w:cs="Wingdings 3"/>
                <w:bCs/>
                <w:kern w:val="0"/>
                <w:sz w:val="22"/>
                <w:szCs w:val="22"/>
                <w:lang w:val="ru-RU" w:eastAsia="en-US" w:bidi="ar-SA"/>
              </w:rPr>
              <w:t></w:t>
            </w:r>
          </w:p>
        </w:tc>
        <w:tc>
          <w:tcPr>
            <w:tcW w:w="6668" w:type="dxa"/>
            <w:gridSpan w:val="3"/>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Подготовка заявки (раздел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_Ref130281199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4.3</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409" w:type="dxa"/>
            <w:vMerge w:val="restart"/>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Предоставление разъяснений положений Документации о закупке</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_Ref130394802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4.4</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267" w:type="dxa"/>
            <w:vMerge w:val="restart"/>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Внесение изменений в Извещение и (или) Документацию о закупке</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_Ref125362076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4.5</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230" w:type="dxa"/>
            <w:vMerge w:val="restart"/>
            <w:tcBorders>
              <w:right w:val="nil"/>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Отказ от проведения закупки (отмена закупки)</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_Ref126141962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4.15</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kern w:val="0"/>
                <w:sz w:val="22"/>
                <w:szCs w:val="22"/>
                <w:lang w:val="ru-RU" w:eastAsia="en-US" w:bidi="ar-SA"/>
              </w:rPr>
            </w:pPr>
            <w:r>
              <w:rPr>
                <w:rFonts w:eastAsia="Wingdings 3" w:cs="Wingdings 3"/>
                <w:bCs/>
                <w:kern w:val="0"/>
                <w:sz w:val="22"/>
                <w:szCs w:val="22"/>
                <w:lang w:val="ru-RU" w:eastAsia="en-US" w:bidi="ar-SA"/>
              </w:rPr>
              <w:t></w:t>
            </w:r>
          </w:p>
        </w:tc>
        <w:tc>
          <w:tcPr>
            <w:tcW w:w="3334" w:type="dxa"/>
            <w:gridSpan w:val="2"/>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Подача заявок и их прием</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_Ref125362119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4.6</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3334" w:type="dxa"/>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Изменение и отзыв заявок</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_Ref125362130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4.7</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409" w:type="dxa"/>
            <w:vMerge w:val="continue"/>
            <w:tcBorders/>
          </w:tcPr>
          <w:p>
            <w:pPr>
              <w:pStyle w:val="Style30"/>
              <w:widowControl w:val="false"/>
              <w:suppressAutoHyphens w:val="true"/>
              <w:spacing w:before="40" w:after="40"/>
              <w:jc w:val="center"/>
              <w:rPr>
                <w:rFonts w:ascii="Times New Roman" w:hAnsi="Times New Roman" w:eastAsia="Calibri" w:cs=""/>
                <w:bCs/>
                <w:kern w:val="0"/>
                <w:sz w:val="22"/>
                <w:szCs w:val="22"/>
                <w:lang w:val="ru-RU" w:eastAsia="en-US" w:bidi="ar-SA"/>
              </w:rPr>
            </w:pPr>
            <w:r>
              <w:rPr>
                <w:rFonts w:eastAsia="Calibri" w:cs=""/>
                <w:bCs/>
                <w:kern w:val="0"/>
                <w:sz w:val="22"/>
                <w:szCs w:val="22"/>
                <w:lang w:val="ru-RU" w:eastAsia="en-US" w:bidi="ar-SA"/>
              </w:rPr>
            </w:r>
          </w:p>
        </w:tc>
        <w:tc>
          <w:tcPr>
            <w:tcW w:w="2267" w:type="dxa"/>
            <w:vMerge w:val="continue"/>
            <w:tcBorders/>
          </w:tcPr>
          <w:p>
            <w:pPr>
              <w:pStyle w:val="Style30"/>
              <w:widowControl w:val="false"/>
              <w:suppressAutoHyphens w:val="true"/>
              <w:spacing w:before="40" w:after="40"/>
              <w:jc w:val="center"/>
              <w:rPr>
                <w:rFonts w:ascii="Times New Roman" w:hAnsi="Times New Roman" w:eastAsia="Calibri" w:cs=""/>
                <w:bCs/>
                <w:kern w:val="0"/>
                <w:sz w:val="22"/>
                <w:szCs w:val="22"/>
                <w:lang w:val="ru-RU" w:eastAsia="en-US" w:bidi="ar-SA"/>
              </w:rPr>
            </w:pPr>
            <w:r>
              <w:rPr>
                <w:rFonts w:eastAsia="Calibri" w:cs=""/>
                <w:bCs/>
                <w:kern w:val="0"/>
                <w:sz w:val="22"/>
                <w:szCs w:val="22"/>
                <w:lang w:val="ru-RU" w:eastAsia="en-US" w:bidi="ar-SA"/>
              </w:rPr>
            </w:r>
          </w:p>
        </w:tc>
        <w:tc>
          <w:tcPr>
            <w:tcW w:w="2230" w:type="dxa"/>
            <w:vMerge w:val="continue"/>
            <w:tcBorders>
              <w:right w:val="nil"/>
            </w:tcBorders>
            <w:vAlign w:val="bottom"/>
          </w:tcPr>
          <w:p>
            <w:pPr>
              <w:pStyle w:val="Style30"/>
              <w:widowControl w:val="false"/>
              <w:suppressAutoHyphens w:val="true"/>
              <w:spacing w:before="40" w:after="40"/>
              <w:jc w:val="center"/>
              <w:rPr>
                <w:rFonts w:ascii="Times New Roman" w:hAnsi="Times New Roman" w:eastAsia="Calibri" w:cs=""/>
                <w:bCs/>
                <w:kern w:val="0"/>
                <w:sz w:val="22"/>
                <w:szCs w:val="22"/>
                <w:lang w:val="ru-RU" w:eastAsia="en-US" w:bidi="ar-SA"/>
              </w:rPr>
            </w:pPr>
            <w:r>
              <w:rPr>
                <w:rFonts w:eastAsia="Calibri" w:cs=""/>
                <w:bCs/>
                <w:kern w:val="0"/>
                <w:sz w:val="22"/>
                <w:szCs w:val="22"/>
                <w:lang w:val="ru-RU" w:eastAsia="en-US" w:bidi="ar-SA"/>
              </w:rPr>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kern w:val="0"/>
                <w:sz w:val="22"/>
                <w:szCs w:val="22"/>
                <w:lang w:val="ru-RU" w:eastAsia="en-US" w:bidi="ar-SA"/>
              </w:rPr>
            </w:pPr>
            <w:r>
              <w:rPr>
                <w:rFonts w:eastAsia="Wingdings 3" w:cs="Wingdings 3"/>
                <w:bCs/>
                <w:kern w:val="0"/>
                <w:sz w:val="22"/>
                <w:szCs w:val="22"/>
                <w:lang w:val="ru-RU" w:eastAsia="en-US" w:bidi="ar-SA"/>
              </w:rPr>
              <w:t></w:t>
            </w:r>
          </w:p>
        </w:tc>
        <w:tc>
          <w:tcPr>
            <w:tcW w:w="11344" w:type="dxa"/>
            <w:gridSpan w:val="5"/>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Открытие доступа к заявкам (подраздел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_Ref130221619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4.8</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230" w:type="dxa"/>
            <w:vMerge w:val="restart"/>
            <w:tcBorders>
              <w:right w:val="nil"/>
            </w:tcBorders>
            <w:vAlign w:val="center"/>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_Ref126141962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4.15</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kern w:val="0"/>
                <w:sz w:val="22"/>
                <w:szCs w:val="22"/>
                <w:lang w:val="ru-RU" w:eastAsia="en-US" w:bidi="ar-SA"/>
              </w:rPr>
            </w:pPr>
            <w:r>
              <w:rPr>
                <w:rFonts w:eastAsia="Wingdings 3" w:cs="Wingdings 3"/>
                <w:bCs/>
                <w:kern w:val="0"/>
                <w:sz w:val="22"/>
                <w:szCs w:val="22"/>
                <w:lang w:val="ru-RU" w:eastAsia="en-US" w:bidi="ar-SA"/>
              </w:rPr>
              <w:t></w:t>
            </w:r>
          </w:p>
        </w:tc>
        <w:tc>
          <w:tcPr>
            <w:tcW w:w="3334" w:type="dxa"/>
            <w:gridSpan w:val="2"/>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_Ref125362364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4.9</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3334" w:type="dxa"/>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Применение законодательства о национальном режиме</w:t>
              <w:br/>
              <w:t>(</w:t>
            </w:r>
            <w:r>
              <w:rPr>
                <w:rFonts w:eastAsia="Calibri" w:cs=""/>
                <w:bCs/>
                <w:kern w:val="0"/>
                <w:sz w:val="22"/>
                <w:szCs w:val="22"/>
                <w:u w:val="single"/>
                <w:lang w:val="ru-RU" w:eastAsia="en-US" w:bidi="ar-SA"/>
              </w:rPr>
              <w:t>предоставление национального режима / запрета, ограничения</w:t>
            </w:r>
            <w:r>
              <w:rPr>
                <w:rFonts w:eastAsia="Calibri" w:cs=""/>
                <w:bCs/>
                <w:kern w:val="0"/>
                <w:sz w:val="22"/>
                <w:szCs w:val="22"/>
                <w:lang w:val="ru-RU" w:eastAsia="en-US" w:bidi="ar-SA"/>
              </w:rPr>
              <w:t>)</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_Ref130985951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4.12</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409" w:type="dxa"/>
            <w:vMerge w:val="restart"/>
            <w:tcBorders/>
            <w:vAlign w:val="center"/>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Направление дополнительных запросов разъяснений заявок</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_Ref125362381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4.10</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267" w:type="dxa"/>
            <w:vMerge w:val="restart"/>
            <w:tcBorders/>
            <w:vAlign w:val="center"/>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Признание закупки</w:t>
              <w:br/>
              <w:t>несостоявшейся</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_Ref125364149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4.14</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c>
          <w:tcPr>
            <w:tcW w:w="2230" w:type="dxa"/>
            <w:vMerge w:val="continue"/>
            <w:tcBorders>
              <w:right w:val="nil"/>
            </w:tcBorders>
          </w:tcPr>
          <w:p>
            <w:pPr>
              <w:pStyle w:val="Style30"/>
              <w:widowControl w:val="false"/>
              <w:suppressAutoHyphens w:val="true"/>
              <w:spacing w:before="40" w:after="40"/>
              <w:jc w:val="center"/>
              <w:rPr>
                <w:rFonts w:ascii="Times New Roman" w:hAnsi="Times New Roman" w:eastAsia="Calibri" w:cs=""/>
                <w:bCs/>
                <w:kern w:val="0"/>
                <w:sz w:val="22"/>
                <w:szCs w:val="22"/>
                <w:lang w:val="ru-RU" w:eastAsia="en-US" w:bidi="ar-SA"/>
              </w:rPr>
            </w:pPr>
            <w:r>
              <w:rPr>
                <w:rFonts w:eastAsia="Calibri" w:cs=""/>
                <w:bCs/>
                <w:kern w:val="0"/>
                <w:sz w:val="22"/>
                <w:szCs w:val="22"/>
                <w:lang w:val="ru-RU" w:eastAsia="en-US" w:bidi="ar-SA"/>
              </w:rPr>
            </w:r>
          </w:p>
        </w:tc>
      </w:tr>
      <w:tr>
        <w:trPr>
          <w:trHeight w:val="629" w:hRule="atLeast"/>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kern w:val="0"/>
                <w:sz w:val="22"/>
                <w:szCs w:val="22"/>
                <w:lang w:val="ru-RU" w:eastAsia="en-US" w:bidi="ar-SA"/>
              </w:rPr>
            </w:pPr>
            <w:r>
              <w:rPr>
                <w:rFonts w:eastAsia="Wingdings 3" w:cs="Wingdings 3"/>
                <w:bCs/>
                <w:kern w:val="0"/>
                <w:sz w:val="22"/>
                <w:szCs w:val="22"/>
                <w:lang w:val="ru-RU" w:eastAsia="en-US" w:bidi="ar-SA"/>
              </w:rPr>
              <w:t></w:t>
            </w:r>
          </w:p>
        </w:tc>
        <w:tc>
          <w:tcPr>
            <w:tcW w:w="1986" w:type="dxa"/>
            <w:tcBorders/>
            <w:vAlign w:val="center"/>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Оценка и сопоставление заявок</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_Ref125362626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4.11</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4682" w:type="dxa"/>
            <w:gridSpan w:val="2"/>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_Ref130985951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4.12</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409" w:type="dxa"/>
            <w:vMerge w:val="continue"/>
            <w:tcBorders/>
          </w:tcPr>
          <w:p>
            <w:pPr>
              <w:pStyle w:val="Style30"/>
              <w:widowControl w:val="false"/>
              <w:suppressAutoHyphens w:val="true"/>
              <w:spacing w:before="40" w:after="40"/>
              <w:jc w:val="center"/>
              <w:rPr>
                <w:rFonts w:ascii="Times New Roman" w:hAnsi="Times New Roman" w:eastAsia="Calibri" w:cs=""/>
                <w:bCs/>
                <w:kern w:val="0"/>
                <w:sz w:val="22"/>
                <w:szCs w:val="22"/>
                <w:lang w:val="ru-RU" w:eastAsia="en-US" w:bidi="ar-SA"/>
              </w:rPr>
            </w:pPr>
            <w:r>
              <w:rPr>
                <w:rFonts w:eastAsia="Calibri" w:cs=""/>
                <w:bCs/>
                <w:kern w:val="0"/>
                <w:sz w:val="22"/>
                <w:szCs w:val="22"/>
                <w:lang w:val="ru-RU" w:eastAsia="en-US" w:bidi="ar-SA"/>
              </w:rPr>
            </w:r>
          </w:p>
        </w:tc>
        <w:tc>
          <w:tcPr>
            <w:tcW w:w="2267" w:type="dxa"/>
            <w:vMerge w:val="continue"/>
            <w:tcBorders/>
          </w:tcPr>
          <w:p>
            <w:pPr>
              <w:pStyle w:val="Style30"/>
              <w:widowControl w:val="false"/>
              <w:suppressAutoHyphens w:val="true"/>
              <w:spacing w:before="40" w:after="40"/>
              <w:jc w:val="center"/>
              <w:rPr>
                <w:rFonts w:ascii="Times New Roman" w:hAnsi="Times New Roman" w:eastAsia="Calibri" w:cs=""/>
                <w:bCs/>
                <w:kern w:val="0"/>
                <w:sz w:val="22"/>
                <w:szCs w:val="22"/>
                <w:lang w:val="ru-RU" w:eastAsia="en-US" w:bidi="ar-SA"/>
              </w:rPr>
            </w:pPr>
            <w:r>
              <w:rPr>
                <w:rFonts w:eastAsia="Calibri" w:cs=""/>
                <w:bCs/>
                <w:kern w:val="0"/>
                <w:sz w:val="22"/>
                <w:szCs w:val="22"/>
                <w:lang w:val="ru-RU" w:eastAsia="en-US" w:bidi="ar-SA"/>
              </w:rPr>
            </w:r>
          </w:p>
        </w:tc>
        <w:tc>
          <w:tcPr>
            <w:tcW w:w="2230" w:type="dxa"/>
            <w:vMerge w:val="continue"/>
            <w:tcBorders>
              <w:right w:val="nil"/>
            </w:tcBorders>
          </w:tcPr>
          <w:p>
            <w:pPr>
              <w:pStyle w:val="Style30"/>
              <w:widowControl w:val="false"/>
              <w:suppressAutoHyphens w:val="true"/>
              <w:spacing w:before="40" w:after="40"/>
              <w:jc w:val="center"/>
              <w:rPr>
                <w:rFonts w:ascii="Times New Roman" w:hAnsi="Times New Roman" w:eastAsia="Calibri" w:cs=""/>
                <w:bCs/>
                <w:kern w:val="0"/>
                <w:sz w:val="22"/>
                <w:szCs w:val="22"/>
                <w:lang w:val="ru-RU" w:eastAsia="en-US" w:bidi="ar-SA"/>
              </w:rPr>
            </w:pPr>
            <w:r>
              <w:rPr>
                <w:rFonts w:eastAsia="Calibri" w:cs=""/>
                <w:bCs/>
                <w:kern w:val="0"/>
                <w:sz w:val="22"/>
                <w:szCs w:val="22"/>
                <w:lang w:val="ru-RU" w:eastAsia="en-US" w:bidi="ar-SA"/>
              </w:rPr>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kern w:val="0"/>
                <w:sz w:val="22"/>
                <w:szCs w:val="22"/>
                <w:lang w:val="ru-RU" w:eastAsia="en-US" w:bidi="ar-SA"/>
              </w:rPr>
            </w:pPr>
            <w:r>
              <w:rPr>
                <w:rFonts w:eastAsia="Wingdings 3" w:cs="Wingdings 3"/>
                <w:bCs/>
                <w:kern w:val="0"/>
                <w:sz w:val="22"/>
                <w:szCs w:val="22"/>
                <w:lang w:val="ru-RU" w:eastAsia="en-US" w:bidi="ar-SA"/>
              </w:rPr>
              <w:t></w:t>
            </w:r>
          </w:p>
        </w:tc>
        <w:tc>
          <w:tcPr>
            <w:tcW w:w="9077" w:type="dxa"/>
            <w:gridSpan w:val="4"/>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Подведение итогов закупки (определение Победителя) (подраздел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_Ref125362658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4.13</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tc>
        <w:tc>
          <w:tcPr>
            <w:tcW w:w="2267" w:type="dxa"/>
            <w:vMerge w:val="continue"/>
            <w:tcBorders/>
          </w:tcPr>
          <w:p>
            <w:pPr>
              <w:pStyle w:val="Style30"/>
              <w:widowControl w:val="false"/>
              <w:suppressAutoHyphens w:val="true"/>
              <w:spacing w:before="40" w:after="40"/>
              <w:jc w:val="center"/>
              <w:rPr>
                <w:rFonts w:ascii="Times New Roman" w:hAnsi="Times New Roman" w:eastAsia="Calibri" w:cs=""/>
                <w:bCs/>
                <w:kern w:val="0"/>
                <w:sz w:val="22"/>
                <w:szCs w:val="22"/>
                <w:lang w:val="ru-RU" w:eastAsia="en-US" w:bidi="ar-SA"/>
              </w:rPr>
            </w:pPr>
            <w:r>
              <w:rPr>
                <w:rFonts w:eastAsia="Calibri" w:cs=""/>
                <w:bCs/>
                <w:kern w:val="0"/>
                <w:sz w:val="22"/>
                <w:szCs w:val="22"/>
                <w:lang w:val="ru-RU" w:eastAsia="en-US" w:bidi="ar-SA"/>
              </w:rPr>
            </w:r>
          </w:p>
        </w:tc>
        <w:tc>
          <w:tcPr>
            <w:tcW w:w="2230" w:type="dxa"/>
            <w:vMerge w:val="continue"/>
            <w:tcBorders>
              <w:right w:val="nil"/>
            </w:tcBorders>
          </w:tcPr>
          <w:p>
            <w:pPr>
              <w:pStyle w:val="Style30"/>
              <w:widowControl w:val="false"/>
              <w:suppressAutoHyphens w:val="true"/>
              <w:spacing w:before="40" w:after="40"/>
              <w:jc w:val="center"/>
              <w:rPr>
                <w:rFonts w:ascii="Times New Roman" w:hAnsi="Times New Roman" w:eastAsia="Calibri" w:cs=""/>
                <w:bCs/>
                <w:kern w:val="0"/>
                <w:sz w:val="22"/>
                <w:szCs w:val="22"/>
                <w:lang w:val="ru-RU" w:eastAsia="en-US" w:bidi="ar-SA"/>
              </w:rPr>
            </w:pPr>
            <w:r>
              <w:rPr>
                <w:rFonts w:eastAsia="Calibri" w:cs=""/>
                <w:bCs/>
                <w:kern w:val="0"/>
                <w:sz w:val="22"/>
                <w:szCs w:val="22"/>
                <w:lang w:val="ru-RU" w:eastAsia="en-US" w:bidi="ar-SA"/>
              </w:rPr>
            </w:r>
          </w:p>
        </w:tc>
      </w:tr>
      <w:tr>
        <w:trPr/>
        <w:tc>
          <w:tcPr>
            <w:tcW w:w="428" w:type="dxa"/>
            <w:tcBorders>
              <w:left w:val="nil"/>
            </w:tcBorders>
            <w:vAlign w:val="bottom"/>
          </w:tcPr>
          <w:p>
            <w:pPr>
              <w:pStyle w:val="Style30"/>
              <w:widowControl w:val="false"/>
              <w:suppressAutoHyphens w:val="true"/>
              <w:spacing w:before="40" w:after="40"/>
              <w:jc w:val="center"/>
              <w:rPr>
                <w:rFonts w:ascii="Times New Roman" w:hAnsi="Times New Roman"/>
                <w:kern w:val="0"/>
                <w:sz w:val="22"/>
                <w:szCs w:val="22"/>
                <w:lang w:val="ru-RU" w:eastAsia="en-US" w:bidi="ar-SA"/>
              </w:rPr>
            </w:pPr>
            <w:r>
              <w:rPr>
                <w:rFonts w:eastAsia="Wingdings 3" w:cs="Wingdings 3"/>
                <w:bCs/>
                <w:kern w:val="0"/>
                <w:sz w:val="22"/>
                <w:szCs w:val="22"/>
                <w:u w:val="single"/>
                <w:lang w:val="ru-RU" w:eastAsia="en-US" w:bidi="ar-SA"/>
              </w:rPr>
              <w:t></w:t>
            </w:r>
          </w:p>
        </w:tc>
        <w:tc>
          <w:tcPr>
            <w:tcW w:w="9077" w:type="dxa"/>
            <w:gridSpan w:val="4"/>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Заключение Договора</w:t>
              <w:br/>
              <w:t>(подраздел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_Ref138232981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5.2</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r>
          </w:p>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4497" w:type="dxa"/>
            <w:gridSpan w:val="2"/>
            <w:tcBorders>
              <w:right w:val="nil"/>
            </w:tcBorders>
          </w:tcPr>
          <w:p>
            <w:pPr>
              <w:pStyle w:val="Style30"/>
              <w:widowControl w:val="false"/>
              <w:suppressAutoHyphens w:val="true"/>
              <w:spacing w:before="40" w:after="40"/>
              <w:jc w:val="center"/>
              <w:rPr>
                <w:rFonts w:ascii="Times New Roman" w:hAnsi="Times New Roman" w:eastAsia="Calibri" w:cs=""/>
                <w:kern w:val="0"/>
                <w:sz w:val="22"/>
                <w:szCs w:val="22"/>
                <w:lang w:val="ru-RU" w:eastAsia="en-US" w:bidi="ar-SA"/>
              </w:rPr>
            </w:pPr>
            <w:r>
              <w:rPr>
                <w:rFonts w:eastAsia="Calibri" w:cs=""/>
                <w:bCs/>
                <w:kern w:val="0"/>
                <w:sz w:val="22"/>
                <w:szCs w:val="22"/>
                <w:lang w:val="ru-RU" w:eastAsia="en-US" w:bidi="ar-SA"/>
              </w:rPr>
              <w:t>Уклонение Победителя</w:t>
              <w:br/>
              <w:t>от заключения Договора (подраздел </w:t>
            </w:r>
            <w:r>
              <w:rPr>
                <w:rFonts w:eastAsia="Calibri" w:cs=""/>
                <w:bCs/>
                <w:kern w:val="0"/>
                <w:sz w:val="22"/>
                <w:szCs w:val="22"/>
                <w:lang w:val="ru-RU" w:eastAsia="en-US" w:bidi="ar-SA"/>
              </w:rPr>
              <w:fldChar w:fldCharType="begin"/>
            </w:r>
            <w:r>
              <w:rPr>
                <w:sz w:val="22"/>
                <w:kern w:val="0"/>
                <w:szCs w:val="22"/>
                <w:bCs/>
                <w:rFonts w:eastAsia="Calibri" w:cs=""/>
                <w:lang w:val="ru-RU" w:eastAsia="en-US" w:bidi="ar-SA"/>
              </w:rPr>
              <w:instrText xml:space="preserve"> REF _Ref125367068 \r \h </w:instrText>
            </w:r>
            <w:r>
              <w:rPr>
                <w:sz w:val="22"/>
                <w:kern w:val="0"/>
                <w:szCs w:val="22"/>
                <w:bCs/>
                <w:rFonts w:eastAsia="Calibri" w:cs=""/>
                <w:lang w:val="ru-RU" w:eastAsia="en-US" w:bidi="ar-SA"/>
              </w:rPr>
              <w:fldChar w:fldCharType="separate"/>
            </w:r>
            <w:r>
              <w:rPr>
                <w:sz w:val="22"/>
                <w:kern w:val="0"/>
                <w:szCs w:val="22"/>
                <w:bCs/>
                <w:rFonts w:eastAsia="Calibri" w:cs=""/>
                <w:lang w:val="ru-RU" w:eastAsia="en-US" w:bidi="ar-SA"/>
              </w:rPr>
              <w:t>5.3</w:t>
            </w:r>
            <w:r>
              <w:rPr>
                <w:sz w:val="22"/>
                <w:kern w:val="0"/>
                <w:szCs w:val="22"/>
                <w:bCs/>
                <w:rFonts w:eastAsia="Calibri" w:cs=""/>
                <w:lang w:val="ru-RU" w:eastAsia="en-US" w:bidi="ar-SA"/>
              </w:rPr>
              <w:fldChar w:fldCharType="end"/>
            </w:r>
            <w:r>
              <w:rPr>
                <w:rFonts w:eastAsia="Calibri" w:cs=""/>
                <w:bCs/>
                <w:kern w:val="0"/>
                <w:sz w:val="22"/>
                <w:szCs w:val="22"/>
                <w:lang w:val="ru-RU" w:eastAsia="en-US" w:bidi="ar-SA"/>
              </w:rPr>
              <w:t>)</w:t>
              <w:br/>
            </w:r>
            <w:r>
              <w:rPr>
                <w:rFonts w:eastAsia="Calibri" w:cs=""/>
                <w:bCs/>
                <w:i/>
                <w:iCs/>
                <w:kern w:val="0"/>
                <w:sz w:val="22"/>
                <w:szCs w:val="22"/>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sz w:val="22"/>
          <w:szCs w:val="22"/>
        </w:rPr>
      </w:pPr>
      <w:bookmarkStart w:id="113" w:name="_Toc224744318"/>
      <w:bookmarkStart w:id="114" w:name="_Ref130286532"/>
      <w:r>
        <w:rPr>
          <w:sz w:val="22"/>
          <w:szCs w:val="22"/>
        </w:rPr>
        <w:t>Официальное размещение Извещения и Документации о закупке</w:t>
      </w:r>
      <w:bookmarkEnd w:id="113"/>
      <w:bookmarkEnd w:id="114"/>
    </w:p>
    <w:p>
      <w:pPr>
        <w:pStyle w:val="Style26"/>
        <w:rPr>
          <w:sz w:val="22"/>
          <w:szCs w:val="22"/>
        </w:rPr>
      </w:pPr>
      <w:r>
        <w:rPr>
          <w:sz w:val="22"/>
          <w:szCs w:val="22"/>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rPr>
          <w:sz w:val="22"/>
          <w:szCs w:val="22"/>
        </w:rPr>
      </w:pPr>
      <w:r>
        <w:rPr>
          <w:sz w:val="22"/>
          <w:szCs w:val="22"/>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rPr>
          <w:sz w:val="22"/>
          <w:szCs w:val="22"/>
        </w:rPr>
      </w:pPr>
      <w:bookmarkStart w:id="115" w:name="_Ref125362785"/>
      <w:r>
        <w:rPr>
          <w:sz w:val="22"/>
          <w:szCs w:val="22"/>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5"/>
    </w:p>
    <w:p>
      <w:pPr>
        <w:pStyle w:val="Style26"/>
        <w:rPr>
          <w:sz w:val="22"/>
          <w:szCs w:val="22"/>
        </w:rPr>
      </w:pPr>
      <w:r>
        <w:rPr>
          <w:sz w:val="22"/>
          <w:szCs w:val="22"/>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sz w:val="22"/>
          <w:szCs w:val="22"/>
        </w:rPr>
      </w:pPr>
      <w:bookmarkStart w:id="116" w:name="_Toc224744319"/>
      <w:bookmarkStart w:id="117" w:name="_Ref130281199"/>
      <w:bookmarkStart w:id="118" w:name="_Ref130394681"/>
      <w:r>
        <w:rPr>
          <w:sz w:val="22"/>
          <w:szCs w:val="22"/>
        </w:rPr>
        <w:t>Подготовка заявки</w:t>
      </w:r>
      <w:bookmarkEnd w:id="116"/>
      <w:bookmarkEnd w:id="117"/>
      <w:bookmarkEnd w:id="118"/>
    </w:p>
    <w:p>
      <w:pPr>
        <w:pStyle w:val="Style26"/>
        <w:rPr>
          <w:sz w:val="22"/>
          <w:szCs w:val="22"/>
        </w:rPr>
      </w:pPr>
      <w:r>
        <w:rPr>
          <w:sz w:val="22"/>
          <w:szCs w:val="22"/>
        </w:rPr>
        <w:t>Участник должен подготовить заявку с учетом требований Документации о закупке.</w:t>
      </w:r>
    </w:p>
    <w:p>
      <w:pPr>
        <w:pStyle w:val="Style26"/>
        <w:rPr>
          <w:sz w:val="22"/>
          <w:szCs w:val="22"/>
        </w:rPr>
      </w:pPr>
      <w:r>
        <w:rPr>
          <w:sz w:val="22"/>
          <w:szCs w:val="22"/>
        </w:rPr>
        <w:t>Участник самостоятельно несет все расходы, связанные с подготовкой и подачей заявки (подраздел </w:t>
      </w:r>
      <w:r>
        <w:rPr>
          <w:sz w:val="22"/>
          <w:szCs w:val="22"/>
        </w:rPr>
        <w:fldChar w:fldCharType="begin"/>
      </w:r>
      <w:r>
        <w:rPr>
          <w:sz w:val="22"/>
          <w:szCs w:val="22"/>
        </w:rPr>
        <w:instrText xml:space="preserve"> REF _Ref125362119 \r \h </w:instrText>
      </w:r>
      <w:r>
        <w:rPr>
          <w:sz w:val="22"/>
          <w:szCs w:val="22"/>
        </w:rPr>
        <w:fldChar w:fldCharType="separate"/>
      </w:r>
      <w:r>
        <w:rPr>
          <w:sz w:val="22"/>
          <w:szCs w:val="22"/>
        </w:rPr>
        <w:t>4.6</w:t>
      </w:r>
      <w:r>
        <w:rPr>
          <w:sz w:val="22"/>
          <w:szCs w:val="22"/>
        </w:rPr>
        <w:fldChar w:fldCharType="end"/>
      </w:r>
      <w:r>
        <w:rPr>
          <w:sz w:val="22"/>
          <w:szCs w:val="22"/>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rPr/>
      </w:pPr>
      <w:r>
        <w:rPr>
          <w:sz w:val="22"/>
          <w:szCs w:val="22"/>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4"/>
            <w:sz w:val="22"/>
            <w:szCs w:val="22"/>
          </w:rPr>
          <w:t>Приложением № 6 – Состав заявки</w:t>
        </w:r>
      </w:hyperlink>
      <w:r>
        <w:rPr>
          <w:sz w:val="22"/>
          <w:szCs w:val="22"/>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4"/>
            <w:sz w:val="22"/>
            <w:szCs w:val="22"/>
          </w:rPr>
          <w:t>Приложение № 4</w:t>
        </w:r>
      </w:hyperlink>
      <w:r>
        <w:rPr>
          <w:sz w:val="22"/>
          <w:szCs w:val="22"/>
        </w:rPr>
        <w:t>.</w:t>
      </w:r>
    </w:p>
    <w:p>
      <w:pPr>
        <w:pStyle w:val="Style26"/>
        <w:rPr>
          <w:sz w:val="22"/>
          <w:szCs w:val="22"/>
        </w:rPr>
      </w:pPr>
      <w:bookmarkStart w:id="119" w:name="_Ref125365866"/>
      <w:bookmarkStart w:id="120" w:name="_Ref130394854"/>
      <w:r>
        <w:rPr>
          <w:sz w:val="22"/>
          <w:szCs w:val="22"/>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rPr/>
      </w:pPr>
      <w:r>
        <w:rPr>
          <w:sz w:val="22"/>
          <w:szCs w:val="22"/>
        </w:rPr>
        <w:t>Заявка должна быть действительна в течение срока проведения закупки и до истечения срока, отведенного на заключение Договора (пункт </w:t>
      </w:r>
      <w:r>
        <w:rPr>
          <w:sz w:val="22"/>
          <w:szCs w:val="22"/>
        </w:rPr>
        <w:fldChar w:fldCharType="begin"/>
      </w:r>
      <w:r>
        <w:rPr>
          <w:sz w:val="22"/>
          <w:szCs w:val="22"/>
        </w:rPr>
        <w:instrText xml:space="preserve"> REF _Ref130293821 \r \h </w:instrText>
      </w:r>
      <w:r>
        <w:rPr>
          <w:sz w:val="22"/>
          <w:szCs w:val="22"/>
        </w:rPr>
        <w:fldChar w:fldCharType="separate"/>
      </w:r>
      <w:r>
        <w:rPr>
          <w:sz w:val="22"/>
          <w:szCs w:val="22"/>
        </w:rPr>
        <w:t>5.2.1</w:t>
      </w:r>
      <w:r>
        <w:rPr>
          <w:sz w:val="22"/>
          <w:szCs w:val="22"/>
        </w:rPr>
        <w:fldChar w:fldCharType="end"/>
      </w:r>
      <w:r>
        <w:rPr>
          <w:sz w:val="22"/>
          <w:szCs w:val="22"/>
        </w:rPr>
        <w:t>). В любом случае этот срок должен быть не менее чем 90 (девяносто) календарных дней с даты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Указание меньшего срока действия заявки в Письме о подаче оферты (форма 2) (</w:t>
      </w:r>
      <w:hyperlink w:anchor="Прил04_ФормыЗаявки">
        <w:r>
          <w:rPr>
            <w:rStyle w:val="Style14"/>
            <w:sz w:val="22"/>
            <w:szCs w:val="22"/>
          </w:rPr>
          <w:t>Приложение № 4</w:t>
        </w:r>
      </w:hyperlink>
      <w:r>
        <w:rPr>
          <w:sz w:val="22"/>
          <w:szCs w:val="22"/>
        </w:rPr>
        <w:t>) может служить основанием для отклонения заявки.</w:t>
      </w:r>
    </w:p>
    <w:p>
      <w:pPr>
        <w:pStyle w:val="Style26"/>
        <w:rPr>
          <w:sz w:val="22"/>
          <w:szCs w:val="22"/>
        </w:rPr>
      </w:pPr>
      <w:r>
        <w:rPr>
          <w:sz w:val="22"/>
          <w:szCs w:val="22"/>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rPr>
          <w:sz w:val="22"/>
          <w:szCs w:val="22"/>
        </w:rPr>
      </w:pPr>
      <w:r>
        <w:rPr>
          <w:sz w:val="22"/>
          <w:szCs w:val="22"/>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rPr>
          <w:sz w:val="22"/>
          <w:szCs w:val="22"/>
        </w:rPr>
      </w:pPr>
      <w:bookmarkStart w:id="121" w:name="_Ref125370708"/>
      <w:bookmarkStart w:id="122" w:name="_Ref125370700"/>
      <w:r>
        <w:rPr>
          <w:sz w:val="22"/>
          <w:szCs w:val="22"/>
        </w:rPr>
        <w:t>Итоговая стоимость заявки (цена Договора) без учета НДС не должна превышать установленную Заказчиком НМЦ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 противном случае заявка будет отклонена.</w:t>
      </w:r>
    </w:p>
    <w:p>
      <w:pPr>
        <w:pStyle w:val="Style26"/>
        <w:rPr/>
      </w:pPr>
      <w:r>
        <w:rPr>
          <w:sz w:val="22"/>
          <w:szCs w:val="22"/>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4"/>
            <w:sz w:val="22"/>
            <w:szCs w:val="22"/>
          </w:rPr>
          <w:t>Техническими требованиями (Приложение № 1)</w:t>
        </w:r>
      </w:hyperlink>
      <w:r>
        <w:rPr>
          <w:sz w:val="22"/>
          <w:szCs w:val="22"/>
        </w:rPr>
        <w:t xml:space="preserve"> и </w:t>
      </w:r>
      <w:hyperlink w:anchor="Прил02_ПроектДоговора">
        <w:r>
          <w:rPr>
            <w:rStyle w:val="Style14"/>
            <w:sz w:val="22"/>
            <w:szCs w:val="22"/>
          </w:rPr>
          <w:t>Проектом договора (Приложение № 2)</w:t>
        </w:r>
      </w:hyperlink>
      <w:r>
        <w:rPr>
          <w:sz w:val="22"/>
          <w:szCs w:val="22"/>
        </w:rPr>
        <w:t>, а также сумму налогов (</w:t>
      </w:r>
      <w:r>
        <w:rPr>
          <w:rFonts w:cs="Times New Roman"/>
          <w:sz w:val="22"/>
          <w:szCs w:val="22"/>
        </w:rPr>
        <w:t>за исключением НДС, в случае его уплаты)</w:t>
      </w:r>
      <w:r>
        <w:rPr>
          <w:sz w:val="22"/>
          <w:szCs w:val="22"/>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rPr/>
      </w:pPr>
      <w:r>
        <w:rPr>
          <w:sz w:val="22"/>
          <w:szCs w:val="22"/>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4"/>
            <w:sz w:val="22"/>
            <w:szCs w:val="22"/>
          </w:rPr>
          <w:t>Приложение № 4</w:t>
        </w:r>
      </w:hyperlink>
      <w:r>
        <w:rPr>
          <w:sz w:val="22"/>
          <w:szCs w:val="22"/>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4"/>
            <w:sz w:val="22"/>
            <w:szCs w:val="22"/>
          </w:rPr>
          <w:t>Технических требованиях (Приложение № 1)</w:t>
        </w:r>
      </w:hyperlink>
      <w:r>
        <w:rPr>
          <w:sz w:val="22"/>
          <w:szCs w:val="22"/>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rPr>
          <w:sz w:val="22"/>
          <w:szCs w:val="22"/>
        </w:rPr>
      </w:pPr>
      <w:r>
        <w:rPr>
          <w:sz w:val="22"/>
          <w:szCs w:val="22"/>
        </w:rPr>
        <w:t>При подготовке заявки необходимо также учитывать требования в отношении применения законодательства о национальном режиме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26"/>
        <w:keepNext w:val="true"/>
        <w:rPr>
          <w:sz w:val="22"/>
          <w:szCs w:val="22"/>
        </w:rPr>
      </w:pPr>
      <w:r>
        <w:rPr>
          <w:sz w:val="22"/>
          <w:szCs w:val="22"/>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sz w:val="22"/>
          <w:szCs w:val="22"/>
        </w:rPr>
      </w:pPr>
      <w:r>
        <w:rPr>
          <w:sz w:val="22"/>
          <w:szCs w:val="22"/>
        </w:rPr>
        <w:t>внутренние противоречия между различными частями и (или) документами заявки, в том числе по тексту внутри одного документа;</w:t>
      </w:r>
    </w:p>
    <w:p>
      <w:pPr>
        <w:pStyle w:val="Style27"/>
        <w:rPr>
          <w:sz w:val="22"/>
          <w:szCs w:val="22"/>
        </w:rPr>
      </w:pPr>
      <w:bookmarkStart w:id="123" w:name="_Ref125714384"/>
      <w:bookmarkStart w:id="124" w:name="_Ref125370398"/>
      <w:r>
        <w:rPr>
          <w:sz w:val="22"/>
          <w:szCs w:val="22"/>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rPr>
          <w:sz w:val="22"/>
          <w:szCs w:val="22"/>
        </w:rPr>
      </w:pPr>
      <w:r>
        <w:rPr>
          <w:sz w:val="22"/>
          <w:szCs w:val="22"/>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sz w:val="22"/>
          <w:szCs w:val="22"/>
        </w:rPr>
      </w:pPr>
      <w:r>
        <w:rPr>
          <w:sz w:val="22"/>
          <w:szCs w:val="22"/>
        </w:rPr>
        <w:t>полномочий таких органов / лиц на оформление этих документов;</w:t>
      </w:r>
    </w:p>
    <w:p>
      <w:pPr>
        <w:pStyle w:val="Style27"/>
        <w:rPr>
          <w:sz w:val="22"/>
          <w:szCs w:val="22"/>
        </w:rPr>
      </w:pPr>
      <w:r>
        <w:rPr>
          <w:sz w:val="22"/>
          <w:szCs w:val="22"/>
        </w:rPr>
        <w:t>формы, объема и содержания этих документов.</w:t>
      </w:r>
    </w:p>
    <w:p>
      <w:pPr>
        <w:pStyle w:val="Style26"/>
        <w:keepNext w:val="true"/>
        <w:rPr>
          <w:sz w:val="22"/>
          <w:szCs w:val="22"/>
        </w:rPr>
      </w:pPr>
      <w:r>
        <w:rPr>
          <w:sz w:val="22"/>
          <w:szCs w:val="22"/>
        </w:rPr>
        <w:t>Участник должен подготовить заявку с соблюдением следующих условий:</w:t>
      </w:r>
    </w:p>
    <w:p>
      <w:pPr>
        <w:pStyle w:val="Style27"/>
        <w:rPr>
          <w:sz w:val="22"/>
          <w:szCs w:val="22"/>
        </w:rPr>
      </w:pPr>
      <w:r>
        <w:rPr>
          <w:sz w:val="22"/>
          <w:szCs w:val="22"/>
        </w:rPr>
        <w:t>документы заявки могут предоставляться как в графическом виде (в том числе в виде скан-копии; рекомендуемый формат: Portable Document Format (*.</w:t>
      </w:r>
      <w:r>
        <w:rPr>
          <w:sz w:val="22"/>
          <w:szCs w:val="22"/>
          <w:lang w:val="en-US"/>
        </w:rPr>
        <w:t>pdf</w:t>
      </w:r>
      <w:r>
        <w:rPr>
          <w:sz w:val="22"/>
          <w:szCs w:val="22"/>
        </w:rPr>
        <w:t>)), так и в электронном виде (в формате Microsoft Word (*.doc</w:t>
      </w:r>
      <w:r>
        <w:rPr>
          <w:sz w:val="22"/>
          <w:szCs w:val="22"/>
          <w:lang w:val="en-US"/>
        </w:rPr>
        <w:t>x</w:t>
      </w:r>
      <w:r>
        <w:rPr>
          <w:sz w:val="22"/>
          <w:szCs w:val="22"/>
        </w:rPr>
        <w:t>), Microsoft Excel (*.xls</w:t>
      </w:r>
      <w:r>
        <w:rPr>
          <w:sz w:val="22"/>
          <w:szCs w:val="22"/>
          <w:lang w:val="en-US"/>
        </w:rPr>
        <w:t>x</w:t>
      </w:r>
      <w:r>
        <w:rPr>
          <w:sz w:val="22"/>
          <w:szCs w:val="22"/>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sz w:val="22"/>
          <w:szCs w:val="22"/>
          <w:lang w:val="en-US"/>
        </w:rPr>
        <w:t>pdf</w:t>
      </w:r>
      <w:r>
        <w:rPr>
          <w:sz w:val="22"/>
          <w:szCs w:val="22"/>
        </w:rPr>
        <w:t>));</w:t>
      </w:r>
    </w:p>
    <w:p>
      <w:pPr>
        <w:pStyle w:val="Style27"/>
        <w:rPr>
          <w:sz w:val="22"/>
          <w:szCs w:val="22"/>
        </w:rPr>
      </w:pPr>
      <w:r>
        <w:rPr>
          <w:sz w:val="22"/>
          <w:szCs w:val="22"/>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sz w:val="22"/>
          <w:szCs w:val="22"/>
        </w:rPr>
      </w:pPr>
      <w:r>
        <w:rPr>
          <w:sz w:val="22"/>
          <w:szCs w:val="22"/>
        </w:rPr>
        <w:t>все файлы не должны иметь защиты от их открытия, изменения, копирования их содержимого или их печати;</w:t>
      </w:r>
    </w:p>
    <w:p>
      <w:pPr>
        <w:pStyle w:val="Style27"/>
        <w:rPr>
          <w:sz w:val="22"/>
          <w:szCs w:val="22"/>
        </w:rPr>
      </w:pPr>
      <w:r>
        <w:rPr>
          <w:sz w:val="22"/>
          <w:szCs w:val="22"/>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sz w:val="22"/>
          <w:szCs w:val="22"/>
        </w:rPr>
      </w:pPr>
      <w:r>
        <w:rPr>
          <w:sz w:val="22"/>
          <w:szCs w:val="22"/>
        </w:rPr>
        <w:t>если какой-либо документ представлен в нечитаемом виде, данный документ считается непредставленным.</w:t>
      </w:r>
    </w:p>
    <w:p>
      <w:pPr>
        <w:pStyle w:val="Style26"/>
        <w:rPr>
          <w:sz w:val="22"/>
          <w:szCs w:val="22"/>
        </w:rPr>
      </w:pPr>
      <w:r>
        <w:rPr>
          <w:sz w:val="22"/>
          <w:szCs w:val="22"/>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sz w:val="22"/>
          <w:szCs w:val="22"/>
        </w:rPr>
      </w:pPr>
      <w:bookmarkStart w:id="125" w:name="_Ref125362071"/>
      <w:bookmarkStart w:id="126" w:name="_Ref125366672"/>
      <w:bookmarkStart w:id="127" w:name="_Ref125361260"/>
      <w:bookmarkStart w:id="128" w:name="_Toc224744320"/>
      <w:bookmarkStart w:id="129" w:name="_Ref130394802"/>
      <w:bookmarkStart w:id="130" w:name="_Ref130394205"/>
      <w:bookmarkStart w:id="131" w:name="_Ref130394785"/>
      <w:r>
        <w:rPr>
          <w:sz w:val="22"/>
          <w:szCs w:val="22"/>
        </w:rPr>
        <w:t>Разъяснение Документации о закупке</w:t>
      </w:r>
      <w:bookmarkEnd w:id="125"/>
      <w:bookmarkEnd w:id="126"/>
      <w:bookmarkEnd w:id="127"/>
      <w:bookmarkEnd w:id="128"/>
      <w:bookmarkEnd w:id="129"/>
      <w:bookmarkEnd w:id="130"/>
      <w:bookmarkEnd w:id="131"/>
    </w:p>
    <w:p>
      <w:pPr>
        <w:pStyle w:val="Style26"/>
        <w:rPr>
          <w:sz w:val="22"/>
          <w:szCs w:val="22"/>
        </w:rPr>
      </w:pPr>
      <w:r>
        <w:rPr>
          <w:sz w:val="22"/>
          <w:szCs w:val="22"/>
        </w:rPr>
        <w:t>Участники вправе обратиться к Организатору за разъяснениями Документации о закупке.</w:t>
      </w:r>
    </w:p>
    <w:p>
      <w:pPr>
        <w:pStyle w:val="Style26"/>
        <w:rPr>
          <w:sz w:val="22"/>
          <w:szCs w:val="22"/>
        </w:rPr>
      </w:pPr>
      <w:r>
        <w:rPr>
          <w:sz w:val="22"/>
          <w:szCs w:val="22"/>
        </w:rPr>
        <w:t>Запросы подаются в соответствии с Регламентами и инструкциями Оператора ЭП, опубликованными на сайте соответствующей ЭП.</w:t>
      </w:r>
    </w:p>
    <w:p>
      <w:pPr>
        <w:pStyle w:val="Style26"/>
        <w:rPr>
          <w:sz w:val="22"/>
          <w:szCs w:val="22"/>
        </w:rPr>
      </w:pPr>
      <w:r>
        <w:rPr>
          <w:sz w:val="22"/>
          <w:szCs w:val="22"/>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rPr>
          <w:sz w:val="22"/>
          <w:szCs w:val="22"/>
        </w:rPr>
      </w:pPr>
      <w:r>
        <w:rPr>
          <w:sz w:val="22"/>
          <w:szCs w:val="22"/>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rPr>
          <w:sz w:val="22"/>
          <w:szCs w:val="22"/>
        </w:rPr>
      </w:pPr>
      <w:r>
        <w:rPr>
          <w:sz w:val="22"/>
          <w:szCs w:val="22"/>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rPr/>
      </w:pPr>
      <w:r>
        <w:rPr>
          <w:sz w:val="22"/>
          <w:szCs w:val="22"/>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4"/>
            <w:sz w:val="22"/>
            <w:szCs w:val="22"/>
          </w:rPr>
          <w:t>Проекта договора (Приложения № 2)</w:t>
        </w:r>
      </w:hyperlink>
      <w:r>
        <w:rPr>
          <w:rStyle w:val="Style14"/>
          <w:sz w:val="22"/>
          <w:szCs w:val="22"/>
        </w:rPr>
        <w:t>,</w:t>
      </w:r>
      <w:r>
        <w:rPr>
          <w:sz w:val="22"/>
          <w:szCs w:val="22"/>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rPr>
          <w:sz w:val="22"/>
          <w:szCs w:val="22"/>
        </w:rPr>
      </w:pPr>
      <w:r>
        <w:rPr>
          <w:sz w:val="22"/>
          <w:szCs w:val="22"/>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sz w:val="22"/>
          <w:szCs w:val="22"/>
        </w:rPr>
      </w:pPr>
      <w:bookmarkStart w:id="132" w:name="_Toc224744321"/>
      <w:bookmarkStart w:id="133" w:name="_Ref125364404"/>
      <w:bookmarkStart w:id="134" w:name="_Ref125363891"/>
      <w:bookmarkStart w:id="135" w:name="_Ref125362076"/>
      <w:r>
        <w:rPr>
          <w:sz w:val="22"/>
          <w:szCs w:val="22"/>
        </w:rPr>
        <w:t>Изменения Извещения и (или) Документации о закупке</w:t>
      </w:r>
      <w:bookmarkEnd w:id="132"/>
      <w:bookmarkEnd w:id="133"/>
      <w:bookmarkEnd w:id="134"/>
      <w:bookmarkEnd w:id="135"/>
    </w:p>
    <w:p>
      <w:pPr>
        <w:pStyle w:val="Style26"/>
        <w:rPr>
          <w:sz w:val="22"/>
          <w:szCs w:val="22"/>
        </w:rPr>
      </w:pPr>
      <w:r>
        <w:rPr>
          <w:sz w:val="22"/>
          <w:szCs w:val="22"/>
        </w:rPr>
        <w:t>Организатор в любой момент до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rPr>
          <w:sz w:val="22"/>
          <w:szCs w:val="22"/>
        </w:rPr>
      </w:pPr>
      <w:bookmarkStart w:id="136" w:name="_Ref125550844"/>
      <w:r>
        <w:rPr>
          <w:sz w:val="22"/>
          <w:szCs w:val="22"/>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в пределах срока действия заявок и с уведомлением Участников, подавших заявки.</w:t>
      </w:r>
      <w:bookmarkEnd w:id="136"/>
    </w:p>
    <w:p>
      <w:pPr>
        <w:pStyle w:val="Style26"/>
        <w:rPr>
          <w:sz w:val="22"/>
          <w:szCs w:val="22"/>
        </w:rPr>
      </w:pPr>
      <w:r>
        <w:rPr>
          <w:sz w:val="22"/>
          <w:szCs w:val="22"/>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rPr>
          <w:sz w:val="22"/>
          <w:szCs w:val="22"/>
        </w:rPr>
      </w:pPr>
      <w:r>
        <w:rPr>
          <w:sz w:val="22"/>
          <w:szCs w:val="22"/>
        </w:rPr>
        <w:t>При внесении изменений в Документацию о закупке (за исключением указанного в пункте </w:t>
      </w:r>
      <w:r>
        <w:rPr>
          <w:sz w:val="22"/>
          <w:szCs w:val="22"/>
        </w:rPr>
        <w:fldChar w:fldCharType="begin"/>
      </w:r>
      <w:r>
        <w:rPr>
          <w:sz w:val="22"/>
          <w:szCs w:val="22"/>
        </w:rPr>
        <w:instrText xml:space="preserve"> REF _Ref125550844 \r \h </w:instrText>
      </w:r>
      <w:r>
        <w:rPr>
          <w:sz w:val="22"/>
          <w:szCs w:val="22"/>
        </w:rPr>
        <w:fldChar w:fldCharType="separate"/>
      </w:r>
      <w:r>
        <w:rPr>
          <w:sz w:val="22"/>
          <w:szCs w:val="22"/>
        </w:rPr>
        <w:t>4.5.2</w:t>
      </w:r>
      <w:r>
        <w:rPr>
          <w:sz w:val="22"/>
          <w:szCs w:val="22"/>
        </w:rPr>
        <w:fldChar w:fldCharType="end"/>
      </w:r>
      <w:r>
        <w:rPr>
          <w:sz w:val="22"/>
          <w:szCs w:val="22"/>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rPr>
          <w:sz w:val="22"/>
          <w:szCs w:val="22"/>
        </w:rPr>
      </w:pPr>
      <w:r>
        <w:rPr>
          <w:sz w:val="22"/>
          <w:szCs w:val="22"/>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sz w:val="22"/>
          <w:szCs w:val="22"/>
        </w:rPr>
      </w:pPr>
      <w:bookmarkStart w:id="137" w:name="_Ref125362119"/>
      <w:bookmarkStart w:id="138" w:name="_Toc224744322"/>
      <w:r>
        <w:rPr>
          <w:sz w:val="22"/>
          <w:szCs w:val="22"/>
        </w:rPr>
        <w:t>Подача заявок и их прием</w:t>
      </w:r>
      <w:bookmarkEnd w:id="137"/>
      <w:bookmarkEnd w:id="138"/>
    </w:p>
    <w:p>
      <w:pPr>
        <w:pStyle w:val="Style26"/>
        <w:rPr>
          <w:sz w:val="22"/>
          <w:szCs w:val="22"/>
        </w:rPr>
      </w:pPr>
      <w:r>
        <w:rPr>
          <w:sz w:val="22"/>
          <w:szCs w:val="22"/>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Заявки, поданные позднее установленного срока, не могут быть приняты Организатором, независимо от причин опоздания.</w:t>
      </w:r>
    </w:p>
    <w:p>
      <w:pPr>
        <w:pStyle w:val="Style26"/>
        <w:rPr>
          <w:sz w:val="22"/>
          <w:szCs w:val="22"/>
        </w:rPr>
      </w:pPr>
      <w:r>
        <w:rPr>
          <w:sz w:val="22"/>
          <w:szCs w:val="22"/>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rPr>
          <w:sz w:val="22"/>
          <w:szCs w:val="22"/>
        </w:rPr>
      </w:pPr>
      <w:r>
        <w:rPr>
          <w:sz w:val="22"/>
          <w:szCs w:val="22"/>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rPr>
          <w:sz w:val="22"/>
          <w:szCs w:val="22"/>
        </w:rPr>
      </w:pPr>
      <w:r>
        <w:rPr>
          <w:sz w:val="22"/>
          <w:szCs w:val="22"/>
        </w:rPr>
        <w:t xml:space="preserve">Заявка должна быть подписана </w:t>
      </w:r>
      <w:bookmarkStart w:id="139" w:name="_Hlk219296949"/>
      <w:r>
        <w:rPr>
          <w:sz w:val="22"/>
          <w:szCs w:val="22"/>
        </w:rPr>
        <w:t xml:space="preserve">усиленной квалифицированной </w:t>
      </w:r>
      <w:bookmarkEnd w:id="139"/>
      <w:r>
        <w:rPr>
          <w:sz w:val="22"/>
          <w:szCs w:val="22"/>
        </w:rPr>
        <w:t>электронной подписью лица, которое является уполномоченным представителем Участника.</w:t>
      </w:r>
    </w:p>
    <w:p>
      <w:pPr>
        <w:pStyle w:val="Style26"/>
        <w:rPr>
          <w:sz w:val="22"/>
          <w:szCs w:val="22"/>
        </w:rPr>
      </w:pPr>
      <w:r>
        <w:rPr>
          <w:sz w:val="22"/>
          <w:szCs w:val="22"/>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rPr>
          <w:sz w:val="22"/>
          <w:szCs w:val="22"/>
        </w:rPr>
      </w:pPr>
      <w:r>
        <w:rPr>
          <w:sz w:val="22"/>
          <w:szCs w:val="22"/>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rPr>
          <w:sz w:val="22"/>
          <w:szCs w:val="22"/>
        </w:rPr>
      </w:pPr>
      <w:r>
        <w:rPr>
          <w:sz w:val="22"/>
          <w:szCs w:val="22"/>
        </w:rPr>
        <w:t>Оператор ЭП до окончания срока подачи заявок обеспечивает конфиденциальность информации, содержащейся в поданных заявках.</w:t>
      </w:r>
    </w:p>
    <w:p>
      <w:pPr>
        <w:pStyle w:val="Style25"/>
        <w:rPr>
          <w:sz w:val="22"/>
          <w:szCs w:val="22"/>
        </w:rPr>
      </w:pPr>
      <w:bookmarkStart w:id="140" w:name="_Ref125362192"/>
      <w:bookmarkStart w:id="141" w:name="_Toc224744323"/>
      <w:bookmarkStart w:id="142" w:name="_Ref125365136"/>
      <w:bookmarkStart w:id="143" w:name="_Ref125363819"/>
      <w:bookmarkStart w:id="144" w:name="_Ref125362130"/>
      <w:r>
        <w:rPr>
          <w:sz w:val="22"/>
          <w:szCs w:val="22"/>
        </w:rPr>
        <w:t>Изменение и отзыв заявок</w:t>
      </w:r>
      <w:bookmarkEnd w:id="140"/>
      <w:bookmarkEnd w:id="141"/>
      <w:bookmarkEnd w:id="142"/>
      <w:bookmarkEnd w:id="143"/>
      <w:bookmarkEnd w:id="144"/>
    </w:p>
    <w:p>
      <w:pPr>
        <w:pStyle w:val="Style26"/>
        <w:rPr>
          <w:sz w:val="22"/>
          <w:szCs w:val="22"/>
        </w:rPr>
      </w:pPr>
      <w:r>
        <w:rPr>
          <w:sz w:val="22"/>
          <w:szCs w:val="22"/>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rPr>
          <w:sz w:val="22"/>
          <w:szCs w:val="22"/>
        </w:rPr>
      </w:pPr>
      <w:r>
        <w:rPr>
          <w:sz w:val="22"/>
          <w:szCs w:val="22"/>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rPr>
          <w:sz w:val="22"/>
          <w:szCs w:val="22"/>
        </w:rPr>
      </w:pPr>
      <w:r>
        <w:rPr>
          <w:sz w:val="22"/>
          <w:szCs w:val="22"/>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sz w:val="22"/>
          <w:szCs w:val="22"/>
        </w:rPr>
        <w:fldChar w:fldCharType="begin"/>
      </w:r>
      <w:r>
        <w:rPr>
          <w:sz w:val="22"/>
          <w:szCs w:val="22"/>
        </w:rPr>
        <w:instrText xml:space="preserve"> REF _Ref125362119 \w \h </w:instrText>
      </w:r>
      <w:r>
        <w:rPr>
          <w:sz w:val="22"/>
          <w:szCs w:val="22"/>
        </w:rPr>
        <w:fldChar w:fldCharType="separate"/>
      </w:r>
      <w:r>
        <w:rPr>
          <w:sz w:val="22"/>
          <w:szCs w:val="22"/>
        </w:rPr>
        <w:t>4.6</w:t>
      </w:r>
      <w:r>
        <w:rPr>
          <w:sz w:val="22"/>
          <w:szCs w:val="22"/>
        </w:rPr>
        <w:fldChar w:fldCharType="end"/>
      </w:r>
      <w:r>
        <w:rPr>
          <w:sz w:val="22"/>
          <w:szCs w:val="22"/>
        </w:rPr>
        <w:t>.</w:t>
      </w:r>
    </w:p>
    <w:p>
      <w:pPr>
        <w:pStyle w:val="Style26"/>
        <w:rPr>
          <w:sz w:val="22"/>
          <w:szCs w:val="22"/>
        </w:rPr>
      </w:pPr>
      <w:r>
        <w:rPr>
          <w:sz w:val="22"/>
          <w:szCs w:val="22"/>
        </w:rPr>
        <w:t>Изменения и отзыв заявки осуществляется посредством функционала ЭП (подробный порядок определяется Регламентом ЭП).</w:t>
      </w:r>
    </w:p>
    <w:p>
      <w:pPr>
        <w:pStyle w:val="Style25"/>
        <w:rPr>
          <w:sz w:val="22"/>
          <w:szCs w:val="22"/>
        </w:rPr>
      </w:pPr>
      <w:bookmarkStart w:id="145" w:name="_Toc224744324"/>
      <w:bookmarkStart w:id="146" w:name="_Ref130221619"/>
      <w:bookmarkStart w:id="147" w:name="_Ref125364340"/>
      <w:bookmarkEnd w:id="147"/>
      <w:r>
        <w:rPr>
          <w:sz w:val="22"/>
          <w:szCs w:val="22"/>
        </w:rPr>
        <w:t>Открытие доступа к заявкам</w:t>
      </w:r>
      <w:bookmarkEnd w:id="145"/>
      <w:bookmarkEnd w:id="146"/>
    </w:p>
    <w:p>
      <w:pPr>
        <w:pStyle w:val="Style26"/>
        <w:rPr>
          <w:sz w:val="22"/>
          <w:szCs w:val="22"/>
        </w:rPr>
      </w:pPr>
      <w:r>
        <w:rPr>
          <w:sz w:val="22"/>
          <w:szCs w:val="22"/>
        </w:rPr>
        <w:t>Оператор ЭП направляет в адрес Организатора заявки в срок не позднее 1 (одного) дня, следующего за днем окончания срока подачи заявок (подраздел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26"/>
        <w:rPr>
          <w:sz w:val="22"/>
          <w:szCs w:val="22"/>
        </w:rPr>
      </w:pPr>
      <w:r>
        <w:rPr>
          <w:sz w:val="22"/>
          <w:szCs w:val="22"/>
        </w:rPr>
        <w:t>Подробные правила открытия Организатору доступа заявкам определяются Регламентом ЭП, с использованием которой проводится закупка.</w:t>
      </w:r>
    </w:p>
    <w:p>
      <w:pPr>
        <w:pStyle w:val="Style25"/>
        <w:rPr>
          <w:sz w:val="22"/>
          <w:szCs w:val="22"/>
        </w:rPr>
      </w:pPr>
      <w:bookmarkStart w:id="148" w:name="_Toc224744325"/>
      <w:bookmarkStart w:id="149" w:name="_Ref135749133"/>
      <w:bookmarkStart w:id="150" w:name="_Ref125366689"/>
      <w:bookmarkStart w:id="151" w:name="_Ref125362364"/>
      <w:bookmarkStart w:id="152" w:name="_Ref125364340_Копия_1"/>
      <w:bookmarkEnd w:id="152"/>
      <w:r>
        <w:rPr>
          <w:sz w:val="22"/>
          <w:szCs w:val="22"/>
        </w:rPr>
        <w:t>Рассмотрение заявок (отборочная стадия)</w:t>
      </w:r>
      <w:bookmarkEnd w:id="150"/>
      <w:bookmarkEnd w:id="151"/>
      <w:r>
        <w:rPr>
          <w:sz w:val="22"/>
          <w:szCs w:val="22"/>
        </w:rPr>
        <w:t>, в том числе (при необходимости) проведение аккредитации</w:t>
      </w:r>
      <w:bookmarkEnd w:id="148"/>
      <w:bookmarkEnd w:id="149"/>
    </w:p>
    <w:p>
      <w:pPr>
        <w:pStyle w:val="Style26"/>
        <w:rPr>
          <w:sz w:val="22"/>
          <w:szCs w:val="22"/>
        </w:rPr>
      </w:pPr>
      <w:r>
        <w:rPr>
          <w:sz w:val="22"/>
          <w:szCs w:val="22"/>
        </w:rPr>
        <w:t>Дата окончания срока рассмотрения заявок установлена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sz w:val="22"/>
          <w:szCs w:val="22"/>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Style14"/>
            <w:sz w:val="22"/>
            <w:szCs w:val="22"/>
          </w:rPr>
          <w:t>Отборочным критериям рассмотрения заявок (Приложение № 7)</w:t>
        </w:r>
      </w:hyperlink>
      <w:r>
        <w:rPr>
          <w:sz w:val="22"/>
          <w:szCs w:val="22"/>
        </w:rPr>
        <w:t>, в том числе проводится процедура аккредитации Участников (при необходимости).</w:t>
      </w:r>
    </w:p>
    <w:p>
      <w:pPr>
        <w:pStyle w:val="Style26"/>
        <w:rPr>
          <w:sz w:val="22"/>
          <w:szCs w:val="22"/>
        </w:rPr>
      </w:pPr>
      <w:r>
        <w:rPr>
          <w:sz w:val="22"/>
          <w:szCs w:val="22"/>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rPr>
          <w:sz w:val="22"/>
          <w:szCs w:val="22"/>
        </w:rPr>
      </w:pPr>
      <w:bookmarkStart w:id="153" w:name="_Ref224835760"/>
      <w:r>
        <w:rPr>
          <w:sz w:val="22"/>
          <w:szCs w:val="22"/>
        </w:rPr>
        <w:t>При выявлении в рамках рассмотрения заявок наличия арифметических ошибок, в том числе:</w:t>
      </w:r>
      <w:bookmarkEnd w:id="153"/>
    </w:p>
    <w:p>
      <w:pPr>
        <w:pStyle w:val="Style27"/>
        <w:rPr>
          <w:sz w:val="22"/>
          <w:szCs w:val="22"/>
        </w:rPr>
      </w:pPr>
      <w:r>
        <w:rPr>
          <w:sz w:val="22"/>
          <w:szCs w:val="22"/>
        </w:rPr>
        <w:t>в результате суммирования единичных расценок;</w:t>
      </w:r>
    </w:p>
    <w:p>
      <w:pPr>
        <w:pStyle w:val="Style27"/>
        <w:rPr>
          <w:sz w:val="22"/>
          <w:szCs w:val="22"/>
        </w:rPr>
      </w:pPr>
      <w:r>
        <w:rPr>
          <w:sz w:val="22"/>
          <w:szCs w:val="22"/>
        </w:rPr>
        <w:t>в итогах умножения единичных расценок на объем продукции;</w:t>
      </w:r>
    </w:p>
    <w:p>
      <w:pPr>
        <w:pStyle w:val="Style27"/>
        <w:rPr>
          <w:sz w:val="22"/>
          <w:szCs w:val="22"/>
        </w:rPr>
      </w:pPr>
      <w:r>
        <w:rPr>
          <w:sz w:val="22"/>
          <w:szCs w:val="22"/>
        </w:rPr>
        <w:t>в вычислении суммы НДС и итоговой стоимости заявки с учетом НДС;</w:t>
      </w:r>
    </w:p>
    <w:p>
      <w:pPr>
        <w:pStyle w:val="Style27"/>
        <w:rPr>
          <w:sz w:val="22"/>
          <w:szCs w:val="22"/>
        </w:rPr>
      </w:pPr>
      <w:r>
        <w:rPr>
          <w:sz w:val="22"/>
          <w:szCs w:val="22"/>
        </w:rPr>
        <w:t>иных внутренних противоречий в составе заявки,</w:t>
      </w:r>
    </w:p>
    <w:p>
      <w:pPr>
        <w:pStyle w:val="Style30"/>
        <w:ind w:hanging="0" w:left="1134"/>
        <w:rPr>
          <w:sz w:val="22"/>
          <w:szCs w:val="22"/>
        </w:rPr>
      </w:pPr>
      <w:r>
        <w:rPr>
          <w:sz w:val="22"/>
          <w:szCs w:val="22"/>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rPr>
          <w:sz w:val="22"/>
          <w:szCs w:val="22"/>
        </w:rPr>
      </w:pPr>
      <w:bookmarkStart w:id="154" w:name="_Ref125551456"/>
      <w:r>
        <w:rPr>
          <w:sz w:val="22"/>
          <w:szCs w:val="22"/>
        </w:rPr>
        <w:t>По результатам рассмотрения заявок (проведения отборочной стадии) Закупочная комиссия отклоняет заявки по следующим основаниям:</w:t>
      </w:r>
      <w:bookmarkEnd w:id="154"/>
    </w:p>
    <w:p>
      <w:pPr>
        <w:pStyle w:val="Style27"/>
        <w:rPr>
          <w:sz w:val="22"/>
          <w:szCs w:val="22"/>
        </w:rPr>
      </w:pPr>
      <w:r>
        <w:rPr>
          <w:sz w:val="22"/>
          <w:szCs w:val="22"/>
        </w:rPr>
        <w:t>несоответствие по составу, содержанию и соблюдению требований Документации о закупке к подготовке (оформлению) заявки, в том числе наличие:</w:t>
      </w:r>
    </w:p>
    <w:p>
      <w:pPr>
        <w:pStyle w:val="Style28"/>
        <w:rPr>
          <w:sz w:val="22"/>
          <w:szCs w:val="22"/>
        </w:rPr>
      </w:pPr>
      <w:r>
        <w:rPr>
          <w:sz w:val="22"/>
          <w:szCs w:val="22"/>
        </w:rPr>
        <w:t>недостоверных сведений или намеренно искаженной информации или документов;</w:t>
      </w:r>
    </w:p>
    <w:p>
      <w:pPr>
        <w:pStyle w:val="Style28"/>
        <w:rPr>
          <w:sz w:val="22"/>
          <w:szCs w:val="22"/>
        </w:rPr>
      </w:pPr>
      <w:r>
        <w:rPr>
          <w:sz w:val="22"/>
          <w:szCs w:val="22"/>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sz w:val="22"/>
          <w:szCs w:val="22"/>
        </w:rPr>
        <w:fldChar w:fldCharType="begin"/>
      </w:r>
      <w:r>
        <w:rPr>
          <w:sz w:val="22"/>
          <w:szCs w:val="22"/>
        </w:rPr>
        <w:instrText xml:space="preserve"> REF _Ref224835760 \r \h </w:instrText>
      </w:r>
      <w:r>
        <w:rPr>
          <w:sz w:val="22"/>
          <w:szCs w:val="22"/>
        </w:rPr>
        <w:fldChar w:fldCharType="separate"/>
      </w:r>
      <w:r>
        <w:rPr>
          <w:sz w:val="22"/>
          <w:szCs w:val="22"/>
        </w:rPr>
        <w:t>4.9.4</w:t>
      </w:r>
      <w:r>
        <w:rPr>
          <w:sz w:val="22"/>
          <w:szCs w:val="22"/>
        </w:rPr>
        <w:fldChar w:fldCharType="end"/>
      </w:r>
      <w:r>
        <w:rPr>
          <w:sz w:val="22"/>
          <w:szCs w:val="22"/>
        </w:rPr>
        <w:t>);</w:t>
      </w:r>
    </w:p>
    <w:p>
      <w:pPr>
        <w:pStyle w:val="Style27"/>
        <w:rPr>
          <w:sz w:val="22"/>
          <w:szCs w:val="22"/>
        </w:rPr>
      </w:pPr>
      <w:r>
        <w:rPr>
          <w:sz w:val="22"/>
          <w:szCs w:val="22"/>
        </w:rPr>
        <w:t>несоответствие Участников требованиям Документации о закупке;</w:t>
      </w:r>
    </w:p>
    <w:p>
      <w:pPr>
        <w:pStyle w:val="Style27"/>
        <w:rPr>
          <w:sz w:val="22"/>
          <w:szCs w:val="22"/>
        </w:rPr>
      </w:pPr>
      <w:r>
        <w:rPr>
          <w:sz w:val="22"/>
          <w:szCs w:val="22"/>
        </w:rPr>
        <w:t>несоответствие привлекаемых субподрядчиков (соисполнителей) требованиям Документации о закупке;</w:t>
      </w:r>
    </w:p>
    <w:p>
      <w:pPr>
        <w:pStyle w:val="Style27"/>
        <w:rPr>
          <w:sz w:val="22"/>
          <w:szCs w:val="22"/>
        </w:rPr>
      </w:pPr>
      <w:r>
        <w:rPr>
          <w:sz w:val="22"/>
          <w:szCs w:val="22"/>
        </w:rPr>
        <w:t>несоответствие предлагаемой продукции требованиям Документации о закупке, в том числе порядка описания такой продукции;</w:t>
      </w:r>
    </w:p>
    <w:p>
      <w:pPr>
        <w:pStyle w:val="Style27"/>
        <w:rPr>
          <w:sz w:val="22"/>
          <w:szCs w:val="22"/>
        </w:rPr>
      </w:pPr>
      <w:r>
        <w:rPr>
          <w:sz w:val="22"/>
          <w:szCs w:val="22"/>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6"/>
        <w:rPr>
          <w:sz w:val="22"/>
          <w:szCs w:val="22"/>
        </w:rPr>
      </w:pPr>
      <w:r>
        <w:rPr>
          <w:sz w:val="22"/>
          <w:szCs w:val="22"/>
        </w:rPr>
        <w:t>Решение Закупочной комиссии по рассмотрению заявок вносится в итоговый протокол по результатам закупки.</w:t>
      </w:r>
    </w:p>
    <w:p>
      <w:pPr>
        <w:pStyle w:val="Style25"/>
        <w:rPr>
          <w:sz w:val="22"/>
          <w:szCs w:val="22"/>
        </w:rPr>
      </w:pPr>
      <w:bookmarkStart w:id="155" w:name="_Toc224744326"/>
      <w:bookmarkStart w:id="156" w:name="_Ref125362610"/>
      <w:bookmarkStart w:id="157" w:name="_Ref125362464"/>
      <w:bookmarkStart w:id="158" w:name="_Ref125362425"/>
      <w:bookmarkStart w:id="159" w:name="_Ref125362381"/>
      <w:r>
        <w:rPr>
          <w:sz w:val="22"/>
          <w:szCs w:val="22"/>
        </w:rPr>
        <w:t>Дополнительные запросы разъяснений заявок</w:t>
      </w:r>
      <w:bookmarkEnd w:id="155"/>
      <w:bookmarkEnd w:id="156"/>
      <w:bookmarkEnd w:id="157"/>
      <w:bookmarkEnd w:id="158"/>
      <w:bookmarkEnd w:id="159"/>
    </w:p>
    <w:p>
      <w:pPr>
        <w:pStyle w:val="Style26"/>
        <w:rPr>
          <w:sz w:val="22"/>
          <w:szCs w:val="22"/>
        </w:rPr>
      </w:pPr>
      <w:bookmarkStart w:id="160" w:name="_Ref125365611"/>
      <w:r>
        <w:rPr>
          <w:sz w:val="22"/>
          <w:szCs w:val="22"/>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0"/>
    </w:p>
    <w:p>
      <w:pPr>
        <w:pStyle w:val="Style27"/>
        <w:keepNext w:val="true"/>
        <w:rPr>
          <w:sz w:val="22"/>
          <w:szCs w:val="22"/>
        </w:rPr>
      </w:pPr>
      <w:r>
        <w:rPr>
          <w:sz w:val="22"/>
          <w:szCs w:val="22"/>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8"/>
        <w:rPr>
          <w:sz w:val="22"/>
          <w:szCs w:val="22"/>
        </w:rPr>
      </w:pPr>
      <w:r>
        <w:rPr>
          <w:sz w:val="22"/>
          <w:szCs w:val="22"/>
        </w:rPr>
        <w:t>соответствия Участника требованиям Документации о закупке;</w:t>
      </w:r>
    </w:p>
    <w:p>
      <w:pPr>
        <w:pStyle w:val="Style28"/>
        <w:rPr>
          <w:sz w:val="22"/>
          <w:szCs w:val="22"/>
        </w:rPr>
      </w:pPr>
      <w:r>
        <w:rPr>
          <w:sz w:val="22"/>
          <w:szCs w:val="22"/>
        </w:rPr>
        <w:t>наличия соответствующих полномочий на подписание заявки от имени Участника у лица, подписавшего заявку;</w:t>
      </w:r>
    </w:p>
    <w:p>
      <w:pPr>
        <w:pStyle w:val="Style28"/>
        <w:rPr>
          <w:sz w:val="22"/>
          <w:szCs w:val="22"/>
        </w:rPr>
      </w:pPr>
      <w:r>
        <w:rPr>
          <w:sz w:val="22"/>
          <w:szCs w:val="22"/>
        </w:rPr>
        <w:t xml:space="preserve">соответствия заявки требованиям Документации о закупке в части характеристик предлагаемой продукции, </w:t>
      </w:r>
      <w:bookmarkStart w:id="161" w:name="_Hlk207817392"/>
      <w:r>
        <w:rPr>
          <w:sz w:val="22"/>
          <w:szCs w:val="22"/>
        </w:rPr>
        <w:t>страны происхождения товара и (или) страны регистрации Участника (в целях исполнения требований законодательства о национальном режиме</w:t>
      </w:r>
      <w:bookmarkEnd w:id="161"/>
      <w:r>
        <w:rPr>
          <w:sz w:val="22"/>
          <w:szCs w:val="22"/>
        </w:rPr>
        <w:t xml:space="preserve"> (подраздел </w:t>
      </w:r>
      <w:r>
        <w:rPr>
          <w:sz w:val="22"/>
          <w:szCs w:val="22"/>
        </w:rPr>
        <w:fldChar w:fldCharType="begin"/>
      </w:r>
      <w:r>
        <w:rPr>
          <w:sz w:val="22"/>
          <w:szCs w:val="22"/>
        </w:rPr>
        <w:instrText xml:space="preserve"> REF _Ref186221375 \r \h </w:instrText>
      </w:r>
      <w:r>
        <w:rPr>
          <w:sz w:val="22"/>
          <w:szCs w:val="22"/>
        </w:rPr>
        <w:fldChar w:fldCharType="separate"/>
      </w:r>
      <w:r>
        <w:rPr>
          <w:sz w:val="22"/>
          <w:szCs w:val="22"/>
        </w:rPr>
        <w:t>4.12</w:t>
      </w:r>
      <w:r>
        <w:rPr>
          <w:sz w:val="22"/>
          <w:szCs w:val="22"/>
        </w:rPr>
        <w:fldChar w:fldCharType="end"/>
      </w:r>
      <w:r>
        <w:rPr>
          <w:sz w:val="22"/>
          <w:szCs w:val="22"/>
        </w:rPr>
        <w:t>)), договорных условий и расчета цены Договора;</w:t>
      </w:r>
    </w:p>
    <w:p>
      <w:pPr>
        <w:pStyle w:val="Style27"/>
        <w:rPr>
          <w:sz w:val="22"/>
          <w:szCs w:val="22"/>
        </w:rPr>
      </w:pPr>
      <w:bookmarkStart w:id="162" w:name="_Ref134702259"/>
      <w:r>
        <w:rPr>
          <w:sz w:val="22"/>
          <w:szCs w:val="22"/>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7"/>
        <w:rPr>
          <w:sz w:val="22"/>
          <w:szCs w:val="22"/>
        </w:rPr>
      </w:pPr>
      <w:r>
        <w:rPr>
          <w:sz w:val="22"/>
          <w:szCs w:val="22"/>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sz w:val="22"/>
          <w:szCs w:val="22"/>
        </w:rPr>
        <w:footnoteReference w:id="3"/>
      </w:r>
      <w:r>
        <w:rPr>
          <w:sz w:val="22"/>
          <w:szCs w:val="22"/>
        </w:rPr>
        <w:t>) требованиям Документации о закупке или осуществить оценку и сопоставление заявок.</w:t>
      </w:r>
      <w:bookmarkEnd w:id="162"/>
    </w:p>
    <w:p>
      <w:pPr>
        <w:pStyle w:val="Style26"/>
        <w:rPr>
          <w:sz w:val="22"/>
          <w:szCs w:val="22"/>
        </w:rPr>
      </w:pPr>
      <w:r>
        <w:rPr>
          <w:sz w:val="22"/>
          <w:szCs w:val="22"/>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sz w:val="22"/>
          <w:szCs w:val="22"/>
        </w:rPr>
        <w:fldChar w:fldCharType="begin"/>
      </w:r>
      <w:r>
        <w:rPr>
          <w:sz w:val="22"/>
          <w:szCs w:val="22"/>
        </w:rPr>
        <w:instrText xml:space="preserve"> REF _Ref134702259 \r \h </w:instrText>
      </w:r>
      <w:r>
        <w:rPr>
          <w:sz w:val="22"/>
          <w:szCs w:val="22"/>
        </w:rPr>
        <w:fldChar w:fldCharType="separate"/>
      </w:r>
      <w:r>
        <w:rPr>
          <w:sz w:val="22"/>
          <w:szCs w:val="22"/>
        </w:rPr>
        <w:t>4.10.1б)</w:t>
      </w:r>
      <w:r>
        <w:rPr>
          <w:sz w:val="22"/>
          <w:szCs w:val="22"/>
        </w:rPr>
        <w:fldChar w:fldCharType="end"/>
      </w:r>
      <w:r>
        <w:rPr>
          <w:sz w:val="22"/>
          <w:szCs w:val="22"/>
        </w:rPr>
        <w:t>).</w:t>
      </w:r>
    </w:p>
    <w:p>
      <w:pPr>
        <w:pStyle w:val="Style26"/>
        <w:rPr>
          <w:sz w:val="22"/>
          <w:szCs w:val="22"/>
        </w:rPr>
      </w:pPr>
      <w:r>
        <w:rPr>
          <w:sz w:val="22"/>
          <w:szCs w:val="22"/>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rPr>
          <w:sz w:val="22"/>
          <w:szCs w:val="22"/>
        </w:rPr>
      </w:pPr>
      <w:r>
        <w:rPr>
          <w:sz w:val="22"/>
          <w:szCs w:val="22"/>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rPr>
          <w:sz w:val="22"/>
          <w:szCs w:val="22"/>
        </w:rPr>
      </w:pPr>
      <w:r>
        <w:rPr>
          <w:sz w:val="22"/>
          <w:szCs w:val="22"/>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sz w:val="22"/>
          <w:szCs w:val="22"/>
        </w:rPr>
        <w:fldChar w:fldCharType="begin"/>
      </w:r>
      <w:r>
        <w:rPr>
          <w:sz w:val="22"/>
          <w:szCs w:val="22"/>
        </w:rPr>
        <w:instrText xml:space="preserve"> REF _Ref125551456 \w \h </w:instrText>
      </w:r>
      <w:r>
        <w:rPr>
          <w:sz w:val="22"/>
          <w:szCs w:val="22"/>
        </w:rPr>
        <w:fldChar w:fldCharType="separate"/>
      </w:r>
      <w:r>
        <w:rPr>
          <w:sz w:val="22"/>
          <w:szCs w:val="22"/>
        </w:rPr>
        <w:t>4.9.5</w:t>
      </w:r>
      <w:r>
        <w:rPr>
          <w:sz w:val="22"/>
          <w:szCs w:val="22"/>
        </w:rPr>
        <w:fldChar w:fldCharType="end"/>
      </w:r>
      <w:r>
        <w:rPr>
          <w:sz w:val="22"/>
          <w:szCs w:val="22"/>
        </w:rPr>
        <w:t xml:space="preserve"> имеются прямые основания для отклонения заявки такого Участника, не относящиеся к случаям, перечисленным в пункте </w:t>
      </w:r>
      <w:r>
        <w:rPr>
          <w:sz w:val="22"/>
          <w:szCs w:val="22"/>
        </w:rPr>
        <w:fldChar w:fldCharType="begin"/>
      </w:r>
      <w:r>
        <w:rPr>
          <w:sz w:val="22"/>
          <w:szCs w:val="22"/>
        </w:rPr>
        <w:instrText xml:space="preserve"> REF _Ref125365611 \w \h </w:instrText>
      </w:r>
      <w:r>
        <w:rPr>
          <w:sz w:val="22"/>
          <w:szCs w:val="22"/>
        </w:rPr>
        <w:fldChar w:fldCharType="separate"/>
      </w:r>
      <w:r>
        <w:rPr>
          <w:sz w:val="22"/>
          <w:szCs w:val="22"/>
        </w:rPr>
        <w:t>4.10.1</w:t>
      </w:r>
      <w:r>
        <w:rPr>
          <w:sz w:val="22"/>
          <w:szCs w:val="22"/>
        </w:rPr>
        <w:fldChar w:fldCharType="end"/>
      </w:r>
      <w:r>
        <w:rPr>
          <w:sz w:val="22"/>
          <w:szCs w:val="22"/>
        </w:rPr>
        <w:t>.</w:t>
      </w:r>
    </w:p>
    <w:p>
      <w:pPr>
        <w:pStyle w:val="Style26"/>
        <w:rPr>
          <w:sz w:val="22"/>
          <w:szCs w:val="22"/>
        </w:rPr>
      </w:pPr>
      <w:r>
        <w:rPr>
          <w:sz w:val="22"/>
          <w:szCs w:val="22"/>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rPr>
          <w:sz w:val="22"/>
          <w:szCs w:val="22"/>
        </w:rPr>
      </w:pPr>
      <w:r>
        <w:rPr>
          <w:sz w:val="22"/>
          <w:szCs w:val="22"/>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rPr>
          <w:sz w:val="22"/>
          <w:szCs w:val="22"/>
        </w:rPr>
      </w:pPr>
      <w:r>
        <w:rPr>
          <w:sz w:val="22"/>
          <w:szCs w:val="22"/>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sz w:val="22"/>
          <w:szCs w:val="22"/>
        </w:rPr>
        <w:fldChar w:fldCharType="begin"/>
      </w:r>
      <w:r>
        <w:rPr>
          <w:sz w:val="22"/>
          <w:szCs w:val="22"/>
        </w:rPr>
        <w:instrText xml:space="preserve"> REF _Ref125551456 \w \h </w:instrText>
      </w:r>
      <w:r>
        <w:rPr>
          <w:sz w:val="22"/>
          <w:szCs w:val="22"/>
        </w:rPr>
        <w:fldChar w:fldCharType="separate"/>
      </w:r>
      <w:r>
        <w:rPr>
          <w:sz w:val="22"/>
          <w:szCs w:val="22"/>
        </w:rPr>
        <w:t>4.9.5</w:t>
      </w:r>
      <w:r>
        <w:rPr>
          <w:sz w:val="22"/>
          <w:szCs w:val="22"/>
        </w:rPr>
        <w:fldChar w:fldCharType="end"/>
      </w:r>
      <w:r>
        <w:rPr>
          <w:sz w:val="22"/>
          <w:szCs w:val="22"/>
        </w:rPr>
        <w:t>.</w:t>
      </w:r>
    </w:p>
    <w:p>
      <w:pPr>
        <w:pStyle w:val="Style25"/>
        <w:rPr>
          <w:sz w:val="22"/>
          <w:szCs w:val="22"/>
        </w:rPr>
      </w:pPr>
      <w:bookmarkStart w:id="163" w:name="_Ref125369041"/>
      <w:bookmarkStart w:id="164" w:name="_Toc224744327"/>
      <w:bookmarkStart w:id="165" w:name="_Ref125369308"/>
      <w:bookmarkStart w:id="166" w:name="_Ref125365519"/>
      <w:bookmarkStart w:id="167" w:name="_Ref125362626"/>
      <w:bookmarkStart w:id="168" w:name="_Ref125365335"/>
      <w:bookmarkStart w:id="169" w:name="_Ref125366534"/>
      <w:r>
        <w:rPr>
          <w:sz w:val="22"/>
          <w:szCs w:val="22"/>
        </w:rPr>
        <w:t>Оценка и сопоставление заявок</w:t>
      </w:r>
      <w:bookmarkEnd w:id="163"/>
      <w:bookmarkEnd w:id="164"/>
      <w:bookmarkEnd w:id="165"/>
      <w:bookmarkEnd w:id="166"/>
      <w:bookmarkEnd w:id="167"/>
      <w:bookmarkEnd w:id="168"/>
      <w:bookmarkEnd w:id="169"/>
    </w:p>
    <w:p>
      <w:pPr>
        <w:pStyle w:val="Style26"/>
        <w:rPr/>
      </w:pPr>
      <w:r>
        <w:rPr>
          <w:sz w:val="22"/>
          <w:szCs w:val="22"/>
        </w:rPr>
        <w:t>Оценка заявок, признанных Закупочной комиссией соответствующими по результатам рассмотрения заявок (подраздел </w:t>
      </w:r>
      <w:r>
        <w:rPr>
          <w:sz w:val="22"/>
          <w:szCs w:val="22"/>
        </w:rPr>
        <w:fldChar w:fldCharType="begin"/>
      </w:r>
      <w:r>
        <w:rPr>
          <w:sz w:val="22"/>
          <w:szCs w:val="22"/>
        </w:rPr>
        <w:instrText xml:space="preserve"> REF _Ref125362364 \w \h </w:instrText>
      </w:r>
      <w:r>
        <w:rPr>
          <w:sz w:val="22"/>
          <w:szCs w:val="22"/>
        </w:rPr>
        <w:fldChar w:fldCharType="separate"/>
      </w:r>
      <w:r>
        <w:rPr>
          <w:sz w:val="22"/>
          <w:szCs w:val="22"/>
        </w:rPr>
        <w:t>4.9</w:t>
      </w:r>
      <w:r>
        <w:rPr>
          <w:sz w:val="22"/>
          <w:szCs w:val="22"/>
        </w:rPr>
        <w:fldChar w:fldCharType="end"/>
      </w:r>
      <w:r>
        <w:rPr>
          <w:sz w:val="22"/>
          <w:szCs w:val="22"/>
        </w:rPr>
        <w:t xml:space="preserve">), осуществляется в соответствии с </w:t>
      </w:r>
      <w:hyperlink w:anchor="Прил08_ПорядокОценки">
        <w:r>
          <w:rPr>
            <w:rStyle w:val="Style14"/>
            <w:sz w:val="22"/>
            <w:szCs w:val="22"/>
          </w:rPr>
          <w:t>Порядком и критериями оценки и сопоставления заявок (Приложение № 8)</w:t>
        </w:r>
      </w:hyperlink>
      <w:r>
        <w:rPr>
          <w:sz w:val="22"/>
          <w:szCs w:val="22"/>
        </w:rPr>
        <w:t>, то есть:</w:t>
      </w:r>
    </w:p>
    <w:p>
      <w:pPr>
        <w:pStyle w:val="Style27"/>
        <w:rPr>
          <w:sz w:val="22"/>
          <w:szCs w:val="22"/>
        </w:rPr>
      </w:pPr>
      <w:r>
        <w:rPr>
          <w:sz w:val="22"/>
          <w:szCs w:val="22"/>
        </w:rPr>
        <w:t>в соответствии с единственным ценовым критерием оценки (критерием выбора Победителя) – стоимость заявки (цена Договора);</w:t>
      </w:r>
    </w:p>
    <w:p>
      <w:pPr>
        <w:pStyle w:val="Style27"/>
        <w:rPr>
          <w:sz w:val="22"/>
          <w:szCs w:val="22"/>
        </w:rPr>
      </w:pPr>
      <w:r>
        <w:rPr>
          <w:sz w:val="22"/>
          <w:szCs w:val="22"/>
        </w:rPr>
        <w:t>в едином базисе без учета НДС.</w:t>
      </w:r>
    </w:p>
    <w:p>
      <w:pPr>
        <w:pStyle w:val="Style26"/>
        <w:rPr>
          <w:sz w:val="22"/>
          <w:szCs w:val="22"/>
        </w:rPr>
      </w:pPr>
      <w:r>
        <w:rPr>
          <w:sz w:val="22"/>
          <w:szCs w:val="22"/>
        </w:rPr>
        <w:t>По результатам оценки заявок Закупочная комиссия в течение 1 (одного) рабочего дня осуществляет их сопоставление – ранжирует все соответствующие по результатам рассмотрения заявки по мере повышения их стоимости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pPr>
        <w:pStyle w:val="Style26"/>
        <w:rPr>
          <w:sz w:val="22"/>
          <w:szCs w:val="22"/>
        </w:rPr>
      </w:pPr>
      <w:r>
        <w:rPr>
          <w:sz w:val="22"/>
          <w:szCs w:val="22"/>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sz w:val="22"/>
          <w:szCs w:val="22"/>
        </w:rPr>
        <w:fldChar w:fldCharType="begin"/>
      </w:r>
      <w:r>
        <w:rPr>
          <w:sz w:val="22"/>
          <w:szCs w:val="22"/>
        </w:rPr>
        <w:instrText xml:space="preserve"> REF _Ref130985951 \r \h </w:instrText>
      </w:r>
      <w:r>
        <w:rPr>
          <w:sz w:val="22"/>
          <w:szCs w:val="22"/>
        </w:rPr>
        <w:fldChar w:fldCharType="separate"/>
      </w:r>
      <w:r>
        <w:rPr>
          <w:sz w:val="22"/>
          <w:szCs w:val="22"/>
        </w:rPr>
        <w:t>4.12</w:t>
      </w:r>
      <w:r>
        <w:rPr>
          <w:sz w:val="22"/>
          <w:szCs w:val="22"/>
        </w:rPr>
        <w:fldChar w:fldCharType="end"/>
      </w:r>
      <w:r>
        <w:rPr>
          <w:sz w:val="22"/>
          <w:szCs w:val="22"/>
        </w:rPr>
        <w:t>).</w:t>
      </w:r>
    </w:p>
    <w:p>
      <w:pPr>
        <w:pStyle w:val="Style26"/>
        <w:rPr>
          <w:sz w:val="22"/>
          <w:szCs w:val="22"/>
        </w:rPr>
      </w:pPr>
      <w:r>
        <w:rPr>
          <w:sz w:val="22"/>
          <w:szCs w:val="22"/>
        </w:rPr>
        <w:t>Результаты оценки и сопоставления заявок вносятся в итоговый протокол по результатам закупки.</w:t>
      </w:r>
    </w:p>
    <w:p>
      <w:pPr>
        <w:pStyle w:val="Style25"/>
        <w:rPr>
          <w:sz w:val="22"/>
          <w:szCs w:val="22"/>
        </w:rPr>
      </w:pPr>
      <w:bookmarkStart w:id="170" w:name="_Ref125369991"/>
      <w:bookmarkStart w:id="171" w:name="_Ref125366064"/>
      <w:bookmarkStart w:id="172" w:name="_Ref125370507"/>
      <w:bookmarkStart w:id="173" w:name="_Ref130458671"/>
      <w:bookmarkStart w:id="174" w:name="_Toc224744328"/>
      <w:bookmarkStart w:id="175" w:name="_Ref132894111"/>
      <w:bookmarkStart w:id="176" w:name="_Ref132894106"/>
      <w:bookmarkStart w:id="177" w:name="_Ref130985951"/>
      <w:bookmarkStart w:id="178" w:name="_Ref186221375"/>
      <w:r>
        <w:rPr>
          <w:sz w:val="22"/>
          <w:szCs w:val="22"/>
        </w:rPr>
        <w:t>Применение законодательства о национальном режиме</w:t>
      </w:r>
      <w:bookmarkEnd w:id="170"/>
      <w:bookmarkEnd w:id="171"/>
      <w:bookmarkEnd w:id="172"/>
      <w:bookmarkEnd w:id="173"/>
      <w:bookmarkEnd w:id="174"/>
      <w:bookmarkEnd w:id="175"/>
      <w:bookmarkEnd w:id="176"/>
      <w:bookmarkEnd w:id="177"/>
      <w:bookmarkEnd w:id="178"/>
    </w:p>
    <w:p>
      <w:pPr>
        <w:pStyle w:val="Style26"/>
        <w:rPr>
          <w:sz w:val="22"/>
          <w:szCs w:val="22"/>
        </w:rPr>
      </w:pPr>
      <w:r>
        <w:rPr>
          <w:sz w:val="22"/>
          <w:szCs w:val="22"/>
        </w:rPr>
        <w:t>Настоящий подраздел применяется исходя из информации, установленной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w:t>
      </w:r>
    </w:p>
    <w:p>
      <w:pPr>
        <w:pStyle w:val="Style26"/>
        <w:rPr>
          <w:sz w:val="22"/>
          <w:szCs w:val="22"/>
        </w:rPr>
      </w:pPr>
      <w:bookmarkStart w:id="179" w:name="_Ref207819815"/>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sz w:val="22"/>
          <w:szCs w:val="22"/>
        </w:rPr>
        <w:fldChar w:fldCharType="begin"/>
      </w:r>
      <w:r>
        <w:rPr>
          <w:sz w:val="22"/>
          <w:szCs w:val="22"/>
        </w:rPr>
        <w:instrText xml:space="preserve"> REF _Ref135749133 \r \h </w:instrText>
      </w:r>
      <w:r>
        <w:rPr>
          <w:sz w:val="22"/>
          <w:szCs w:val="22"/>
        </w:rPr>
        <w:fldChar w:fldCharType="separate"/>
      </w:r>
      <w:r>
        <w:rPr>
          <w:sz w:val="22"/>
          <w:szCs w:val="22"/>
        </w:rPr>
        <w:t>4.9</w:t>
      </w:r>
      <w:r>
        <w:rPr>
          <w:sz w:val="22"/>
          <w:szCs w:val="22"/>
        </w:rPr>
        <w:fldChar w:fldCharType="end"/>
      </w:r>
      <w:r>
        <w:rPr>
          <w:sz w:val="22"/>
          <w:szCs w:val="22"/>
        </w:rPr>
        <w:t>).</w:t>
      </w:r>
      <w:bookmarkEnd w:id="179"/>
    </w:p>
    <w:p>
      <w:pPr>
        <w:pStyle w:val="Style26"/>
        <w:rPr>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sz w:val="22"/>
          <w:szCs w:val="22"/>
        </w:rPr>
        <w:fldChar w:fldCharType="begin"/>
      </w:r>
      <w:r>
        <w:rPr>
          <w:sz w:val="22"/>
          <w:szCs w:val="22"/>
        </w:rPr>
        <w:instrText xml:space="preserve"> REF _Ref135749133 \r \h </w:instrText>
      </w:r>
      <w:r>
        <w:rPr>
          <w:sz w:val="22"/>
          <w:szCs w:val="22"/>
        </w:rPr>
        <w:fldChar w:fldCharType="separate"/>
      </w:r>
      <w:r>
        <w:rPr>
          <w:sz w:val="22"/>
          <w:szCs w:val="22"/>
        </w:rPr>
        <w:t>4.9</w:t>
      </w:r>
      <w:r>
        <w:rPr>
          <w:sz w:val="22"/>
          <w:szCs w:val="22"/>
        </w:rPr>
        <w:fldChar w:fldCharType="end"/>
      </w:r>
      <w:r>
        <w:rPr>
          <w:sz w:val="22"/>
          <w:szCs w:val="22"/>
        </w:rPr>
        <w:t>).</w:t>
      </w:r>
    </w:p>
    <w:p>
      <w:pPr>
        <w:pStyle w:val="Style26"/>
        <w:rPr>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преимущества российской продукции, то при оценке и сопоставлении заявок, а также их ранжировке (подраздел </w:t>
      </w:r>
      <w:r>
        <w:rPr>
          <w:sz w:val="22"/>
          <w:szCs w:val="22"/>
        </w:rPr>
        <w:fldChar w:fldCharType="begin"/>
      </w:r>
      <w:r>
        <w:rPr>
          <w:sz w:val="22"/>
          <w:szCs w:val="22"/>
        </w:rPr>
        <w:instrText xml:space="preserve"> REF _Ref125362626 \r \h </w:instrText>
      </w:r>
      <w:r>
        <w:rPr>
          <w:sz w:val="22"/>
          <w:szCs w:val="22"/>
        </w:rPr>
        <w:fldChar w:fldCharType="separate"/>
      </w:r>
      <w:r>
        <w:rPr>
          <w:sz w:val="22"/>
          <w:szCs w:val="22"/>
        </w:rPr>
        <w:t>4.11</w:t>
      </w:r>
      <w:r>
        <w:rPr>
          <w:sz w:val="22"/>
          <w:szCs w:val="22"/>
        </w:rPr>
        <w:fldChar w:fldCharType="end"/>
      </w:r>
      <w:r>
        <w:rPr>
          <w:sz w:val="22"/>
          <w:szCs w:val="22"/>
        </w:rPr>
        <w:t>), осуществляется снижение</w:t>
      </w:r>
      <w:r>
        <w:rPr>
          <w:rStyle w:val="FootnoteReference"/>
          <w:sz w:val="22"/>
          <w:szCs w:val="22"/>
        </w:rPr>
        <w:footnoteReference w:id="4"/>
      </w:r>
      <w:r>
        <w:rPr>
          <w:sz w:val="22"/>
          <w:szCs w:val="22"/>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rPr>
          <w:sz w:val="22"/>
          <w:szCs w:val="22"/>
        </w:rPr>
      </w:pPr>
      <w:bookmarkStart w:id="180" w:name="_Ref195007400"/>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sz w:val="22"/>
          <w:szCs w:val="22"/>
        </w:rPr>
        <w:fldChar w:fldCharType="begin"/>
      </w:r>
      <w:r>
        <w:rPr>
          <w:sz w:val="22"/>
          <w:szCs w:val="22"/>
        </w:rPr>
        <w:instrText xml:space="preserve"> REF _Ref135749133 \r \h </w:instrText>
      </w:r>
      <w:r>
        <w:rPr>
          <w:sz w:val="22"/>
          <w:szCs w:val="22"/>
        </w:rPr>
        <w:fldChar w:fldCharType="separate"/>
      </w:r>
      <w:r>
        <w:rPr>
          <w:sz w:val="22"/>
          <w:szCs w:val="22"/>
        </w:rPr>
        <w:t>4.9</w:t>
      </w:r>
      <w:r>
        <w:rPr>
          <w:sz w:val="22"/>
          <w:szCs w:val="22"/>
        </w:rPr>
        <w:fldChar w:fldCharType="end"/>
      </w:r>
      <w:r>
        <w:rPr>
          <w:sz w:val="22"/>
          <w:szCs w:val="22"/>
        </w:rPr>
        <w:t>).</w:t>
      </w:r>
      <w:bookmarkEnd w:id="180"/>
    </w:p>
    <w:p>
      <w:pPr>
        <w:pStyle w:val="Style26"/>
        <w:rPr/>
      </w:pPr>
      <w:r>
        <w:rPr>
          <w:sz w:val="22"/>
          <w:szCs w:val="22"/>
        </w:rPr>
        <w:t xml:space="preserve">Состав и требования к сведениям и (или) перечню документов (их предоставлению Участником), которые подтверждают страну происхождения товара </w:t>
      </w:r>
      <w:bookmarkStart w:id="181" w:name="_Hlk208924242"/>
      <w:r>
        <w:rPr>
          <w:sz w:val="22"/>
          <w:szCs w:val="22"/>
        </w:rPr>
        <w:t>(страны ЕАЭС, включая Россию)</w:t>
      </w:r>
      <w:bookmarkEnd w:id="181"/>
      <w:r>
        <w:rPr>
          <w:sz w:val="22"/>
          <w:szCs w:val="22"/>
        </w:rPr>
        <w:t>, в целях выполнения требований законодательства о национальном режиме (пункты </w:t>
      </w:r>
      <w:r>
        <w:rPr>
          <w:sz w:val="22"/>
          <w:szCs w:val="22"/>
        </w:rPr>
        <w:fldChar w:fldCharType="begin"/>
      </w:r>
      <w:r>
        <w:rPr>
          <w:sz w:val="22"/>
          <w:szCs w:val="22"/>
        </w:rPr>
        <w:instrText xml:space="preserve"> REF _Ref207819815 \r \h </w:instrText>
      </w:r>
      <w:r>
        <w:rPr>
          <w:sz w:val="22"/>
          <w:szCs w:val="22"/>
        </w:rPr>
        <w:fldChar w:fldCharType="separate"/>
      </w:r>
      <w:r>
        <w:rPr>
          <w:sz w:val="22"/>
          <w:szCs w:val="22"/>
        </w:rPr>
        <w:t>4.12.2</w:t>
      </w:r>
      <w:r>
        <w:rPr>
          <w:sz w:val="22"/>
          <w:szCs w:val="22"/>
        </w:rPr>
        <w:fldChar w:fldCharType="end"/>
      </w:r>
      <w:r>
        <w:rPr>
          <w:sz w:val="22"/>
          <w:szCs w:val="22"/>
        </w:rPr>
        <w:t> – </w:t>
      </w:r>
      <w:r>
        <w:rPr>
          <w:sz w:val="22"/>
          <w:szCs w:val="22"/>
        </w:rPr>
        <w:fldChar w:fldCharType="begin"/>
      </w:r>
      <w:r>
        <w:rPr>
          <w:sz w:val="22"/>
          <w:szCs w:val="22"/>
        </w:rPr>
        <w:instrText xml:space="preserve"> REF _Ref195007400 \r \h </w:instrText>
      </w:r>
      <w:r>
        <w:rPr>
          <w:sz w:val="22"/>
          <w:szCs w:val="22"/>
        </w:rPr>
        <w:fldChar w:fldCharType="separate"/>
      </w:r>
      <w:r>
        <w:rPr>
          <w:sz w:val="22"/>
          <w:szCs w:val="22"/>
        </w:rPr>
        <w:t>4.12.5</w:t>
      </w:r>
      <w:r>
        <w:rPr>
          <w:sz w:val="22"/>
          <w:szCs w:val="22"/>
        </w:rPr>
        <w:fldChar w:fldCharType="end"/>
      </w:r>
      <w:r>
        <w:rPr>
          <w:sz w:val="22"/>
          <w:szCs w:val="22"/>
        </w:rPr>
        <w:t>), установлены в Структуре НМЦ (в составе Коммерческого предложения (форма 3) (</w:t>
      </w:r>
      <w:hyperlink w:anchor="Прил04_ФормыЗаявки">
        <w:r>
          <w:rPr>
            <w:rStyle w:val="Style14"/>
            <w:sz w:val="22"/>
            <w:szCs w:val="22"/>
          </w:rPr>
          <w:t>Приложение № 4</w:t>
        </w:r>
      </w:hyperlink>
      <w:r>
        <w:rPr>
          <w:sz w:val="22"/>
          <w:szCs w:val="22"/>
        </w:rPr>
        <w:t>), а также в Технических требованиях (</w:t>
      </w:r>
      <w:hyperlink w:anchor="Прил01_ТехТребования">
        <w:r>
          <w:rPr>
            <w:rStyle w:val="Style14"/>
            <w:sz w:val="22"/>
            <w:szCs w:val="22"/>
          </w:rPr>
          <w:t>Приложение № 1</w:t>
        </w:r>
      </w:hyperlink>
      <w:r>
        <w:rPr>
          <w:sz w:val="22"/>
          <w:szCs w:val="22"/>
        </w:rPr>
        <w:t>) при исполнении Заказчиком норм в части минимальной обязательной доли закупок товаров российского происхождения.</w:t>
      </w:r>
    </w:p>
    <w:p>
      <w:pPr>
        <w:pStyle w:val="Style26"/>
        <w:keepNext w:val="true"/>
        <w:rPr>
          <w:sz w:val="22"/>
          <w:szCs w:val="22"/>
        </w:rPr>
      </w:pPr>
      <w:r>
        <w:rPr>
          <w:sz w:val="22"/>
          <w:szCs w:val="22"/>
        </w:rPr>
        <w:t>Товар приравнивается к товарам, происходящим из иностранного государства (не являющегося государством – членом ЕАЭС), если:</w:t>
      </w:r>
    </w:p>
    <w:p>
      <w:pPr>
        <w:pStyle w:val="Style27"/>
        <w:rPr>
          <w:sz w:val="22"/>
          <w:szCs w:val="22"/>
        </w:rPr>
      </w:pPr>
      <w:r>
        <w:rPr>
          <w:sz w:val="22"/>
          <w:szCs w:val="22"/>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sz w:val="22"/>
          <w:szCs w:val="22"/>
        </w:rPr>
      </w:pPr>
      <w:r>
        <w:rPr>
          <w:sz w:val="22"/>
          <w:szCs w:val="22"/>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rPr>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rPr>
          <w:sz w:val="22"/>
          <w:szCs w:val="22"/>
        </w:rPr>
      </w:pPr>
      <w:r>
        <w:rPr>
          <w:sz w:val="22"/>
          <w:szCs w:val="22"/>
        </w:rPr>
        <w:t>Если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rPr>
          <w:sz w:val="22"/>
          <w:szCs w:val="22"/>
        </w:rPr>
      </w:pPr>
      <w:r>
        <w:rPr>
          <w:sz w:val="22"/>
          <w:szCs w:val="22"/>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rPr>
          <w:sz w:val="22"/>
          <w:szCs w:val="22"/>
        </w:rPr>
      </w:pPr>
      <w:r>
        <w:rPr>
          <w:sz w:val="22"/>
          <w:szCs w:val="22"/>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rPr>
          <w:sz w:val="22"/>
          <w:szCs w:val="22"/>
        </w:rPr>
      </w:pPr>
      <w:r>
        <w:rPr>
          <w:sz w:val="22"/>
          <w:szCs w:val="22"/>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sz w:val="22"/>
          <w:szCs w:val="22"/>
        </w:rPr>
      </w:pPr>
      <w:bookmarkStart w:id="182" w:name="_Toc224744330"/>
      <w:bookmarkStart w:id="183" w:name="_Ref125367242"/>
      <w:bookmarkStart w:id="184" w:name="_Ref125366091"/>
      <w:bookmarkStart w:id="185" w:name="_Ref125362658"/>
      <w:r>
        <w:rPr>
          <w:sz w:val="22"/>
          <w:szCs w:val="22"/>
        </w:rPr>
        <w:t>Подведение итогов закупки (определение Победителя)</w:t>
      </w:r>
      <w:bookmarkEnd w:id="182"/>
      <w:bookmarkEnd w:id="183"/>
      <w:bookmarkEnd w:id="184"/>
      <w:bookmarkEnd w:id="185"/>
    </w:p>
    <w:p>
      <w:pPr>
        <w:pStyle w:val="Style26"/>
        <w:rPr>
          <w:sz w:val="22"/>
          <w:szCs w:val="22"/>
        </w:rPr>
      </w:pPr>
      <w:r>
        <w:rPr>
          <w:sz w:val="22"/>
          <w:szCs w:val="22"/>
        </w:rPr>
        <w:t>Дата окончания срока подведения итогов закупки указана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rPr>
          <w:sz w:val="22"/>
          <w:szCs w:val="22"/>
        </w:rPr>
      </w:pPr>
      <w:r>
        <w:rPr>
          <w:sz w:val="22"/>
          <w:szCs w:val="22"/>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rPr>
          <w:sz w:val="22"/>
          <w:szCs w:val="22"/>
        </w:rPr>
      </w:pPr>
      <w:r>
        <w:rPr>
          <w:sz w:val="22"/>
          <w:szCs w:val="22"/>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rPr>
          <w:sz w:val="22"/>
          <w:szCs w:val="22"/>
        </w:rPr>
      </w:pPr>
      <w:bookmarkStart w:id="186" w:name="_Ref125365974"/>
      <w:r>
        <w:rPr>
          <w:sz w:val="22"/>
          <w:szCs w:val="22"/>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sz w:val="22"/>
          <w:szCs w:val="22"/>
        </w:rPr>
        <w:footnoteReference w:id="5"/>
      </w:r>
      <w:r>
        <w:rPr>
          <w:sz w:val="22"/>
          <w:szCs w:val="22"/>
        </w:rPr>
        <w:t>:</w:t>
      </w:r>
      <w:bookmarkEnd w:id="186"/>
    </w:p>
    <w:p>
      <w:pPr>
        <w:pStyle w:val="Style27"/>
        <w:rPr>
          <w:sz w:val="22"/>
          <w:szCs w:val="22"/>
        </w:rPr>
      </w:pPr>
      <w:r>
        <w:rPr>
          <w:sz w:val="22"/>
          <w:szCs w:val="22"/>
        </w:rPr>
        <w:t>дата подписания протокола;</w:t>
      </w:r>
    </w:p>
    <w:p>
      <w:pPr>
        <w:pStyle w:val="Style27"/>
        <w:rPr>
          <w:sz w:val="22"/>
          <w:szCs w:val="22"/>
        </w:rPr>
      </w:pPr>
      <w:r>
        <w:rPr>
          <w:sz w:val="22"/>
          <w:szCs w:val="22"/>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sz w:val="22"/>
          <w:szCs w:val="22"/>
        </w:rPr>
      </w:pPr>
      <w:r>
        <w:rPr>
          <w:sz w:val="22"/>
          <w:szCs w:val="22"/>
        </w:rPr>
        <w:t>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p>
    <w:p>
      <w:pPr>
        <w:pStyle w:val="Style27"/>
        <w:rPr>
          <w:sz w:val="22"/>
          <w:szCs w:val="22"/>
        </w:rPr>
      </w:pPr>
      <w:r>
        <w:rPr>
          <w:sz w:val="22"/>
          <w:szCs w:val="22"/>
        </w:rPr>
        <w:t>результаты рассмотрения заявок с указанием, в том числе:</w:t>
      </w:r>
    </w:p>
    <w:p>
      <w:pPr>
        <w:pStyle w:val="Style28"/>
        <w:rPr>
          <w:sz w:val="22"/>
          <w:szCs w:val="22"/>
        </w:rPr>
      </w:pPr>
      <w:r>
        <w:rPr>
          <w:sz w:val="22"/>
          <w:szCs w:val="22"/>
        </w:rPr>
        <w:t>количества заявок, которые были отклонены;</w:t>
      </w:r>
    </w:p>
    <w:p>
      <w:pPr>
        <w:pStyle w:val="Style28"/>
        <w:rPr>
          <w:sz w:val="22"/>
          <w:szCs w:val="22"/>
        </w:rPr>
      </w:pPr>
      <w:r>
        <w:rPr>
          <w:sz w:val="22"/>
          <w:szCs w:val="22"/>
        </w:rPr>
        <w:t>оснований отклонения каждой заявки с указанием положений Документации о закупке, которым не соответствует такая заявка;</w:t>
      </w:r>
    </w:p>
    <w:p>
      <w:pPr>
        <w:pStyle w:val="Style27"/>
        <w:keepNext w:val="true"/>
        <w:rPr>
          <w:sz w:val="22"/>
          <w:szCs w:val="22"/>
        </w:rPr>
      </w:pPr>
      <w:r>
        <w:rPr>
          <w:sz w:val="22"/>
          <w:szCs w:val="22"/>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rPr>
          <w:sz w:val="22"/>
          <w:szCs w:val="22"/>
        </w:rPr>
      </w:pPr>
      <w:r>
        <w:rPr>
          <w:sz w:val="22"/>
          <w:szCs w:val="22"/>
        </w:rPr>
        <w:t>количества заявок, которые были отклонены;</w:t>
      </w:r>
    </w:p>
    <w:p>
      <w:pPr>
        <w:pStyle w:val="Style28"/>
        <w:rPr>
          <w:sz w:val="22"/>
          <w:szCs w:val="22"/>
        </w:rPr>
      </w:pPr>
      <w:r>
        <w:rPr>
          <w:sz w:val="22"/>
          <w:szCs w:val="22"/>
        </w:rPr>
        <w:t>оснований отклонения каждой заявки с указанием положений Документации о закупке, которым не соответствует такая заявка;</w:t>
      </w:r>
    </w:p>
    <w:p>
      <w:pPr>
        <w:pStyle w:val="Style27"/>
        <w:rPr>
          <w:sz w:val="22"/>
          <w:szCs w:val="22"/>
        </w:rPr>
      </w:pPr>
      <w:r>
        <w:rPr>
          <w:sz w:val="22"/>
          <w:szCs w:val="22"/>
        </w:rPr>
        <w:t>результаты оценки и сопоставления заявок (ранжировка заявок);</w:t>
      </w:r>
    </w:p>
    <w:p>
      <w:pPr>
        <w:pStyle w:val="Style27"/>
        <w:rPr>
          <w:sz w:val="22"/>
          <w:szCs w:val="22"/>
        </w:rPr>
      </w:pPr>
      <w:r>
        <w:rPr>
          <w:sz w:val="22"/>
          <w:szCs w:val="22"/>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(если указанная процедура проводилась), в ранжировке заявок;</w:t>
      </w:r>
    </w:p>
    <w:p>
      <w:pPr>
        <w:pStyle w:val="Style27"/>
        <w:rPr>
          <w:sz w:val="22"/>
          <w:szCs w:val="22"/>
        </w:rPr>
      </w:pPr>
      <w:r>
        <w:rPr>
          <w:sz w:val="22"/>
          <w:szCs w:val="22"/>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sz w:val="22"/>
          <w:szCs w:val="22"/>
        </w:rPr>
      </w:pPr>
      <w:r>
        <w:rPr>
          <w:sz w:val="22"/>
          <w:szCs w:val="22"/>
        </w:rPr>
        <w:t>причины, по которым закупка признана несостоявшейся (в случае ее признания таковой),</w:t>
      </w:r>
    </w:p>
    <w:p>
      <w:pPr>
        <w:pStyle w:val="Style30"/>
        <w:ind w:hanging="0" w:left="1134"/>
        <w:rPr>
          <w:sz w:val="22"/>
          <w:szCs w:val="22"/>
        </w:rPr>
      </w:pPr>
      <w:r>
        <w:rPr>
          <w:sz w:val="22"/>
          <w:szCs w:val="22"/>
        </w:rPr>
        <w:t>после чего Организатор официально размещает его в течение 3 (трех) календарных дней с даты подписания такого протокола.</w:t>
      </w:r>
    </w:p>
    <w:p>
      <w:pPr>
        <w:pStyle w:val="Style26"/>
        <w:rPr>
          <w:sz w:val="22"/>
          <w:szCs w:val="22"/>
        </w:rPr>
      </w:pPr>
      <w:r>
        <w:rPr>
          <w:sz w:val="22"/>
          <w:szCs w:val="22"/>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rPr>
          <w:sz w:val="22"/>
          <w:szCs w:val="22"/>
        </w:rPr>
      </w:pPr>
      <w:r>
        <w:rPr>
          <w:sz w:val="22"/>
          <w:szCs w:val="22"/>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sz w:val="22"/>
          <w:szCs w:val="22"/>
        </w:rPr>
      </w:pPr>
      <w:r>
        <w:rPr>
          <w:sz w:val="22"/>
          <w:szCs w:val="22"/>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sz w:val="22"/>
          <w:szCs w:val="22"/>
        </w:rPr>
        <w:fldChar w:fldCharType="begin"/>
      </w:r>
      <w:r>
        <w:rPr>
          <w:sz w:val="22"/>
          <w:szCs w:val="22"/>
        </w:rPr>
        <w:instrText xml:space="preserve"> REF _Ref130394205 \w \h </w:instrText>
      </w:r>
      <w:r>
        <w:rPr>
          <w:sz w:val="22"/>
          <w:szCs w:val="22"/>
        </w:rPr>
        <w:fldChar w:fldCharType="separate"/>
      </w:r>
      <w:r>
        <w:rPr>
          <w:sz w:val="22"/>
          <w:szCs w:val="22"/>
        </w:rPr>
        <w:t>4.4</w:t>
      </w:r>
      <w:r>
        <w:rPr>
          <w:sz w:val="22"/>
          <w:szCs w:val="22"/>
        </w:rPr>
        <w:fldChar w:fldCharType="end"/>
      </w:r>
      <w:r>
        <w:rPr>
          <w:sz w:val="22"/>
          <w:szCs w:val="22"/>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sz w:val="22"/>
          <w:szCs w:val="22"/>
        </w:rPr>
      </w:pPr>
      <w:bookmarkStart w:id="187" w:name="_Ref125364187"/>
      <w:bookmarkStart w:id="188" w:name="_Ref125365570"/>
      <w:bookmarkStart w:id="189" w:name="_Ref125364149"/>
      <w:bookmarkStart w:id="190" w:name="_Ref125366631"/>
      <w:bookmarkStart w:id="191" w:name="_Toc224744331"/>
      <w:bookmarkStart w:id="192" w:name="_Ref125366796"/>
      <w:bookmarkStart w:id="193" w:name="_Ref125365305"/>
      <w:r>
        <w:rPr>
          <w:sz w:val="22"/>
          <w:szCs w:val="22"/>
        </w:rPr>
        <w:t>Признание закупки несостоявшейся</w:t>
      </w:r>
      <w:bookmarkEnd w:id="187"/>
      <w:bookmarkEnd w:id="188"/>
      <w:bookmarkEnd w:id="189"/>
      <w:bookmarkEnd w:id="190"/>
      <w:bookmarkEnd w:id="191"/>
      <w:bookmarkEnd w:id="192"/>
      <w:bookmarkEnd w:id="193"/>
    </w:p>
    <w:p>
      <w:pPr>
        <w:pStyle w:val="Style26"/>
        <w:keepNext w:val="true"/>
        <w:rPr>
          <w:sz w:val="22"/>
          <w:szCs w:val="22"/>
        </w:rPr>
      </w:pPr>
      <w:r>
        <w:rPr>
          <w:sz w:val="22"/>
          <w:szCs w:val="22"/>
        </w:rPr>
        <w:t>Закупка признается несостоявшейся в следующих случаях:</w:t>
      </w:r>
    </w:p>
    <w:p>
      <w:pPr>
        <w:pStyle w:val="Style27"/>
        <w:rPr>
          <w:sz w:val="22"/>
          <w:szCs w:val="22"/>
        </w:rPr>
      </w:pPr>
      <w:r>
        <w:rPr>
          <w:sz w:val="22"/>
          <w:szCs w:val="22"/>
        </w:rPr>
        <w:t>если по окончанию срока подачи заявок поступило менее 2 (двух) заявок (с учетом возможных отзывов заявок);</w:t>
      </w:r>
    </w:p>
    <w:p>
      <w:pPr>
        <w:pStyle w:val="Style27"/>
        <w:rPr>
          <w:sz w:val="22"/>
          <w:szCs w:val="22"/>
        </w:rPr>
      </w:pPr>
      <w:r>
        <w:rPr>
          <w:sz w:val="22"/>
          <w:szCs w:val="22"/>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sz w:val="22"/>
          <w:szCs w:val="22"/>
        </w:rPr>
      </w:pPr>
      <w:bookmarkStart w:id="194" w:name="_Hlk219297033"/>
      <w:r>
        <w:rPr>
          <w:sz w:val="22"/>
          <w:szCs w:val="22"/>
        </w:rPr>
        <w:t>по результатам проведения закупки от заключения договора уклонились все допущенные Участники (подраздел</w:t>
      </w:r>
      <w:bookmarkEnd w:id="194"/>
      <w:r>
        <w:rPr>
          <w:sz w:val="22"/>
          <w:szCs w:val="22"/>
        </w:rPr>
        <w:t xml:space="preserve"> </w:t>
      </w:r>
      <w:r>
        <w:rPr>
          <w:sz w:val="22"/>
          <w:szCs w:val="22"/>
        </w:rPr>
        <w:fldChar w:fldCharType="begin"/>
      </w:r>
      <w:r>
        <w:rPr>
          <w:sz w:val="22"/>
          <w:szCs w:val="22"/>
        </w:rPr>
        <w:instrText xml:space="preserve"> REF _Ref125367068 \r \h </w:instrText>
      </w:r>
      <w:r>
        <w:rPr>
          <w:sz w:val="22"/>
          <w:szCs w:val="22"/>
        </w:rPr>
        <w:fldChar w:fldCharType="separate"/>
      </w:r>
      <w:r>
        <w:rPr>
          <w:sz w:val="22"/>
          <w:szCs w:val="22"/>
        </w:rPr>
        <w:t>5.3</w:t>
      </w:r>
      <w:r>
        <w:rPr>
          <w:sz w:val="22"/>
          <w:szCs w:val="22"/>
        </w:rPr>
        <w:fldChar w:fldCharType="end"/>
      </w:r>
      <w:r>
        <w:rPr>
          <w:sz w:val="22"/>
          <w:szCs w:val="22"/>
        </w:rPr>
        <w:t>).</w:t>
      </w:r>
    </w:p>
    <w:p>
      <w:pPr>
        <w:pStyle w:val="Style26"/>
        <w:rPr>
          <w:sz w:val="22"/>
          <w:szCs w:val="22"/>
        </w:rPr>
      </w:pPr>
      <w:r>
        <w:rPr>
          <w:sz w:val="22"/>
          <w:szCs w:val="22"/>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rPr>
          <w:sz w:val="22"/>
          <w:szCs w:val="22"/>
        </w:rPr>
      </w:pPr>
      <w:r>
        <w:rPr>
          <w:sz w:val="22"/>
          <w:szCs w:val="22"/>
        </w:rPr>
        <w:t>В случае признания закупки несостоявшейся (с учетом условий, предусмотренных Положением о закупке):</w:t>
      </w:r>
    </w:p>
    <w:p>
      <w:pPr>
        <w:pStyle w:val="Style27"/>
        <w:rPr>
          <w:sz w:val="22"/>
          <w:szCs w:val="22"/>
        </w:rPr>
      </w:pPr>
      <w:r>
        <w:rPr>
          <w:sz w:val="22"/>
          <w:szCs w:val="22"/>
        </w:rPr>
        <w:t>если поступила только 1 (одна) заявка от одного Участника (с учетом отозванных Участниками заявок), либо по результатам рассмотрения заявок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sz w:val="22"/>
          <w:szCs w:val="22"/>
        </w:rPr>
        <w:fldChar w:fldCharType="begin"/>
      </w:r>
      <w:r>
        <w:rPr>
          <w:sz w:val="22"/>
          <w:szCs w:val="22"/>
        </w:rPr>
        <w:instrText xml:space="preserve"> REF _Ref126142429 \r \h </w:instrText>
      </w:r>
      <w:r>
        <w:rPr>
          <w:sz w:val="22"/>
          <w:szCs w:val="22"/>
        </w:rPr>
        <w:fldChar w:fldCharType="separate"/>
      </w:r>
      <w:r>
        <w:rPr>
          <w:sz w:val="22"/>
          <w:szCs w:val="22"/>
        </w:rPr>
        <w:t>5</w:t>
      </w:r>
      <w:r>
        <w:rPr>
          <w:sz w:val="22"/>
          <w:szCs w:val="22"/>
        </w:rPr>
        <w:fldChar w:fldCharType="end"/>
      </w:r>
      <w:r>
        <w:rPr>
          <w:sz w:val="22"/>
          <w:szCs w:val="22"/>
        </w:rPr>
        <w:t>) (при наличии экономической целесообразности и/или при условии отсутствия времени на повторное проведение закупки).</w:t>
      </w:r>
    </w:p>
    <w:p>
      <w:pPr>
        <w:pStyle w:val="Style34"/>
        <w:numPr>
          <w:ilvl w:val="0"/>
          <w:numId w:val="0"/>
        </w:numPr>
        <w:ind w:hanging="0" w:left="1701"/>
        <w:rPr>
          <w:sz w:val="22"/>
          <w:szCs w:val="22"/>
        </w:rPr>
      </w:pPr>
      <w:r>
        <w:rPr>
          <w:sz w:val="22"/>
          <w:szCs w:val="22"/>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1"/>
        </w:numPr>
        <w:tabs>
          <w:tab w:val="clear" w:pos="2552"/>
        </w:tabs>
        <w:ind w:hanging="426" w:left="2127"/>
        <w:rPr>
          <w:sz w:val="22"/>
          <w:szCs w:val="22"/>
        </w:rPr>
      </w:pPr>
      <w:r>
        <w:rPr>
          <w:sz w:val="22"/>
          <w:szCs w:val="22"/>
        </w:rPr>
        <w:t>повторное проведение закупки (в том числе с возможностью снятия признака закупки только среди субъектов МСП);</w:t>
      </w:r>
    </w:p>
    <w:p>
      <w:pPr>
        <w:pStyle w:val="-1"/>
        <w:numPr>
          <w:ilvl w:val="0"/>
          <w:numId w:val="11"/>
        </w:numPr>
        <w:tabs>
          <w:tab w:val="clear" w:pos="2552"/>
        </w:tabs>
        <w:ind w:hanging="0" w:left="1701"/>
        <w:rPr>
          <w:sz w:val="22"/>
          <w:szCs w:val="22"/>
        </w:rPr>
      </w:pPr>
      <w:r>
        <w:rPr>
          <w:sz w:val="22"/>
          <w:szCs w:val="22"/>
        </w:rPr>
        <w:t>отказ от заключения договора по следующим основаниям:</w:t>
      </w:r>
    </w:p>
    <w:p>
      <w:pPr>
        <w:pStyle w:val="-1"/>
        <w:numPr>
          <w:ilvl w:val="0"/>
          <w:numId w:val="12"/>
        </w:numPr>
        <w:tabs>
          <w:tab w:val="clear" w:pos="2552"/>
        </w:tabs>
        <w:ind w:hanging="283" w:left="2410"/>
        <w:rPr>
          <w:sz w:val="22"/>
          <w:szCs w:val="22"/>
        </w:rPr>
      </w:pPr>
      <w:r>
        <w:rPr>
          <w:sz w:val="22"/>
          <w:szCs w:val="22"/>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2"/>
        </w:numPr>
        <w:tabs>
          <w:tab w:val="clear" w:pos="2552"/>
        </w:tabs>
        <w:ind w:hanging="283" w:left="2410"/>
        <w:rPr>
          <w:sz w:val="22"/>
          <w:szCs w:val="22"/>
        </w:rPr>
      </w:pPr>
      <w:r>
        <w:rPr>
          <w:sz w:val="22"/>
          <w:szCs w:val="22"/>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2"/>
        </w:numPr>
        <w:tabs>
          <w:tab w:val="clear" w:pos="2552"/>
        </w:tabs>
        <w:ind w:hanging="283" w:left="2410"/>
        <w:rPr>
          <w:sz w:val="22"/>
          <w:szCs w:val="22"/>
        </w:rPr>
      </w:pPr>
      <w:r>
        <w:rPr>
          <w:sz w:val="22"/>
          <w:szCs w:val="22"/>
        </w:rPr>
        <w:t>необходимость исполнения предписаний антимонопольного органа;</w:t>
      </w:r>
    </w:p>
    <w:p>
      <w:pPr>
        <w:pStyle w:val="-1"/>
        <w:numPr>
          <w:ilvl w:val="0"/>
          <w:numId w:val="11"/>
        </w:numPr>
        <w:tabs>
          <w:tab w:val="clear" w:pos="2552"/>
        </w:tabs>
        <w:ind w:hanging="426" w:left="2127"/>
        <w:rPr>
          <w:sz w:val="22"/>
          <w:szCs w:val="22"/>
        </w:rPr>
      </w:pPr>
      <w:bookmarkStart w:id="195" w:name="_Hlk214281841"/>
      <w:r>
        <w:rPr>
          <w:sz w:val="22"/>
          <w:szCs w:val="22"/>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5"/>
    </w:p>
    <w:p>
      <w:pPr>
        <w:pStyle w:val="Style27"/>
        <w:rPr>
          <w:sz w:val="22"/>
          <w:szCs w:val="22"/>
        </w:rPr>
      </w:pPr>
      <w:r>
        <w:rPr>
          <w:sz w:val="22"/>
          <w:szCs w:val="22"/>
        </w:rPr>
        <w:t xml:space="preserve">если не поступило ни одной заявки, либо по результатам рассмотрения заявок, принято решение о признании их не соответствующими требованиям Документации о закупке, </w:t>
      </w:r>
      <w:bookmarkStart w:id="196" w:name="_Hlk219301655"/>
      <w:bookmarkStart w:id="197" w:name="_Hlk219297054"/>
      <w:r>
        <w:rPr>
          <w:sz w:val="22"/>
          <w:szCs w:val="22"/>
        </w:rPr>
        <w:t>либо по результатам проведения закупки от заключения договора уклонились все допущенные Участники</w:t>
      </w:r>
      <w:bookmarkEnd w:id="196"/>
      <w:bookmarkEnd w:id="197"/>
      <w:r>
        <w:rPr>
          <w:sz w:val="22"/>
          <w:szCs w:val="22"/>
        </w:rPr>
        <w:t xml:space="preserve"> – Заказчик проводит повторную закупку (в том числе с возможностью снятия признака закупки только среди субъектов МСП).</w:t>
      </w:r>
    </w:p>
    <w:p>
      <w:pPr>
        <w:pStyle w:val="Style34"/>
        <w:numPr>
          <w:ilvl w:val="0"/>
          <w:numId w:val="0"/>
        </w:numPr>
        <w:ind w:hanging="0" w:left="1701"/>
        <w:rPr>
          <w:sz w:val="22"/>
          <w:szCs w:val="22"/>
        </w:rPr>
      </w:pPr>
      <w:r>
        <w:rPr>
          <w:sz w:val="22"/>
          <w:szCs w:val="22"/>
        </w:rPr>
        <w:t>Заказчик вправе отказаться от проведения повторной закупки по следующим основаниям:</w:t>
      </w:r>
    </w:p>
    <w:p>
      <w:pPr>
        <w:pStyle w:val="-1"/>
        <w:numPr>
          <w:ilvl w:val="0"/>
          <w:numId w:val="12"/>
        </w:numPr>
        <w:tabs>
          <w:tab w:val="clear" w:pos="2552"/>
        </w:tabs>
        <w:ind w:hanging="426" w:left="2127"/>
        <w:rPr>
          <w:sz w:val="22"/>
          <w:szCs w:val="22"/>
        </w:rPr>
      </w:pPr>
      <w:r>
        <w:rPr>
          <w:sz w:val="22"/>
          <w:szCs w:val="22"/>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2"/>
        </w:numPr>
        <w:tabs>
          <w:tab w:val="clear" w:pos="2552"/>
        </w:tabs>
        <w:ind w:hanging="426" w:left="2127"/>
        <w:rPr>
          <w:sz w:val="22"/>
          <w:szCs w:val="22"/>
        </w:rPr>
      </w:pPr>
      <w:r>
        <w:rPr>
          <w:sz w:val="22"/>
          <w:szCs w:val="22"/>
        </w:rPr>
        <w:t>изменение потребности в продукции, в том числе изменение характеристик продукции;</w:t>
      </w:r>
    </w:p>
    <w:p>
      <w:pPr>
        <w:pStyle w:val="-1"/>
        <w:numPr>
          <w:ilvl w:val="0"/>
          <w:numId w:val="12"/>
        </w:numPr>
        <w:tabs>
          <w:tab w:val="clear" w:pos="2552"/>
        </w:tabs>
        <w:ind w:hanging="426" w:left="2127"/>
        <w:rPr>
          <w:sz w:val="22"/>
          <w:szCs w:val="22"/>
        </w:rPr>
      </w:pPr>
      <w:r>
        <w:rPr>
          <w:sz w:val="22"/>
          <w:szCs w:val="22"/>
        </w:rPr>
        <w:t>при отсутствии заявок, соответствующих установленным требованиям, по результатам повторного проведения закупки.</w:t>
      </w:r>
    </w:p>
    <w:p>
      <w:pPr>
        <w:pStyle w:val="Style25"/>
        <w:rPr>
          <w:sz w:val="22"/>
          <w:szCs w:val="22"/>
        </w:rPr>
      </w:pPr>
      <w:bookmarkStart w:id="198" w:name="_Toc224744336"/>
      <w:bookmarkStart w:id="199" w:name="_Ref126141962"/>
      <w:bookmarkStart w:id="200" w:name="_Toc224744334"/>
      <w:bookmarkStart w:id="201" w:name="_Toc224744332"/>
      <w:bookmarkStart w:id="202" w:name="_Toc224744335"/>
      <w:bookmarkStart w:id="203" w:name="_Toc224744333"/>
      <w:bookmarkEnd w:id="200"/>
      <w:bookmarkEnd w:id="201"/>
      <w:bookmarkEnd w:id="202"/>
      <w:bookmarkEnd w:id="203"/>
      <w:r>
        <w:rPr>
          <w:sz w:val="22"/>
          <w:szCs w:val="22"/>
        </w:rPr>
        <w:t>Отказ от проведения закупки</w:t>
      </w:r>
      <w:bookmarkEnd w:id="199"/>
      <w:r>
        <w:rPr>
          <w:sz w:val="22"/>
          <w:szCs w:val="22"/>
        </w:rPr>
        <w:t xml:space="preserve"> (отмена закупки)</w:t>
      </w:r>
      <w:bookmarkEnd w:id="198"/>
    </w:p>
    <w:p>
      <w:pPr>
        <w:pStyle w:val="Style26"/>
        <w:rPr>
          <w:sz w:val="22"/>
          <w:szCs w:val="22"/>
        </w:rPr>
      </w:pPr>
      <w:r>
        <w:rPr>
          <w:sz w:val="22"/>
          <w:szCs w:val="22"/>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rPr>
          <w:sz w:val="22"/>
          <w:szCs w:val="22"/>
        </w:rPr>
      </w:pPr>
      <w:r>
        <w:rPr>
          <w:sz w:val="22"/>
          <w:szCs w:val="22"/>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rPr>
          <w:sz w:val="22"/>
          <w:szCs w:val="22"/>
        </w:rPr>
      </w:pPr>
      <w:r>
        <w:rPr>
          <w:sz w:val="22"/>
          <w:szCs w:val="22"/>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sz w:val="22"/>
          <w:szCs w:val="22"/>
        </w:rPr>
      </w:pPr>
      <w:bookmarkStart w:id="204" w:name="_Ref130455226"/>
      <w:bookmarkStart w:id="205" w:name="_Toc224744337"/>
      <w:r>
        <w:rPr>
          <w:sz w:val="22"/>
          <w:szCs w:val="22"/>
        </w:rPr>
        <w:t>Особенности проведения закупки с необходимостью обеспечения заявки</w:t>
      </w:r>
      <w:bookmarkEnd w:id="204"/>
      <w:bookmarkEnd w:id="205"/>
    </w:p>
    <w:p>
      <w:pPr>
        <w:pStyle w:val="Style26"/>
        <w:rPr>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\w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предусмотрена обязанность Участников предоставить обеспечение заявки на участие в закупке.</w:t>
      </w:r>
    </w:p>
    <w:p>
      <w:pPr>
        <w:pStyle w:val="Style26"/>
        <w:rPr>
          <w:sz w:val="22"/>
          <w:szCs w:val="22"/>
        </w:rPr>
      </w:pPr>
      <w:r>
        <w:rPr>
          <w:sz w:val="22"/>
          <w:szCs w:val="22"/>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sz w:val="22"/>
          <w:szCs w:val="22"/>
        </w:rPr>
      </w:pPr>
      <w:r>
        <w:rPr>
          <w:sz w:val="22"/>
          <w:szCs w:val="22"/>
        </w:rPr>
        <w:t>Обязательства Участников, связанные с подачей заявок, обеспечиваются в форме, порядке и размере в соответствии с подразделом </w:t>
      </w:r>
      <w:r>
        <w:rPr>
          <w:sz w:val="22"/>
          <w:szCs w:val="22"/>
        </w:rPr>
        <w:fldChar w:fldCharType="begin"/>
      </w:r>
      <w:r>
        <w:rPr>
          <w:sz w:val="22"/>
          <w:szCs w:val="22"/>
        </w:rPr>
        <w:instrText xml:space="preserve"> REF _Ref125359973 \w \h </w:instrText>
      </w:r>
      <w:r>
        <w:rPr>
          <w:sz w:val="22"/>
          <w:szCs w:val="22"/>
        </w:rPr>
        <w:fldChar w:fldCharType="separate"/>
      </w:r>
      <w:r>
        <w:rPr>
          <w:sz w:val="22"/>
          <w:szCs w:val="22"/>
        </w:rPr>
        <w:t>1.2</w:t>
      </w:r>
      <w:r>
        <w:rPr>
          <w:sz w:val="22"/>
          <w:szCs w:val="22"/>
        </w:rPr>
        <w:fldChar w:fldCharType="end"/>
      </w:r>
      <w:r>
        <w:rPr>
          <w:sz w:val="22"/>
          <w:szCs w:val="22"/>
        </w:rPr>
        <w:t>. Выбор формы (способа) обеспечения из числа предусмотренных осуществляется Участниками самостоятельно.</w:t>
      </w:r>
    </w:p>
    <w:p>
      <w:pPr>
        <w:pStyle w:val="Style26"/>
        <w:rPr>
          <w:sz w:val="22"/>
          <w:szCs w:val="22"/>
        </w:rPr>
      </w:pPr>
      <w:bookmarkStart w:id="206" w:name="_Ref149316752"/>
      <w:r>
        <w:rPr>
          <w:sz w:val="22"/>
          <w:szCs w:val="22"/>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sz w:val="22"/>
          <w:szCs w:val="22"/>
        </w:rPr>
        <w:fldChar w:fldCharType="begin"/>
      </w:r>
      <w:r>
        <w:rPr>
          <w:sz w:val="22"/>
          <w:szCs w:val="22"/>
        </w:rPr>
        <w:instrText xml:space="preserve"> REF _Ref125359973 \w \h </w:instrText>
      </w:r>
      <w:r>
        <w:rPr>
          <w:sz w:val="22"/>
          <w:szCs w:val="22"/>
        </w:rPr>
        <w:fldChar w:fldCharType="separate"/>
      </w:r>
      <w:r>
        <w:rPr>
          <w:sz w:val="22"/>
          <w:szCs w:val="22"/>
        </w:rPr>
        <w:t>1.2</w:t>
      </w:r>
      <w:r>
        <w:rPr>
          <w:sz w:val="22"/>
          <w:szCs w:val="22"/>
        </w:rPr>
        <w:fldChar w:fldCharType="end"/>
      </w:r>
      <w:r>
        <w:rPr>
          <w:sz w:val="22"/>
          <w:szCs w:val="22"/>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sz w:val="22"/>
          <w:szCs w:val="22"/>
        </w:rPr>
        <w:footnoteReference w:id="6"/>
      </w:r>
      <w:r>
        <w:rPr>
          <w:sz w:val="22"/>
          <w:szCs w:val="22"/>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bookmarkEnd w:id="206"/>
    </w:p>
    <w:p>
      <w:pPr>
        <w:pStyle w:val="Style26"/>
        <w:rPr>
          <w:sz w:val="22"/>
          <w:szCs w:val="22"/>
        </w:rPr>
      </w:pPr>
      <w:r>
        <w:rPr>
          <w:sz w:val="22"/>
          <w:szCs w:val="22"/>
        </w:rPr>
        <w:t>В течение 1 (одного) часа с момента окончания срока подачи заявок (подраздел </w:t>
      </w:r>
      <w:r>
        <w:rPr>
          <w:sz w:val="22"/>
          <w:szCs w:val="22"/>
        </w:rPr>
        <w:fldChar w:fldCharType="begin"/>
      </w:r>
      <w:r>
        <w:rPr>
          <w:sz w:val="22"/>
          <w:szCs w:val="22"/>
        </w:rPr>
        <w:instrText xml:space="preserve"> REF _Ref125359973 \w \h </w:instrText>
      </w:r>
      <w:r>
        <w:rPr>
          <w:sz w:val="22"/>
          <w:szCs w:val="22"/>
        </w:rPr>
        <w:fldChar w:fldCharType="separate"/>
      </w:r>
      <w:r>
        <w:rPr>
          <w:sz w:val="22"/>
          <w:szCs w:val="22"/>
        </w:rPr>
        <w:t>1.2</w:t>
      </w:r>
      <w:r>
        <w:rPr>
          <w:sz w:val="22"/>
          <w:szCs w:val="22"/>
        </w:rPr>
        <w:fldChar w:fldCharType="end"/>
      </w:r>
      <w:r>
        <w:rPr>
          <w:sz w:val="22"/>
          <w:szCs w:val="22"/>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rPr>
          <w:sz w:val="22"/>
          <w:szCs w:val="22"/>
        </w:rPr>
      </w:pPr>
      <w:r>
        <w:rPr>
          <w:sz w:val="22"/>
          <w:szCs w:val="22"/>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rPr>
          <w:sz w:val="22"/>
          <w:szCs w:val="22"/>
        </w:rPr>
      </w:pPr>
      <w:r>
        <w:rPr>
          <w:sz w:val="22"/>
          <w:szCs w:val="22"/>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rPr>
          <w:sz w:val="22"/>
          <w:szCs w:val="22"/>
        </w:rPr>
      </w:pPr>
      <w:r>
        <w:rPr>
          <w:sz w:val="22"/>
          <w:szCs w:val="22"/>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sz w:val="22"/>
          <w:szCs w:val="22"/>
        </w:rPr>
      </w:pPr>
      <w:r>
        <w:rPr>
          <w:sz w:val="22"/>
          <w:szCs w:val="22"/>
        </w:rPr>
        <w:t>независимая гарантия должна быть безотзывной и безусловной (гарантия по первому требованию);</w:t>
      </w:r>
    </w:p>
    <w:p>
      <w:pPr>
        <w:pStyle w:val="Style27"/>
        <w:rPr>
          <w:sz w:val="22"/>
          <w:szCs w:val="22"/>
        </w:rPr>
      </w:pPr>
      <w:r>
        <w:rPr>
          <w:sz w:val="22"/>
          <w:szCs w:val="22"/>
        </w:rPr>
        <w:t>сумма независимой гарантии должна быть выражена в российских рублях и составлять не менее суммы, установленной в подразделе </w:t>
      </w:r>
      <w:r>
        <w:rPr>
          <w:sz w:val="22"/>
          <w:szCs w:val="22"/>
        </w:rPr>
        <w:fldChar w:fldCharType="begin"/>
      </w:r>
      <w:r>
        <w:rPr>
          <w:sz w:val="22"/>
          <w:szCs w:val="22"/>
        </w:rPr>
        <w:instrText xml:space="preserve"> REF _Ref125359973 \w \h </w:instrText>
      </w:r>
      <w:r>
        <w:rPr>
          <w:sz w:val="22"/>
          <w:szCs w:val="22"/>
        </w:rPr>
        <w:fldChar w:fldCharType="separate"/>
      </w:r>
      <w:r>
        <w:rPr>
          <w:sz w:val="22"/>
          <w:szCs w:val="22"/>
        </w:rPr>
        <w:t>1.2</w:t>
      </w:r>
      <w:r>
        <w:rPr>
          <w:sz w:val="22"/>
          <w:szCs w:val="22"/>
        </w:rPr>
        <w:fldChar w:fldCharType="end"/>
      </w:r>
      <w:r>
        <w:rPr>
          <w:sz w:val="22"/>
          <w:szCs w:val="22"/>
        </w:rPr>
        <w:t>;</w:t>
      </w:r>
    </w:p>
    <w:p>
      <w:pPr>
        <w:pStyle w:val="Style27"/>
        <w:rPr>
          <w:sz w:val="22"/>
          <w:szCs w:val="22"/>
        </w:rPr>
      </w:pPr>
      <w:r>
        <w:rPr>
          <w:sz w:val="22"/>
          <w:szCs w:val="22"/>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sz w:val="22"/>
          <w:szCs w:val="22"/>
        </w:rPr>
        <w:fldChar w:fldCharType="begin"/>
      </w:r>
      <w:r>
        <w:rPr>
          <w:sz w:val="22"/>
          <w:szCs w:val="22"/>
        </w:rPr>
        <w:instrText xml:space="preserve"> REF _Ref149316697 \w \h </w:instrText>
      </w:r>
      <w:r>
        <w:rPr>
          <w:sz w:val="22"/>
          <w:szCs w:val="22"/>
        </w:rPr>
        <w:fldChar w:fldCharType="separate"/>
      </w:r>
      <w:r>
        <w:rPr>
          <w:sz w:val="22"/>
          <w:szCs w:val="22"/>
        </w:rPr>
        <w:t>4.16.8л)</w:t>
      </w:r>
      <w:r>
        <w:rPr>
          <w:sz w:val="22"/>
          <w:szCs w:val="22"/>
        </w:rPr>
        <w:fldChar w:fldCharType="end"/>
      </w:r>
      <w:r>
        <w:rPr>
          <w:sz w:val="22"/>
          <w:szCs w:val="22"/>
        </w:rPr>
        <w:t>);</w:t>
      </w:r>
    </w:p>
    <w:p>
      <w:pPr>
        <w:pStyle w:val="Style27"/>
        <w:rPr>
          <w:sz w:val="22"/>
          <w:szCs w:val="22"/>
        </w:rPr>
      </w:pPr>
      <w:r>
        <w:rPr>
          <w:sz w:val="22"/>
          <w:szCs w:val="22"/>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sz w:val="22"/>
          <w:szCs w:val="22"/>
        </w:rPr>
      </w:pPr>
      <w:r>
        <w:rPr>
          <w:sz w:val="22"/>
          <w:szCs w:val="22"/>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sz w:val="22"/>
          <w:szCs w:val="22"/>
        </w:rPr>
      </w:pPr>
      <w:r>
        <w:rPr>
          <w:sz w:val="22"/>
          <w:szCs w:val="22"/>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sz w:val="22"/>
          <w:szCs w:val="22"/>
        </w:rPr>
        <w:fldChar w:fldCharType="begin"/>
      </w:r>
      <w:r>
        <w:rPr>
          <w:sz w:val="22"/>
          <w:szCs w:val="22"/>
        </w:rPr>
        <w:instrText xml:space="preserve"> REF _Ref125359973 \w \h </w:instrText>
      </w:r>
      <w:r>
        <w:rPr>
          <w:sz w:val="22"/>
          <w:szCs w:val="22"/>
        </w:rPr>
        <w:fldChar w:fldCharType="separate"/>
      </w:r>
      <w:r>
        <w:rPr>
          <w:sz w:val="22"/>
          <w:szCs w:val="22"/>
        </w:rPr>
        <w:t>1.2</w:t>
      </w:r>
      <w:r>
        <w:rPr>
          <w:sz w:val="22"/>
          <w:szCs w:val="22"/>
        </w:rPr>
        <w:fldChar w:fldCharType="end"/>
      </w:r>
      <w:r>
        <w:rPr>
          <w:sz w:val="22"/>
          <w:szCs w:val="22"/>
        </w:rPr>
        <w:t>);</w:t>
      </w:r>
    </w:p>
    <w:p>
      <w:pPr>
        <w:pStyle w:val="Style27"/>
        <w:rPr>
          <w:sz w:val="22"/>
          <w:szCs w:val="22"/>
        </w:rPr>
      </w:pPr>
      <w:r>
        <w:rPr>
          <w:sz w:val="22"/>
          <w:szCs w:val="22"/>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sz w:val="22"/>
          <w:szCs w:val="22"/>
        </w:rPr>
      </w:pPr>
      <w:r>
        <w:rPr>
          <w:sz w:val="22"/>
          <w:szCs w:val="22"/>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sz w:val="22"/>
          <w:szCs w:val="22"/>
        </w:rPr>
        <w:fldChar w:fldCharType="begin"/>
      </w:r>
      <w:r>
        <w:rPr>
          <w:sz w:val="22"/>
          <w:szCs w:val="22"/>
        </w:rPr>
        <w:instrText xml:space="preserve"> REF _Ref149316775 \w \h </w:instrText>
      </w:r>
      <w:r>
        <w:rPr>
          <w:sz w:val="22"/>
          <w:szCs w:val="22"/>
        </w:rPr>
        <w:fldChar w:fldCharType="separate"/>
      </w:r>
      <w:r>
        <w:rPr>
          <w:sz w:val="22"/>
          <w:szCs w:val="22"/>
        </w:rPr>
        <w:t>4.16.14</w:t>
      </w:r>
      <w:r>
        <w:rPr>
          <w:sz w:val="22"/>
          <w:szCs w:val="22"/>
        </w:rPr>
        <w:fldChar w:fldCharType="end"/>
      </w:r>
      <w:r>
        <w:rPr>
          <w:sz w:val="22"/>
          <w:szCs w:val="22"/>
        </w:rPr>
        <w:t>);</w:t>
      </w:r>
    </w:p>
    <w:p>
      <w:pPr>
        <w:pStyle w:val="Style27"/>
        <w:rPr>
          <w:sz w:val="22"/>
          <w:szCs w:val="22"/>
        </w:rPr>
      </w:pPr>
      <w:r>
        <w:rPr>
          <w:sz w:val="22"/>
          <w:szCs w:val="22"/>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sz w:val="22"/>
          <w:szCs w:val="22"/>
        </w:rPr>
      </w:pPr>
      <w:r>
        <w:rPr>
          <w:sz w:val="22"/>
          <w:szCs w:val="22"/>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sz w:val="22"/>
          <w:szCs w:val="22"/>
        </w:rPr>
      </w:pPr>
      <w:bookmarkStart w:id="207" w:name="_Ref149316697"/>
      <w:r>
        <w:rPr>
          <w:sz w:val="22"/>
          <w:szCs w:val="22"/>
        </w:rPr>
        <w:t>независимая гарантия должна быть выдана организацией из числа указанных в части 1 статьи 45 Закона 44-ФЗ;</w:t>
      </w:r>
      <w:bookmarkEnd w:id="207"/>
    </w:p>
    <w:p>
      <w:pPr>
        <w:pStyle w:val="Style27"/>
        <w:rPr>
          <w:sz w:val="22"/>
          <w:szCs w:val="22"/>
        </w:rPr>
      </w:pPr>
      <w:r>
        <w:rPr>
          <w:sz w:val="22"/>
          <w:szCs w:val="22"/>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sz w:val="22"/>
          <w:szCs w:val="22"/>
        </w:rPr>
      </w:pPr>
      <w:r>
        <w:rPr>
          <w:sz w:val="22"/>
          <w:szCs w:val="22"/>
        </w:rPr>
        <w:t>информация о независимой гарантии должна быть включена в реестр независимых гарантий, предусмотренный частью 8 статьи 45 Закона 44</w:t>
        <w:noBreakHyphen/>
        <w:t>ФЗ.</w:t>
      </w:r>
    </w:p>
    <w:p>
      <w:pPr>
        <w:pStyle w:val="Style26"/>
        <w:rPr>
          <w:sz w:val="22"/>
          <w:szCs w:val="22"/>
        </w:rPr>
      </w:pPr>
      <w:r>
        <w:rPr>
          <w:sz w:val="22"/>
          <w:szCs w:val="22"/>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rPr>
          <w:sz w:val="22"/>
          <w:szCs w:val="22"/>
        </w:rPr>
      </w:pPr>
      <w:r>
        <w:rPr>
          <w:sz w:val="22"/>
          <w:szCs w:val="22"/>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rPr>
          <w:sz w:val="22"/>
          <w:szCs w:val="22"/>
        </w:rPr>
      </w:pPr>
      <w:r>
        <w:rPr>
          <w:sz w:val="22"/>
          <w:szCs w:val="22"/>
        </w:rPr>
        <w:t>При многолотовой закупке (подраздел </w:t>
      </w:r>
      <w:r>
        <w:rPr>
          <w:sz w:val="22"/>
          <w:szCs w:val="22"/>
        </w:rPr>
        <w:fldChar w:fldCharType="begin"/>
      </w:r>
      <w:r>
        <w:rPr>
          <w:sz w:val="22"/>
          <w:szCs w:val="22"/>
        </w:rPr>
        <w:instrText xml:space="preserve"> REF _Ref149316841 \w \h </w:instrText>
      </w:r>
      <w:r>
        <w:rPr>
          <w:sz w:val="22"/>
          <w:szCs w:val="22"/>
        </w:rPr>
        <w:fldChar w:fldCharType="separate"/>
      </w:r>
      <w:r>
        <w:rPr>
          <w:sz w:val="22"/>
          <w:szCs w:val="22"/>
        </w:rPr>
        <w:t>4.17</w:t>
      </w:r>
      <w:r>
        <w:rPr>
          <w:sz w:val="22"/>
          <w:szCs w:val="22"/>
        </w:rPr>
        <w:fldChar w:fldCharType="end"/>
      </w:r>
      <w:r>
        <w:rPr>
          <w:sz w:val="22"/>
          <w:szCs w:val="22"/>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rPr>
          <w:sz w:val="22"/>
          <w:szCs w:val="22"/>
        </w:rPr>
      </w:pPr>
      <w:r>
        <w:rPr>
          <w:sz w:val="22"/>
          <w:szCs w:val="22"/>
        </w:rPr>
        <w:t>Подать заявку (принять участие в закупке) могут только Участники, предоставившие надлежащее обеспечение их заявок.</w:t>
      </w:r>
    </w:p>
    <w:p>
      <w:pPr>
        <w:pStyle w:val="Style26"/>
        <w:rPr>
          <w:sz w:val="22"/>
          <w:szCs w:val="22"/>
        </w:rPr>
      </w:pPr>
      <w:r>
        <w:rPr>
          <w:sz w:val="22"/>
          <w:szCs w:val="22"/>
        </w:rPr>
        <w:t>Требование об обеспечении заявки в равной мере распространяется на всех Участников.</w:t>
      </w:r>
    </w:p>
    <w:p>
      <w:pPr>
        <w:pStyle w:val="Style26"/>
        <w:keepNext w:val="true"/>
        <w:rPr>
          <w:sz w:val="22"/>
          <w:szCs w:val="22"/>
        </w:rPr>
      </w:pPr>
      <w:bookmarkStart w:id="208" w:name="_Ref149316775"/>
      <w:r>
        <w:rPr>
          <w:sz w:val="22"/>
          <w:szCs w:val="22"/>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8"/>
    </w:p>
    <w:p>
      <w:pPr>
        <w:pStyle w:val="Style27"/>
        <w:rPr/>
      </w:pPr>
      <w:r>
        <w:rPr>
          <w:sz w:val="22"/>
          <w:szCs w:val="22"/>
        </w:rPr>
        <w:t>обязательство заключить Договор в установленном Документацией о закупке порядке (раздел </w:t>
      </w:r>
      <w:r>
        <w:rPr>
          <w:sz w:val="22"/>
          <w:szCs w:val="22"/>
        </w:rPr>
        <w:fldChar w:fldCharType="begin"/>
      </w:r>
      <w:r>
        <w:rPr>
          <w:sz w:val="22"/>
          <w:szCs w:val="22"/>
        </w:rPr>
        <w:instrText xml:space="preserve"> REF _Ref126142429 \n \h </w:instrText>
      </w:r>
      <w:r>
        <w:rPr>
          <w:sz w:val="22"/>
          <w:szCs w:val="22"/>
        </w:rPr>
        <w:fldChar w:fldCharType="separate"/>
      </w:r>
      <w:r>
        <w:rPr>
          <w:sz w:val="22"/>
          <w:szCs w:val="22"/>
        </w:rPr>
        <w:t>5</w:t>
      </w:r>
      <w:r>
        <w:rPr>
          <w:sz w:val="22"/>
          <w:szCs w:val="22"/>
        </w:rPr>
        <w:fldChar w:fldCharType="end"/>
      </w:r>
      <w:r>
        <w:rPr>
          <w:sz w:val="22"/>
          <w:szCs w:val="22"/>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4"/>
            <w:sz w:val="22"/>
            <w:szCs w:val="22"/>
          </w:rPr>
          <w:t>Приложение № 5</w:t>
        </w:r>
      </w:hyperlink>
      <w:r>
        <w:rPr>
          <w:sz w:val="22"/>
          <w:szCs w:val="22"/>
        </w:rPr>
        <w:t>), а также предоставить иные документы в соответствии с условиями подраздела </w:t>
      </w:r>
      <w:r>
        <w:rPr>
          <w:sz w:val="22"/>
          <w:szCs w:val="22"/>
        </w:rPr>
        <w:fldChar w:fldCharType="begin"/>
      </w:r>
      <w:r>
        <w:rPr>
          <w:sz w:val="22"/>
          <w:szCs w:val="22"/>
        </w:rPr>
        <w:instrText xml:space="preserve"> REF _Ref138232981 \n \h </w:instrText>
      </w:r>
      <w:r>
        <w:rPr>
          <w:sz w:val="22"/>
          <w:szCs w:val="22"/>
        </w:rPr>
        <w:fldChar w:fldCharType="separate"/>
      </w:r>
      <w:r>
        <w:rPr>
          <w:sz w:val="22"/>
          <w:szCs w:val="22"/>
        </w:rPr>
        <w:t>5.2</w:t>
      </w:r>
      <w:r>
        <w:rPr>
          <w:sz w:val="22"/>
          <w:szCs w:val="22"/>
        </w:rPr>
        <w:fldChar w:fldCharType="end"/>
      </w:r>
      <w:r>
        <w:rPr>
          <w:sz w:val="22"/>
          <w:szCs w:val="22"/>
        </w:rPr>
        <w:t>;</w:t>
      </w:r>
    </w:p>
    <w:p>
      <w:pPr>
        <w:pStyle w:val="Style27"/>
        <w:rPr/>
      </w:pPr>
      <w:r>
        <w:rPr>
          <w:sz w:val="22"/>
          <w:szCs w:val="22"/>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4"/>
            <w:sz w:val="22"/>
            <w:szCs w:val="22"/>
          </w:rPr>
          <w:t>Проект договора (Приложение № 2)</w:t>
        </w:r>
      </w:hyperlink>
      <w:r>
        <w:rPr>
          <w:sz w:val="22"/>
          <w:szCs w:val="22"/>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4"/>
            <w:sz w:val="22"/>
            <w:szCs w:val="22"/>
          </w:rPr>
          <w:t>Проектом договора</w:t>
        </w:r>
      </w:hyperlink>
      <w:r>
        <w:rPr>
          <w:sz w:val="22"/>
          <w:szCs w:val="22"/>
        </w:rPr>
        <w:t>).</w:t>
      </w:r>
    </w:p>
    <w:p>
      <w:pPr>
        <w:pStyle w:val="Style26"/>
        <w:rPr>
          <w:sz w:val="22"/>
          <w:szCs w:val="22"/>
        </w:rPr>
      </w:pPr>
      <w:r>
        <w:rPr>
          <w:sz w:val="22"/>
          <w:szCs w:val="22"/>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sz w:val="22"/>
          <w:szCs w:val="22"/>
        </w:rPr>
        <w:fldChar w:fldCharType="begin"/>
      </w:r>
      <w:r>
        <w:rPr>
          <w:sz w:val="22"/>
          <w:szCs w:val="22"/>
        </w:rPr>
        <w:instrText xml:space="preserve"> REF _Ref125359973 \n \h </w:instrText>
      </w:r>
      <w:r>
        <w:rPr>
          <w:sz w:val="22"/>
          <w:szCs w:val="22"/>
        </w:rPr>
        <w:fldChar w:fldCharType="separate"/>
      </w:r>
      <w:r>
        <w:rPr>
          <w:sz w:val="22"/>
          <w:szCs w:val="22"/>
        </w:rPr>
        <w:t>1.2</w:t>
      </w:r>
      <w:r>
        <w:rPr>
          <w:sz w:val="22"/>
          <w:szCs w:val="22"/>
        </w:rPr>
        <w:fldChar w:fldCharType="end"/>
      </w:r>
      <w:r>
        <w:rPr>
          <w:sz w:val="22"/>
          <w:szCs w:val="22"/>
        </w:rPr>
        <w:t>).</w:t>
      </w:r>
    </w:p>
    <w:p>
      <w:pPr>
        <w:pStyle w:val="Style26"/>
        <w:keepNext w:val="true"/>
        <w:rPr>
          <w:sz w:val="22"/>
          <w:szCs w:val="22"/>
        </w:rPr>
      </w:pPr>
      <w:r>
        <w:rPr>
          <w:sz w:val="22"/>
          <w:szCs w:val="22"/>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sz w:val="22"/>
          <w:szCs w:val="22"/>
        </w:rPr>
      </w:pPr>
      <w:r>
        <w:rPr>
          <w:sz w:val="22"/>
          <w:szCs w:val="22"/>
        </w:rPr>
        <w:t>принятия решения об отказе от проведения закупки – всем Участникам, подавшим заявки к моменту принятия такого решения;</w:t>
      </w:r>
    </w:p>
    <w:p>
      <w:pPr>
        <w:pStyle w:val="Style27"/>
        <w:rPr>
          <w:sz w:val="22"/>
          <w:szCs w:val="22"/>
        </w:rPr>
      </w:pPr>
      <w:r>
        <w:rPr>
          <w:sz w:val="22"/>
          <w:szCs w:val="22"/>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sz w:val="22"/>
          <w:szCs w:val="22"/>
        </w:rPr>
      </w:pPr>
      <w:r>
        <w:rPr>
          <w:sz w:val="22"/>
          <w:szCs w:val="22"/>
        </w:rPr>
        <w:t>официального размещения итогового протокола по результатам закупки – всем Участникам, кроме Победителя;</w:t>
      </w:r>
    </w:p>
    <w:p>
      <w:pPr>
        <w:pStyle w:val="Style27"/>
        <w:rPr>
          <w:sz w:val="22"/>
          <w:szCs w:val="22"/>
        </w:rPr>
      </w:pPr>
      <w:r>
        <w:rPr>
          <w:sz w:val="22"/>
          <w:szCs w:val="22"/>
        </w:rPr>
        <w:t>заключения Договора по результатам закупки – Победителю, с которым заключен Договор;</w:t>
      </w:r>
    </w:p>
    <w:p>
      <w:pPr>
        <w:pStyle w:val="Style27"/>
        <w:rPr>
          <w:sz w:val="22"/>
          <w:szCs w:val="22"/>
        </w:rPr>
      </w:pPr>
      <w:r>
        <w:rPr>
          <w:sz w:val="22"/>
          <w:szCs w:val="22"/>
        </w:rPr>
        <w:t>признания закупки несостоявшейся – Участнику, которому обеспечение не было возвращено по иным основаниям.</w:t>
      </w:r>
    </w:p>
    <w:p>
      <w:pPr>
        <w:pStyle w:val="Style26"/>
        <w:rPr>
          <w:sz w:val="22"/>
          <w:szCs w:val="22"/>
        </w:rPr>
      </w:pPr>
      <w:r>
        <w:rPr>
          <w:sz w:val="22"/>
          <w:szCs w:val="22"/>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sz w:val="22"/>
          <w:szCs w:val="22"/>
        </w:rPr>
        <w:fldChar w:fldCharType="begin"/>
      </w:r>
      <w:r>
        <w:rPr>
          <w:sz w:val="22"/>
          <w:szCs w:val="22"/>
        </w:rPr>
        <w:instrText xml:space="preserve"> REF _Ref125363536 \n \h </w:instrText>
      </w:r>
      <w:r>
        <w:rPr>
          <w:sz w:val="22"/>
          <w:szCs w:val="22"/>
        </w:rPr>
        <w:fldChar w:fldCharType="separate"/>
      </w:r>
      <w:r>
        <w:rPr>
          <w:sz w:val="22"/>
          <w:szCs w:val="22"/>
        </w:rPr>
        <w:t>2.3</w:t>
      </w:r>
      <w:r>
        <w:rPr>
          <w:sz w:val="22"/>
          <w:szCs w:val="22"/>
        </w:rPr>
        <w:fldChar w:fldCharType="end"/>
      </w:r>
      <w:r>
        <w:rPr>
          <w:sz w:val="22"/>
          <w:szCs w:val="22"/>
        </w:rPr>
        <w:t>) – на время рассмотрения жалобы.</w:t>
      </w:r>
    </w:p>
    <w:p>
      <w:pPr>
        <w:pStyle w:val="Style25"/>
        <w:rPr>
          <w:sz w:val="22"/>
          <w:szCs w:val="22"/>
        </w:rPr>
      </w:pPr>
      <w:bookmarkStart w:id="209" w:name="_Ref149316841"/>
      <w:bookmarkStart w:id="210" w:name="_Ref130225422"/>
      <w:bookmarkStart w:id="211" w:name="_Toc224744338"/>
      <w:r>
        <w:rPr>
          <w:sz w:val="22"/>
          <w:szCs w:val="22"/>
        </w:rPr>
        <w:t>Особенности проведения многолотовой закупки</w:t>
      </w:r>
      <w:bookmarkEnd w:id="209"/>
      <w:bookmarkEnd w:id="210"/>
      <w:bookmarkEnd w:id="211"/>
    </w:p>
    <w:p>
      <w:pPr>
        <w:pStyle w:val="Style26"/>
        <w:rPr>
          <w:sz w:val="22"/>
          <w:szCs w:val="22"/>
        </w:rPr>
      </w:pPr>
      <w:r>
        <w:rPr>
          <w:sz w:val="22"/>
          <w:szCs w:val="22"/>
        </w:rPr>
        <w:t>Нормы настоящего подраздела применяются, если подразделом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предусмотрено проведение многолотовой закупки.</w:t>
      </w:r>
    </w:p>
    <w:p>
      <w:pPr>
        <w:pStyle w:val="Style26"/>
        <w:rPr>
          <w:sz w:val="22"/>
          <w:szCs w:val="22"/>
        </w:rPr>
      </w:pPr>
      <w:r>
        <w:rPr>
          <w:sz w:val="22"/>
          <w:szCs w:val="22"/>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sz w:val="22"/>
          <w:szCs w:val="22"/>
        </w:rPr>
      </w:pPr>
      <w:r>
        <w:rPr>
          <w:sz w:val="22"/>
          <w:szCs w:val="22"/>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sz w:val="22"/>
          <w:szCs w:val="22"/>
          <w:lang w:val="en-US"/>
        </w:rPr>
        <w:t> </w:t>
      </w:r>
      <w:r>
        <w:rPr>
          <w:sz w:val="22"/>
          <w:szCs w:val="22"/>
        </w:rPr>
        <w:t>указан номер конкретного лота, относятся ко всем лотам одновременно.</w:t>
      </w:r>
    </w:p>
    <w:p>
      <w:pPr>
        <w:pStyle w:val="Style26"/>
        <w:rPr>
          <w:sz w:val="22"/>
          <w:szCs w:val="22"/>
        </w:rPr>
      </w:pPr>
      <w:r>
        <w:rPr>
          <w:sz w:val="22"/>
          <w:szCs w:val="22"/>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rPr>
          <w:sz w:val="22"/>
          <w:szCs w:val="22"/>
        </w:rPr>
      </w:pPr>
      <w:r>
        <w:rPr>
          <w:sz w:val="22"/>
          <w:szCs w:val="22"/>
        </w:rPr>
        <w:t>В случае подачи заявки на несколько лотов дополнительно должны быть соблюдены следующие требования:</w:t>
      </w:r>
    </w:p>
    <w:p>
      <w:pPr>
        <w:pStyle w:val="Style27"/>
        <w:rPr/>
      </w:pPr>
      <w:r>
        <w:rPr>
          <w:sz w:val="22"/>
          <w:szCs w:val="22"/>
        </w:rPr>
        <w:t>Письмо о подаче оферты (форма 2) (</w:t>
      </w:r>
      <w:hyperlink w:anchor="Прил04_ФормыЗаявки">
        <w:r>
          <w:rPr>
            <w:rStyle w:val="Style14"/>
            <w:sz w:val="22"/>
            <w:szCs w:val="22"/>
          </w:rPr>
          <w:t>Приложение № 4</w:t>
        </w:r>
      </w:hyperlink>
      <w:r>
        <w:rPr>
          <w:sz w:val="22"/>
          <w:szCs w:val="22"/>
        </w:rPr>
        <w:t>) должно содержать указание номера и названия каждого лота;</w:t>
      </w:r>
    </w:p>
    <w:p>
      <w:pPr>
        <w:pStyle w:val="Style27"/>
        <w:rPr/>
      </w:pPr>
      <w:r>
        <w:rPr>
          <w:sz w:val="22"/>
          <w:szCs w:val="22"/>
        </w:rPr>
        <w:t xml:space="preserve">Коммерческое предложение (форма 3), Техническое предложение (с (форма 4), План распределения объемов поставки продукции (форма 4) – </w:t>
      </w:r>
      <w:hyperlink w:anchor="Прил04_ФормыЗаявки">
        <w:r>
          <w:rPr>
            <w:rStyle w:val="Style14"/>
            <w:sz w:val="22"/>
            <w:szCs w:val="22"/>
          </w:rPr>
          <w:t>Приложение № 4</w:t>
        </w:r>
      </w:hyperlink>
      <w:r>
        <w:rPr>
          <w:sz w:val="22"/>
          <w:szCs w:val="22"/>
        </w:rPr>
        <w:t>, должны быть подготовлены отдельно по каждому из лотов с указанием номера и названия лота.</w:t>
      </w:r>
    </w:p>
    <w:p>
      <w:pPr>
        <w:pStyle w:val="Style26"/>
        <w:rPr>
          <w:sz w:val="22"/>
          <w:szCs w:val="22"/>
        </w:rPr>
      </w:pPr>
      <w:r>
        <w:rPr>
          <w:sz w:val="22"/>
          <w:szCs w:val="22"/>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4"/>
        <w:rPr>
          <w:sz w:val="22"/>
          <w:szCs w:val="22"/>
        </w:rPr>
      </w:pPr>
      <w:bookmarkStart w:id="212" w:name="_Ref126142429"/>
      <w:bookmarkStart w:id="213" w:name="_Ref130224037"/>
      <w:bookmarkStart w:id="214" w:name="_Ref125361212"/>
      <w:bookmarkStart w:id="215" w:name="_Ref125362671"/>
      <w:bookmarkStart w:id="216" w:name="_Ref125363439"/>
      <w:bookmarkStart w:id="217" w:name="_Ref125366769"/>
      <w:bookmarkStart w:id="218" w:name="_Ref125367083"/>
      <w:bookmarkStart w:id="219" w:name="_Ref125367087"/>
      <w:bookmarkStart w:id="220" w:name="_Toc224744340"/>
      <w:r>
        <w:rPr>
          <w:sz w:val="22"/>
          <w:szCs w:val="22"/>
        </w:rPr>
        <w:t>Порядок заключения Договора</w:t>
      </w:r>
      <w:bookmarkEnd w:id="212"/>
      <w:bookmarkEnd w:id="213"/>
      <w:bookmarkEnd w:id="214"/>
      <w:bookmarkEnd w:id="215"/>
      <w:bookmarkEnd w:id="216"/>
      <w:bookmarkEnd w:id="217"/>
      <w:bookmarkEnd w:id="218"/>
      <w:bookmarkEnd w:id="219"/>
      <w:bookmarkEnd w:id="220"/>
    </w:p>
    <w:p>
      <w:pPr>
        <w:pStyle w:val="Style25"/>
        <w:rPr>
          <w:sz w:val="22"/>
          <w:szCs w:val="22"/>
        </w:rPr>
      </w:pPr>
      <w:bookmarkStart w:id="221" w:name="_Toc224744341"/>
      <w:bookmarkStart w:id="222" w:name="_Ref139028625"/>
      <w:r>
        <w:rPr>
          <w:sz w:val="22"/>
          <w:szCs w:val="22"/>
        </w:rPr>
        <w:t>Общие положения</w:t>
      </w:r>
      <w:bookmarkEnd w:id="221"/>
      <w:bookmarkEnd w:id="222"/>
    </w:p>
    <w:p>
      <w:pPr>
        <w:pStyle w:val="Style26"/>
        <w:rPr>
          <w:sz w:val="22"/>
          <w:szCs w:val="22"/>
        </w:rPr>
      </w:pPr>
      <w:r>
        <w:rPr>
          <w:sz w:val="22"/>
          <w:szCs w:val="22"/>
        </w:rPr>
        <w:t>Нормы настоящего раздела </w:t>
      </w:r>
      <w:r>
        <w:rPr>
          <w:sz w:val="22"/>
          <w:szCs w:val="22"/>
        </w:rPr>
        <w:fldChar w:fldCharType="begin"/>
      </w:r>
      <w:r>
        <w:rPr>
          <w:sz w:val="22"/>
          <w:szCs w:val="22"/>
        </w:rPr>
        <w:instrText xml:space="preserve"> REF _Ref126142429 \r \h </w:instrText>
      </w:r>
      <w:r>
        <w:rPr>
          <w:sz w:val="22"/>
          <w:szCs w:val="22"/>
        </w:rPr>
        <w:fldChar w:fldCharType="separate"/>
      </w:r>
      <w:r>
        <w:rPr>
          <w:sz w:val="22"/>
          <w:szCs w:val="22"/>
        </w:rPr>
        <w:t>5</w:t>
      </w:r>
      <w:r>
        <w:rPr>
          <w:sz w:val="22"/>
          <w:szCs w:val="22"/>
        </w:rPr>
        <w:fldChar w:fldCharType="end"/>
      </w:r>
      <w:r>
        <w:rPr>
          <w:sz w:val="22"/>
          <w:szCs w:val="22"/>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sz w:val="22"/>
          <w:szCs w:val="22"/>
        </w:rPr>
      </w:pPr>
      <w:bookmarkStart w:id="223" w:name="_Ref135736094"/>
      <w:bookmarkStart w:id="224" w:name="_Ref125368755"/>
      <w:bookmarkStart w:id="225" w:name="_Ref125366947"/>
      <w:bookmarkStart w:id="226" w:name="_Toc224744342"/>
      <w:bookmarkStart w:id="227" w:name="_Ref138232981"/>
      <w:r>
        <w:rPr>
          <w:sz w:val="22"/>
          <w:szCs w:val="22"/>
        </w:rPr>
        <w:t>Заключение Договора</w:t>
      </w:r>
      <w:bookmarkEnd w:id="223"/>
      <w:bookmarkEnd w:id="224"/>
      <w:bookmarkEnd w:id="225"/>
      <w:bookmarkEnd w:id="226"/>
      <w:bookmarkEnd w:id="227"/>
    </w:p>
    <w:p>
      <w:pPr>
        <w:pStyle w:val="Style26"/>
        <w:rPr>
          <w:sz w:val="22"/>
          <w:szCs w:val="22"/>
        </w:rPr>
      </w:pPr>
      <w:bookmarkStart w:id="228" w:name="_Ref130293821"/>
      <w:bookmarkStart w:id="229" w:name="_Ref125362935"/>
      <w:r>
        <w:rPr>
          <w:sz w:val="22"/>
          <w:szCs w:val="22"/>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8"/>
      <w:bookmarkEnd w:id="229"/>
    </w:p>
    <w:p>
      <w:pPr>
        <w:pStyle w:val="Style26"/>
        <w:rPr>
          <w:sz w:val="22"/>
          <w:szCs w:val="22"/>
        </w:rPr>
      </w:pPr>
      <w:r>
        <w:rPr>
          <w:sz w:val="22"/>
          <w:szCs w:val="22"/>
        </w:rPr>
        <w:t>Договор не может быть заключен, если это запрещено законодательством о национальном режиме.</w:t>
      </w:r>
    </w:p>
    <w:p>
      <w:pPr>
        <w:pStyle w:val="Style26"/>
        <w:rPr>
          <w:sz w:val="22"/>
          <w:szCs w:val="22"/>
        </w:rPr>
      </w:pPr>
      <w:bookmarkStart w:id="230" w:name="_Ref125363464"/>
      <w:bookmarkStart w:id="231" w:name="_Hlk207818000"/>
      <w:r>
        <w:rPr>
          <w:sz w:val="22"/>
          <w:szCs w:val="22"/>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rPr/>
      </w:pPr>
      <w:r>
        <w:rPr>
          <w:sz w:val="22"/>
          <w:szCs w:val="22"/>
        </w:rPr>
        <w:t xml:space="preserve">В целях </w:t>
      </w:r>
      <w:r>
        <w:rPr>
          <w:rFonts w:eastAsia="Calibri" w:cs="Times New Roman"/>
          <w:sz w:val="22"/>
          <w:szCs w:val="22"/>
        </w:rPr>
        <w:t>обеспечения дополнительной прозрачности финансово-хозяйственной деятельности сторон при</w:t>
      </w:r>
      <w:r>
        <w:rPr>
          <w:sz w:val="22"/>
          <w:szCs w:val="22"/>
        </w:rPr>
        <w:t xml:space="preserve"> заключения Договора </w:t>
      </w:r>
      <w:r>
        <w:rPr>
          <w:rFonts w:eastAsia="Calibri" w:cs="Times New Roman"/>
          <w:sz w:val="22"/>
          <w:szCs w:val="22"/>
        </w:rPr>
        <w:t>в части отсутствия возможного конфликта интересов между Заказчиком и</w:t>
      </w:r>
      <w:r>
        <w:rPr>
          <w:sz w:val="22"/>
          <w:szCs w:val="22"/>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4"/>
            <w:sz w:val="22"/>
            <w:szCs w:val="22"/>
          </w:rPr>
          <w:t>Приложением № 5</w:t>
        </w:r>
      </w:hyperlink>
      <w:r>
        <w:rPr>
          <w:sz w:val="22"/>
          <w:szCs w:val="22"/>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sz w:val="22"/>
          <w:szCs w:val="22"/>
        </w:rPr>
      </w:pPr>
      <w:r>
        <w:rPr>
          <w:sz w:val="22"/>
          <w:szCs w:val="22"/>
        </w:rPr>
        <w:t>в бумажной форме: по адресу, определенному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31"/>
    </w:p>
    <w:p>
      <w:pPr>
        <w:pStyle w:val="Style27"/>
        <w:rPr/>
      </w:pPr>
      <w:r>
        <w:rPr>
          <w:sz w:val="22"/>
          <w:szCs w:val="22"/>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sz w:val="22"/>
          <w:szCs w:val="22"/>
        </w:rPr>
        <w:t>в «Личном кабинете контрагента»</w:t>
      </w:r>
      <w:r>
        <w:rPr>
          <w:sz w:val="22"/>
          <w:szCs w:val="22"/>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sz w:val="22"/>
          <w:szCs w:val="22"/>
        </w:rPr>
        <w:t>цепочке собственников, включая бенефициаров (в том числе конечных)</w:t>
      </w:r>
      <w:r>
        <w:rPr>
          <w:sz w:val="22"/>
          <w:szCs w:val="22"/>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4"/>
            <w:sz w:val="22"/>
            <w:szCs w:val="22"/>
          </w:rPr>
          <w:t>Приложения № 4</w:t>
        </w:r>
      </w:hyperlink>
      <w:r>
        <w:rPr>
          <w:sz w:val="22"/>
          <w:szCs w:val="22"/>
        </w:rPr>
        <w:t>)) адрес электронной почты ответственного лица).</w:t>
      </w:r>
      <w:bookmarkEnd w:id="230"/>
    </w:p>
    <w:p>
      <w:pPr>
        <w:pStyle w:val="Style26"/>
        <w:rPr/>
      </w:pPr>
      <w:r>
        <w:rPr>
          <w:sz w:val="22"/>
          <w:szCs w:val="22"/>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32" w:name="_Hlk207818034"/>
      <w:r>
        <w:rPr>
          <w:sz w:val="22"/>
          <w:szCs w:val="22"/>
        </w:rPr>
        <w:t>Portable Document Format (</w:t>
      </w:r>
      <w:r>
        <w:rPr>
          <w:sz w:val="22"/>
          <w:szCs w:val="22"/>
          <w:lang w:val="en-US"/>
        </w:rPr>
        <w:t>pdf</w:t>
      </w:r>
      <w:r>
        <w:rPr>
          <w:sz w:val="22"/>
          <w:szCs w:val="22"/>
        </w:rPr>
        <w:t>)</w:t>
      </w:r>
      <w:bookmarkEnd w:id="232"/>
      <w:r>
        <w:rPr>
          <w:sz w:val="22"/>
          <w:szCs w:val="22"/>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sz w:val="22"/>
            <w:szCs w:val="22"/>
          </w:rPr>
          <w:t>Приложением № 5</w:t>
        </w:r>
      </w:hyperlink>
      <w:r>
        <w:rPr>
          <w:sz w:val="22"/>
          <w:szCs w:val="22"/>
        </w:rPr>
        <w:t>.</w:t>
      </w:r>
    </w:p>
    <w:p>
      <w:pPr>
        <w:pStyle w:val="Style26"/>
        <w:keepNext w:val="true"/>
        <w:rPr/>
      </w:pPr>
      <w:bookmarkStart w:id="233" w:name="_Ref125551072"/>
      <w:r>
        <w:rPr>
          <w:sz w:val="22"/>
          <w:szCs w:val="22"/>
        </w:rPr>
        <w:t>Перед заключением Договора Победитель обязан предоставить Заказчику, не позднее сроков, установленных в пункте </w:t>
      </w:r>
      <w:r>
        <w:rPr>
          <w:sz w:val="22"/>
          <w:szCs w:val="22"/>
        </w:rPr>
        <w:fldChar w:fldCharType="begin"/>
      </w:r>
      <w:r>
        <w:rPr>
          <w:sz w:val="22"/>
          <w:szCs w:val="22"/>
        </w:rPr>
        <w:instrText xml:space="preserve"> REF _Ref130293821 \w \h </w:instrText>
      </w:r>
      <w:r>
        <w:rPr>
          <w:sz w:val="22"/>
          <w:szCs w:val="22"/>
        </w:rPr>
        <w:fldChar w:fldCharType="separate"/>
      </w:r>
      <w:r>
        <w:rPr>
          <w:sz w:val="22"/>
          <w:szCs w:val="22"/>
        </w:rPr>
        <w:t>5.2.1</w:t>
      </w:r>
      <w:r>
        <w:rPr>
          <w:sz w:val="22"/>
          <w:szCs w:val="22"/>
        </w:rPr>
        <w:fldChar w:fldCharType="end"/>
      </w:r>
      <w:r>
        <w:rPr>
          <w:sz w:val="22"/>
          <w:szCs w:val="22"/>
        </w:rPr>
        <w:t>, в целях подтверждения своего соответствия обязательному требованию к Участникам, указанному в пункте </w:t>
      </w:r>
      <w:r>
        <w:rPr>
          <w:sz w:val="22"/>
          <w:szCs w:val="22"/>
        </w:rPr>
        <w:fldChar w:fldCharType="begin"/>
      </w:r>
      <w:r>
        <w:rPr>
          <w:sz w:val="22"/>
          <w:szCs w:val="22"/>
        </w:rPr>
        <w:instrText xml:space="preserve"> REF _Ref125552433 \w \h </w:instrText>
      </w:r>
      <w:r>
        <w:rPr>
          <w:sz w:val="22"/>
          <w:szCs w:val="22"/>
        </w:rPr>
        <w:fldChar w:fldCharType="separate"/>
      </w:r>
      <w:r>
        <w:rPr>
          <w:sz w:val="22"/>
          <w:szCs w:val="22"/>
        </w:rPr>
        <w:t>1</w:t>
      </w:r>
      <w:r>
        <w:rPr>
          <w:sz w:val="22"/>
          <w:szCs w:val="22"/>
        </w:rPr>
        <w:fldChar w:fldCharType="end"/>
      </w:r>
      <w:r>
        <w:rPr>
          <w:sz w:val="22"/>
          <w:szCs w:val="22"/>
        </w:rPr>
        <w:t xml:space="preserve"> подраздела </w:t>
      </w:r>
      <w:r>
        <w:rPr>
          <w:sz w:val="22"/>
          <w:szCs w:val="22"/>
        </w:rPr>
        <w:fldChar w:fldCharType="begin"/>
      </w:r>
      <w:r>
        <w:rPr>
          <w:sz w:val="22"/>
          <w:szCs w:val="22"/>
        </w:rPr>
        <w:instrText xml:space="preserve"> REF _Ref125361435 \w \h </w:instrText>
      </w:r>
      <w:r>
        <w:rPr>
          <w:sz w:val="22"/>
          <w:szCs w:val="22"/>
        </w:rPr>
        <w:fldChar w:fldCharType="separate"/>
      </w:r>
      <w:r>
        <w:rPr>
          <w:sz w:val="22"/>
          <w:szCs w:val="22"/>
        </w:rPr>
        <w:t>8.2</w:t>
      </w:r>
      <w:r>
        <w:rPr>
          <w:sz w:val="22"/>
          <w:szCs w:val="22"/>
        </w:rPr>
        <w:fldChar w:fldCharType="end"/>
      </w:r>
      <w:r>
        <w:rPr>
          <w:sz w:val="22"/>
          <w:szCs w:val="22"/>
        </w:rPr>
        <w:t xml:space="preserve"> (</w:t>
      </w:r>
      <w:hyperlink w:anchor="Прил03_ТребованияУчастникам">
        <w:r>
          <w:rPr>
            <w:rStyle w:val="Style14"/>
            <w:sz w:val="22"/>
            <w:szCs w:val="22"/>
          </w:rPr>
          <w:t>Приложение № 3</w:t>
        </w:r>
      </w:hyperlink>
      <w:r>
        <w:rPr>
          <w:sz w:val="22"/>
          <w:szCs w:val="22"/>
        </w:rPr>
        <w:t>), следующие документы (скан-копии в формате Portable Document Format (</w:t>
      </w:r>
      <w:r>
        <w:rPr>
          <w:sz w:val="22"/>
          <w:szCs w:val="22"/>
          <w:lang w:val="en-US"/>
        </w:rPr>
        <w:t>pdf</w:t>
      </w:r>
      <w:r>
        <w:rPr>
          <w:sz w:val="22"/>
          <w:szCs w:val="22"/>
        </w:rPr>
        <w:t>)):</w:t>
      </w:r>
      <w:bookmarkEnd w:id="233"/>
    </w:p>
    <w:p>
      <w:pPr>
        <w:pStyle w:val="Style27"/>
        <w:keepNext w:val="true"/>
        <w:rPr>
          <w:sz w:val="22"/>
          <w:szCs w:val="22"/>
        </w:rPr>
      </w:pPr>
      <w:r>
        <w:rPr>
          <w:sz w:val="22"/>
          <w:szCs w:val="22"/>
        </w:rPr>
        <w:t>для юридического лица:</w:t>
      </w:r>
    </w:p>
    <w:p>
      <w:pPr>
        <w:pStyle w:val="Style28"/>
        <w:rPr>
          <w:sz w:val="22"/>
          <w:szCs w:val="22"/>
        </w:rPr>
      </w:pPr>
      <w:r>
        <w:rPr>
          <w:sz w:val="22"/>
          <w:szCs w:val="22"/>
        </w:rPr>
        <w:t>копия устава в действующей редакции с отметкой ИФНС либо копия нотариально заверенного устава (с отметкой нотариуса);</w:t>
      </w:r>
    </w:p>
    <w:p>
      <w:pPr>
        <w:pStyle w:val="Style28"/>
        <w:rPr>
          <w:sz w:val="22"/>
          <w:szCs w:val="22"/>
        </w:rPr>
      </w:pPr>
      <w:bookmarkStart w:id="234" w:name="_Ref125638686"/>
      <w:r>
        <w:rPr>
          <w:sz w:val="22"/>
          <w:szCs w:val="22"/>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4"/>
    </w:p>
    <w:p>
      <w:pPr>
        <w:pStyle w:val="Style28"/>
        <w:rPr>
          <w:sz w:val="22"/>
          <w:szCs w:val="22"/>
        </w:rPr>
      </w:pPr>
      <w:r>
        <w:rPr>
          <w:sz w:val="22"/>
          <w:szCs w:val="22"/>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sz w:val="22"/>
          <w:szCs w:val="22"/>
        </w:rPr>
      </w:pPr>
      <w:r>
        <w:rPr>
          <w:sz w:val="22"/>
          <w:szCs w:val="22"/>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sz w:val="22"/>
          <w:szCs w:val="22"/>
        </w:rPr>
      </w:pPr>
      <w:r>
        <w:rPr>
          <w:sz w:val="22"/>
          <w:szCs w:val="22"/>
        </w:rPr>
        <w:t>для физического лица: нотариально заверенная копия всех страниц документа, удостоверяющего личность (паспорта).</w:t>
      </w:r>
    </w:p>
    <w:p>
      <w:pPr>
        <w:pStyle w:val="Style26"/>
        <w:rPr>
          <w:sz w:val="22"/>
          <w:szCs w:val="22"/>
        </w:rPr>
      </w:pPr>
      <w:r>
        <w:rPr>
          <w:sz w:val="22"/>
          <w:szCs w:val="22"/>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rPr>
          <w:sz w:val="22"/>
          <w:szCs w:val="22"/>
        </w:rPr>
      </w:pPr>
      <w:r>
        <w:rPr>
          <w:sz w:val="22"/>
          <w:szCs w:val="22"/>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rPr>
          <w:sz w:val="22"/>
          <w:szCs w:val="22"/>
        </w:rPr>
      </w:pPr>
      <w:bookmarkStart w:id="235" w:name="_Ref132288402"/>
      <w:r>
        <w:rPr>
          <w:sz w:val="22"/>
          <w:szCs w:val="22"/>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5"/>
    </w:p>
    <w:p>
      <w:pPr>
        <w:pStyle w:val="Style27"/>
        <w:rPr>
          <w:sz w:val="22"/>
          <w:szCs w:val="22"/>
        </w:rPr>
      </w:pPr>
      <w:r>
        <w:rPr>
          <w:sz w:val="22"/>
          <w:szCs w:val="22"/>
        </w:rPr>
        <w:t>итоговый протокол по результатам закупки;</w:t>
      </w:r>
    </w:p>
    <w:p>
      <w:pPr>
        <w:pStyle w:val="Style27"/>
        <w:rPr>
          <w:sz w:val="22"/>
          <w:szCs w:val="22"/>
        </w:rPr>
      </w:pPr>
      <w:r>
        <w:rPr>
          <w:sz w:val="22"/>
          <w:szCs w:val="22"/>
        </w:rPr>
        <w:t>Извещение и Документация о закупке со всеми изменениями;</w:t>
      </w:r>
    </w:p>
    <w:p>
      <w:pPr>
        <w:pStyle w:val="Style27"/>
        <w:rPr>
          <w:sz w:val="22"/>
          <w:szCs w:val="22"/>
        </w:rPr>
      </w:pPr>
      <w:r>
        <w:rPr>
          <w:sz w:val="22"/>
          <w:szCs w:val="22"/>
        </w:rPr>
        <w:t>заявка Победителя со всеми дополнениями и разъяснениями.</w:t>
      </w:r>
    </w:p>
    <w:p>
      <w:pPr>
        <w:pStyle w:val="Style26"/>
        <w:rPr>
          <w:sz w:val="22"/>
          <w:szCs w:val="22"/>
        </w:rPr>
      </w:pPr>
      <w:r>
        <w:rPr>
          <w:sz w:val="22"/>
          <w:szCs w:val="22"/>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rPr>
          <w:sz w:val="22"/>
          <w:szCs w:val="22"/>
        </w:rPr>
      </w:pPr>
      <w:r>
        <w:rPr>
          <w:sz w:val="22"/>
          <w:szCs w:val="22"/>
        </w:rPr>
        <w:t>В течение установленного в пункте </w:t>
      </w:r>
      <w:r>
        <w:rPr>
          <w:sz w:val="22"/>
          <w:szCs w:val="22"/>
        </w:rPr>
        <w:fldChar w:fldCharType="begin"/>
      </w:r>
      <w:r>
        <w:rPr>
          <w:sz w:val="22"/>
          <w:szCs w:val="22"/>
        </w:rPr>
        <w:instrText xml:space="preserve"> REF _Ref125362935 \n \h </w:instrText>
      </w:r>
      <w:r>
        <w:rPr>
          <w:sz w:val="22"/>
          <w:szCs w:val="22"/>
        </w:rPr>
        <w:fldChar w:fldCharType="separate"/>
      </w:r>
      <w:r>
        <w:rPr>
          <w:sz w:val="22"/>
          <w:szCs w:val="22"/>
        </w:rPr>
        <w:t>5.2.1</w:t>
      </w:r>
      <w:r>
        <w:rPr>
          <w:sz w:val="22"/>
          <w:szCs w:val="22"/>
        </w:rPr>
        <w:fldChar w:fldCharType="end"/>
      </w:r>
      <w:r>
        <w:rPr>
          <w:sz w:val="22"/>
          <w:szCs w:val="22"/>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rPr>
          <w:sz w:val="22"/>
          <w:szCs w:val="22"/>
        </w:rPr>
      </w:pPr>
      <w:bookmarkStart w:id="236" w:name="_Ref149317795"/>
      <w:r>
        <w:rPr>
          <w:sz w:val="22"/>
          <w:szCs w:val="22"/>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6"/>
    </w:p>
    <w:p>
      <w:pPr>
        <w:pStyle w:val="Style26"/>
        <w:rPr>
          <w:sz w:val="22"/>
          <w:szCs w:val="22"/>
        </w:rPr>
      </w:pPr>
      <w:r>
        <w:rPr>
          <w:sz w:val="22"/>
          <w:szCs w:val="22"/>
        </w:rPr>
        <w:t>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w:t>
        <w:noBreakHyphen/>
        <w:t>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в ЕИС (если размещение таких сведений допустимо Законом 223-ФЗ).</w:t>
      </w:r>
    </w:p>
    <w:p>
      <w:pPr>
        <w:pStyle w:val="Style26"/>
        <w:rPr>
          <w:sz w:val="22"/>
          <w:szCs w:val="22"/>
        </w:rPr>
      </w:pPr>
      <w:r>
        <w:rPr>
          <w:sz w:val="22"/>
          <w:szCs w:val="22"/>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sz w:val="22"/>
          <w:szCs w:val="22"/>
        </w:rPr>
      </w:pPr>
      <w:bookmarkStart w:id="237" w:name="_Toc224744343"/>
      <w:bookmarkStart w:id="238" w:name="_Ref125367068"/>
      <w:r>
        <w:rPr>
          <w:sz w:val="22"/>
          <w:szCs w:val="22"/>
        </w:rPr>
        <w:t>Уклонение Победителя от заключения Договора</w:t>
      </w:r>
      <w:bookmarkEnd w:id="237"/>
      <w:bookmarkEnd w:id="238"/>
    </w:p>
    <w:p>
      <w:pPr>
        <w:pStyle w:val="Style26"/>
        <w:keepNext w:val="true"/>
        <w:rPr>
          <w:sz w:val="22"/>
          <w:szCs w:val="22"/>
        </w:rPr>
      </w:pPr>
      <w:r>
        <w:rPr>
          <w:sz w:val="22"/>
          <w:szCs w:val="22"/>
        </w:rPr>
        <w:t>Если Победитель закупки:</w:t>
      </w:r>
    </w:p>
    <w:p>
      <w:pPr>
        <w:pStyle w:val="Style27"/>
        <w:rPr>
          <w:sz w:val="22"/>
          <w:szCs w:val="22"/>
        </w:rPr>
      </w:pPr>
      <w:r>
        <w:rPr>
          <w:sz w:val="22"/>
          <w:szCs w:val="22"/>
        </w:rPr>
        <w:t>не подпишет Договор в установленные Документацией о закупке сроки (пункт </w:t>
      </w:r>
      <w:r>
        <w:rPr>
          <w:sz w:val="22"/>
          <w:szCs w:val="22"/>
        </w:rPr>
        <w:fldChar w:fldCharType="begin"/>
      </w:r>
      <w:r>
        <w:rPr>
          <w:sz w:val="22"/>
          <w:szCs w:val="22"/>
        </w:rPr>
        <w:instrText xml:space="preserve"> REF _Ref130293821 \r \h </w:instrText>
      </w:r>
      <w:r>
        <w:rPr>
          <w:sz w:val="22"/>
          <w:szCs w:val="22"/>
        </w:rPr>
        <w:fldChar w:fldCharType="separate"/>
      </w:r>
      <w:r>
        <w:rPr>
          <w:sz w:val="22"/>
          <w:szCs w:val="22"/>
        </w:rPr>
        <w:t>5.2.1</w:t>
      </w:r>
      <w:r>
        <w:rPr>
          <w:sz w:val="22"/>
          <w:szCs w:val="22"/>
        </w:rPr>
        <w:fldChar w:fldCharType="end"/>
      </w:r>
      <w:r>
        <w:rPr>
          <w:sz w:val="22"/>
          <w:szCs w:val="22"/>
        </w:rPr>
        <w:t>);</w:t>
      </w:r>
    </w:p>
    <w:p>
      <w:pPr>
        <w:pStyle w:val="Style27"/>
        <w:rPr>
          <w:sz w:val="22"/>
          <w:szCs w:val="22"/>
        </w:rPr>
      </w:pPr>
      <w:r>
        <w:rPr>
          <w:sz w:val="22"/>
          <w:szCs w:val="22"/>
        </w:rPr>
        <w:t>откажется от подписания Договора на условиях, определяемых в соответствии с пунктом </w:t>
      </w:r>
      <w:r>
        <w:rPr>
          <w:sz w:val="22"/>
          <w:szCs w:val="22"/>
        </w:rPr>
        <w:fldChar w:fldCharType="begin"/>
      </w:r>
      <w:r>
        <w:rPr>
          <w:sz w:val="22"/>
          <w:szCs w:val="22"/>
        </w:rPr>
        <w:instrText xml:space="preserve"> REF _Ref132288402 \r \h </w:instrText>
      </w:r>
      <w:r>
        <w:rPr>
          <w:sz w:val="22"/>
          <w:szCs w:val="22"/>
        </w:rPr>
        <w:fldChar w:fldCharType="separate"/>
      </w:r>
      <w:r>
        <w:rPr>
          <w:sz w:val="22"/>
          <w:szCs w:val="22"/>
        </w:rPr>
        <w:t>5.2.9</w:t>
      </w:r>
      <w:r>
        <w:rPr>
          <w:sz w:val="22"/>
          <w:szCs w:val="22"/>
        </w:rPr>
        <w:fldChar w:fldCharType="end"/>
      </w:r>
      <w:r>
        <w:rPr>
          <w:sz w:val="22"/>
          <w:szCs w:val="22"/>
        </w:rPr>
        <w:t>;</w:t>
      </w:r>
    </w:p>
    <w:p>
      <w:pPr>
        <w:pStyle w:val="Style27"/>
        <w:rPr/>
      </w:pPr>
      <w:r>
        <w:rPr>
          <w:sz w:val="22"/>
          <w:szCs w:val="22"/>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4"/>
            <w:sz w:val="22"/>
            <w:szCs w:val="22"/>
          </w:rPr>
          <w:t>Приложение № 5</w:t>
        </w:r>
      </w:hyperlink>
      <w:r>
        <w:rPr>
          <w:sz w:val="22"/>
          <w:szCs w:val="22"/>
        </w:rPr>
        <w:t>), с приложением подтверждающих документов;</w:t>
      </w:r>
    </w:p>
    <w:p>
      <w:pPr>
        <w:pStyle w:val="Style27"/>
        <w:rPr/>
      </w:pPr>
      <w:r>
        <w:rPr>
          <w:sz w:val="22"/>
          <w:szCs w:val="22"/>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sz w:val="22"/>
            <w:szCs w:val="22"/>
          </w:rPr>
          <w:t>Приложением № 5</w:t>
        </w:r>
      </w:hyperlink>
      <w:r>
        <w:rPr>
          <w:sz w:val="22"/>
          <w:szCs w:val="22"/>
        </w:rPr>
        <w:t>;</w:t>
      </w:r>
    </w:p>
    <w:p>
      <w:pPr>
        <w:pStyle w:val="Style27"/>
        <w:rPr/>
      </w:pPr>
      <w:r>
        <w:rPr>
          <w:sz w:val="22"/>
          <w:szCs w:val="22"/>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4"/>
            <w:sz w:val="22"/>
            <w:szCs w:val="22"/>
          </w:rPr>
          <w:t>Приложения № 1 – Технические требования</w:t>
        </w:r>
      </w:hyperlink>
      <w:r>
        <w:rPr>
          <w:sz w:val="22"/>
          <w:szCs w:val="22"/>
        </w:rPr>
        <w:t xml:space="preserve"> (в случае установления таковых);</w:t>
      </w:r>
    </w:p>
    <w:p>
      <w:pPr>
        <w:pStyle w:val="Style27"/>
        <w:rPr>
          <w:sz w:val="22"/>
          <w:szCs w:val="22"/>
        </w:rPr>
      </w:pPr>
      <w:r>
        <w:rPr>
          <w:sz w:val="22"/>
          <w:szCs w:val="22"/>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sz w:val="22"/>
          <w:szCs w:val="22"/>
        </w:rPr>
      </w:pPr>
      <w:r>
        <w:rPr>
          <w:sz w:val="22"/>
          <w:szCs w:val="22"/>
        </w:rPr>
        <w:t>не выполнит другие условия, прямо предусмотренные Документацией о закупке,</w:t>
      </w:r>
    </w:p>
    <w:p>
      <w:pPr>
        <w:pStyle w:val="Style30"/>
        <w:ind w:hanging="0" w:left="1134"/>
        <w:rPr>
          <w:sz w:val="22"/>
          <w:szCs w:val="22"/>
        </w:rPr>
      </w:pPr>
      <w:r>
        <w:rPr>
          <w:sz w:val="22"/>
          <w:szCs w:val="22"/>
        </w:rPr>
        <w:t>то он (по истечению установленных в подразделе </w:t>
      </w:r>
      <w:r>
        <w:rPr>
          <w:sz w:val="22"/>
          <w:szCs w:val="22"/>
        </w:rPr>
        <w:fldChar w:fldCharType="begin"/>
      </w:r>
      <w:r>
        <w:rPr>
          <w:sz w:val="22"/>
          <w:szCs w:val="22"/>
        </w:rPr>
        <w:instrText xml:space="preserve"> REF _Ref138232981 \r \h </w:instrText>
      </w:r>
      <w:r>
        <w:rPr>
          <w:sz w:val="22"/>
          <w:szCs w:val="22"/>
        </w:rPr>
        <w:fldChar w:fldCharType="separate"/>
      </w:r>
      <w:r>
        <w:rPr>
          <w:sz w:val="22"/>
          <w:szCs w:val="22"/>
        </w:rPr>
        <w:t>5.2</w:t>
      </w:r>
      <w:r>
        <w:rPr>
          <w:sz w:val="22"/>
          <w:szCs w:val="22"/>
        </w:rPr>
        <w:fldChar w:fldCharType="end"/>
      </w:r>
      <w:r>
        <w:rPr>
          <w:sz w:val="22"/>
          <w:szCs w:val="22"/>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sz w:val="22"/>
          <w:szCs w:val="22"/>
        </w:rPr>
      </w:pPr>
      <w:bookmarkStart w:id="239" w:name="_Ref125363752"/>
      <w:bookmarkStart w:id="240" w:name="_Toc224744344"/>
      <w:bookmarkStart w:id="241" w:name="_Ref125363016"/>
      <w:bookmarkStart w:id="242" w:name="_Ref125363023"/>
      <w:bookmarkStart w:id="243" w:name="_Ref125363034"/>
      <w:bookmarkStart w:id="244" w:name="_Ref125363600"/>
      <w:bookmarkStart w:id="245" w:name="_Ref125364088"/>
      <w:bookmarkStart w:id="246" w:name="_Ref125364201"/>
      <w:bookmarkStart w:id="247" w:name="_Ref125370741"/>
      <w:bookmarkStart w:id="248" w:name="_Ref125370746"/>
      <w:bookmarkStart w:id="249" w:name="_Ref125370750"/>
      <w:bookmarkStart w:id="250" w:name="_Ref125370843"/>
      <w:bookmarkStart w:id="251" w:name="Прил01_ТехТребования"/>
      <w:bookmarkStart w:id="252" w:name="_Ref125370732"/>
      <w:r>
        <w:rPr>
          <w:sz w:val="22"/>
          <w:szCs w:val="22"/>
        </w:rPr>
        <w:t>Приложение № 1 – Технические требования</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Style25"/>
        <w:rPr>
          <w:sz w:val="22"/>
          <w:szCs w:val="22"/>
        </w:rPr>
      </w:pPr>
      <w:bookmarkStart w:id="253" w:name="_Toc224744345"/>
      <w:r>
        <w:rPr>
          <w:sz w:val="22"/>
          <w:szCs w:val="22"/>
        </w:rPr>
        <w:t>Пояснения к Техническим требованиям</w:t>
      </w:r>
      <w:bookmarkEnd w:id="253"/>
    </w:p>
    <w:p>
      <w:pPr>
        <w:pStyle w:val="Style26"/>
        <w:rPr>
          <w:sz w:val="22"/>
          <w:szCs w:val="22"/>
        </w:rPr>
      </w:pPr>
      <w:r>
        <w:rPr>
          <w:sz w:val="22"/>
          <w:szCs w:val="22"/>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sz w:val="22"/>
          <w:szCs w:val="22"/>
        </w:rPr>
      </w:pPr>
      <w:bookmarkStart w:id="254" w:name="Прил02_ПроектДоговора"/>
      <w:bookmarkStart w:id="255" w:name="_Ref125363040"/>
      <w:bookmarkStart w:id="256" w:name="_Ref125363759"/>
      <w:bookmarkStart w:id="257" w:name="_Ref125363605"/>
      <w:bookmarkStart w:id="258" w:name="_Ref125364081"/>
      <w:bookmarkStart w:id="259" w:name="_Ref125364206"/>
      <w:bookmarkStart w:id="260" w:name="_Ref125370754"/>
      <w:bookmarkStart w:id="261" w:name="_Toc224744346"/>
      <w:bookmarkStart w:id="262" w:name="_Ref125361746"/>
      <w:r>
        <w:rPr>
          <w:sz w:val="22"/>
          <w:szCs w:val="22"/>
        </w:rPr>
        <w:t>Приложение № 2 – Проект договора</w:t>
      </w:r>
      <w:bookmarkEnd w:id="254"/>
      <w:bookmarkEnd w:id="255"/>
      <w:bookmarkEnd w:id="256"/>
      <w:bookmarkEnd w:id="257"/>
      <w:bookmarkEnd w:id="258"/>
      <w:bookmarkEnd w:id="259"/>
      <w:bookmarkEnd w:id="260"/>
      <w:bookmarkEnd w:id="261"/>
      <w:bookmarkEnd w:id="262"/>
    </w:p>
    <w:p>
      <w:pPr>
        <w:pStyle w:val="Style25"/>
        <w:rPr>
          <w:sz w:val="22"/>
          <w:szCs w:val="22"/>
        </w:rPr>
      </w:pPr>
      <w:bookmarkStart w:id="263" w:name="_Toc224744347"/>
      <w:r>
        <w:rPr>
          <w:sz w:val="22"/>
          <w:szCs w:val="22"/>
        </w:rPr>
        <w:t>Пояснения к Проекту договора</w:t>
      </w:r>
      <w:bookmarkEnd w:id="263"/>
    </w:p>
    <w:p>
      <w:pPr>
        <w:pStyle w:val="Style26"/>
        <w:rPr>
          <w:sz w:val="22"/>
          <w:szCs w:val="22"/>
        </w:rPr>
      </w:pPr>
      <w:r>
        <w:rPr>
          <w:sz w:val="22"/>
          <w:szCs w:val="22"/>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rPr>
          <w:sz w:val="22"/>
          <w:szCs w:val="22"/>
        </w:rPr>
      </w:pPr>
      <w:r>
        <w:rPr>
          <w:sz w:val="22"/>
          <w:szCs w:val="22"/>
        </w:rPr>
        <w:t>Все положения Проекта договора являются существенными условиями для Заказчика, за исключением пунктов договора, указанных в подразделе </w:t>
      </w:r>
      <w:r>
        <w:rPr>
          <w:sz w:val="22"/>
          <w:szCs w:val="22"/>
        </w:rPr>
        <w:fldChar w:fldCharType="begin"/>
      </w:r>
      <w:r>
        <w:rPr>
          <w:sz w:val="22"/>
          <w:szCs w:val="22"/>
        </w:rPr>
        <w:instrText xml:space="preserve"> REF _Ref125359973 \r \h </w:instrText>
      </w:r>
      <w:r>
        <w:rPr>
          <w:sz w:val="22"/>
          <w:szCs w:val="22"/>
        </w:rPr>
        <w:fldChar w:fldCharType="separate"/>
      </w:r>
      <w:r>
        <w:rPr>
          <w:sz w:val="22"/>
          <w:szCs w:val="22"/>
        </w:rPr>
        <w:t>1.2</w:t>
      </w:r>
      <w:r>
        <w:rPr>
          <w:sz w:val="22"/>
          <w:szCs w:val="22"/>
        </w:rPr>
        <w:fldChar w:fldCharType="end"/>
      </w:r>
      <w:r>
        <w:rPr>
          <w:sz w:val="22"/>
          <w:szCs w:val="22"/>
        </w:rPr>
        <w:t xml:space="preserve"> </w:t>
      </w:r>
      <w:bookmarkStart w:id="264" w:name="_Hlk132883778"/>
      <w:r>
        <w:rPr>
          <w:sz w:val="22"/>
          <w:szCs w:val="22"/>
        </w:rPr>
        <w:t>как «Некритичные пункты Проекта договора»</w:t>
      </w:r>
      <w:bookmarkEnd w:id="264"/>
      <w:r>
        <w:rPr>
          <w:sz w:val="22"/>
          <w:szCs w:val="22"/>
        </w:rPr>
        <w:t>.</w:t>
      </w:r>
    </w:p>
    <w:p>
      <w:pPr>
        <w:pStyle w:val="Style26"/>
        <w:rPr>
          <w:sz w:val="22"/>
          <w:szCs w:val="22"/>
        </w:rPr>
      </w:pPr>
      <w:r>
        <w:rPr>
          <w:sz w:val="22"/>
          <w:szCs w:val="22"/>
        </w:rPr>
        <w:t>В соответствии с пунктом </w:t>
      </w:r>
      <w:r>
        <w:rPr>
          <w:sz w:val="22"/>
          <w:szCs w:val="22"/>
        </w:rPr>
        <w:fldChar w:fldCharType="begin"/>
      </w:r>
      <w:r>
        <w:rPr>
          <w:sz w:val="22"/>
          <w:szCs w:val="22"/>
        </w:rPr>
        <w:instrText xml:space="preserve"> REF _Ref149317795 \n \h </w:instrText>
      </w:r>
      <w:r>
        <w:rPr>
          <w:sz w:val="22"/>
          <w:szCs w:val="22"/>
        </w:rPr>
        <w:fldChar w:fldCharType="separate"/>
      </w:r>
      <w:r>
        <w:rPr>
          <w:sz w:val="22"/>
          <w:szCs w:val="22"/>
        </w:rPr>
        <w:t>5.2.12</w:t>
      </w:r>
      <w:r>
        <w:rPr>
          <w:sz w:val="22"/>
          <w:szCs w:val="22"/>
        </w:rPr>
        <w:fldChar w:fldCharType="end"/>
      </w:r>
      <w:r>
        <w:rPr>
          <w:sz w:val="22"/>
          <w:szCs w:val="22"/>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rPr>
          <w:sz w:val="22"/>
          <w:szCs w:val="22"/>
        </w:rPr>
      </w:pPr>
      <w:r>
        <w:rPr>
          <w:sz w:val="22"/>
          <w:szCs w:val="22"/>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9pt;height:49.55pt;mso-wrap-distance-right:0pt" filled="f" o:ole="">
            <v:imagedata r:id="rId14" o:title=""/>
          </v:shape>
          <o:OLEObject Type="Embed" ProgID="Word.Document.12" ShapeID="ole_rId13" DrawAspect="Icon" ObjectID="_1922841322" r:id="rId13"/>
        </w:object>
      </w:r>
    </w:p>
    <w:p>
      <w:pPr>
        <w:pStyle w:val="Style24"/>
        <w:rPr>
          <w:sz w:val="22"/>
          <w:szCs w:val="22"/>
        </w:rPr>
      </w:pPr>
      <w:bookmarkStart w:id="266" w:name="_Ref125361494"/>
      <w:bookmarkStart w:id="267" w:name="_Ref125361908"/>
      <w:bookmarkStart w:id="268" w:name="_Ref125365476"/>
      <w:bookmarkStart w:id="269" w:name="_Ref125370013"/>
      <w:bookmarkStart w:id="270" w:name="Прил03_ТребованияУчастникам"/>
      <w:bookmarkStart w:id="271" w:name="_Toc224744348"/>
      <w:r>
        <w:rPr>
          <w:sz w:val="22"/>
          <w:szCs w:val="22"/>
        </w:rPr>
        <w:t>Приложение № 3 – Требования к Участникам</w:t>
      </w:r>
      <w:bookmarkEnd w:id="266"/>
      <w:bookmarkEnd w:id="267"/>
      <w:bookmarkEnd w:id="268"/>
      <w:bookmarkEnd w:id="269"/>
      <w:bookmarkEnd w:id="270"/>
      <w:bookmarkEnd w:id="271"/>
    </w:p>
    <w:p>
      <w:pPr>
        <w:pStyle w:val="Style25"/>
        <w:rPr>
          <w:sz w:val="22"/>
          <w:szCs w:val="22"/>
        </w:rPr>
      </w:pPr>
      <w:bookmarkStart w:id="272" w:name="_Toc224744349"/>
      <w:r>
        <w:rPr>
          <w:sz w:val="22"/>
          <w:szCs w:val="22"/>
        </w:rPr>
        <w:t>Пояснения к требованиям к Участникам</w:t>
      </w:r>
      <w:bookmarkEnd w:id="272"/>
    </w:p>
    <w:p>
      <w:pPr>
        <w:pStyle w:val="Style26"/>
        <w:rPr>
          <w:sz w:val="22"/>
          <w:szCs w:val="22"/>
        </w:rPr>
      </w:pPr>
      <w:bookmarkStart w:id="273" w:name="_Hlk125628168"/>
      <w:r>
        <w:rPr>
          <w:sz w:val="22"/>
          <w:szCs w:val="22"/>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sz w:val="22"/>
          <w:szCs w:val="22"/>
        </w:rPr>
      </w:pPr>
      <w:bookmarkStart w:id="274" w:name="_Ref125369088"/>
      <w:bookmarkStart w:id="275" w:name="_Ref125361435"/>
      <w:bookmarkStart w:id="276" w:name="_Ref125361590"/>
      <w:bookmarkStart w:id="277" w:name="_Ref125361617"/>
      <w:bookmarkStart w:id="278" w:name="_Ref125361832"/>
      <w:bookmarkStart w:id="279" w:name="_Ref125361846"/>
      <w:bookmarkStart w:id="280" w:name="_Ref125361926"/>
      <w:bookmarkStart w:id="281" w:name="_Ref125368895"/>
      <w:bookmarkStart w:id="282" w:name="_Ref125370058"/>
      <w:bookmarkStart w:id="283" w:name="_Ref125370064"/>
      <w:bookmarkStart w:id="284" w:name="_Ref125370071"/>
      <w:bookmarkStart w:id="285" w:name="_Toc224744350"/>
      <w:bookmarkStart w:id="286" w:name="_Ref125366879"/>
      <w:bookmarkStart w:id="287" w:name="_Ref125368812"/>
      <w:r>
        <w:rPr>
          <w:sz w:val="22"/>
          <w:szCs w:val="22"/>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 xml:space="preserve">Участник должен обладать гражданской правоспособностью в полном объеме для заключения и исполнения Договора, </w:t>
            </w:r>
            <w:r>
              <w:rPr>
                <w:rFonts w:eastAsia="Calibri" w:cs="" w:cstheme="minorBidi" w:eastAsiaTheme="minorHAnsi"/>
                <w:kern w:val="0"/>
                <w:sz w:val="22"/>
                <w:szCs w:val="22"/>
                <w:shd w:fill="FFFF00" w:val="clear"/>
                <w:lang w:val="ru-RU" w:eastAsia="en-US" w:bidi="ar-SA"/>
              </w:rPr>
              <w:t>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7"/>
              </w:numPr>
              <w:suppressAutoHyphens w:val="true"/>
              <w:spacing w:before="60" w:after="60"/>
              <w:ind w:hanging="284" w:left="284"/>
              <w:rPr>
                <w:sz w:val="22"/>
                <w:szCs w:val="22"/>
              </w:rPr>
            </w:pPr>
            <w:r>
              <w:rPr>
                <w:rFonts w:eastAsia="Calibri" w:cs=""/>
                <w:kern w:val="0"/>
                <w:sz w:val="22"/>
                <w:szCs w:val="22"/>
                <w:lang w:val="ru-RU" w:eastAsia="en-US" w:bidi="ar-SA"/>
              </w:rPr>
              <w:t>В отношении гражданской правоспособности:</w:t>
            </w:r>
          </w:p>
          <w:p>
            <w:pPr>
              <w:pStyle w:val="Style30"/>
              <w:widowControl w:val="false"/>
              <w:numPr>
                <w:ilvl w:val="0"/>
                <w:numId w:val="9"/>
              </w:numPr>
              <w:suppressAutoHyphens w:val="true"/>
              <w:spacing w:before="60" w:after="60"/>
              <w:ind w:hanging="284" w:left="568"/>
              <w:rPr>
                <w:sz w:val="22"/>
                <w:szCs w:val="22"/>
              </w:rPr>
            </w:pPr>
            <w:r>
              <w:rPr>
                <w:rFonts w:eastAsia="Calibri" w:cs=""/>
                <w:kern w:val="0"/>
                <w:sz w:val="22"/>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
                <w:kern w:val="0"/>
                <w:sz w:val="22"/>
                <w:szCs w:val="22"/>
                <w:lang w:val="en-US" w:eastAsia="en-US" w:bidi="ar-SA"/>
              </w:rPr>
              <w:t>pdf</w:t>
            </w:r>
            <w:r>
              <w:rPr>
                <w:rFonts w:eastAsia="Calibri" w:cs=""/>
                <w:kern w:val="0"/>
                <w:sz w:val="22"/>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7"/>
              </w:numPr>
              <w:suppressAutoHyphens w:val="true"/>
              <w:spacing w:before="60" w:after="60"/>
              <w:ind w:hanging="284" w:left="284"/>
              <w:rPr>
                <w:sz w:val="22"/>
                <w:szCs w:val="22"/>
              </w:rPr>
            </w:pPr>
            <w:r>
              <w:rPr>
                <w:rFonts w:eastAsia="Calibri" w:cs=""/>
                <w:kern w:val="0"/>
                <w:sz w:val="22"/>
                <w:szCs w:val="22"/>
                <w:lang w:val="ru-RU" w:eastAsia="en-US" w:bidi="ar-SA"/>
              </w:rPr>
              <w:t>В отношении аккредитации:</w:t>
            </w:r>
          </w:p>
          <w:p>
            <w:pPr>
              <w:pStyle w:val="Style30"/>
              <w:widowControl w:val="false"/>
              <w:numPr>
                <w:ilvl w:val="0"/>
                <w:numId w:val="9"/>
              </w:numPr>
              <w:suppressAutoHyphens w:val="true"/>
              <w:spacing w:before="60" w:after="60"/>
              <w:ind w:hanging="284" w:left="568"/>
              <w:rPr/>
            </w:pPr>
            <w:r>
              <w:rPr>
                <w:rFonts w:eastAsia="Calibri" w:cs=""/>
                <w:kern w:val="0"/>
                <w:sz w:val="22"/>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2"/>
                  <w:szCs w:val="22"/>
                  <w:lang w:val="ru-RU" w:eastAsia="en-US" w:bidi="ar-SA"/>
                </w:rPr>
                <w:t>Приложение № 10</w:t>
              </w:r>
            </w:hyperlink>
            <w:r>
              <w:rPr>
                <w:rFonts w:eastAsia="Calibri" w:cs=""/>
                <w:kern w:val="0"/>
                <w:sz w:val="22"/>
                <w:szCs w:val="22"/>
                <w:lang w:val="ru-RU" w:eastAsia="en-US" w:bidi="ar-SA"/>
              </w:rPr>
              <w:t>);</w:t>
            </w:r>
          </w:p>
          <w:p>
            <w:pPr>
              <w:pStyle w:val="Style30"/>
              <w:widowControl w:val="false"/>
              <w:numPr>
                <w:ilvl w:val="0"/>
                <w:numId w:val="9"/>
              </w:numPr>
              <w:suppressAutoHyphens w:val="true"/>
              <w:spacing w:before="60" w:after="60"/>
              <w:ind w:hanging="284" w:left="568"/>
              <w:rPr/>
            </w:pPr>
            <w:r>
              <w:rPr>
                <w:rFonts w:eastAsia="Calibri" w:cs=""/>
                <w:kern w:val="0"/>
                <w:sz w:val="22"/>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p>
            <w:pPr>
              <w:pStyle w:val="Style30"/>
              <w:widowControl w:val="false"/>
              <w:numPr>
                <w:ilvl w:val="0"/>
                <w:numId w:val="9"/>
              </w:numPr>
              <w:suppressAutoHyphens w:val="true"/>
              <w:spacing w:before="60" w:after="60"/>
              <w:ind w:hanging="284" w:left="568"/>
              <w:rPr/>
            </w:pPr>
            <w:r>
              <w:rPr>
                <w:rFonts w:eastAsia="Calibri" w:cs=""/>
                <w:kern w:val="0"/>
                <w:sz w:val="22"/>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2"/>
                  <w:szCs w:val="22"/>
                  <w:lang w:val="ru-RU" w:eastAsia="en-US" w:bidi="ar-SA"/>
                </w:rPr>
                <w:t>Приложение № 10</w:t>
              </w:r>
            </w:hyperlink>
            <w:r>
              <w:rPr>
                <w:rFonts w:eastAsia="Calibri" w:cs=""/>
                <w:kern w:val="0"/>
                <w:sz w:val="22"/>
                <w:szCs w:val="22"/>
                <w:lang w:val="ru-RU" w:eastAsia="en-US" w:bidi="ar-SA"/>
              </w:rPr>
              <w:t>).</w:t>
            </w:r>
          </w:p>
          <w:p>
            <w:pPr>
              <w:pStyle w:val="Style30"/>
              <w:widowControl w:val="false"/>
              <w:suppressAutoHyphens w:val="true"/>
              <w:spacing w:before="60" w:after="60"/>
              <w:ind w:hanging="0" w:left="284"/>
              <w:rPr>
                <w:sz w:val="22"/>
                <w:szCs w:val="22"/>
              </w:rPr>
            </w:pPr>
            <w:r>
              <w:rPr>
                <w:rFonts w:eastAsia="Calibri" w:cs=""/>
                <w:kern w:val="0"/>
                <w:sz w:val="22"/>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hanging="0" w:left="284"/>
              <w:rPr>
                <w:sz w:val="22"/>
                <w:szCs w:val="22"/>
              </w:rPr>
            </w:pPr>
            <w:r>
              <w:rPr>
                <w:rFonts w:eastAsia="Calibri" w:cs=""/>
                <w:kern w:val="0"/>
                <w:sz w:val="22"/>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hanging="0" w:left="284"/>
              <w:rPr>
                <w:sz w:val="22"/>
                <w:szCs w:val="22"/>
              </w:rPr>
            </w:pPr>
            <w:r>
              <w:rPr>
                <w:rFonts w:eastAsia="Calibri" w:cs=""/>
                <w:kern w:val="0"/>
                <w:sz w:val="22"/>
                <w:szCs w:val="22"/>
                <w:lang w:val="ru-RU" w:eastAsia="en-US" w:bidi="ar-SA"/>
              </w:rPr>
              <w:t>−</w:t>
            </w:r>
            <w:r>
              <w:rPr>
                <w:rFonts w:eastAsia="Calibri" w:cs=""/>
                <w:kern w:val="0"/>
                <w:sz w:val="22"/>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hanging="0" w:left="284"/>
              <w:rPr/>
            </w:pPr>
            <w:r>
              <w:rPr>
                <w:rFonts w:eastAsia="Calibri" w:cs=""/>
                <w:kern w:val="0"/>
                <w:sz w:val="22"/>
                <w:szCs w:val="22"/>
                <w:lang w:val="ru-RU" w:eastAsia="en-US" w:bidi="ar-SA"/>
              </w:rPr>
              <w:t>−</w:t>
            </w:r>
            <w:r>
              <w:rPr>
                <w:rFonts w:eastAsia="Calibri" w:cs=""/>
                <w:kern w:val="0"/>
                <w:sz w:val="22"/>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2"/>
                  <w:szCs w:val="22"/>
                  <w:lang w:val="ru-RU" w:eastAsia="en-US" w:bidi="ar-SA"/>
                </w:rPr>
                <w:t>Приложении № 11</w:t>
              </w:r>
            </w:hyperlink>
            <w:r>
              <w:rPr>
                <w:rFonts w:eastAsia="Calibri" w:cs=""/>
                <w:kern w:val="0"/>
                <w:sz w:val="22"/>
                <w:szCs w:val="22"/>
                <w:lang w:val="ru-RU" w:eastAsia="en-US" w:bidi="ar-SA"/>
              </w:rPr>
              <w:t>).</w:t>
            </w:r>
          </w:p>
          <w:p>
            <w:pPr>
              <w:pStyle w:val="Style30"/>
              <w:widowControl w:val="false"/>
              <w:suppressAutoHyphens w:val="true"/>
              <w:spacing w:before="60" w:after="60"/>
              <w:ind w:hanging="0" w:left="284"/>
              <w:rPr>
                <w:sz w:val="22"/>
                <w:szCs w:val="22"/>
              </w:rPr>
            </w:pPr>
            <w:r>
              <w:rPr>
                <w:rFonts w:eastAsia="Calibri" w:cs=""/>
                <w:kern w:val="0"/>
                <w:sz w:val="22"/>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p>
            <w:pPr>
              <w:pStyle w:val="Style30"/>
              <w:widowControl w:val="false"/>
              <w:suppressAutoHyphens w:val="true"/>
              <w:spacing w:before="60" w:after="60"/>
              <w:ind w:hanging="0" w:left="284"/>
              <w:rPr>
                <w:sz w:val="22"/>
                <w:szCs w:val="22"/>
              </w:rPr>
            </w:pPr>
            <w:r>
              <w:rPr>
                <w:sz w:val="22"/>
                <w:szCs w:val="22"/>
              </w:rPr>
            </w:r>
          </w:p>
          <w:p>
            <w:pPr>
              <w:pStyle w:val="Style30"/>
              <w:widowControl w:val="false"/>
              <w:suppressAutoHyphens w:val="true"/>
              <w:spacing w:before="60" w:after="60"/>
              <w:ind w:hanging="0" w:left="284"/>
              <w:rPr/>
            </w:pPr>
            <w:bookmarkStart w:id="290" w:name="_Ref513814652"/>
            <w:r>
              <w:rPr>
                <w:rFonts w:eastAsia="Calibri" w:cs=""/>
                <w:color w:val="000000"/>
                <w:kern w:val="0"/>
                <w:sz w:val="22"/>
                <w:szCs w:val="22"/>
                <w:highlight w:val="yellow"/>
                <w:shd w:fill="FFFFFF" w:val="clear"/>
                <w:lang w:val="ru-RU" w:eastAsia="en-US" w:bidi="ar-SA"/>
              </w:rPr>
              <w:t xml:space="preserve">Взаимодействие для аккредитации осуществляется через единый портал в сети Интернет: </w:t>
            </w:r>
            <w:hyperlink r:id="rId19">
              <w:r>
                <w:rPr>
                  <w:rStyle w:val="Hyperlink"/>
                  <w:rFonts w:eastAsia="Calibri" w:cs=""/>
                  <w:kern w:val="0"/>
                  <w:sz w:val="22"/>
                  <w:szCs w:val="22"/>
                  <w:highlight w:val="yellow"/>
                  <w:shd w:fill="FFFFFF" w:val="clear"/>
                  <w:lang w:val="ru-RU" w:eastAsia="en-US" w:bidi="ar-SA"/>
                </w:rPr>
                <w:t>https://accreditation.rushydro.ru/</w:t>
              </w:r>
            </w:hyperlink>
            <w:r>
              <w:rPr>
                <w:rFonts w:eastAsia="Calibri" w:cs=""/>
                <w:kern w:val="0"/>
                <w:sz w:val="22"/>
                <w:szCs w:val="22"/>
                <w:highlight w:val="yellow"/>
                <w:lang w:val="ru-RU" w:eastAsia="en-US" w:bidi="ar-SA"/>
              </w:rPr>
              <w:t xml:space="preserve">. </w:t>
            </w:r>
            <w:r>
              <w:rPr>
                <w:rFonts w:eastAsia="Calibri" w:cs=""/>
                <w:color w:val="000000"/>
                <w:kern w:val="0"/>
                <w:sz w:val="22"/>
                <w:szCs w:val="22"/>
                <w:highlight w:val="yellow"/>
                <w:shd w:fill="FFFFFF" w:val="clear"/>
                <w:lang w:val="ru-RU" w:eastAsia="en-US" w:bidi="ar-SA"/>
              </w:rPr>
              <w:t>Полное описание процедуры аккредитации изложено в Едином положении об аккредитации поставщиков Группы РусГидро и размещено на едином портале по аккредитации по ссылке, указанной выше.</w:t>
            </w:r>
            <w:bookmarkEnd w:id="290"/>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91" w:name="_Ref149558364"/>
            <w:bookmarkStart w:id="292" w:name="_Ref149558364"/>
            <w:bookmarkEnd w:id="292"/>
          </w:p>
        </w:tc>
        <w:tc>
          <w:tcPr>
            <w:tcW w:w="5671"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Предоставление документов не требуется.</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93" w:name="_Ref139028406"/>
            <w:bookmarkStart w:id="294" w:name="_Ref139028406"/>
            <w:bookmarkEnd w:id="294"/>
          </w:p>
        </w:tc>
        <w:tc>
          <w:tcPr>
            <w:tcW w:w="5671"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2"/>
                <w:szCs w:val="22"/>
                <w:lang w:val="ru-RU" w:eastAsia="en-US" w:bidi="ar-SA"/>
              </w:rPr>
              <w:footnoteReference w:id="7"/>
            </w:r>
            <w:r>
              <w:rPr>
                <w:rFonts w:eastAsia="Calibri" w:cs=""/>
                <w:kern w:val="0"/>
                <w:sz w:val="22"/>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2"/>
                <w:szCs w:val="22"/>
                <w:lang w:val="ru-RU" w:eastAsia="en-US" w:bidi="ar-SA"/>
              </w:rPr>
              <w:footnoteReference w:id="8"/>
            </w:r>
            <w:r>
              <w:rPr>
                <w:rFonts w:eastAsia="Calibri" w:cs=""/>
                <w:kern w:val="0"/>
                <w:sz w:val="22"/>
                <w:szCs w:val="22"/>
                <w:lang w:val="ru-RU" w:eastAsia="en-US" w:bidi="ar-SA"/>
              </w:rPr>
              <w:t>:</w:t>
            </w:r>
          </w:p>
        </w:tc>
        <w:tc>
          <w:tcPr>
            <w:tcW w:w="8327"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Предоставление документов не требуется.</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95" w:name="_Ref186221603"/>
            <w:bookmarkStart w:id="296" w:name="_Ref186221603"/>
            <w:bookmarkEnd w:id="296"/>
          </w:p>
        </w:tc>
        <w:tc>
          <w:tcPr>
            <w:tcW w:w="5671"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Если в подразделе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_Ref125359973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2"/>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соответствующих сведений.</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297" w:name="_Ref186221607"/>
            <w:bookmarkStart w:id="298" w:name="_Ref186221607"/>
            <w:bookmarkEnd w:id="298"/>
          </w:p>
        </w:tc>
        <w:tc>
          <w:tcPr>
            <w:tcW w:w="5671"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Если в подразделе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_Ref125359973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2"/>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соответствующих сведений.</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sz w:val="22"/>
          <w:szCs w:val="22"/>
        </w:rPr>
      </w:pPr>
      <w:bookmarkStart w:id="299" w:name="_Ref125365459"/>
      <w:bookmarkStart w:id="300" w:name="_Ref125367521"/>
      <w:bookmarkStart w:id="301" w:name="_Ref125361869"/>
      <w:bookmarkStart w:id="302" w:name="_Ref125361937"/>
      <w:bookmarkStart w:id="303" w:name="_Ref125361671"/>
      <w:bookmarkStart w:id="304" w:name="_Ref125361633"/>
      <w:bookmarkStart w:id="305" w:name="_Ref125361442"/>
      <w:bookmarkStart w:id="306" w:name="_Ref125368818"/>
      <w:bookmarkStart w:id="307" w:name="_Ref125367539"/>
      <w:bookmarkStart w:id="308" w:name="_Ref125368901"/>
      <w:bookmarkStart w:id="309" w:name="_Ref125368916"/>
      <w:bookmarkStart w:id="310" w:name="_Ref125709250"/>
      <w:bookmarkStart w:id="311" w:name="_Ref125369099"/>
      <w:bookmarkStart w:id="312" w:name="_Ref125370079"/>
      <w:bookmarkStart w:id="313" w:name="_Ref125709401"/>
      <w:bookmarkStart w:id="314" w:name="_Ref125709153"/>
      <w:bookmarkStart w:id="315" w:name="_Toc224744351"/>
      <w:bookmarkStart w:id="316" w:name="_Ref125709888"/>
      <w:r>
        <w:rPr>
          <w:sz w:val="22"/>
          <w:szCs w:val="22"/>
        </w:rPr>
        <w:t>Специальные требования</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5671" w:type="dxa"/>
            <w:tcBorders/>
            <w:vAlign w:val="center"/>
          </w:tcPr>
          <w:p>
            <w:pPr>
              <w:pStyle w:val="Style30"/>
              <w:keepNext w:val="fals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Требования к Участнику</w:t>
            </w:r>
          </w:p>
        </w:tc>
        <w:tc>
          <w:tcPr>
            <w:tcW w:w="8327" w:type="dxa"/>
            <w:tcBorders/>
            <w:vAlign w:val="center"/>
          </w:tcPr>
          <w:p>
            <w:pPr>
              <w:pStyle w:val="Style30"/>
              <w:keepNext w:val="fals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Требования к документам, 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5671" w:type="dxa"/>
            <w:tcBorders/>
          </w:tcPr>
          <w:p>
            <w:pPr>
              <w:pStyle w:val="Normal"/>
              <w:widowControl w:val="false"/>
              <w:tabs>
                <w:tab w:val="clear" w:pos="708"/>
                <w:tab w:val="left" w:pos="426" w:leader="none"/>
              </w:tabs>
              <w:suppressAutoHyphens w:val="true"/>
              <w:spacing w:lineRule="auto" w:line="240" w:before="0" w:after="0"/>
              <w:jc w:val="both"/>
              <w:rPr>
                <w:rFonts w:ascii="Times New Roman" w:hAnsi="Times New Roman" w:eastAsia="Calibri" w:cs="Times New Roman"/>
                <w:sz w:val="20"/>
                <w:szCs w:val="20"/>
                <w:highlight w:val="yellow"/>
              </w:rPr>
            </w:pPr>
            <w:r>
              <w:rPr>
                <w:rFonts w:eastAsia="Calibri" w:cs="Times New Roman"/>
                <w:sz w:val="20"/>
                <w:szCs w:val="20"/>
              </w:rPr>
              <w:t>В соответствии с требованиями Федерального закона от 04.05.2011 г. № 99-ФЗ (ред. от 04.08.2026) «О лицензировании отдельных видов деятел</w:t>
            </w:r>
            <w:r>
              <w:rPr>
                <w:rFonts w:eastAsia="Calibri" w:cs="Times New Roman" w:eastAsiaTheme="minorHAnsi"/>
                <w:color w:val="auto"/>
                <w:kern w:val="0"/>
                <w:sz w:val="20"/>
                <w:szCs w:val="20"/>
                <w:lang w:val="ru-RU" w:eastAsia="en-US" w:bidi="ar-SA"/>
              </w:rPr>
              <w:t xml:space="preserve">ьности» (с изм. и доп., вступ. в силу с 15.08.2026), </w:t>
            </w:r>
            <w:r>
              <w:rPr>
                <w:rFonts w:eastAsia="Calibri" w:cs="Times New Roman"/>
                <w:sz w:val="20"/>
                <w:szCs w:val="20"/>
              </w:rPr>
              <w:t>п. 2 ст. 4, ст. 6 Федерального закона от 30.10.2018 № 386-ФЗ: наличие у Участника действующей на момент подачи заявки на участие в закупке лицензии, выданной Федеральной службой по надзору в сфере транспорта Министерства транспорта Российской федерации, на осуществление перевозок пассажиров и иных лиц автобусами.</w:t>
            </w:r>
          </w:p>
        </w:tc>
        <w:tc>
          <w:tcPr>
            <w:tcW w:w="8327" w:type="dxa"/>
            <w:tcBorders/>
          </w:tcPr>
          <w:p>
            <w:pPr>
              <w:pStyle w:val="Normal"/>
              <w:widowControl w:val="false"/>
              <w:tabs>
                <w:tab w:val="clear" w:pos="708"/>
                <w:tab w:val="left" w:pos="426" w:leader="none"/>
              </w:tabs>
              <w:suppressAutoHyphens w:val="true"/>
              <w:spacing w:lineRule="auto" w:line="240" w:before="0" w:after="0"/>
              <w:jc w:val="both"/>
              <w:rPr>
                <w:rFonts w:ascii="Times New Roman" w:hAnsi="Times New Roman" w:eastAsia="Calibri" w:cs="Times New Roman"/>
                <w:sz w:val="20"/>
                <w:szCs w:val="20"/>
              </w:rPr>
            </w:pPr>
            <w:r>
              <w:rPr>
                <w:rFonts w:eastAsia="Calibri" w:cs="Times New Roman"/>
                <w:sz w:val="20"/>
                <w:szCs w:val="20"/>
              </w:rPr>
              <w:t>В составе заявки Участник должен предоставить копию действующей на момент подачи на участие в закупке заявки лицензии, выданной Федеральной службой по надзору в сфере транспорта Министерства транспорта Российской федерации, на осуществление перевозок пассажиров и иных лиц автобусами.</w:t>
            </w:r>
          </w:p>
        </w:tc>
      </w:tr>
    </w:tbl>
    <w:p>
      <w:pPr>
        <w:pStyle w:val="Style25"/>
        <w:spacing w:before="360" w:after="120"/>
        <w:rPr>
          <w:sz w:val="22"/>
          <w:szCs w:val="22"/>
        </w:rPr>
      </w:pPr>
      <w:bookmarkStart w:id="317" w:name="_Ref125369117"/>
      <w:bookmarkStart w:id="318" w:name="_Ref125361823"/>
      <w:bookmarkStart w:id="319" w:name="_Ref125362031"/>
      <w:bookmarkStart w:id="320" w:name="_Ref125370173"/>
      <w:bookmarkStart w:id="321" w:name="_Ref125370180"/>
      <w:bookmarkStart w:id="322" w:name="_Ref125370209"/>
      <w:bookmarkStart w:id="323" w:name="_Ref125709777"/>
      <w:bookmarkStart w:id="324" w:name="_Ref125709973"/>
      <w:bookmarkStart w:id="325" w:name="_Toc224744365"/>
      <w:bookmarkStart w:id="326" w:name="_Toc224744352"/>
      <w:bookmarkStart w:id="327" w:name="_Toc224744357"/>
      <w:bookmarkStart w:id="328" w:name="_Toc224744361"/>
      <w:bookmarkEnd w:id="326"/>
      <w:bookmarkEnd w:id="327"/>
      <w:bookmarkEnd w:id="328"/>
      <w:r>
        <w:rPr>
          <w:sz w:val="22"/>
          <w:szCs w:val="22"/>
        </w:rPr>
        <w:t>Дополнительные требования к Генеральным подрядчикам</w:t>
      </w:r>
      <w:bookmarkEnd w:id="317"/>
      <w:bookmarkEnd w:id="318"/>
      <w:bookmarkEnd w:id="319"/>
      <w:bookmarkEnd w:id="320"/>
      <w:bookmarkEnd w:id="321"/>
      <w:bookmarkEnd w:id="322"/>
      <w:bookmarkEnd w:id="323"/>
      <w:bookmarkEnd w:id="324"/>
      <w:bookmarkEnd w:id="325"/>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29" w:name="_Ref125370187"/>
            <w:bookmarkStart w:id="330" w:name="_Ref125370187"/>
            <w:bookmarkEnd w:id="330"/>
          </w:p>
        </w:tc>
        <w:tc>
          <w:tcPr>
            <w:tcW w:w="5671"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2"/>
                <w:szCs w:val="22"/>
                <w:lang w:val="ru-RU" w:eastAsia="en-US" w:bidi="ar-SA"/>
              </w:rPr>
              <w:t>Техническое предложение (форма 4)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31" w:name="_Ref125370193"/>
            <w:bookmarkStart w:id="332" w:name="_Ref125370193"/>
            <w:bookmarkEnd w:id="332"/>
          </w:p>
        </w:tc>
        <w:tc>
          <w:tcPr>
            <w:tcW w:w="5671" w:type="dxa"/>
            <w:tcBorders/>
          </w:tcPr>
          <w:p>
            <w:pPr>
              <w:pStyle w:val="Style30"/>
              <w:widowControl w:val="false"/>
              <w:suppressAutoHyphens w:val="true"/>
              <w:spacing w:before="60" w:after="60"/>
              <w:rPr/>
            </w:pPr>
            <w:r>
              <w:rPr>
                <w:rFonts w:eastAsia="Calibri" w:cs=""/>
                <w:kern w:val="0"/>
                <w:sz w:val="22"/>
                <w:szCs w:val="22"/>
                <w:lang w:val="ru-RU" w:eastAsia="en-US" w:bidi="ar-SA"/>
              </w:rPr>
              <w:t>Соответствие каждого субподрядчика установленным требованиям (с учетом пункта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_Ref125368863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r>
            <w:r>
              <w:rPr>
                <w:sz w:val="22"/>
                <w:kern w:val="0"/>
                <w:szCs w:val="22"/>
                <w:rFonts w:eastAsia="Calibri" w:cs=""/>
                <w:lang w:val="ru-RU" w:eastAsia="en-US" w:bidi="ar-SA"/>
              </w:rPr>
              <w:fldChar w:fldCharType="end"/>
            </w:r>
            <w:r>
              <w:rPr>
                <w:rFonts w:eastAsia="Calibri" w:cs=""/>
                <w:kern w:val="0"/>
                <w:sz w:val="22"/>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tc>
        <w:tc>
          <w:tcPr>
            <w:tcW w:w="8327"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Сведения и документы, аналогичные установленным в подразделах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t> –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_Ref125361442 \n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8.3</w:t>
            </w:r>
            <w:r>
              <w:rPr>
                <w:sz w:val="22"/>
                <w:kern w:val="0"/>
                <w:szCs w:val="22"/>
                <w:rFonts w:eastAsia="Calibri" w:cs=""/>
                <w:lang w:val="ru-RU" w:eastAsia="en-US" w:bidi="ar-SA"/>
              </w:rPr>
              <w:fldChar w:fldCharType="end"/>
            </w:r>
            <w:r>
              <w:rPr>
                <w:rFonts w:eastAsia="Calibri" w:cs=""/>
                <w:kern w:val="0"/>
                <w:sz w:val="22"/>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bookmarkStart w:id="333" w:name="_Ref125553847"/>
            <w:bookmarkStart w:id="334" w:name="_Ref125553847"/>
            <w:bookmarkEnd w:id="334"/>
          </w:p>
        </w:tc>
        <w:tc>
          <w:tcPr>
            <w:tcW w:w="5671"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Дополнительные требования не установлены.</w:t>
            </w:r>
          </w:p>
        </w:tc>
      </w:tr>
    </w:tbl>
    <w:p>
      <w:pPr>
        <w:sectPr>
          <w:headerReference w:type="default" r:id="rId20"/>
          <w:headerReference w:type="first" r:id="rId21"/>
          <w:footerReference w:type="default" r:id="rId22"/>
          <w:footerReference w:type="first" r:id="rId2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sz w:val="22"/>
          <w:szCs w:val="22"/>
        </w:rPr>
      </w:pPr>
      <w:bookmarkStart w:id="335" w:name="_Toc224744366"/>
      <w:bookmarkStart w:id="336" w:name="Прил04_ФормыЗаявки"/>
      <w:bookmarkEnd w:id="336"/>
      <w:r>
        <w:rPr>
          <w:sz w:val="22"/>
          <w:szCs w:val="22"/>
        </w:rPr>
        <w:t>Приложение № 4 – Образцы форм документов, включаемых в состав заявки</w:t>
      </w:r>
      <w:bookmarkEnd w:id="335"/>
    </w:p>
    <w:p>
      <w:pPr>
        <w:pStyle w:val="Style25"/>
        <w:rPr>
          <w:sz w:val="22"/>
          <w:szCs w:val="22"/>
        </w:rPr>
      </w:pPr>
      <w:bookmarkStart w:id="337" w:name="_Toc224744367"/>
      <w:r>
        <w:rPr>
          <w:sz w:val="22"/>
          <w:szCs w:val="22"/>
        </w:rPr>
        <w:t>Пояснения к Образцам форм документов, включаемых в состав заявки</w:t>
      </w:r>
      <w:bookmarkEnd w:id="337"/>
    </w:p>
    <w:p>
      <w:pPr>
        <w:pStyle w:val="Style26"/>
        <w:rPr>
          <w:sz w:val="22"/>
          <w:szCs w:val="22"/>
        </w:rPr>
      </w:pPr>
      <w:r>
        <w:rPr>
          <w:sz w:val="22"/>
          <w:szCs w:val="22"/>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38" w:name="_Hlk207818315"/>
      <w:r>
        <w:rPr>
          <w:sz w:val="22"/>
          <w:szCs w:val="22"/>
        </w:rPr>
        <w:t>Участник при подготовке заявки обязан придерживаться установленных форм документов</w:t>
      </w:r>
      <w:bookmarkEnd w:id="338"/>
      <w:r>
        <w:rPr>
          <w:sz w:val="22"/>
          <w:szCs w:val="22"/>
        </w:rPr>
        <w:t>.</w:t>
      </w:r>
    </w:p>
    <w:p>
      <w:pPr>
        <w:pStyle w:val="Style24"/>
        <w:rPr>
          <w:sz w:val="22"/>
          <w:szCs w:val="22"/>
        </w:rPr>
      </w:pPr>
      <w:bookmarkStart w:id="339" w:name="_Toc224744368"/>
      <w:bookmarkStart w:id="340" w:name="Прил05_ФормыПобедителя"/>
      <w:bookmarkEnd w:id="340"/>
      <w:r>
        <w:rPr>
          <w:sz w:val="22"/>
          <w:szCs w:val="22"/>
        </w:rPr>
        <w:t>Приложение № 5 – Образцы форм документов, предоставляемых Победителем</w:t>
      </w:r>
      <w:bookmarkEnd w:id="339"/>
    </w:p>
    <w:p>
      <w:pPr>
        <w:pStyle w:val="Style25"/>
        <w:rPr>
          <w:sz w:val="22"/>
          <w:szCs w:val="22"/>
        </w:rPr>
      </w:pPr>
      <w:bookmarkStart w:id="341" w:name="_Toc224744369"/>
      <w:r>
        <w:rPr>
          <w:sz w:val="22"/>
          <w:szCs w:val="22"/>
        </w:rPr>
        <w:t>Пояснения к Образцам форм документов, предоставляемых Победителем</w:t>
      </w:r>
      <w:bookmarkEnd w:id="341"/>
    </w:p>
    <w:p>
      <w:pPr>
        <w:pStyle w:val="Style26"/>
        <w:rPr>
          <w:sz w:val="22"/>
          <w:szCs w:val="22"/>
        </w:rPr>
      </w:pPr>
      <w:bookmarkStart w:id="342" w:name="_Hlk149319349"/>
      <w:r>
        <w:rPr>
          <w:sz w:val="22"/>
          <w:szCs w:val="22"/>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w:t>
      </w:r>
      <w:bookmarkEnd w:id="342"/>
      <w:r>
        <w:rPr>
          <w:sz w:val="22"/>
          <w:szCs w:val="22"/>
        </w:rPr>
        <w:t>, приведены в подразделах </w:t>
      </w:r>
      <w:r>
        <w:rPr>
          <w:sz w:val="22"/>
          <w:szCs w:val="22"/>
        </w:rPr>
        <w:fldChar w:fldCharType="begin"/>
      </w:r>
      <w:r>
        <w:rPr>
          <w:sz w:val="22"/>
          <w:szCs w:val="22"/>
        </w:rPr>
        <w:instrText xml:space="preserve"> REF _Ref130395470 \r \h </w:instrText>
      </w:r>
      <w:r>
        <w:rPr>
          <w:sz w:val="22"/>
          <w:szCs w:val="22"/>
        </w:rPr>
        <w:fldChar w:fldCharType="separate"/>
      </w:r>
      <w:r>
        <w:rPr>
          <w:sz w:val="22"/>
          <w:szCs w:val="22"/>
        </w:rPr>
        <w:t>10.2</w:t>
      </w:r>
      <w:r>
        <w:rPr>
          <w:sz w:val="22"/>
          <w:szCs w:val="22"/>
        </w:rPr>
        <w:fldChar w:fldCharType="end"/>
      </w:r>
      <w:r>
        <w:rPr>
          <w:sz w:val="22"/>
          <w:szCs w:val="22"/>
        </w:rPr>
        <w:t xml:space="preserve">, </w:t>
      </w:r>
      <w:r>
        <w:rPr>
          <w:sz w:val="22"/>
          <w:szCs w:val="22"/>
        </w:rPr>
        <w:fldChar w:fldCharType="begin"/>
      </w:r>
      <w:r>
        <w:rPr>
          <w:sz w:val="22"/>
          <w:szCs w:val="22"/>
        </w:rPr>
        <w:instrText xml:space="preserve"> REF _Ref130395475 \r \h </w:instrText>
      </w:r>
      <w:r>
        <w:rPr>
          <w:sz w:val="22"/>
          <w:szCs w:val="22"/>
        </w:rPr>
        <w:fldChar w:fldCharType="separate"/>
      </w:r>
      <w:r>
        <w:rPr>
          <w:sz w:val="22"/>
          <w:szCs w:val="22"/>
        </w:rPr>
        <w:t>10.3</w:t>
      </w:r>
      <w:r>
        <w:rPr>
          <w:sz w:val="22"/>
          <w:szCs w:val="22"/>
        </w:rPr>
        <w:fldChar w:fldCharType="end"/>
      </w:r>
      <w:r>
        <w:rPr>
          <w:sz w:val="22"/>
          <w:szCs w:val="22"/>
        </w:rPr>
        <w:t>.</w:t>
      </w:r>
    </w:p>
    <w:p>
      <w:pPr>
        <w:pStyle w:val="Style25"/>
        <w:rPr>
          <w:sz w:val="22"/>
          <w:szCs w:val="22"/>
        </w:rPr>
      </w:pPr>
      <w:bookmarkStart w:id="343" w:name="_Toc224744370"/>
      <w:bookmarkStart w:id="344" w:name="_Ref130395470"/>
      <w:r>
        <w:rPr>
          <w:sz w:val="22"/>
          <w:szCs w:val="22"/>
        </w:rPr>
        <w:t>Форма справки «Сведения о цепочке собственников, включая бенефициаров (в том числе конечных)»</w:t>
      </w:r>
      <w:bookmarkEnd w:id="343"/>
      <w:bookmarkEnd w:id="344"/>
    </w:p>
    <w:p>
      <w:pPr>
        <w:pStyle w:val="Style26"/>
        <w:rPr>
          <w:sz w:val="22"/>
          <w:szCs w:val="22"/>
        </w:rPr>
      </w:pPr>
      <w:r>
        <w:rPr>
          <w:sz w:val="22"/>
          <w:szCs w:val="22"/>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rPr>
          <w:sz w:val="22"/>
          <w:szCs w:val="22"/>
        </w:rPr>
      </w:pPr>
      <w:r>
        <w:rPr>
          <w:sz w:val="22"/>
          <w:szCs w:val="22"/>
        </w:rPr>
        <w:t xml:space="preserve">Форма справки «Сведения о цепочке собственников, включая бенефициаров (в том числе конечных)» </w:t>
      </w:r>
      <w:r>
        <w:rPr>
          <w:sz w:val="22"/>
          <w:szCs w:val="22"/>
          <w:lang w:val="en-US"/>
        </w:rPr>
        <w:t>c</w:t>
      </w:r>
      <w:r>
        <w:rPr>
          <w:sz w:val="22"/>
          <w:szCs w:val="22"/>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sz w:val="22"/>
          <w:szCs w:val="22"/>
          <w:lang w:val="en-US"/>
        </w:rPr>
        <w:t>Microsoft</w:t>
      </w:r>
      <w:r>
        <w:rPr>
          <w:sz w:val="22"/>
          <w:szCs w:val="22"/>
        </w:rPr>
        <w:t xml:space="preserve"> </w:t>
      </w:r>
      <w:r>
        <w:rPr>
          <w:sz w:val="22"/>
          <w:szCs w:val="22"/>
          <w:lang w:val="en-US"/>
        </w:rPr>
        <w:t>Word</w:t>
      </w:r>
      <w:r>
        <w:rPr>
          <w:sz w:val="22"/>
          <w:szCs w:val="22"/>
        </w:rPr>
        <w:t>:</w:t>
      </w:r>
      <w:bookmarkStart w:id="345" w:name="_MON_1805621314"/>
    </w:p>
    <w:p>
      <w:pPr>
        <w:pStyle w:val="Style30"/>
        <w:jc w:val="center"/>
        <w:rPr>
          <w:sz w:val="22"/>
          <w:szCs w:val="22"/>
        </w:rPr>
      </w:pPr>
      <w:bookmarkStart w:id="346" w:name="_Hlk207818329"/>
      <w:bookmarkEnd w:id="345"/>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6.15pt;height:48.6pt;mso-wrap-distance-right:0pt" filled="f" o:ole="">
            <v:imagedata r:id="rId25" o:title=""/>
          </v:shape>
          <o:OLEObject Type="Embed" ProgID="Word.Document.12" ShapeID="ole_rId24" DrawAspect="Icon" ObjectID="_325970381" r:id="rId24"/>
        </w:object>
      </w:r>
      <w:bookmarkEnd w:id="346"/>
    </w:p>
    <w:p>
      <w:pPr>
        <w:pStyle w:val="Style25"/>
        <w:rPr>
          <w:sz w:val="22"/>
          <w:szCs w:val="22"/>
        </w:rPr>
      </w:pPr>
      <w:bookmarkStart w:id="347" w:name="_Toc224744371"/>
      <w:bookmarkStart w:id="348" w:name="_Ref130395475"/>
      <w:r>
        <w:rPr>
          <w:sz w:val="22"/>
          <w:szCs w:val="22"/>
        </w:rPr>
        <w:t>Форма «Заверение об обстоятельствах»</w:t>
      </w:r>
      <w:bookmarkEnd w:id="347"/>
      <w:bookmarkEnd w:id="348"/>
    </w:p>
    <w:p>
      <w:pPr>
        <w:pStyle w:val="Style26"/>
        <w:rPr>
          <w:sz w:val="22"/>
          <w:szCs w:val="22"/>
        </w:rPr>
      </w:pPr>
      <w:r>
        <w:rPr>
          <w:sz w:val="22"/>
          <w:szCs w:val="22"/>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sz w:val="22"/>
          <w:szCs w:val="22"/>
          <w:lang w:val="en-US"/>
        </w:rPr>
        <w:t> </w:t>
      </w:r>
      <w:r>
        <w:rPr>
          <w:sz w:val="22"/>
          <w:szCs w:val="22"/>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sz w:val="22"/>
          <w:szCs w:val="22"/>
          <w:lang w:val="en-US"/>
        </w:rPr>
        <w:t> </w:t>
      </w:r>
      <w:r>
        <w:rPr>
          <w:sz w:val="22"/>
          <w:szCs w:val="22"/>
        </w:rPr>
        <w:t>(трех) рабочих дней с даты официального размещения Организатором итогового протокола по результатам закупки.</w:t>
      </w:r>
    </w:p>
    <w:p>
      <w:pPr>
        <w:pStyle w:val="Style26"/>
        <w:rPr>
          <w:sz w:val="22"/>
          <w:szCs w:val="22"/>
        </w:rPr>
      </w:pPr>
      <w:r>
        <w:rPr>
          <w:sz w:val="22"/>
          <w:szCs w:val="22"/>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rPr>
          <w:sz w:val="22"/>
          <w:szCs w:val="22"/>
        </w:rPr>
      </w:pPr>
      <w:r>
        <w:rPr>
          <w:sz w:val="22"/>
          <w:szCs w:val="22"/>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rPr>
          <w:sz w:val="22"/>
          <w:szCs w:val="22"/>
        </w:rPr>
      </w:pPr>
      <w:r>
        <w:rPr>
          <w:sz w:val="22"/>
          <w:szCs w:val="22"/>
        </w:rPr>
        <w:t xml:space="preserve">Форма «Заверение об обстоятельствах» приведена в отдельном файле в формате </w:t>
      </w:r>
      <w:r>
        <w:rPr>
          <w:sz w:val="22"/>
          <w:szCs w:val="22"/>
          <w:lang w:val="en-US"/>
        </w:rPr>
        <w:t>Microsoft</w:t>
      </w:r>
      <w:r>
        <w:rPr>
          <w:sz w:val="22"/>
          <w:szCs w:val="22"/>
        </w:rPr>
        <w:t xml:space="preserve"> </w:t>
      </w:r>
      <w:r>
        <w:rPr>
          <w:sz w:val="22"/>
          <w:szCs w:val="22"/>
          <w:lang w:val="en-US"/>
        </w:rPr>
        <w:t>Word</w:t>
      </w:r>
      <w:r>
        <w:rPr>
          <w:sz w:val="22"/>
          <w:szCs w:val="22"/>
        </w:rPr>
        <w:t>:</w:t>
      </w:r>
      <w:bookmarkStart w:id="349" w:name="_MON_1741074184"/>
    </w:p>
    <w:p>
      <w:pPr>
        <w:pStyle w:val="Style30"/>
        <w:spacing w:before="120" w:after="120"/>
        <w:jc w:val="center"/>
        <w:rPr>
          <w:sz w:val="22"/>
          <w:szCs w:val="22"/>
        </w:rPr>
      </w:pPr>
      <w:bookmarkEnd w:id="349"/>
      <w:r>
        <w:rPr/>
        <w:object>
          <v:shapetype id="_x0000_tole_rId26" coordsize="21600,21600" o:spt="ole_rId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 type="_x0000_tole_rId26" style="width:78.9pt;height:49.55pt;mso-wrap-distance-right:0pt;mso-wrap-distance-bottom:6pt" filled="f" o:ole="">
            <v:imagedata r:id="rId27" o:title=""/>
          </v:shape>
          <o:OLEObject Type="Embed" ProgID="Word.Document.12" ShapeID="ole_rId26" DrawAspect="Icon" ObjectID="_1049230820" r:id="rId26"/>
        </w:object>
      </w:r>
    </w:p>
    <w:p>
      <w:pPr>
        <w:pStyle w:val="Style24"/>
        <w:rPr>
          <w:sz w:val="22"/>
          <w:szCs w:val="22"/>
        </w:rPr>
      </w:pPr>
      <w:bookmarkStart w:id="350" w:name="_Ref125362900"/>
      <w:bookmarkStart w:id="351" w:name="_Ref125362865"/>
      <w:bookmarkStart w:id="352" w:name="_Toc224744372"/>
      <w:bookmarkStart w:id="353" w:name="Прил06_СоставЗаявки"/>
      <w:bookmarkEnd w:id="353"/>
      <w:r>
        <w:rPr>
          <w:sz w:val="22"/>
          <w:szCs w:val="22"/>
        </w:rPr>
        <w:t>Приложение № 6 – Состав заявки</w:t>
      </w:r>
      <w:bookmarkEnd w:id="350"/>
      <w:bookmarkEnd w:id="351"/>
      <w:bookmarkEnd w:id="352"/>
    </w:p>
    <w:p>
      <w:pPr>
        <w:pStyle w:val="Style25"/>
        <w:rPr>
          <w:sz w:val="22"/>
          <w:szCs w:val="22"/>
        </w:rPr>
      </w:pPr>
      <w:bookmarkStart w:id="354" w:name="_Toc224744373"/>
      <w:r>
        <w:rPr>
          <w:sz w:val="22"/>
          <w:szCs w:val="22"/>
        </w:rPr>
        <w:t>Состав заявки</w:t>
      </w:r>
      <w:bookmarkEnd w:id="354"/>
    </w:p>
    <w:p>
      <w:pPr>
        <w:pStyle w:val="Style26"/>
        <w:spacing w:before="120" w:after="120"/>
        <w:rPr/>
      </w:pPr>
      <w:r>
        <w:rPr>
          <w:sz w:val="22"/>
          <w:szCs w:val="22"/>
        </w:rPr>
        <w:t>Заявка на участие в закупке должна содержать следующий комплект документов (</w:t>
      </w:r>
      <w:bookmarkStart w:id="355" w:name="_Hlk207818365"/>
      <w:r>
        <w:rPr>
          <w:sz w:val="22"/>
          <w:szCs w:val="22"/>
        </w:rPr>
        <w:t>по установленным формам и в соответствии с инструкциями, приведенными</w:t>
      </w:r>
      <w:bookmarkEnd w:id="355"/>
      <w:r>
        <w:rPr>
          <w:sz w:val="22"/>
          <w:szCs w:val="22"/>
        </w:rPr>
        <w:t xml:space="preserve"> в </w:t>
      </w:r>
      <w:hyperlink w:anchor="Прил04_ФормыЗаявки">
        <w:r>
          <w:rPr>
            <w:rStyle w:val="Style14"/>
            <w:sz w:val="22"/>
            <w:szCs w:val="22"/>
          </w:rPr>
          <w:t>Приложении № 4</w:t>
        </w:r>
      </w:hyperlink>
      <w:r>
        <w:rPr>
          <w:sz w:val="22"/>
          <w:szCs w:val="22"/>
        </w:rPr>
        <w:t>):</w:t>
      </w:r>
    </w:p>
    <w:tbl>
      <w:tblPr>
        <w:tblStyle w:val="af6"/>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Наименование документа</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2"/>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4"/>
                  <w:rFonts w:eastAsia="Calibri" w:cs=""/>
                  <w:kern w:val="0"/>
                  <w:sz w:val="22"/>
                  <w:szCs w:val="22"/>
                  <w:lang w:val="ru-RU" w:eastAsia="en-US" w:bidi="ar-SA"/>
                </w:rPr>
                <w:t>Техническими требованиями (Приложение № 1)</w:t>
              </w:r>
            </w:hyperlink>
            <w:r>
              <w:rPr>
                <w:rFonts w:eastAsia="Calibri" w:cs=""/>
                <w:kern w:val="0"/>
                <w:sz w:val="22"/>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2"/>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2"/>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Normal"/>
              <w:widowControl w:val="false"/>
              <w:suppressAutoHyphens w:val="true"/>
              <w:spacing w:before="120" w:after="0"/>
              <w:jc w:val="both"/>
              <w:rPr/>
            </w:pPr>
            <w:r>
              <w:rPr>
                <w:rFonts w:eastAsia="Calibri" w:cs=""/>
                <w:kern w:val="0"/>
                <w:sz w:val="22"/>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2"/>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_Ref125709153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2"/>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_Ref125709777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Fonts w:eastAsia="Calibri" w:cs=""/>
                <w:kern w:val="0"/>
                <w:sz w:val="22"/>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_Ref125361702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3.2</w:t>
            </w:r>
            <w:r>
              <w:rPr>
                <w:sz w:val="22"/>
                <w:kern w:val="0"/>
                <w:szCs w:val="22"/>
                <w:rFonts w:eastAsia="Calibri" w:cs=""/>
                <w:lang w:val="ru-RU" w:eastAsia="en-US" w:bidi="ar-SA"/>
              </w:rPr>
              <w:fldChar w:fldCharType="end"/>
            </w:r>
            <w:r>
              <w:rPr>
                <w:rFonts w:eastAsia="Calibri" w:cs=""/>
                <w:kern w:val="0"/>
                <w:sz w:val="22"/>
                <w:szCs w:val="22"/>
                <w:lang w:val="ru-RU" w:eastAsia="en-US" w:bidi="ar-SA"/>
              </w:rPr>
              <w:t>), а именно:</w:t>
            </w:r>
          </w:p>
          <w:p>
            <w:pPr>
              <w:pStyle w:val="Style30"/>
              <w:widowControl w:val="false"/>
              <w:numPr>
                <w:ilvl w:val="0"/>
                <w:numId w:val="8"/>
              </w:numPr>
              <w:suppressAutoHyphens w:val="true"/>
              <w:spacing w:before="60" w:after="60"/>
              <w:ind w:hanging="284" w:left="284"/>
              <w:rPr/>
            </w:pPr>
            <w:r>
              <w:rPr>
                <w:rFonts w:eastAsia="Calibri" w:cs=""/>
                <w:kern w:val="0"/>
                <w:sz w:val="22"/>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p>
            <w:pPr>
              <w:pStyle w:val="Style30"/>
              <w:widowControl w:val="false"/>
              <w:numPr>
                <w:ilvl w:val="0"/>
                <w:numId w:val="8"/>
              </w:numPr>
              <w:suppressAutoHyphens w:val="true"/>
              <w:spacing w:before="60" w:after="60"/>
              <w:ind w:hanging="284" w:left="284"/>
              <w:rPr/>
            </w:pPr>
            <w:r>
              <w:rPr>
                <w:rFonts w:eastAsia="Calibri" w:cs=""/>
                <w:kern w:val="0"/>
                <w:sz w:val="22"/>
                <w:szCs w:val="22"/>
                <w:lang w:val="ru-RU" w:eastAsia="en-US" w:bidi="ar-SA"/>
              </w:rPr>
              <w:t>прочие документы, определенные в подразделе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_Ref125709777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hyperlink w:anchor="Прил03_ТребованияУчастникам">
              <w:r>
                <w:rPr>
                  <w:rStyle w:val="Style14"/>
                  <w:rFonts w:eastAsia="Calibri" w:cs=""/>
                  <w:kern w:val="0"/>
                  <w:sz w:val="22"/>
                  <w:szCs w:val="22"/>
                  <w:lang w:val="ru-RU" w:eastAsia="en-US" w:bidi="ar-SA"/>
                </w:rPr>
                <w:t>Приложения № 3</w:t>
              </w:r>
            </w:hyperlink>
            <w:r>
              <w:rPr>
                <w:rStyle w:val="Style14"/>
                <w:rFonts w:eastAsia="Calibri" w:cs=""/>
                <w:kern w:val="0"/>
                <w:sz w:val="22"/>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2"/>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xml:space="preserve"> – предоставляются, если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xml:space="preserve"> было установлено соответствующее требование.</w:t>
            </w:r>
          </w:p>
        </w:tc>
      </w:tr>
    </w:tbl>
    <w:p>
      <w:pPr>
        <w:sectPr>
          <w:headerReference w:type="default" r:id="rId28"/>
          <w:headerReference w:type="first" r:id="rId29"/>
          <w:footerReference w:type="default" r:id="rId30"/>
          <w:footerReference w:type="first" r:id="rId3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rStyle w:val="Style11"/>
          <w:i w:val="false"/>
          <w:iCs w:val="false"/>
          <w:sz w:val="22"/>
          <w:szCs w:val="22"/>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sz w:val="22"/>
          <w:szCs w:val="22"/>
        </w:rPr>
      </w:pPr>
      <w:bookmarkStart w:id="356" w:name="_Toc224744374"/>
      <w:bookmarkStart w:id="357" w:name="_Ref125365264"/>
      <w:bookmarkStart w:id="358" w:name="Прил07_ОтборочныеКритерии"/>
      <w:bookmarkEnd w:id="358"/>
      <w:r>
        <w:rPr>
          <w:sz w:val="22"/>
          <w:szCs w:val="22"/>
        </w:rPr>
        <w:t>Приложение № 7 – Отборочные критерии рассмотрения заявок</w:t>
      </w:r>
      <w:bookmarkEnd w:id="356"/>
      <w:bookmarkEnd w:id="357"/>
    </w:p>
    <w:p>
      <w:pPr>
        <w:pStyle w:val="Style25"/>
        <w:spacing w:before="360" w:after="120"/>
        <w:rPr/>
      </w:pPr>
      <w:bookmarkStart w:id="359" w:name="_Toc224744375"/>
      <w:r>
        <w:rPr>
          <w:rStyle w:val="Style11"/>
          <w:i w:val="false"/>
          <w:iCs w:val="false"/>
          <w:sz w:val="22"/>
          <w:szCs w:val="22"/>
          <w:shd w:fill="auto" w:val="clear"/>
        </w:rPr>
        <w:t>Отборочные критерии рассмотрения заявок</w:t>
      </w:r>
      <w:bookmarkEnd w:id="359"/>
    </w:p>
    <w:tbl>
      <w:tblPr>
        <w:tblStyle w:val="af6"/>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Номер критерия</w:t>
            </w:r>
          </w:p>
        </w:tc>
        <w:tc>
          <w:tcPr>
            <w:tcW w:w="8506" w:type="dxa"/>
            <w:tcBorders/>
          </w:tcPr>
          <w:p>
            <w:pPr>
              <w:pStyle w:val="Style30"/>
              <w:keepNext w:val="tru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Наименование отборочного критерия</w:t>
            </w:r>
          </w:p>
        </w:tc>
        <w:tc>
          <w:tcPr>
            <w:tcW w:w="3117" w:type="dxa"/>
            <w:tcBorders/>
          </w:tcPr>
          <w:p>
            <w:pPr>
              <w:pStyle w:val="Style30"/>
              <w:keepNext w:val="tru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Номер пункта Документации о закупке</w:t>
            </w:r>
          </w:p>
        </w:tc>
        <w:tc>
          <w:tcPr>
            <w:tcW w:w="2090" w:type="dxa"/>
            <w:tcBorders/>
          </w:tcPr>
          <w:p>
            <w:pPr>
              <w:pStyle w:val="Style30"/>
              <w:keepNext w:val="true"/>
              <w:keepLines w:val="false"/>
              <w:widowControl w:val="false"/>
              <w:suppressAutoHyphens w:val="true"/>
              <w:spacing w:before="60" w:after="60"/>
              <w:jc w:val="center"/>
              <w:rPr>
                <w:sz w:val="22"/>
                <w:szCs w:val="22"/>
              </w:rPr>
            </w:pPr>
            <w:r>
              <w:rPr>
                <w:rFonts w:eastAsia="Calibri" w:cs=""/>
                <w:b/>
                <w:kern w:val="0"/>
                <w:sz w:val="22"/>
                <w:szCs w:val="22"/>
                <w:lang w:val="ru-RU" w:eastAsia="en-US" w:bidi="ar-SA"/>
              </w:rPr>
              <w:t>Направления оценки заявок*</w:t>
            </w:r>
          </w:p>
        </w:tc>
      </w:tr>
      <w:tr>
        <w:trPr/>
        <w:tc>
          <w:tcPr>
            <w:tcW w:w="9918" w:type="dxa"/>
            <w:gridSpan w:val="2"/>
            <w:tcBorders/>
          </w:tcPr>
          <w:p>
            <w:pPr>
              <w:pStyle w:val="Style30"/>
              <w:keepNext w:val="true"/>
              <w:widowControl w:val="false"/>
              <w:suppressAutoHyphens w:val="true"/>
              <w:spacing w:before="60" w:after="60"/>
              <w:rPr>
                <w:sz w:val="22"/>
                <w:szCs w:val="22"/>
              </w:rPr>
            </w:pPr>
            <w:r>
              <w:rPr>
                <w:rFonts w:eastAsia="Calibri" w:cs=""/>
                <w:b/>
                <w:bCs/>
                <w:kern w:val="0"/>
                <w:sz w:val="22"/>
                <w:szCs w:val="22"/>
                <w:lang w:val="ru-RU" w:eastAsia="en-US" w:bidi="ar-SA"/>
              </w:rPr>
              <w:t>Состав заявки и правильность ее оформления, в том числе:</w:t>
            </w:r>
          </w:p>
        </w:tc>
        <w:tc>
          <w:tcPr>
            <w:tcW w:w="3117" w:type="dxa"/>
            <w:tcBorders/>
          </w:tcPr>
          <w:p>
            <w:pPr>
              <w:pStyle w:val="Style30"/>
              <w:widowControl w:val="false"/>
              <w:suppressAutoHyphens w:val="true"/>
              <w:spacing w:before="60" w:after="60"/>
              <w:jc w:val="center"/>
              <w:rPr>
                <w:sz w:val="22"/>
                <w:szCs w:val="22"/>
              </w:rPr>
            </w:pPr>
            <w:r>
              <w:rPr>
                <w:rFonts w:eastAsia="Calibri" w:cs=""/>
                <w:b/>
                <w:b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b/>
                <w:bCs/>
                <w:kern w:val="0"/>
                <w:sz w:val="22"/>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2"/>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Style14"/>
                  <w:rFonts w:eastAsia="Calibri" w:cs=""/>
                  <w:kern w:val="0"/>
                  <w:sz w:val="22"/>
                  <w:szCs w:val="22"/>
                  <w:lang w:val="ru-RU" w:eastAsia="en-US" w:bidi="ar-SA"/>
                </w:rPr>
                <w:t>Приложения № 6 «Состав заявки»</w:t>
              </w:r>
            </w:hyperlink>
            <w:r>
              <w:rPr>
                <w:rFonts w:eastAsia="Calibri" w:cs=""/>
                <w:kern w:val="0"/>
                <w:sz w:val="22"/>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_Ref125362119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4.6</w:t>
            </w:r>
            <w:r>
              <w:rPr>
                <w:sz w:val="22"/>
                <w:kern w:val="0"/>
                <w:szCs w:val="22"/>
                <w:rFonts w:eastAsia="Calibri" w:cs=""/>
                <w:lang w:val="ru-RU" w:eastAsia="en-US" w:bidi="ar-SA"/>
              </w:rPr>
              <w:fldChar w:fldCharType="end"/>
            </w:r>
            <w:r>
              <w:rPr>
                <w:rFonts w:eastAsia="Calibri" w:cs=""/>
                <w:kern w:val="0"/>
                <w:sz w:val="22"/>
                <w:szCs w:val="22"/>
                <w:lang w:val="ru-RU" w:eastAsia="en-US" w:bidi="ar-SA"/>
              </w:rPr>
              <w:t>,</w:t>
              <w:br/>
            </w:r>
            <w:hyperlink w:anchor="Прил06_СоставЗаявки">
              <w:r>
                <w:rPr>
                  <w:rStyle w:val="Style14"/>
                  <w:rFonts w:eastAsia="Calibri" w:cs=""/>
                  <w:kern w:val="0"/>
                  <w:sz w:val="22"/>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 Тех,</w:t>
              <w:br/>
              <w:t>Цена, Юр</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_Ref125359973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_Ref130455226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4.16</w:t>
            </w:r>
            <w:r>
              <w:rPr>
                <w:sz w:val="22"/>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 – в части наличия сведений в реестре,</w:t>
            </w:r>
          </w:p>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Фин – в части соответствия</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_Ref135749133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4.9</w:t>
            </w:r>
            <w:r>
              <w:rPr>
                <w:sz w:val="22"/>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 Тех,</w:t>
              <w:br/>
              <w:t>Цена, Юр</w:t>
            </w:r>
          </w:p>
        </w:tc>
      </w:tr>
      <w:tr>
        <w:trPr/>
        <w:tc>
          <w:tcPr>
            <w:tcW w:w="9918" w:type="dxa"/>
            <w:gridSpan w:val="2"/>
            <w:tcBorders/>
          </w:tcPr>
          <w:p>
            <w:pPr>
              <w:pStyle w:val="Style30"/>
              <w:keepNext w:val="true"/>
              <w:widowControl w:val="false"/>
              <w:suppressAutoHyphens w:val="true"/>
              <w:spacing w:before="60" w:after="60"/>
              <w:rPr>
                <w:sz w:val="22"/>
                <w:szCs w:val="22"/>
              </w:rPr>
            </w:pPr>
            <w:r>
              <w:rPr>
                <w:rFonts w:eastAsia="Calibri" w:cs=""/>
                <w:b/>
                <w:bCs/>
                <w:kern w:val="0"/>
                <w:sz w:val="22"/>
                <w:szCs w:val="22"/>
                <w:lang w:val="ru-RU" w:eastAsia="en-US" w:bidi="ar-SA"/>
              </w:rPr>
              <w:t>Соответствие Письма о подаче оферты:</w:t>
            </w:r>
          </w:p>
        </w:tc>
        <w:tc>
          <w:tcPr>
            <w:tcW w:w="3117" w:type="dxa"/>
            <w:tcBorders/>
          </w:tcPr>
          <w:p>
            <w:pPr>
              <w:pStyle w:val="Style30"/>
              <w:keepNext w:val="true"/>
              <w:widowControl w:val="false"/>
              <w:suppressAutoHyphens w:val="true"/>
              <w:spacing w:before="60" w:after="60"/>
              <w:jc w:val="center"/>
              <w:rPr>
                <w:sz w:val="22"/>
                <w:szCs w:val="22"/>
              </w:rPr>
            </w:pPr>
            <w:r>
              <w:rPr>
                <w:rFonts w:eastAsia="Calibri" w:cs=""/>
                <w:b/>
                <w:bCs/>
                <w:kern w:val="0"/>
                <w:sz w:val="22"/>
                <w:szCs w:val="22"/>
                <w:lang w:val="ru-RU" w:eastAsia="en-US" w:bidi="ar-SA"/>
              </w:rPr>
              <w:t>–</w:t>
            </w:r>
          </w:p>
        </w:tc>
        <w:tc>
          <w:tcPr>
            <w:tcW w:w="2090" w:type="dxa"/>
            <w:tcBorders/>
          </w:tcPr>
          <w:p>
            <w:pPr>
              <w:pStyle w:val="Style30"/>
              <w:keepNext w:val="true"/>
              <w:widowControl w:val="false"/>
              <w:suppressAutoHyphens w:val="true"/>
              <w:spacing w:before="60" w:after="60"/>
              <w:jc w:val="center"/>
              <w:rPr>
                <w:sz w:val="22"/>
                <w:szCs w:val="22"/>
              </w:rPr>
            </w:pPr>
            <w:r>
              <w:rPr>
                <w:rFonts w:eastAsia="Calibri" w:cs=""/>
                <w:b/>
                <w:bCs/>
                <w:kern w:val="0"/>
                <w:sz w:val="22"/>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_Ref125362119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4.6</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4_ФормыЗаявки">
              <w:r>
                <w:rPr>
                  <w:rStyle w:val="Style14"/>
                  <w:rFonts w:eastAsia="Calibri" w:cs=""/>
                  <w:kern w:val="0"/>
                  <w:sz w:val="22"/>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w:t>
            </w:r>
          </w:p>
        </w:tc>
      </w:tr>
      <w:tr>
        <w:trPr/>
        <w:tc>
          <w:tcPr>
            <w:tcW w:w="9918" w:type="dxa"/>
            <w:gridSpan w:val="2"/>
            <w:tcBorders/>
          </w:tcPr>
          <w:p>
            <w:pPr>
              <w:pStyle w:val="Style30"/>
              <w:keepNext w:val="true"/>
              <w:widowControl w:val="false"/>
              <w:suppressAutoHyphens w:val="true"/>
              <w:spacing w:before="60" w:after="60"/>
              <w:rPr>
                <w:sz w:val="22"/>
                <w:szCs w:val="22"/>
              </w:rPr>
            </w:pPr>
            <w:r>
              <w:rPr>
                <w:rFonts w:eastAsia="Calibri" w:cs=""/>
                <w:b/>
                <w:bCs/>
                <w:kern w:val="0"/>
                <w:sz w:val="22"/>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30"/>
              <w:widowControl w:val="false"/>
              <w:suppressAutoHyphens w:val="true"/>
              <w:spacing w:before="60" w:after="60"/>
              <w:jc w:val="center"/>
              <w:rPr>
                <w:sz w:val="22"/>
                <w:szCs w:val="22"/>
              </w:rPr>
            </w:pPr>
            <w:r>
              <w:rPr>
                <w:rFonts w:eastAsia="Calibri" w:cs=""/>
                <w:b/>
                <w:b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b/>
                <w:bCs/>
                <w:kern w:val="0"/>
                <w:sz w:val="22"/>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Участника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_Ref125552433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обязательных требований к Участникам</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
                <w:i/>
                <w:iCs/>
                <w:kern w:val="0"/>
                <w:sz w:val="22"/>
                <w:szCs w:val="22"/>
                <w:lang w:val="en-US" w:eastAsia="en-US" w:bidi="ar-SA"/>
              </w:rPr>
              <w:t> </w:t>
            </w:r>
            <w:r>
              <w:rPr>
                <w:rFonts w:eastAsia="Calibri" w:cs=""/>
                <w:i/>
                <w:iCs/>
                <w:kern w:val="0"/>
                <w:sz w:val="22"/>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_Ref138232981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5.2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 Юр</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Участника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_Ref149558364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2</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обязательных требований к Участникам</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Участника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_Ref139028406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обязательных требований к Участникам</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Участника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_Ref186221603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обязательных требований к Участникам</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_Ref186221375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4.12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 xml:space="preserve">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_Ref186221375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4.12</w:t>
            </w:r>
            <w:r>
              <w:rPr>
                <w:sz w:val="22"/>
                <w:kern w:val="0"/>
                <w:szCs w:val="22"/>
                <w:rFonts w:eastAsia="Calibri" w:cs=""/>
                <w:lang w:val="ru-RU" w:eastAsia="en-US" w:bidi="ar-SA"/>
              </w:rPr>
              <w:fldChar w:fldCharType="end"/>
            </w:r>
            <w:r>
              <w:rPr>
                <w:rFonts w:eastAsia="Calibri" w:cs=""/>
                <w:kern w:val="0"/>
                <w:sz w:val="22"/>
                <w:szCs w:val="22"/>
                <w:lang w:val="ru-RU" w:eastAsia="en-US" w:bidi="ar-SA"/>
              </w:rPr>
              <w:t>,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Участника пункту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_Ref186221607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5</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обязательных требований к Участникам</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_Ref186221375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4.12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 xml:space="preserve">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_Ref186221375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4.12</w:t>
            </w:r>
            <w:r>
              <w:rPr>
                <w:sz w:val="22"/>
                <w:kern w:val="0"/>
                <w:szCs w:val="22"/>
                <w:rFonts w:eastAsia="Calibri" w:cs=""/>
                <w:lang w:val="ru-RU" w:eastAsia="en-US" w:bidi="ar-SA"/>
              </w:rPr>
              <w:fldChar w:fldCharType="end"/>
            </w:r>
            <w:r>
              <w:rPr>
                <w:rFonts w:eastAsia="Calibri" w:cs=""/>
                <w:kern w:val="0"/>
                <w:sz w:val="22"/>
                <w:szCs w:val="22"/>
                <w:lang w:val="ru-RU" w:eastAsia="en-US" w:bidi="ar-SA"/>
              </w:rPr>
              <w:t>,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_Ref125361435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8.2</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_Ref125361442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8.3</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_Ref125359973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1.2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_Ref125361702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3.2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r>
              <w:rPr>
                <w:rFonts w:eastAsia="Calibri" w:cs=""/>
                <w:kern w:val="0"/>
                <w:sz w:val="22"/>
                <w:szCs w:val="22"/>
                <w:lang w:val="ru-RU" w:eastAsia="en-US" w:bidi="ar-SA"/>
              </w:rPr>
              <w:t xml:space="preserve"> </w:t>
            </w:r>
            <w:r>
              <w:rPr>
                <w:rFonts w:eastAsia="Calibri" w:cs=""/>
                <w:i/>
                <w:iCs/>
                <w:kern w:val="0"/>
                <w:sz w:val="22"/>
                <w:szCs w:val="22"/>
                <w:lang w:val="ru-RU" w:eastAsia="en-US" w:bidi="ar-SA"/>
              </w:rPr>
              <w:t>и заявка подана от его лица)</w:t>
            </w:r>
          </w:p>
        </w:tc>
        <w:tc>
          <w:tcPr>
            <w:tcW w:w="3117" w:type="dxa"/>
            <w:tcBorders/>
          </w:tcPr>
          <w:p>
            <w:pPr>
              <w:pStyle w:val="Style30"/>
              <w:widowControl w:val="false"/>
              <w:suppressAutoHyphens w:val="true"/>
              <w:spacing w:before="60" w:after="60"/>
              <w:jc w:val="center"/>
              <w:rPr>
                <w:sz w:val="22"/>
                <w:szCs w:val="22"/>
              </w:rPr>
            </w:pPr>
            <w:r>
              <w:rPr>
                <w:rFonts w:eastAsia="Calibri" w:cs=""/>
                <w:b/>
                <w:b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b/>
                <w:bCs/>
                <w:kern w:val="0"/>
                <w:sz w:val="22"/>
                <w:szCs w:val="22"/>
                <w:lang w:val="ru-RU" w:eastAsia="en-US" w:bidi="ar-SA"/>
              </w:rPr>
              <w:t>–</w:t>
            </w:r>
          </w:p>
        </w:tc>
      </w:tr>
      <w:tr>
        <w:trPr/>
        <w:tc>
          <w:tcPr>
            <w:tcW w:w="1412" w:type="dxa"/>
            <w:tcBorders/>
          </w:tcPr>
          <w:p>
            <w:pPr>
              <w:pStyle w:val="Style30"/>
              <w:widowControl w:val="false"/>
              <w:numPr>
                <w:ilvl w:val="1"/>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numPr>
                <w:ilvl w:val="0"/>
                <w:numId w:val="8"/>
              </w:numPr>
              <w:suppressAutoHyphens w:val="true"/>
              <w:spacing w:before="60" w:after="60"/>
              <w:ind w:hanging="284" w:left="284"/>
              <w:rPr>
                <w:sz w:val="22"/>
                <w:szCs w:val="22"/>
              </w:rPr>
            </w:pPr>
            <w:r>
              <w:rPr>
                <w:rFonts w:eastAsia="Calibri" w:cs=""/>
                <w:kern w:val="0"/>
                <w:sz w:val="22"/>
                <w:szCs w:val="22"/>
                <w:lang w:val="ru-RU" w:eastAsia="en-US" w:bidi="ar-SA"/>
              </w:rPr>
              <w:t>в части требований пунктов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_Ref125370187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1</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_Ref125553847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3</w:t>
            </w:r>
            <w:r>
              <w:rPr>
                <w:sz w:val="22"/>
                <w:kern w:val="0"/>
                <w:szCs w:val="22"/>
                <w:rFonts w:eastAsia="Calibri" w:cs=""/>
                <w:lang w:val="ru-RU" w:eastAsia="en-US" w:bidi="ar-SA"/>
              </w:rPr>
              <w:fldChar w:fldCharType="end"/>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_Ref125709777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Тех</w:t>
            </w:r>
          </w:p>
        </w:tc>
      </w:tr>
      <w:tr>
        <w:trPr/>
        <w:tc>
          <w:tcPr>
            <w:tcW w:w="1412" w:type="dxa"/>
            <w:tcBorders/>
          </w:tcPr>
          <w:p>
            <w:pPr>
              <w:pStyle w:val="Style30"/>
              <w:widowControl w:val="false"/>
              <w:numPr>
                <w:ilvl w:val="1"/>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numPr>
                <w:ilvl w:val="0"/>
                <w:numId w:val="8"/>
              </w:numPr>
              <w:suppressAutoHyphens w:val="true"/>
              <w:spacing w:before="60" w:after="60"/>
              <w:ind w:hanging="284" w:left="284"/>
              <w:rPr>
                <w:sz w:val="22"/>
                <w:szCs w:val="22"/>
              </w:rPr>
            </w:pPr>
            <w:r>
              <w:rPr>
                <w:rFonts w:eastAsia="Calibri" w:cs=""/>
                <w:kern w:val="0"/>
                <w:sz w:val="22"/>
                <w:szCs w:val="22"/>
                <w:lang w:val="ru-RU" w:eastAsia="en-US" w:bidi="ar-SA"/>
              </w:rPr>
              <w:t>в части требований пункта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_Ref125370193 \w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2</w:t>
            </w:r>
            <w:r>
              <w:rPr>
                <w:sz w:val="22"/>
                <w:kern w:val="0"/>
                <w:szCs w:val="22"/>
                <w:rFonts w:eastAsia="Calibri" w:cs=""/>
                <w:lang w:val="ru-RU" w:eastAsia="en-US" w:bidi="ar-SA"/>
              </w:rPr>
              <w:fldChar w:fldCharType="end"/>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_Ref125709777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8.4</w:t>
            </w:r>
            <w:r>
              <w:rPr>
                <w:sz w:val="22"/>
                <w:kern w:val="0"/>
                <w:szCs w:val="22"/>
                <w:rFonts w:eastAsia="Calibri" w:cs=""/>
                <w:lang w:val="ru-RU" w:eastAsia="en-US" w:bidi="ar-SA"/>
              </w:rPr>
              <w:fldChar w:fldCharType="end"/>
            </w:r>
            <w:r>
              <w:rPr>
                <w:rFonts w:eastAsia="Calibri" w:cs=""/>
                <w:kern w:val="0"/>
                <w:sz w:val="22"/>
                <w:szCs w:val="22"/>
                <w:lang w:val="ru-RU" w:eastAsia="en-US" w:bidi="ar-SA"/>
              </w:rPr>
              <w:br/>
              <w:t>(</w:t>
            </w:r>
            <w:hyperlink w:anchor="Прил03_ТребованияУчастникам">
              <w:r>
                <w:rPr>
                  <w:rStyle w:val="Style14"/>
                  <w:rFonts w:eastAsia="Calibri" w:cs=""/>
                  <w:kern w:val="0"/>
                  <w:sz w:val="22"/>
                  <w:szCs w:val="22"/>
                  <w:lang w:val="ru-RU" w:eastAsia="en-US" w:bidi="ar-SA"/>
                </w:rPr>
                <w:t>Приложение № 3</w:t>
              </w:r>
            </w:hyperlink>
            <w:r>
              <w:rPr>
                <w:rFonts w:eastAsia="Calibri" w: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Орг, Тех</w:t>
            </w:r>
          </w:p>
        </w:tc>
      </w:tr>
      <w:tr>
        <w:trPr/>
        <w:tc>
          <w:tcPr>
            <w:tcW w:w="9918" w:type="dxa"/>
            <w:gridSpan w:val="2"/>
            <w:tcBorders/>
          </w:tcPr>
          <w:p>
            <w:pPr>
              <w:pStyle w:val="Style30"/>
              <w:keepNext w:val="true"/>
              <w:widowControl w:val="false"/>
              <w:suppressAutoHyphens w:val="true"/>
              <w:spacing w:before="60" w:after="60"/>
              <w:rPr/>
            </w:pPr>
            <w:r>
              <w:rPr>
                <w:rFonts w:eastAsia="Calibri" w:cs=""/>
                <w:b/>
                <w:bCs/>
                <w:kern w:val="0"/>
                <w:sz w:val="22"/>
                <w:szCs w:val="22"/>
                <w:lang w:val="ru-RU" w:eastAsia="en-US" w:bidi="ar-SA"/>
              </w:rPr>
              <w:t xml:space="preserve">Соответствие Технического предложения Участника </w:t>
            </w:r>
            <w:hyperlink w:anchor="Прил01_ТехТребования">
              <w:r>
                <w:rPr>
                  <w:rStyle w:val="Style14"/>
                  <w:rFonts w:eastAsia="Calibri" w:cs=""/>
                  <w:b/>
                  <w:bCs/>
                  <w:kern w:val="0"/>
                  <w:sz w:val="22"/>
                  <w:szCs w:val="22"/>
                  <w:lang w:val="ru-RU" w:eastAsia="en-US" w:bidi="ar-SA"/>
                </w:rPr>
                <w:t>Техническим требованиям (Приложение № 1)</w:t>
              </w:r>
            </w:hyperlink>
            <w:r>
              <w:rPr>
                <w:rFonts w:eastAsia="Calibri" w:cs=""/>
                <w:b/>
                <w:bCs/>
                <w:kern w:val="0"/>
                <w:sz w:val="22"/>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sz w:val="22"/>
                <w:szCs w:val="22"/>
              </w:rPr>
            </w:pPr>
            <w:r>
              <w:rPr>
                <w:rFonts w:eastAsia="Calibri" w:cs=""/>
                <w:b/>
                <w:bCs/>
                <w:kern w:val="0"/>
                <w:sz w:val="22"/>
                <w:szCs w:val="22"/>
                <w:lang w:val="ru-RU" w:eastAsia="en-US" w:bidi="ar-SA"/>
              </w:rPr>
              <w:t>–</w:t>
            </w:r>
          </w:p>
        </w:tc>
        <w:tc>
          <w:tcPr>
            <w:tcW w:w="2090" w:type="dxa"/>
            <w:tcBorders/>
          </w:tcPr>
          <w:p>
            <w:pPr>
              <w:pStyle w:val="Style30"/>
              <w:keepNext w:val="true"/>
              <w:widowControl w:val="false"/>
              <w:suppressAutoHyphens w:val="true"/>
              <w:spacing w:before="60" w:after="60"/>
              <w:jc w:val="center"/>
              <w:rPr>
                <w:sz w:val="22"/>
                <w:szCs w:val="22"/>
              </w:rPr>
            </w:pPr>
            <w:r>
              <w:rPr>
                <w:rFonts w:eastAsia="Calibri" w:cs=""/>
                <w:b/>
                <w:bCs/>
                <w:kern w:val="0"/>
                <w:sz w:val="22"/>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(пункт применяется только в случае исполнения Заказчиком</w:t>
            </w:r>
            <w:r>
              <w:rPr>
                <w:rFonts w:eastAsia="Calibri" w:cs=""/>
                <w:kern w:val="0"/>
                <w:sz w:val="22"/>
                <w:szCs w:val="22"/>
                <w:lang w:val="ru-RU" w:eastAsia="en-US" w:bidi="ar-SA"/>
              </w:rPr>
              <w:t xml:space="preserve"> </w:t>
            </w:r>
            <w:r>
              <w:rPr>
                <w:rFonts w:eastAsia="Calibri" w:cs=""/>
                <w:i/>
                <w:iCs/>
                <w:kern w:val="0"/>
                <w:sz w:val="22"/>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_Ref186221375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4.12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_Ref186221375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4.12</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2"/>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2"/>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_Ref186221375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4.12</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2"/>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xml:space="preserve"> и (или) в </w:t>
            </w:r>
            <w:hyperlink w:anchor="Прил02_ПроектДоговора">
              <w:r>
                <w:rPr>
                  <w:rStyle w:val="Style14"/>
                  <w:rFonts w:eastAsia="Calibri" w:cs=""/>
                  <w:kern w:val="0"/>
                  <w:sz w:val="22"/>
                  <w:szCs w:val="22"/>
                  <w:lang w:val="ru-RU" w:eastAsia="en-US" w:bidi="ar-SA"/>
                </w:rPr>
                <w:t>Проекте договора (Приложение № 2)</w:t>
              </w:r>
            </w:hyperlink>
            <w:r>
              <w:rPr>
                <w:rFonts w:eastAsia="Calibri" w:cs=""/>
                <w:kern w:val="0"/>
                <w:sz w:val="22"/>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2"/>
                  <w:szCs w:val="22"/>
                  <w:lang w:val="ru-RU" w:eastAsia="en-US" w:bidi="ar-SA"/>
                </w:rPr>
                <w:t>Приложение № 1</w:t>
              </w:r>
            </w:hyperlink>
            <w:r>
              <w:rPr>
                <w:rFonts w:eastAsia="Calibri" w:cs=""/>
                <w:kern w:val="0"/>
                <w:sz w:val="22"/>
                <w:szCs w:val="22"/>
                <w:lang w:val="ru-RU" w:eastAsia="en-US" w:bidi="ar-SA"/>
              </w:rPr>
              <w:t>,</w:t>
              <w:br/>
            </w:r>
            <w:hyperlink w:anchor="Прил02_ПроектДоговора">
              <w:r>
                <w:rPr>
                  <w:rStyle w:val="Style14"/>
                  <w:rFonts w:eastAsia="Calibri" w:cs=""/>
                  <w:kern w:val="0"/>
                  <w:sz w:val="22"/>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2"/>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xml:space="preserve"> и (или) в </w:t>
            </w:r>
            <w:hyperlink w:anchor="Прил02_ПроектДоговора">
              <w:r>
                <w:rPr>
                  <w:rStyle w:val="Style14"/>
                  <w:rFonts w:eastAsia="Calibri" w:cs=""/>
                  <w:kern w:val="0"/>
                  <w:sz w:val="22"/>
                  <w:szCs w:val="22"/>
                  <w:lang w:val="ru-RU" w:eastAsia="en-US" w:bidi="ar-SA"/>
                </w:rPr>
                <w:t>Проекте договора (Приложение № 2)</w:t>
              </w:r>
            </w:hyperlink>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2"/>
                  <w:szCs w:val="22"/>
                  <w:lang w:val="ru-RU" w:eastAsia="en-US" w:bidi="ar-SA"/>
                </w:rPr>
                <w:t>Приложение № 1</w:t>
              </w:r>
            </w:hyperlink>
            <w:r>
              <w:rPr>
                <w:rFonts w:eastAsia="Calibri" w:cs=""/>
                <w:kern w:val="0"/>
                <w:sz w:val="22"/>
                <w:szCs w:val="22"/>
                <w:lang w:val="ru-RU" w:eastAsia="en-US" w:bidi="ar-SA"/>
              </w:rPr>
              <w:t>,</w:t>
              <w:br/>
            </w:r>
            <w:hyperlink w:anchor="Прил02_ПроектДоговора">
              <w:r>
                <w:rPr>
                  <w:rStyle w:val="Style14"/>
                  <w:rFonts w:eastAsia="Calibri" w:cs=""/>
                  <w:kern w:val="0"/>
                  <w:sz w:val="22"/>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2"/>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r>
              <w:rPr>
                <w:rFonts w:eastAsia="Calibri" w:cs=""/>
                <w:kern w:val="0"/>
                <w:sz w:val="22"/>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sz w:val="22"/>
                <w:szCs w:val="22"/>
              </w:rPr>
            </w:pPr>
            <w:r>
              <w:rPr>
                <w:rFonts w:eastAsia="Calibri" w:cs=""/>
                <w:b/>
                <w:bCs/>
                <w:kern w:val="0"/>
                <w:sz w:val="22"/>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widowControl w:val="false"/>
              <w:suppressAutoHyphens w:val="true"/>
              <w:spacing w:before="60" w:after="60"/>
              <w:jc w:val="center"/>
              <w:rPr>
                <w:sz w:val="22"/>
                <w:szCs w:val="22"/>
              </w:rPr>
            </w:pPr>
            <w:r>
              <w:rPr>
                <w:rFonts w:eastAsia="Calibri" w:cs=""/>
                <w:b/>
                <w:bCs/>
                <w:kern w:val="0"/>
                <w:sz w:val="22"/>
                <w:szCs w:val="22"/>
                <w:lang w:val="ru-RU" w:eastAsia="en-US" w:bidi="ar-SA"/>
              </w:rPr>
              <w:t>–</w:t>
            </w:r>
          </w:p>
        </w:tc>
        <w:tc>
          <w:tcPr>
            <w:tcW w:w="2090" w:type="dxa"/>
            <w:tcBorders/>
          </w:tcPr>
          <w:p>
            <w:pPr>
              <w:pStyle w:val="Style30"/>
              <w:widowControl w:val="false"/>
              <w:suppressAutoHyphens w:val="true"/>
              <w:spacing w:before="60" w:after="60"/>
              <w:jc w:val="center"/>
              <w:rPr>
                <w:sz w:val="22"/>
                <w:szCs w:val="22"/>
              </w:rPr>
            </w:pPr>
            <w:r>
              <w:rPr>
                <w:rFonts w:eastAsia="Calibri" w:cs=""/>
                <w:b/>
                <w:bCs/>
                <w:kern w:val="0"/>
                <w:sz w:val="22"/>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sz w:val="22"/>
                <w:szCs w:val="22"/>
              </w:rPr>
            </w:pPr>
            <w:r>
              <w:rPr>
                <w:rFonts w:eastAsia="Calibri" w:cs=""/>
                <w:kern w:val="0"/>
                <w:sz w:val="22"/>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_Ref135749133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4.9</w:t>
            </w:r>
            <w:r>
              <w:rPr>
                <w:sz w:val="22"/>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2"/>
                <w:szCs w:val="22"/>
                <w:lang w:val="ru-RU" w:eastAsia="en-US" w:bidi="ar-SA"/>
              </w:rPr>
              <w:t>Приложение №1,</w:t>
              <w:br/>
            </w:r>
            <w:hyperlink w:anchor="Прил04_ФормыЗаявки">
              <w:r>
                <w:rPr>
                  <w:rStyle w:val="Style14"/>
                  <w:rFonts w:eastAsia="Calibri" w:cs=""/>
                  <w:kern w:val="0"/>
                  <w:sz w:val="22"/>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Цена</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2"/>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t>)</w:t>
            </w:r>
          </w:p>
          <w:p>
            <w:pPr>
              <w:pStyle w:val="Style30"/>
              <w:widowControl w:val="false"/>
              <w:suppressAutoHyphens w:val="true"/>
              <w:spacing w:before="60" w:after="60"/>
              <w:rPr>
                <w:sz w:val="22"/>
                <w:szCs w:val="22"/>
              </w:rPr>
            </w:pPr>
            <w:r>
              <w:rPr>
                <w:rFonts w:eastAsia="Calibri" w:cs=""/>
                <w:i/>
                <w:iCs/>
                <w:kern w:val="0"/>
                <w:sz w:val="22"/>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2"/>
                <w:szCs w:val="22"/>
                <w:lang w:val="ru-RU" w:eastAsia="en-US" w:bidi="ar-SA"/>
              </w:rPr>
              <w:fldChar w:fldCharType="begin"/>
            </w:r>
            <w:r>
              <w:rPr>
                <w:sz w:val="22"/>
                <w:i/>
                <w:kern w:val="0"/>
                <w:szCs w:val="22"/>
                <w:iCs/>
                <w:rFonts w:eastAsia="Calibri" w:cs=""/>
                <w:lang w:val="ru-RU" w:eastAsia="en-US" w:bidi="ar-SA"/>
              </w:rPr>
              <w:instrText xml:space="preserve"> REF _Ref186221375 \r \h </w:instrText>
            </w:r>
            <w:r>
              <w:rPr>
                <w:sz w:val="22"/>
                <w:i/>
                <w:kern w:val="0"/>
                <w:szCs w:val="22"/>
                <w:iCs/>
                <w:rFonts w:eastAsia="Calibri" w:cs=""/>
                <w:lang w:val="ru-RU" w:eastAsia="en-US" w:bidi="ar-SA"/>
              </w:rPr>
              <w:fldChar w:fldCharType="separate"/>
            </w:r>
            <w:r>
              <w:rPr>
                <w:sz w:val="22"/>
                <w:i/>
                <w:kern w:val="0"/>
                <w:szCs w:val="22"/>
                <w:iCs/>
                <w:rFonts w:eastAsia="Calibri" w:cs=""/>
                <w:lang w:val="ru-RU" w:eastAsia="en-US" w:bidi="ar-SA"/>
              </w:rPr>
              <w:t>4.12</w:t>
            </w:r>
            <w:r>
              <w:rPr>
                <w:sz w:val="22"/>
                <w:i/>
                <w:kern w:val="0"/>
                <w:szCs w:val="22"/>
                <w:iCs/>
                <w:rFonts w:eastAsia="Calibri" w:cs=""/>
                <w:lang w:val="ru-RU" w:eastAsia="en-US" w:bidi="ar-SA"/>
              </w:rPr>
              <w:fldChar w:fldCharType="end"/>
            </w:r>
            <w:r>
              <w:rPr>
                <w:rFonts w:eastAsia="Calibri" w:cs=""/>
                <w:i/>
                <w:iCs/>
                <w:kern w:val="0"/>
                <w:sz w:val="22"/>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2"/>
                <w:szCs w:val="22"/>
                <w:lang w:val="ru-RU" w:eastAsia="en-US" w:bidi="ar-SA"/>
              </w:rPr>
              <w:t>подразделы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_Ref130394681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4.3</w:t>
            </w:r>
            <w:r>
              <w:rPr>
                <w:sz w:val="22"/>
                <w:kern w:val="0"/>
                <w:szCs w:val="22"/>
                <w:rFonts w:eastAsia="Calibri" w:cs=""/>
                <w:lang w:val="ru-RU" w:eastAsia="en-US" w:bidi="ar-SA"/>
              </w:rPr>
              <w:fldChar w:fldCharType="end"/>
            </w:r>
            <w:r>
              <w:rPr>
                <w:rFonts w:eastAsia="Calibri" w:cs=""/>
                <w:kern w:val="0"/>
                <w:sz w:val="22"/>
                <w:szCs w:val="22"/>
                <w:lang w:val="ru-RU" w:eastAsia="en-US" w:bidi="ar-SA"/>
              </w:rPr>
              <w:t xml:space="preserve">, </w:t>
            </w:r>
            <w:r>
              <w:rPr>
                <w:rFonts w:eastAsia="Calibri" w:cs=""/>
                <w:kern w:val="0"/>
                <w:sz w:val="22"/>
                <w:szCs w:val="22"/>
                <w:lang w:val="ru-RU" w:eastAsia="en-US" w:bidi="ar-SA"/>
              </w:rPr>
              <w:fldChar w:fldCharType="begin"/>
            </w:r>
            <w:r>
              <w:rPr>
                <w:sz w:val="22"/>
                <w:kern w:val="0"/>
                <w:szCs w:val="22"/>
                <w:rFonts w:eastAsia="Calibri" w:cs=""/>
                <w:lang w:val="ru-RU" w:eastAsia="en-US" w:bidi="ar-SA"/>
              </w:rPr>
              <w:instrText xml:space="preserve"> REF _Ref186221375 \r \h </w:instrText>
            </w:r>
            <w:r>
              <w:rPr>
                <w:sz w:val="22"/>
                <w:kern w:val="0"/>
                <w:szCs w:val="22"/>
                <w:rFonts w:eastAsia="Calibri" w:cs=""/>
                <w:lang w:val="ru-RU" w:eastAsia="en-US" w:bidi="ar-SA"/>
              </w:rPr>
              <w:fldChar w:fldCharType="separate"/>
            </w:r>
            <w:r>
              <w:rPr>
                <w:sz w:val="22"/>
                <w:kern w:val="0"/>
                <w:szCs w:val="22"/>
                <w:rFonts w:eastAsia="Calibri" w:cs=""/>
                <w:lang w:val="ru-RU" w:eastAsia="en-US" w:bidi="ar-SA"/>
              </w:rPr>
              <w:t>4.12</w:t>
            </w:r>
            <w:r>
              <w:rPr>
                <w:sz w:val="22"/>
                <w:kern w:val="0"/>
                <w:szCs w:val="22"/>
                <w:rFonts w:eastAsia="Calibri" w:cs=""/>
                <w:lang w:val="ru-RU" w:eastAsia="en-US" w:bidi="ar-SA"/>
              </w:rPr>
              <w:fldChar w:fldCharType="end"/>
            </w:r>
            <w:r>
              <w:rPr>
                <w:rFonts w:eastAsia="Calibri" w:cs=""/>
                <w:kern w:val="0"/>
                <w:sz w:val="22"/>
                <w:szCs w:val="22"/>
                <w:lang w:val="ru-RU" w:eastAsia="en-US" w:bidi="ar-SA"/>
              </w:rPr>
              <w:br/>
            </w:r>
            <w:hyperlink w:anchor="Прил04_ФормыЗаявки">
              <w:r>
                <w:rPr>
                  <w:rStyle w:val="Style14"/>
                  <w:rFonts w:eastAsia="Calibri" w:cs=""/>
                  <w:kern w:val="0"/>
                  <w:sz w:val="22"/>
                  <w:szCs w:val="22"/>
                  <w:lang w:val="ru-RU" w:eastAsia="en-US" w:bidi="ar-SA"/>
                </w:rPr>
                <w:t>Приложение № 4</w:t>
              </w:r>
            </w:hyperlink>
            <w:r>
              <w:rPr>
                <w:rFonts w:eastAsia="Calibri" w:cs=""/>
                <w:kern w:val="0"/>
                <w:sz w:val="22"/>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2"/>
                <w:szCs w:val="22"/>
                <w:lang w:val="ru-RU" w:eastAsia="en-US" w:bidi="ar-SA"/>
              </w:rPr>
            </w:pPr>
            <w:r>
              <w:rPr>
                <w:rFonts w:eastAsia="Calibri" w:cs=""/>
                <w:kern w:val="0"/>
                <w:sz w:val="22"/>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2"/>
                <w:szCs w:val="22"/>
                <w:lang w:val="ru-RU" w:eastAsia="en-US" w:bidi="ar-SA"/>
              </w:rPr>
              <w:t>Соответствие подтверждающей документации, прилагаемой к</w:t>
            </w:r>
            <w:r>
              <w:rPr>
                <w:rFonts w:eastAsia="Calibri" w:cs=""/>
                <w:kern w:val="0"/>
                <w:sz w:val="22"/>
                <w:szCs w:val="22"/>
                <w:lang w:val="en-US" w:eastAsia="en-US" w:bidi="ar-SA"/>
              </w:rPr>
              <w:t> </w:t>
            </w:r>
            <w:r>
              <w:rPr>
                <w:rFonts w:eastAsia="Calibri" w:cs=""/>
                <w:kern w:val="0"/>
                <w:sz w:val="22"/>
                <w:szCs w:val="22"/>
                <w:lang w:val="ru-RU" w:eastAsia="en-US" w:bidi="ar-SA"/>
              </w:rPr>
              <w:t xml:space="preserve">Коммерческому приложению, требованиям, указанным в </w:t>
            </w:r>
            <w:hyperlink w:anchor="Прил01_ТехТребования">
              <w:r>
                <w:rPr>
                  <w:rStyle w:val="Style14"/>
                  <w:rFonts w:eastAsia="Calibri" w:cs=""/>
                  <w:kern w:val="0"/>
                  <w:sz w:val="22"/>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2"/>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4"/>
                  <w:rFonts w:eastAsia="Calibri" w:cs=""/>
                  <w:i/>
                  <w:iCs/>
                  <w:kern w:val="0"/>
                  <w:sz w:val="22"/>
                  <w:szCs w:val="22"/>
                  <w:lang w:val="ru-RU" w:eastAsia="en-US" w:bidi="ar-SA"/>
                </w:rPr>
                <w:t>Технических требованиях (Приложение № 1)</w:t>
              </w:r>
            </w:hyperlink>
            <w:r>
              <w:rPr>
                <w:rFonts w:eastAsia="Calibri" w:cs=""/>
                <w:i/>
                <w:iCs/>
                <w:kern w:val="0"/>
                <w:sz w:val="22"/>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4"/>
                  <w:rFonts w:eastAsia="Calibri" w:cs=""/>
                  <w:kern w:val="0"/>
                  <w:sz w:val="22"/>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sz w:val="22"/>
                <w:szCs w:val="22"/>
              </w:rPr>
            </w:pPr>
            <w:r>
              <w:rPr>
                <w:rFonts w:eastAsia="Calibri" w:cs=""/>
                <w:kern w:val="0"/>
                <w:sz w:val="22"/>
                <w:szCs w:val="22"/>
                <w:lang w:val="ru-RU" w:eastAsia="en-US" w:bidi="ar-SA"/>
              </w:rPr>
              <w:t>Цена</w:t>
            </w:r>
          </w:p>
        </w:tc>
      </w:tr>
    </w:tbl>
    <w:p>
      <w:pPr>
        <w:pStyle w:val="Style30"/>
        <w:keepNext w:val="true"/>
        <w:tabs>
          <w:tab w:val="clear" w:pos="708"/>
          <w:tab w:val="left" w:pos="851" w:leader="none"/>
        </w:tabs>
        <w:spacing w:before="240" w:after="0"/>
        <w:rPr>
          <w:sz w:val="22"/>
          <w:szCs w:val="22"/>
        </w:rPr>
      </w:pPr>
      <w:r>
        <w:rPr>
          <w:b/>
          <w:bCs/>
          <w:sz w:val="22"/>
          <w:szCs w:val="22"/>
        </w:rPr>
        <w:t>* Направления оценки заявок:</w:t>
      </w:r>
    </w:p>
    <w:p>
      <w:pPr>
        <w:pStyle w:val="Style30"/>
        <w:tabs>
          <w:tab w:val="clear" w:pos="708"/>
          <w:tab w:val="left" w:pos="1134" w:leader="none"/>
        </w:tabs>
        <w:ind w:hanging="1701" w:left="1701"/>
        <w:rPr>
          <w:sz w:val="22"/>
          <w:szCs w:val="22"/>
        </w:rPr>
      </w:pPr>
      <w:r>
        <w:rPr>
          <w:b/>
          <w:bCs/>
          <w:sz w:val="22"/>
          <w:szCs w:val="22"/>
        </w:rPr>
        <w:t>Орг</w:t>
      </w:r>
      <w:r>
        <w:rPr>
          <w:sz w:val="22"/>
          <w:szCs w:val="22"/>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sz w:val="22"/>
          <w:szCs w:val="22"/>
        </w:rPr>
        <w:t>(последние применяется только в случае установления соответствующих требований)</w:t>
      </w:r>
      <w:r>
        <w:rPr>
          <w:sz w:val="22"/>
          <w:szCs w:val="22"/>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sz w:val="22"/>
          <w:szCs w:val="22"/>
          <w:lang w:val="en-US"/>
        </w:rPr>
        <w:t> </w:t>
      </w:r>
      <w:r>
        <w:rPr>
          <w:sz w:val="22"/>
          <w:szCs w:val="22"/>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hanging="1701" w:left="1701"/>
        <w:rPr>
          <w:sz w:val="22"/>
          <w:szCs w:val="22"/>
        </w:rPr>
      </w:pPr>
      <w:r>
        <w:rPr>
          <w:b/>
          <w:bCs/>
          <w:sz w:val="22"/>
          <w:szCs w:val="22"/>
        </w:rPr>
        <w:t>Тех</w:t>
      </w:r>
      <w:r>
        <w:rPr>
          <w:sz w:val="22"/>
          <w:szCs w:val="22"/>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60" w:name="_Hlk207818776"/>
      <w:r>
        <w:rPr>
          <w:sz w:val="22"/>
          <w:szCs w:val="22"/>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60"/>
      <w:r>
        <w:rPr>
          <w:sz w:val="22"/>
          <w:szCs w:val="22"/>
        </w:rPr>
        <w:t>; оценка Технических предложений и сведений, подтверждающих соответствия Участника специальным требованиям Документации о закупке;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hanging="1701" w:left="1701"/>
        <w:rPr>
          <w:sz w:val="22"/>
          <w:szCs w:val="22"/>
        </w:rPr>
      </w:pPr>
      <w:r>
        <w:rPr>
          <w:b/>
          <w:bCs/>
          <w:sz w:val="22"/>
          <w:szCs w:val="22"/>
        </w:rPr>
        <w:t>Юр</w:t>
      </w:r>
      <w:r>
        <w:rPr>
          <w:sz w:val="22"/>
          <w:szCs w:val="22"/>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hanging="1701" w:left="1701"/>
        <w:rPr>
          <w:sz w:val="22"/>
          <w:szCs w:val="22"/>
        </w:rPr>
      </w:pPr>
      <w:r>
        <w:rPr>
          <w:b/>
          <w:bCs/>
          <w:sz w:val="22"/>
          <w:szCs w:val="22"/>
        </w:rPr>
        <w:t>Цена</w:t>
      </w:r>
      <w:r>
        <w:rPr>
          <w:sz w:val="22"/>
          <w:szCs w:val="22"/>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keepNext w:val="true"/>
        <w:tabs>
          <w:tab w:val="clear" w:pos="708"/>
          <w:tab w:val="left" w:pos="1134" w:leader="none"/>
        </w:tabs>
        <w:ind w:hanging="1701" w:left="1701"/>
        <w:rPr>
          <w:sz w:val="22"/>
          <w:szCs w:val="22"/>
        </w:rPr>
      </w:pPr>
      <w:r>
        <w:rPr>
          <w:b/>
          <w:bCs/>
          <w:sz w:val="22"/>
          <w:szCs w:val="22"/>
        </w:rPr>
        <w:t>Фин</w:t>
      </w:r>
      <w:r>
        <w:rPr>
          <w:sz w:val="22"/>
          <w:szCs w:val="22"/>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sz w:val="22"/>
          <w:szCs w:val="22"/>
        </w:rPr>
        <w:t>(финансовая экспертиза проводится по инициативе эксперта по направлениям Орг, в случае наличия в заявке независимой гарантии)</w:t>
      </w:r>
      <w:r>
        <w:rPr>
          <w:sz w:val="22"/>
          <w:szCs w:val="22"/>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30"/>
        <w:rPr>
          <w:sz w:val="22"/>
          <w:szCs w:val="22"/>
        </w:rPr>
      </w:pPr>
      <w:r>
        <w:rPr>
          <w:sz w:val="22"/>
          <w:szCs w:val="22"/>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sz w:val="22"/>
          <w:szCs w:val="22"/>
        </w:rPr>
      </w:pPr>
      <w:bookmarkStart w:id="361" w:name="_Toc224744377"/>
      <w:bookmarkStart w:id="362" w:name="_Ref125368150"/>
      <w:bookmarkStart w:id="363" w:name="_Ref125366280"/>
      <w:bookmarkStart w:id="364" w:name="_Ref125366013"/>
      <w:bookmarkStart w:id="365" w:name="_Ref125361951"/>
      <w:bookmarkStart w:id="366" w:name="_Ref125361648"/>
      <w:bookmarkStart w:id="367" w:name="_Ref125368140"/>
      <w:bookmarkStart w:id="368" w:name="_Ref125366285"/>
      <w:bookmarkStart w:id="369" w:name="_Ref125368165"/>
      <w:bookmarkStart w:id="370" w:name="_Ref125368172"/>
      <w:bookmarkStart w:id="371" w:name="_Ref125368283"/>
      <w:bookmarkStart w:id="372" w:name="_Ref125368302"/>
      <w:bookmarkStart w:id="373" w:name="_Ref125368313"/>
      <w:bookmarkStart w:id="374" w:name="_Ref125368331"/>
      <w:bookmarkStart w:id="375" w:name="_Ref125369021"/>
      <w:bookmarkStart w:id="376" w:name="_Ref125369438"/>
      <w:bookmarkStart w:id="377" w:name="_Ref125368184"/>
      <w:bookmarkStart w:id="378" w:name="_Ref125368291"/>
      <w:bookmarkStart w:id="379" w:name="Прил08_ПорядокОценки"/>
      <w:bookmarkEnd w:id="379"/>
      <w:r>
        <w:rPr>
          <w:sz w:val="22"/>
          <w:szCs w:val="22"/>
        </w:rPr>
        <w:t>Приложение № 8 – Порядок и критерии оценки и сопоставления заявок</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Style25"/>
        <w:rPr>
          <w:sz w:val="22"/>
          <w:szCs w:val="22"/>
        </w:rPr>
      </w:pPr>
      <w:bookmarkStart w:id="380" w:name="_Toc224744378"/>
      <w:r>
        <w:rPr>
          <w:sz w:val="22"/>
          <w:szCs w:val="22"/>
        </w:rPr>
        <w:t>Порядок и критерии оценки и сопоставления заявок</w:t>
      </w:r>
      <w:bookmarkEnd w:id="380"/>
    </w:p>
    <w:p>
      <w:pPr>
        <w:pStyle w:val="Style26"/>
        <w:rPr>
          <w:sz w:val="22"/>
          <w:szCs w:val="22"/>
        </w:rPr>
      </w:pPr>
      <w:r>
        <w:rPr>
          <w:sz w:val="22"/>
          <w:szCs w:val="22"/>
        </w:rPr>
        <w:t>Оценка и сопоставление заявок, признанных Закупочной комиссией соответствующими по результатам рассмотрения заявок, осуществляется по единственному ценовому критерию – стоимость заявки (цена Договора) в едином базисе без учета НДС, с последующей ранжировкой заявок по мере повышения стоимости заявки (цены Договора). При этом первое место в ранжировке присваивается заявке с наименьшей ценой (расчетной ценой).</w:t>
      </w:r>
    </w:p>
    <w:p>
      <w:pPr>
        <w:pStyle w:val="Style26"/>
        <w:rPr>
          <w:sz w:val="22"/>
          <w:szCs w:val="22"/>
        </w:rPr>
      </w:pPr>
      <w:r>
        <w:rPr>
          <w:sz w:val="22"/>
          <w:szCs w:val="22"/>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sz w:val="22"/>
          <w:szCs w:val="22"/>
        </w:rPr>
        <w:fldChar w:fldCharType="begin"/>
      </w:r>
      <w:r>
        <w:rPr>
          <w:sz w:val="22"/>
          <w:szCs w:val="22"/>
        </w:rPr>
        <w:instrText xml:space="preserve"> REF _Ref130985951 \r \h </w:instrText>
      </w:r>
      <w:r>
        <w:rPr>
          <w:sz w:val="22"/>
          <w:szCs w:val="22"/>
        </w:rPr>
        <w:fldChar w:fldCharType="separate"/>
      </w:r>
      <w:r>
        <w:rPr>
          <w:sz w:val="22"/>
          <w:szCs w:val="22"/>
        </w:rPr>
        <w:t>4.12</w:t>
      </w:r>
      <w:r>
        <w:rPr>
          <w:sz w:val="22"/>
          <w:szCs w:val="22"/>
        </w:rPr>
        <w:fldChar w:fldCharType="end"/>
      </w:r>
      <w:r>
        <w:rPr>
          <w:sz w:val="22"/>
          <w:szCs w:val="22"/>
        </w:rPr>
        <w:t>.</w:t>
      </w:r>
    </w:p>
    <w:p>
      <w:pPr>
        <w:pStyle w:val="Style33"/>
        <w:keepNext w:val="true"/>
        <w:rPr/>
      </w:pPr>
      <w:r>
        <w:rPr/>
      </w:r>
    </w:p>
    <w:p>
      <w:pPr>
        <w:pStyle w:val="Style24"/>
        <w:rPr>
          <w:sz w:val="22"/>
          <w:szCs w:val="22"/>
        </w:rPr>
      </w:pPr>
      <w:bookmarkStart w:id="381" w:name="_Ref125360420"/>
      <w:bookmarkStart w:id="382" w:name="_Toc224744379"/>
      <w:bookmarkStart w:id="383" w:name="Прил09_ОбоснованиеНМЦ"/>
      <w:bookmarkStart w:id="384" w:name="_Toc136249262"/>
      <w:bookmarkStart w:id="385" w:name="_Toc136261689"/>
      <w:bookmarkStart w:id="386" w:name="_Toc136261766"/>
      <w:bookmarkStart w:id="387" w:name="_Toc136249261"/>
      <w:bookmarkStart w:id="388" w:name="_Toc136261690"/>
      <w:bookmarkStart w:id="389" w:name="_Toc136261767"/>
      <w:bookmarkStart w:id="390" w:name="_Toc136249263"/>
      <w:bookmarkStart w:id="391" w:name="_Toc136261692"/>
      <w:bookmarkStart w:id="392" w:name="_Toc136261769"/>
      <w:bookmarkStart w:id="393" w:name="_Toc136261691"/>
      <w:bookmarkStart w:id="394" w:name="_Toc136261768"/>
      <w:bookmarkStart w:id="395" w:name="_Toc136249260"/>
      <w:bookmarkEnd w:id="384"/>
      <w:bookmarkEnd w:id="385"/>
      <w:bookmarkEnd w:id="386"/>
      <w:bookmarkEnd w:id="387"/>
      <w:bookmarkEnd w:id="388"/>
      <w:bookmarkEnd w:id="389"/>
      <w:bookmarkEnd w:id="390"/>
      <w:bookmarkEnd w:id="391"/>
      <w:bookmarkEnd w:id="392"/>
      <w:bookmarkEnd w:id="393"/>
      <w:bookmarkEnd w:id="394"/>
      <w:bookmarkEnd w:id="395"/>
      <w:r>
        <w:rPr>
          <w:sz w:val="22"/>
          <w:szCs w:val="22"/>
        </w:rPr>
        <w:t>Приложение № 9 – Обоснование НМЦ</w:t>
      </w:r>
      <w:bookmarkEnd w:id="381"/>
      <w:bookmarkEnd w:id="382"/>
      <w:bookmarkEnd w:id="383"/>
    </w:p>
    <w:p>
      <w:pPr>
        <w:pStyle w:val="Style25"/>
        <w:rPr>
          <w:sz w:val="22"/>
          <w:szCs w:val="22"/>
        </w:rPr>
      </w:pPr>
      <w:bookmarkStart w:id="396" w:name="_Toc224744380"/>
      <w:r>
        <w:rPr>
          <w:sz w:val="22"/>
          <w:szCs w:val="22"/>
        </w:rPr>
        <w:t>Пояснения к Обоснованию НМЦ</w:t>
      </w:r>
      <w:bookmarkEnd w:id="396"/>
    </w:p>
    <w:p>
      <w:pPr>
        <w:pStyle w:val="Style26"/>
        <w:rPr>
          <w:sz w:val="22"/>
          <w:szCs w:val="22"/>
        </w:rPr>
      </w:pPr>
      <w:r>
        <w:rPr>
          <w:sz w:val="22"/>
          <w:szCs w:val="22"/>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sz w:val="22"/>
          <w:szCs w:val="22"/>
        </w:rPr>
      </w:pPr>
      <w:bookmarkStart w:id="397" w:name="_Toc224744381"/>
      <w:bookmarkStart w:id="398" w:name="Прил10_ЗаявкаНаАккредитацию"/>
      <w:bookmarkEnd w:id="398"/>
      <w:r>
        <w:rPr>
          <w:sz w:val="22"/>
          <w:szCs w:val="22"/>
        </w:rPr>
        <w:t>Приложение № 10 – Форма Заявки на аккредитацию</w:t>
      </w:r>
      <w:bookmarkEnd w:id="397"/>
    </w:p>
    <w:p>
      <w:pPr>
        <w:pStyle w:val="Style25"/>
        <w:rPr>
          <w:sz w:val="22"/>
          <w:szCs w:val="22"/>
        </w:rPr>
      </w:pPr>
      <w:bookmarkStart w:id="399" w:name="_Toc224744382"/>
      <w:r>
        <w:rPr>
          <w:sz w:val="22"/>
          <w:szCs w:val="22"/>
        </w:rPr>
        <w:t>Пояснения к форме Заявки на аккредитацию</w:t>
      </w:r>
      <w:bookmarkEnd w:id="399"/>
    </w:p>
    <w:p>
      <w:pPr>
        <w:pStyle w:val="Style26"/>
        <w:rPr>
          <w:sz w:val="22"/>
          <w:szCs w:val="22"/>
        </w:rPr>
      </w:pPr>
      <w:r>
        <w:rPr>
          <w:sz w:val="22"/>
          <w:szCs w:val="22"/>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rPr>
          <w:sz w:val="22"/>
          <w:szCs w:val="22"/>
        </w:rPr>
      </w:pPr>
      <w:r>
        <w:rPr>
          <w:sz w:val="22"/>
          <w:szCs w:val="22"/>
        </w:rPr>
        <w:t xml:space="preserve">Заявка на аккредитацию предоставляется (в установленных Документацией о закупке случаях) Участником в составе своей заявки </w:t>
      </w:r>
      <w:bookmarkStart w:id="400" w:name="_Hlk207300788"/>
      <w:r>
        <w:rPr>
          <w:sz w:val="22"/>
          <w:szCs w:val="22"/>
        </w:rPr>
        <w:t xml:space="preserve">только в электронном виде в формате </w:t>
      </w:r>
      <w:r>
        <w:rPr>
          <w:sz w:val="22"/>
          <w:szCs w:val="22"/>
          <w:lang w:val="en-US"/>
        </w:rPr>
        <w:t>Microsoft</w:t>
      </w:r>
      <w:r>
        <w:rPr>
          <w:sz w:val="22"/>
          <w:szCs w:val="22"/>
        </w:rPr>
        <w:t xml:space="preserve"> </w:t>
      </w:r>
      <w:r>
        <w:rPr>
          <w:sz w:val="22"/>
          <w:szCs w:val="22"/>
          <w:lang w:val="en-US"/>
        </w:rPr>
        <w:t>Excel</w:t>
      </w:r>
      <w:r>
        <w:rPr>
          <w:sz w:val="22"/>
          <w:szCs w:val="22"/>
        </w:rPr>
        <w:t xml:space="preserve"> (*.</w:t>
      </w:r>
      <w:r>
        <w:rPr>
          <w:sz w:val="22"/>
          <w:szCs w:val="22"/>
          <w:lang w:val="en-US"/>
        </w:rPr>
        <w:t>xlsx</w:t>
      </w:r>
      <w:r>
        <w:rPr>
          <w:sz w:val="22"/>
          <w:szCs w:val="22"/>
        </w:rPr>
        <w:t>))</w:t>
      </w:r>
      <w:bookmarkEnd w:id="400"/>
      <w:r>
        <w:rPr>
          <w:sz w:val="22"/>
          <w:szCs w:val="22"/>
        </w:rPr>
        <w:t>.</w:t>
      </w:r>
    </w:p>
    <w:p>
      <w:pPr>
        <w:pStyle w:val="Style30"/>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8.9pt;height:49.55pt;mso-wrap-distance-right:0pt" filled="f" o:ole="">
            <v:imagedata r:id="rId37" o:title=""/>
          </v:shape>
          <o:OLEObject Type="Embed" ProgID="Excel.Sheet.12" ShapeID="ole_rId36" DrawAspect="Icon" ObjectID="_1782457806" r:id="rId36"/>
        </w:object>
      </w:r>
    </w:p>
    <w:p>
      <w:pPr>
        <w:pStyle w:val="Style24"/>
        <w:rPr>
          <w:sz w:val="22"/>
          <w:szCs w:val="22"/>
        </w:rPr>
      </w:pPr>
      <w:bookmarkStart w:id="401" w:name="_Toc224744383"/>
      <w:bookmarkStart w:id="402" w:name="Прил11_Данные_бухотчетность"/>
      <w:r>
        <w:rPr>
          <w:sz w:val="22"/>
          <w:szCs w:val="22"/>
        </w:rPr>
        <w:t xml:space="preserve">Приложение № 11 </w:t>
      </w:r>
      <w:bookmarkEnd w:id="402"/>
      <w:r>
        <w:rPr>
          <w:sz w:val="22"/>
          <w:szCs w:val="22"/>
        </w:rPr>
        <w:t>– форма Данных бухгалтерской (финансовой) отчетности</w:t>
      </w:r>
      <w:bookmarkEnd w:id="401"/>
    </w:p>
    <w:p>
      <w:pPr>
        <w:pStyle w:val="Style25"/>
        <w:rPr>
          <w:sz w:val="22"/>
          <w:szCs w:val="22"/>
        </w:rPr>
      </w:pPr>
      <w:bookmarkStart w:id="403" w:name="_Toc224744384"/>
      <w:r>
        <w:rPr>
          <w:sz w:val="22"/>
          <w:szCs w:val="22"/>
        </w:rPr>
        <w:t>Пояснения к форме Данных бухгалтерской (финансовой) отчетности</w:t>
      </w:r>
      <w:bookmarkEnd w:id="403"/>
      <w:r>
        <w:rPr>
          <w:sz w:val="22"/>
          <w:szCs w:val="22"/>
        </w:rPr>
        <w:t xml:space="preserve"> </w:t>
      </w:r>
    </w:p>
    <w:p>
      <w:pPr>
        <w:pStyle w:val="Style26"/>
        <w:rPr>
          <w:sz w:val="22"/>
          <w:szCs w:val="22"/>
        </w:rPr>
      </w:pPr>
      <w:r>
        <w:rPr>
          <w:sz w:val="22"/>
          <w:szCs w:val="22"/>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sz w:val="22"/>
          <w:szCs w:val="22"/>
        </w:rPr>
      </w:pPr>
      <w:r>
        <w:rPr>
          <w:sz w:val="22"/>
          <w:szCs w:val="22"/>
        </w:rPr>
      </w:r>
      <w:bookmarkStart w:id="404" w:name="_MON_1821256687"/>
      <w:bookmarkStart w:id="405" w:name="_MON_1821256687"/>
      <w:bookmarkEnd w:id="405"/>
    </w:p>
    <w:p>
      <w:pPr>
        <w:pStyle w:val="Normal"/>
        <w:jc w:val="center"/>
        <w:rPr/>
      </w:pPr>
      <w:bookmarkStart w:id="406" w:name="_Hlk210644436"/>
      <w:bookmarkStart w:id="407" w:name="_MON_1821256687_Копия_1"/>
      <w:bookmarkEnd w:id="407"/>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7.05pt;height:49.55pt;mso-wrap-distance-right:0pt" filled="f" o:ole="">
            <v:imagedata r:id="rId39" o:title=""/>
          </v:shape>
          <o:OLEObject Type="Embed" ProgID="Word.Document.12" ShapeID="ole_rId38" DrawAspect="Icon" ObjectID="_1919932027" r:id="rId38"/>
        </w:object>
      </w:r>
      <w:bookmarkEnd w:id="406"/>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71368601"/>
    </w:sdtPr>
    <w:sdtContent>
      <w:p>
        <w:pPr>
          <w:pStyle w:val="Footer"/>
          <w:spacing w:before="120" w:after="0"/>
          <w:rPr/>
        </w:pPr>
        <w:r>
          <w:rPr/>
          <w:fldChar w:fldCharType="begin"/>
        </w:r>
        <w:r>
          <w:rPr/>
          <w:instrText xml:space="preserve"> PAGE </w:instrText>
        </w:r>
        <w:r>
          <w:rPr/>
          <w:fldChar w:fldCharType="separate"/>
        </w:r>
        <w:r>
          <w:rPr/>
          <w:t>11</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71920957"/>
    </w:sdtPr>
    <w:sdtContent>
      <w:p>
        <w:pPr>
          <w:pStyle w:val="Footer"/>
          <w:spacing w:before="120" w:after="0"/>
          <w:rPr/>
        </w:pPr>
        <w:r>
          <w:rPr/>
          <w:fldChar w:fldCharType="begin"/>
        </w:r>
        <w:r>
          <w:rPr/>
          <w:instrText xml:space="preserve"> PAGE </w:instrText>
        </w:r>
        <w:r>
          <w:rPr/>
          <w:fldChar w:fldCharType="separate"/>
        </w:r>
        <w:r>
          <w:rPr/>
          <w:t>18</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21784922"/>
    </w:sdtPr>
    <w:sdtContent>
      <w:p>
        <w:pPr>
          <w:pStyle w:val="Footer"/>
          <w:spacing w:before="120" w:after="0"/>
          <w:rPr/>
        </w:pPr>
        <w:r>
          <w:rPr/>
          <w:fldChar w:fldCharType="begin"/>
        </w:r>
        <w:r>
          <w:rPr/>
          <w:instrText xml:space="preserve"> PAGE </w:instrText>
        </w:r>
        <w:r>
          <w:rPr/>
          <w:fldChar w:fldCharType="separate"/>
        </w:r>
        <w:r>
          <w:rPr/>
          <w:t>37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18914049"/>
    </w:sdtPr>
    <w:sdtContent>
      <w:p>
        <w:pPr>
          <w:pStyle w:val="Footer"/>
          <w:spacing w:before="120" w:after="0"/>
          <w:rPr/>
        </w:pPr>
        <w:r>
          <w:rPr/>
          <w:fldChar w:fldCharType="begin"/>
        </w:r>
        <w:r>
          <w:rPr/>
          <w:instrText xml:space="preserve"> PAGE </w:instrText>
        </w:r>
        <w:r>
          <w:rPr/>
          <w:fldChar w:fldCharType="separate"/>
        </w:r>
        <w:r>
          <w:rPr/>
          <w:t>41</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38540782"/>
    </w:sdtPr>
    <w:sdtContent>
      <w:p>
        <w:pPr>
          <w:pStyle w:val="Footer"/>
          <w:spacing w:before="120" w:after="0"/>
          <w:rPr/>
        </w:pPr>
        <w:r>
          <w:rPr/>
          <w:fldChar w:fldCharType="begin"/>
        </w:r>
        <w:r>
          <w:rPr/>
          <w:instrText xml:space="preserve"> PAGE </w:instrText>
        </w:r>
        <w:r>
          <w:rPr/>
          <w:fldChar w:fldCharType="separate"/>
        </w:r>
        <w:r>
          <w:rPr/>
          <w:t>44</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15818858"/>
    </w:sdtPr>
    <w:sdtContent>
      <w:p>
        <w:pPr>
          <w:pStyle w:val="Footer"/>
          <w:spacing w:before="120" w:after="0"/>
          <w:rPr/>
        </w:pPr>
        <w:r>
          <w:rPr/>
          <w:fldChar w:fldCharType="begin"/>
        </w:r>
        <w:r>
          <w:rPr/>
          <w:instrText xml:space="preserve"> PAGE </w:instrText>
        </w:r>
        <w:r>
          <w:rPr/>
          <w:fldChar w:fldCharType="separate"/>
        </w:r>
        <w:r>
          <w:rPr/>
          <w:t>48</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97766910"/>
    </w:sdtPr>
    <w:sdtContent>
      <w:p>
        <w:pPr>
          <w:pStyle w:val="Footer"/>
          <w:spacing w:before="120" w:after="0"/>
          <w:rPr/>
        </w:pPr>
        <w:r>
          <w:rPr/>
          <w:fldChar w:fldCharType="begin"/>
        </w:r>
        <w:r>
          <w:rPr/>
          <w:instrText xml:space="preserve"> PAGE </w:instrText>
        </w:r>
        <w:r>
          <w:rPr/>
          <w:fldChar w:fldCharType="separate"/>
        </w:r>
        <w:r>
          <w:rPr/>
          <w:t>52</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hanging="567" w:left="567"/>
        <w:jc w:val="both"/>
        <w:rPr/>
      </w:pPr>
      <w:r>
        <w:rPr>
          <w:rStyle w:val="Style13"/>
        </w:rPr>
        <w:footnoteRef/>
      </w:r>
      <w:r>
        <w:rPr/>
        <w:tab/>
        <w:t>Определенные в соответствии с Законом 422-ФЗ.</w:t>
      </w:r>
    </w:p>
  </w:footnote>
  <w:footnote w:id="3">
    <w:p>
      <w:pPr>
        <w:pStyle w:val="Style32"/>
        <w:spacing w:before="80" w:after="0"/>
        <w:ind w:hanging="567" w:left="567"/>
        <w:jc w:val="both"/>
        <w:rPr/>
      </w:pPr>
      <w:r>
        <w:rPr>
          <w:rStyle w:val="Style13"/>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4">
    <w:p>
      <w:pPr>
        <w:pStyle w:val="Style32"/>
        <w:spacing w:before="80" w:after="0"/>
        <w:ind w:hanging="567" w:left="567"/>
        <w:jc w:val="both"/>
        <w:rPr/>
      </w:pPr>
      <w:r>
        <w:rPr>
          <w:rStyle w:val="Style13"/>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5">
    <w:p>
      <w:pPr>
        <w:pStyle w:val="Style32"/>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6">
    <w:p>
      <w:pPr>
        <w:pStyle w:val="Style32"/>
        <w:spacing w:before="80" w:after="0"/>
        <w:ind w:hanging="567" w:left="567"/>
        <w:jc w:val="both"/>
        <w:rPr/>
      </w:pPr>
      <w:r>
        <w:rPr>
          <w:rStyle w:val="Style13"/>
        </w:rPr>
        <w:footnoteRef/>
      </w:r>
      <w:r>
        <w:rPr/>
        <w:tab/>
        <w:t>https://minfin.gov.ru/ru/perfomance/tax_relations/policy/bankwarranty/</w:t>
      </w:r>
    </w:p>
  </w:footnote>
  <w:footnote w:id="7">
    <w:p>
      <w:pPr>
        <w:pStyle w:val="Style32"/>
        <w:spacing w:before="80" w:after="0"/>
        <w:ind w:hanging="567" w:left="567"/>
        <w:jc w:val="both"/>
        <w:rPr/>
      </w:pPr>
      <w:r>
        <w:rPr>
          <w:rStyle w:val="Style13"/>
        </w:rPr>
        <w:footnoteRef/>
      </w:r>
      <w:bookmarkStart w:id="408"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08"/>
    </w:p>
  </w:footnote>
  <w:footnote w:id="8">
    <w:p>
      <w:pPr>
        <w:pStyle w:val="Style32"/>
        <w:spacing w:before="80" w:after="0"/>
        <w:ind w:hanging="567" w:left="567"/>
        <w:jc w:val="both"/>
        <w:rPr/>
      </w:pPr>
      <w:r>
        <w:rPr>
          <w:rStyle w:val="Style13"/>
        </w:rPr>
        <w:footnoteRef/>
      </w:r>
      <w:bookmarkStart w:id="409" w:name="_Hlk139028803_Копия_1_Копия_1_Копия_1_Ко"/>
      <w:bookmarkStart w:id="410"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09"/>
      <w:bookmarkEnd w:id="410"/>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decimal"/>
      <w:lvlText w:val="%1."/>
      <w:lvlJc w:val="left"/>
      <w:pPr>
        <w:tabs>
          <w:tab w:val="num" w:pos="1134"/>
        </w:tabs>
        <w:ind w:left="1134" w:hanging="1134"/>
      </w:pPr>
      <w:rPr/>
    </w:lvl>
    <w:lvl w:ilvl="1">
      <w:start w:val="1"/>
      <w:pStyle w:val="Style25"/>
      <w:numFmt w:val="decimal"/>
      <w:lvlText w:val="%1.%2"/>
      <w:lvlJc w:val="left"/>
      <w:pPr>
        <w:tabs>
          <w:tab w:val="num" w:pos="1134"/>
        </w:tabs>
        <w:ind w:left="1134" w:hanging="1134"/>
      </w:pPr>
      <w:rPr/>
    </w:lvl>
    <w:lvl w:ilvl="2">
      <w:start w:val="1"/>
      <w:pStyle w:val="Style26"/>
      <w:numFmt w:val="decimal"/>
      <w:lvlText w:val="%1.%2.%3"/>
      <w:lvlJc w:val="left"/>
      <w:pPr>
        <w:tabs>
          <w:tab w:val="num" w:pos="1134"/>
        </w:tabs>
        <w:ind w:left="1134" w:hanging="1134"/>
      </w:pPr>
      <w:rPr>
        <w:sz w:val="22"/>
        <w:szCs w:val="22"/>
      </w:rPr>
    </w:lvl>
    <w:lvl w:ilvl="3">
      <w:start w:val="1"/>
      <w:pStyle w:val="Style27"/>
      <w:numFmt w:val="russianLower"/>
      <w:lvlText w:val="%4)"/>
      <w:lvlJc w:val="left"/>
      <w:pPr>
        <w:tabs>
          <w:tab w:val="num" w:pos="1701"/>
        </w:tabs>
        <w:ind w:left="1701" w:hanging="567"/>
      </w:pPr>
      <w:rPr>
        <w:sz w:val="22"/>
        <w:szCs w:val="22"/>
      </w:rPr>
    </w:lvl>
    <w:lvl w:ilvl="4">
      <w:start w:val="1"/>
      <w:pStyle w:val="Style28"/>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2">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6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79507d"/>
    <w:rPr>
      <w:rFonts w:ascii="Segoe UI" w:hAnsi="Segoe UI" w:cs="Segoe UI"/>
      <w:sz w:val="18"/>
      <w:szCs w:val="18"/>
    </w:rPr>
  </w:style>
  <w:style w:type="character" w:styleId="Style19" w:customStyle="1">
    <w:name w:val="РГ_ЕПоЗ_а) Знак"/>
    <w:basedOn w:val="DefaultParagraphFont"/>
    <w:link w:val="Style34"/>
    <w:qFormat/>
    <w:rsid w:val="00aa4ded"/>
    <w:rPr>
      <w:rFonts w:eastAsia="Calibri" w:cs="Times New Roman"/>
      <w:sz w:val="28"/>
      <w:szCs w:val="28"/>
    </w:rPr>
  </w:style>
  <w:style w:type="character" w:styleId="-" w:customStyle="1">
    <w:name w:val="РГ_ЕПоЗ_- Знак"/>
    <w:basedOn w:val="DefaultParagraphFont"/>
    <w:link w:val="-1"/>
    <w:qFormat/>
    <w:rsid w:val="00aa4ded"/>
    <w:rPr>
      <w:rFonts w:eastAsia="Times New Roman" w:cs="Times New Roman"/>
      <w:sz w:val="28"/>
      <w:szCs w:val="20"/>
      <w:lang w:eastAsia="ru-RU"/>
    </w:rPr>
  </w:style>
  <w:style w:type="character" w:styleId="Style20">
    <w:name w:val="Ссылка указателя"/>
    <w:qFormat/>
    <w:rPr/>
  </w:style>
  <w:style w:type="character" w:styleId="Style21">
    <w:name w:val="Символ концевой сноски"/>
    <w:qFormat/>
    <w:rPr>
      <w:vertAlign w:val="superscript"/>
    </w:rPr>
  </w:style>
  <w:style w:type="character" w:styleId="EndnoteReference">
    <w:name w:val="Endnote Reference"/>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rPr>
  </w:style>
  <w:style w:type="paragraph" w:styleId="Caption">
    <w:name w:val="Caption"/>
    <w:basedOn w:val="Normal"/>
    <w:qFormat/>
    <w:pPr>
      <w:suppressLineNumbers/>
      <w:spacing w:before="120" w:after="120"/>
    </w:pPr>
    <w:rPr>
      <w:rFonts w:ascii="Times New Roman" w:hAnsi="Times New Roman"/>
      <w:i/>
      <w:iCs/>
      <w:sz w:val="24"/>
      <w:szCs w:val="24"/>
    </w:rPr>
  </w:style>
  <w:style w:type="paragraph" w:styleId="Style23">
    <w:name w:val="Указатель"/>
    <w:basedOn w:val="Normal"/>
    <w:qFormat/>
    <w:pPr>
      <w:suppressLineNumbers/>
    </w:pPr>
    <w:rPr>
      <w:rFonts w:ascii="Times New Roman" w:hAnsi="Times New Roman"/>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hanging="0"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hanging="0"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hanging="0"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hanging="0"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hanging="0"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hanging="0"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hanging="0"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hanging="0" w:left="720"/>
      <w:contextualSpacing/>
    </w:pPr>
    <w:rPr/>
  </w:style>
  <w:style w:type="paragraph" w:styleId="BalloonText">
    <w:name w:val="Balloon Text"/>
    <w:basedOn w:val="Normal"/>
    <w:link w:val="Style18"/>
    <w:uiPriority w:val="99"/>
    <w:semiHidden/>
    <w:unhideWhenUsed/>
    <w:qFormat/>
    <w:rsid w:val="0079507d"/>
    <w:pPr>
      <w:spacing w:before="0" w:after="0"/>
    </w:pPr>
    <w:rPr>
      <w:rFonts w:ascii="Segoe UI" w:hAnsi="Segoe UI" w:cs="Segoe UI"/>
      <w:sz w:val="18"/>
      <w:szCs w:val="18"/>
    </w:rPr>
  </w:style>
  <w:style w:type="paragraph" w:styleId="1" w:customStyle="1">
    <w:name w:val="РГ_ЕПоЗ_1."/>
    <w:basedOn w:val="Normal"/>
    <w:qFormat/>
    <w:rsid w:val="00aa4ded"/>
    <w:pPr>
      <w:keepNext w:val="true"/>
      <w:numPr>
        <w:ilvl w:val="0"/>
        <w:numId w:val="10"/>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rsid w:val="00aa4ded"/>
    <w:pPr>
      <w:keepNext w:val="true"/>
      <w:numPr>
        <w:ilvl w:val="1"/>
        <w:numId w:val="10"/>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4" w:customStyle="1">
    <w:name w:val="РГ_ЕПоЗ_а)"/>
    <w:basedOn w:val="ListParagraph"/>
    <w:link w:val="Style19"/>
    <w:qFormat/>
    <w:rsid w:val="00aa4ded"/>
    <w:pPr>
      <w:numPr>
        <w:ilvl w:val="4"/>
        <w:numId w:val="10"/>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aa4ded"/>
    <w:pPr>
      <w:numPr>
        <w:ilvl w:val="3"/>
        <w:numId w:val="10"/>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aa4ded"/>
    <w:pPr>
      <w:numPr>
        <w:ilvl w:val="5"/>
        <w:numId w:val="10"/>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rsid w:val="00aa4ded"/>
    <w:pPr>
      <w:numPr>
        <w:ilvl w:val="2"/>
        <w:numId w:val="10"/>
      </w:numPr>
      <w:tabs>
        <w:tab w:val="clear" w:pos="708"/>
        <w:tab w:val="left" w:pos="1134" w:leader="none"/>
      </w:tabs>
      <w:jc w:val="both"/>
    </w:pPr>
    <w:rPr>
      <w:rFonts w:eastAsia="Times New Roman" w:cs="Times New Roman"/>
      <w:sz w:val="28"/>
      <w:szCs w:val="28"/>
      <w:lang w:eastAsia="ru-RU"/>
    </w:rPr>
  </w:style>
  <w:style w:type="paragraph" w:styleId="Style35">
    <w:name w:val="Содержимое таблицы"/>
    <w:basedOn w:val="Normal"/>
    <w:qFormat/>
    <w:pPr>
      <w:widowControl w:val="false"/>
      <w:suppressLineNumbers/>
    </w:pPr>
    <w:rPr/>
  </w:style>
  <w:style w:type="paragraph" w:styleId="Style36">
    <w:name w:val="Заголовок таблицы"/>
    <w:basedOn w:val="Style35"/>
    <w:qFormat/>
    <w:pPr>
      <w:suppressLineNumbers/>
      <w:jc w:val="center"/>
    </w:pPr>
    <w:rPr>
      <w:b/>
      <w:bCs/>
    </w:rPr>
  </w:style>
  <w:style w:type="numbering" w:styleId="NoList" w:default="1">
    <w:name w:val="No List"/>
    <w:uiPriority w:val="99"/>
    <w:semiHidden/>
    <w:unhideWhenUsed/>
    <w:qFormat/>
  </w:style>
  <w:style w:type="table" w:default="1" w:styleId="a7">
    <w:name w:val="Normal Table"/>
    <w:uiPriority w:val="99"/>
    <w:semiHidden/>
    <w:unhideWhenUsed/>
    <w:tblPr>
      <w:tblCellMar>
        <w:top w:w="0" w:type="dxa"/>
        <w:left w:w="108" w:type="dxa"/>
        <w:bottom w:w="0" w:type="dxa"/>
        <w:right w:w="108" w:type="dxa"/>
      </w:tblCellMar>
    </w:tblPr>
  </w:style>
  <w:style w:type="table" w:customStyle="1" w:styleId="af6">
    <w:name w:val="[РГ] Таблица"/>
    <w:basedOn w:val="a7"/>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7">
    <w:name w:val="Table Grid"/>
    <w:basedOn w:val="a7"/>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 TargetMode="External"/><Relationship Id="rId5" Type="http://schemas.openxmlformats.org/officeDocument/2006/relationships/hyperlink" Target="mailto:sk@rushydro.ru" TargetMode="External"/><Relationship Id="rId6" Type="http://schemas.openxmlformats.org/officeDocument/2006/relationships/hyperlink" Target="mailto:sk@rushydro.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2.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yperlink" Target="https://accreditation.rushydro.ru/" TargetMode="Externa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6.xml"/><Relationship Id="rId23" Type="http://schemas.openxmlformats.org/officeDocument/2006/relationships/footer" Target="footer7.xml"/><Relationship Id="rId24" Type="http://schemas.openxmlformats.org/officeDocument/2006/relationships/package" Target="embeddings/oleObject2.docx"/><Relationship Id="rId25" Type="http://schemas.openxmlformats.org/officeDocument/2006/relationships/image" Target="media/image3.wmf"/><Relationship Id="rId26" Type="http://schemas.openxmlformats.org/officeDocument/2006/relationships/package" Target="embeddings/oleObject3.docx"/><Relationship Id="rId27" Type="http://schemas.openxmlformats.org/officeDocument/2006/relationships/image" Target="media/image4.wmf"/><Relationship Id="rId28" Type="http://schemas.openxmlformats.org/officeDocument/2006/relationships/header" Target="header8.xml"/><Relationship Id="rId29" Type="http://schemas.openxmlformats.org/officeDocument/2006/relationships/header" Target="header9.xml"/><Relationship Id="rId30" Type="http://schemas.openxmlformats.org/officeDocument/2006/relationships/footer" Target="footer8.xml"/><Relationship Id="rId31" Type="http://schemas.openxmlformats.org/officeDocument/2006/relationships/footer" Target="footer9.xm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5.wmf"/><Relationship Id="rId38" Type="http://schemas.openxmlformats.org/officeDocument/2006/relationships/package" Target="embeddings/oleObject5.docx"/><Relationship Id="rId39" Type="http://schemas.openxmlformats.org/officeDocument/2006/relationships/image" Target="media/image6.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AED4D-8772-400C-A8F0-E4BF5D62D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1190</TotalTime>
  <Application>AlterOffice/2026.2.0.0$Linux_X86_64 LibreOffice_project/bc4ef1adf80b36c7a6365f8ed6cbf29021361edd</Application>
  <AppVersion>15.0000</AppVersion>
  <Pages>52</Pages>
  <Words>15589</Words>
  <Characters>107702</Characters>
  <CharactersWithSpaces>121939</CharactersWithSpaces>
  <Paragraphs>856</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2023-06-27T10:22:00Z</dcterms:created>
  <dc:creator>Владимир Щербаков</dc:creator>
  <dc:description/>
  <cp:keywords>Типовая форма</cp:keywords>
  <dc:language>ru-RU</dc:language>
  <cp:lastModifiedBy>lisitchenkoma@corp.gidroogk.com</cp:lastModifiedBy>
  <cp:lastPrinted>2026-10-09T10:48:03Z</cp:lastPrinted>
  <dcterms:modified xsi:type="dcterms:W3CDTF">2026-10-09T15:09:04Z</dcterms:modified>
  <cp:revision>245</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