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styles.xml" ContentType="application/vnd.openxmlformats-officedocument.wordprocessingml.styles+xml"/>
  <Override PartName="/word/header4.xml" ContentType="application/vnd.openxmlformats-officedocument.wordprocessingml.header+xml"/>
  <Override PartName="/word/footer2.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header5.xml" ContentType="application/vnd.openxmlformats-officedocument.wordprocessingml.header+xml"/>
  <Override PartName="/word/header6.xml" ContentType="application/vnd.openxmlformats-officedocument.wordprocessingml.header+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pacing w:val="4"/>
          <w:sz w:val="24"/>
          <w:szCs w:val="24"/>
        </w:rPr>
        <w:t xml:space="preserve">Акционерное общество «Транспортная компания РусГидро» </w:t>
      </w:r>
      <w:r>
        <w:rPr>
          <w:spacing w:val="4"/>
          <w:sz w:val="24"/>
          <w:szCs w:val="24"/>
        </w:rPr>
        <w:t>(АО «ТК РусГидро»)</w:t>
      </w:r>
      <w:r>
        <w:rPr>
          <w:spacing w:val="2"/>
          <w:sz w:val="24"/>
          <w:szCs w:val="24"/>
        </w:rPr>
        <w:t xml:space="preserve"> (далее – </w:t>
      </w:r>
      <w:r>
        <w:rPr>
          <w:spacing w:val="4"/>
          <w:sz w:val="24"/>
          <w:szCs w:val="24"/>
        </w:rPr>
        <w:t>«Покупатель»), в лице Директора Камчатского филиала Рудакова Андрея Сергеевича, действующего на основании доверенности № 8602abbf708-3b67-4c78-9926-1adf54128a32 от 02.09.2026 года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left="0" w:firstLine="709"/>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ListParagraph"/>
        <w:widowControl w:val="false"/>
        <w:numPr>
          <w:ilvl w:val="1"/>
          <w:numId w:val="2"/>
        </w:numPr>
        <w:shd w:val="clear" w:color="auto" w:fill="FFFFFF"/>
        <w:suppressAutoHyphens w:val="true"/>
        <w:bidi w:val="0"/>
        <w:spacing w:before="0" w:after="0"/>
        <w:ind w:left="0" w:right="0" w:firstLine="737"/>
        <w:contextualSpacing/>
        <w:jc w:val="both"/>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средства индивидуальной защиты</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Поставка Товара по Договору осуществляется для нужд Камчатского филиала АО «ТК РусГидро»</w:t>
      </w:r>
      <w:r>
        <w:rPr>
          <w:bCs/>
          <w:sz w:val="24"/>
          <w:szCs w:val="24"/>
          <w:highlight w:val="lightGray"/>
        </w:rPr>
        <w:t>.</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Начало:  с даты подписания договора.</w:t>
      </w:r>
    </w:p>
    <w:p>
      <w:pPr>
        <w:pStyle w:val="Normal"/>
        <w:numPr>
          <w:ilvl w:val="2"/>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Окончание: 75 календарных дней с даты направления Заявки.</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left="0" w:firstLine="709"/>
        <w:jc w:val="both"/>
        <w:rPr>
          <w:bCs/>
          <w:sz w:val="24"/>
        </w:rPr>
      </w:pPr>
      <w:r>
        <w:rPr>
          <w:bCs/>
          <w:sz w:val="24"/>
        </w:rPr>
        <w:t>Оплата по Договору осуществляется Покупателем в течение</w:t>
      </w:r>
      <w:r>
        <w:rPr>
          <w:sz w:val="24"/>
          <w:szCs w:val="24"/>
          <w:highlight w:val="lightGray"/>
        </w:rPr>
        <w:t xml:space="preserve"> 7 (семи) рабочих дней</w:t>
      </w:r>
      <w:r>
        <w:rPr>
          <w:sz w:val="24"/>
          <w:szCs w:val="24"/>
          <w:vertAlign w:val="superscript"/>
        </w:rPr>
        <w:t xml:space="preserve"> </w:t>
      </w:r>
      <w:r>
        <w:rPr>
          <w:bCs/>
          <w:sz w:val="24"/>
        </w:rPr>
        <w:t>с даты подписания Сторонами Накладной ТОРГ-12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2"/>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hanging="0"/>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Покупатель в срок не позднее 80</w:t>
      </w:r>
      <w:r>
        <w:rPr>
          <w:sz w:val="24"/>
          <w:szCs w:val="24"/>
          <w:highlight w:val="lightGray"/>
        </w:rPr>
        <w:t xml:space="preserve"> (восьмидесяти) календарных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Gritskikhea@rushydro.ru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Покупатель не позднее 75</w:t>
      </w:r>
      <w:r>
        <w:rPr>
          <w:sz w:val="24"/>
          <w:szCs w:val="24"/>
          <w:highlight w:val="lightGray"/>
        </w:rPr>
        <w:t xml:space="preserve"> (семидесяти пяти) календарных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Заверенные копии действующих сертификатов / деклараций соответствия ТР ТС 019/2011 ТР ТС 019/2011 «О безопасности средств индивидуальной защиты»;</w:t>
      </w:r>
    </w:p>
    <w:p>
      <w:pPr>
        <w:pStyle w:val="Normal"/>
        <w:numPr>
          <w:ilvl w:val="0"/>
          <w:numId w:val="4"/>
        </w:numPr>
        <w:tabs>
          <w:tab w:val="clear" w:pos="709"/>
          <w:tab w:val="left" w:pos="1418" w:leader="none"/>
        </w:tabs>
        <w:ind w:left="0" w:firstLine="709"/>
        <w:jc w:val="both"/>
        <w:rPr>
          <w:sz w:val="24"/>
          <w:szCs w:val="24"/>
          <w:highlight w:val="lightGray"/>
        </w:rPr>
      </w:pPr>
      <w:r>
        <w:rPr>
          <w:sz w:val="24"/>
          <w:szCs w:val="24"/>
          <w:highlight w:val="lightGray"/>
        </w:rPr>
        <w:t>инструкции по эксплуатации на русском языке;</w:t>
      </w:r>
    </w:p>
    <w:p>
      <w:pPr>
        <w:pStyle w:val="Normal"/>
        <w:numPr>
          <w:ilvl w:val="0"/>
          <w:numId w:val="3"/>
        </w:numPr>
        <w:shd w:val="clear" w:color="auto" w:fill="FFFFFF"/>
        <w:tabs>
          <w:tab w:val="clear" w:pos="709"/>
          <w:tab w:val="left" w:pos="1418" w:leader="none"/>
        </w:tabs>
        <w:ind w:left="0" w:firstLine="709"/>
        <w:jc w:val="both"/>
        <w:rPr>
          <w:sz w:val="24"/>
          <w:szCs w:val="24"/>
          <w:highlight w:val="lightGray"/>
        </w:rPr>
      </w:pPr>
      <w:r>
        <w:rPr>
          <w:sz w:val="24"/>
          <w:szCs w:val="24"/>
          <w:highlight w:val="lightGray"/>
        </w:rPr>
        <w:t>накладная ТОРГ-12.</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hanging="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pPr>
        <w:pStyle w:val="ListParagraph"/>
        <w:numPr>
          <w:ilvl w:val="1"/>
          <w:numId w:val="2"/>
        </w:numPr>
        <w:tabs>
          <w:tab w:val="clear" w:pos="709"/>
          <w:tab w:val="left" w:pos="1418"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9"/>
          <w:tab w:val="left" w:pos="1418" w:leader="none"/>
          <w:tab w:val="left" w:pos="1851" w:leader="none"/>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left="0" w:hanging="0"/>
        <w:jc w:val="center"/>
        <w:rPr>
          <w:b/>
          <w:sz w:val="24"/>
          <w:szCs w:val="24"/>
          <w:highlight w:val="lightGray"/>
        </w:rPr>
      </w:pPr>
      <w:r>
        <w:rPr>
          <w:b/>
          <w:sz w:val="24"/>
          <w:szCs w:val="24"/>
          <w:highlight w:val="lightGray"/>
        </w:rPr>
        <w:t>Гарантийный срок</w:t>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должен быть в соответствии с установленным производителем товара сроком гарантии на товар, либо быть установлен поставщиком на срок не менее года. Остаточный срок годности на момент поставки товара должен составлять не менее 80%.</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Pr>
          <w:sz w:val="24"/>
          <w:szCs w:val="24"/>
        </w:rPr>
        <w:t xml:space="preserve">начиная с 31 (тридцать первого) календарного дня просрочки (неустойка с 1 по 30 день просрочки не начисляется), </w:t>
      </w:r>
      <w:r>
        <w:rPr>
          <w:bCs/>
          <w:sz w:val="24"/>
          <w:szCs w:val="24"/>
        </w:rPr>
        <w:t xml:space="preserve">но не более 5% от несвоевременно уплаченной суммы. </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3"/>
      </w:r>
      <w:r>
        <w:rPr>
          <w:bCs/>
          <w:sz w:val="24"/>
          <w:szCs w:val="24"/>
        </w:rPr>
        <w:t>.</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hd w:val="clear" w:color="auto" w:fill="FFFFFF"/>
        <w:tabs>
          <w:tab w:val="clear" w:pos="709"/>
          <w:tab w:val="left" w:pos="0" w:leader="none"/>
          <w:tab w:val="left" w:pos="284" w:leader="none"/>
          <w:tab w:val="left" w:pos="567" w:leader="none"/>
        </w:tabs>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Особые положения</w:t>
      </w:r>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1"/>
        </w:numPr>
        <w:shd w:val="clear" w:color="auto" w:fill="FFFFFF"/>
        <w:tabs>
          <w:tab w:val="clear" w:pos="709"/>
          <w:tab w:val="left" w:pos="1134" w:leader="none"/>
        </w:tabs>
        <w:ind w:left="0" w:firstLine="709"/>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1"/>
        </w:numPr>
        <w:shd w:val="clear" w:color="auto" w:fill="FFFFFF"/>
        <w:tabs>
          <w:tab w:val="clear" w:pos="709"/>
          <w:tab w:val="left" w:pos="1134" w:leader="none"/>
        </w:tabs>
        <w:ind w:left="0" w:firstLine="709"/>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2"/>
        </w:numPr>
        <w:shd w:val="clear" w:color="auto" w:fill="FFFFFF"/>
        <w:tabs>
          <w:tab w:val="clear" w:pos="709"/>
          <w:tab w:val="left" w:pos="1134" w:leader="none"/>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0"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left="0" w:firstLine="709"/>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left="0" w:firstLine="709"/>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0"/>
        </w:numPr>
        <w:tabs>
          <w:tab w:val="clear" w:pos="709"/>
          <w:tab w:val="left" w:pos="1418" w:leader="none"/>
        </w:tabs>
        <w:spacing w:beforeAutospacing="0" w:before="0" w:afterAutospacing="0" w:after="0"/>
        <w:ind w:left="0" w:firstLine="709"/>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0"/>
        </w:numPr>
        <w:tabs>
          <w:tab w:val="clear" w:pos="709"/>
          <w:tab w:val="left" w:pos="1418" w:leader="none"/>
        </w:tabs>
        <w:spacing w:beforeAutospacing="0" w:before="0" w:afterAutospacing="0" w:after="0"/>
        <w:ind w:left="0" w:firstLine="709"/>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0"/>
        </w:numPr>
        <w:tabs>
          <w:tab w:val="clear" w:pos="709"/>
          <w:tab w:val="left" w:pos="1418" w:leader="none"/>
        </w:tabs>
        <w:spacing w:beforeAutospacing="0" w:before="0" w:afterAutospacing="0" w:after="0"/>
        <w:ind w:left="0" w:firstLine="709"/>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0"/>
        </w:numPr>
        <w:tabs>
          <w:tab w:val="clear" w:pos="709"/>
          <w:tab w:val="left" w:pos="1418" w:leader="none"/>
        </w:tabs>
        <w:spacing w:beforeAutospacing="0" w:before="0" w:afterAutospacing="0" w:after="0"/>
        <w:ind w:left="0" w:firstLine="709"/>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shd w:val="clear" w:color="auto" w:fill="FFFFFF"/>
        <w:tabs>
          <w:tab w:val="clear" w:pos="709"/>
          <w:tab w:val="left" w:pos="1418" w:leader="none"/>
        </w:tabs>
        <w:ind w:left="0" w:firstLine="709"/>
        <w:jc w:val="both"/>
        <w:rPr>
          <w:sz w:val="24"/>
          <w:szCs w:val="24"/>
        </w:rPr>
      </w:pPr>
      <w:r>
        <w:rPr>
          <w:sz w:val="24"/>
          <w:szCs w:val="24"/>
        </w:rPr>
        <w:t>12.4. 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ind w:left="0" w:firstLine="709"/>
        <w:jc w:val="both"/>
        <w:rPr>
          <w:sz w:val="24"/>
          <w:szCs w:val="24"/>
        </w:rPr>
      </w:pPr>
      <w:r>
        <w:rPr>
          <w:sz w:val="24"/>
          <w:szCs w:val="24"/>
        </w:rPr>
        <w:t>12.5. С даты прекращения (расторжения) Договора Поставщик обязан прекратить поставку Товара.</w:t>
      </w:r>
    </w:p>
    <w:p>
      <w:pPr>
        <w:pStyle w:val="ListParagraph"/>
        <w:ind w:left="0" w:firstLine="709"/>
        <w:jc w:val="both"/>
        <w:rPr>
          <w:sz w:val="24"/>
          <w:szCs w:val="24"/>
        </w:rPr>
      </w:pPr>
      <w:r>
        <w:rPr>
          <w:sz w:val="24"/>
          <w:szCs w:val="24"/>
        </w:rPr>
        <w:t xml:space="preserve">12.6. 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hanging="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snapToGrid w:val="false"/>
        <w:ind w:left="0" w:firstLine="709"/>
        <w:jc w:val="both"/>
        <w:rPr>
          <w:sz w:val="24"/>
          <w:szCs w:val="24"/>
        </w:rPr>
      </w:pPr>
      <w:r>
        <w:rPr>
          <w:sz w:val="24"/>
          <w:szCs w:val="24"/>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Normal"/>
        <w:widowControl/>
        <w:numPr>
          <w:ilvl w:val="0"/>
          <w:numId w:val="0"/>
        </w:numPr>
        <w:suppressAutoHyphens w:val="true"/>
        <w:bidi w:val="0"/>
        <w:snapToGrid w:val="false"/>
        <w:spacing w:before="0" w:after="0"/>
        <w:ind w:left="0" w:right="0" w:hanging="0"/>
        <w:jc w:val="both"/>
        <w:rPr>
          <w:sz w:val="24"/>
          <w:szCs w:val="24"/>
          <w:highlight w:val="lightGray"/>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Сторон1.</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4"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4"/>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4"/>
      </w:r>
      <w:r>
        <w:rPr>
          <w:sz w:val="24"/>
          <w:szCs w:val="24"/>
          <w:highlight w:val="lightGray"/>
        </w:rPr>
        <w:t>.</w:t>
      </w:r>
    </w:p>
    <w:p>
      <w:pPr>
        <w:pStyle w:val="ListParagraph"/>
        <w:widowControl/>
        <w:shd w:val="clear" w:color="auto" w:fill="FFFFFF"/>
        <w:tabs>
          <w:tab w:val="clear" w:pos="709"/>
          <w:tab w:val="left" w:pos="0" w:leader="none"/>
          <w:tab w:val="left" w:pos="1418" w:leader="none"/>
        </w:tabs>
        <w:ind w:left="0" w:firstLine="709"/>
        <w:jc w:val="both"/>
        <w:rPr>
          <w:sz w:val="24"/>
          <w:szCs w:val="24"/>
        </w:rPr>
      </w:pPr>
      <w:r>
        <w:rPr>
          <w:sz w:val="24"/>
          <w:szCs w:val="24"/>
        </w:rPr>
      </w:r>
    </w:p>
    <w:p>
      <w:pPr>
        <w:pStyle w:val="Normal"/>
        <w:widowControl/>
        <w:numPr>
          <w:ilvl w:val="0"/>
          <w:numId w:val="2"/>
        </w:numPr>
        <w:shd w:val="clear" w:color="auto" w:fill="FFFFFF"/>
        <w:spacing w:before="0" w:after="0"/>
        <w:ind w:left="0" w:hanging="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left="0" w:hanging="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0" w:firstLine="709"/>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1"/>
        <w:gridCol w:w="141"/>
        <w:gridCol w:w="4633"/>
        <w:gridCol w:w="236"/>
      </w:tblGrid>
      <w:tr>
        <w:trPr/>
        <w:tc>
          <w:tcPr>
            <w:tcW w:w="4912" w:type="dxa"/>
            <w:gridSpan w:val="2"/>
            <w:tcBorders/>
          </w:tcPr>
          <w:p>
            <w:pPr>
              <w:pStyle w:val="Normal"/>
              <w:widowControl w:val="false"/>
              <w:rPr>
                <w:b/>
                <w:sz w:val="24"/>
                <w:szCs w:val="24"/>
              </w:rPr>
            </w:pPr>
            <w:r>
              <w:rPr>
                <w:b/>
                <w:sz w:val="24"/>
                <w:szCs w:val="24"/>
              </w:rPr>
              <w:t>Покупатель:</w:t>
            </w:r>
          </w:p>
        </w:tc>
        <w:tc>
          <w:tcPr>
            <w:tcW w:w="4869" w:type="dxa"/>
            <w:gridSpan w:val="2"/>
            <w:tcBorders/>
          </w:tcPr>
          <w:p>
            <w:pPr>
              <w:pStyle w:val="Normal"/>
              <w:widowControl w:val="false"/>
              <w:rPr>
                <w:b/>
                <w:sz w:val="24"/>
                <w:szCs w:val="24"/>
              </w:rPr>
            </w:pPr>
            <w:r>
              <w:rPr>
                <w:b/>
                <w:sz w:val="24"/>
                <w:szCs w:val="24"/>
              </w:rPr>
              <w:t>Поставщик:</w:t>
            </w:r>
          </w:p>
        </w:tc>
      </w:tr>
      <w:tr>
        <w:trPr/>
        <w:tc>
          <w:tcPr>
            <w:tcW w:w="4912" w:type="dxa"/>
            <w:gridSpan w:val="2"/>
            <w:tcBorders/>
            <w:shd w:color="auto" w:fill="BFBFBF" w:val="clear"/>
          </w:tcPr>
          <w:p>
            <w:pPr>
              <w:pStyle w:val="Normal"/>
              <w:widowControl w:val="false"/>
              <w:rPr>
                <w:rFonts w:eastAsia="Calibri"/>
                <w:b/>
                <w:bCs/>
              </w:rPr>
            </w:pPr>
            <w:r>
              <w:rPr>
                <w:rFonts w:eastAsia="Calibri"/>
                <w:b/>
                <w:bCs/>
              </w:rPr>
              <w:t>Акционерное общество</w:t>
            </w:r>
          </w:p>
          <w:p>
            <w:pPr>
              <w:pStyle w:val="Normal"/>
              <w:widowControl w:val="false"/>
              <w:rPr>
                <w:rFonts w:eastAsia="Calibri"/>
                <w:b/>
                <w:bCs/>
              </w:rPr>
            </w:pPr>
            <w:r>
              <w:rPr>
                <w:rFonts w:eastAsia="Calibri"/>
                <w:b/>
                <w:bCs/>
              </w:rPr>
              <w:t>«Транспортная компания РусГидро»</w:t>
            </w:r>
          </w:p>
          <w:p>
            <w:pPr>
              <w:pStyle w:val="Normal"/>
              <w:widowControl w:val="false"/>
              <w:rPr>
                <w:rFonts w:eastAsia="Calibri"/>
                <w:b/>
                <w:bCs/>
                <w:u w:val="single"/>
              </w:rPr>
            </w:pPr>
            <w:r>
              <w:rPr>
                <w:rFonts w:eastAsia="Calibri"/>
                <w:b/>
                <w:bCs/>
              </w:rPr>
              <w:t>(АО «ТК РусГидро»)</w:t>
            </w:r>
          </w:p>
          <w:p>
            <w:pPr>
              <w:pStyle w:val="Normal"/>
              <w:widowControl w:val="false"/>
              <w:rPr>
                <w:rFonts w:eastAsia="Calibri"/>
              </w:rPr>
            </w:pPr>
            <w:r>
              <w:rPr>
                <w:rFonts w:eastAsia="Calibri"/>
              </w:rPr>
              <w:t>Юридический адрес: 655619, Республика Хакасия, г. Саяногорск, рп. Черемушки, стр. 101</w:t>
            </w:r>
          </w:p>
          <w:p>
            <w:pPr>
              <w:pStyle w:val="Normal"/>
              <w:widowControl w:val="false"/>
              <w:rPr>
                <w:rFonts w:eastAsia="Calibri"/>
              </w:rPr>
            </w:pPr>
            <w:r>
              <w:rPr>
                <w:rFonts w:eastAsia="Calibri"/>
              </w:rPr>
              <w:t>ОГРН: 1031900676356;</w:t>
            </w:r>
          </w:p>
          <w:p>
            <w:pPr>
              <w:pStyle w:val="Normal"/>
              <w:widowControl w:val="false"/>
              <w:rPr>
                <w:rFonts w:eastAsia="Calibri"/>
              </w:rPr>
            </w:pPr>
            <w:r>
              <w:rPr>
                <w:rFonts w:eastAsia="Calibri"/>
              </w:rPr>
              <w:t>ИНН: 1902018248; КПП: 190201001;</w:t>
            </w:r>
          </w:p>
          <w:p>
            <w:pPr>
              <w:pStyle w:val="Normal"/>
              <w:widowControl w:val="false"/>
              <w:rPr>
                <w:rFonts w:eastAsia="Calibri"/>
                <w:lang w:eastAsia="en-US"/>
              </w:rPr>
            </w:pPr>
            <w:r>
              <w:rPr>
                <w:rFonts w:eastAsia="Calibri"/>
              </w:rPr>
              <w:t>р/с 40702 810 7 9500 0000002</w:t>
            </w:r>
          </w:p>
          <w:p>
            <w:pPr>
              <w:pStyle w:val="Normal"/>
              <w:widowControl w:val="false"/>
              <w:rPr>
                <w:rFonts w:eastAsia="Calibri"/>
              </w:rPr>
            </w:pPr>
            <w:r>
              <w:rPr>
                <w:rFonts w:eastAsia="Calibri"/>
              </w:rPr>
              <w:t xml:space="preserve">«Газпромбанк» (Акционерное общество) </w:t>
            </w:r>
          </w:p>
          <w:p>
            <w:pPr>
              <w:pStyle w:val="Normal"/>
              <w:widowControl w:val="false"/>
              <w:rPr>
                <w:rFonts w:eastAsia="Calibri"/>
              </w:rPr>
            </w:pPr>
            <w:r>
              <w:rPr>
                <w:rFonts w:eastAsia="Calibri"/>
              </w:rPr>
              <w:t xml:space="preserve">ГПБ (АО) г. Москва </w:t>
            </w:r>
          </w:p>
          <w:p>
            <w:pPr>
              <w:pStyle w:val="Normal"/>
              <w:widowControl w:val="false"/>
              <w:rPr>
                <w:rFonts w:eastAsia="Calibri"/>
              </w:rPr>
            </w:pPr>
            <w:r>
              <w:rPr>
                <w:rFonts w:eastAsia="Calibri"/>
              </w:rPr>
              <w:t xml:space="preserve">к/с 30101 810 2 0000 0000823 </w:t>
            </w:r>
          </w:p>
          <w:p>
            <w:pPr>
              <w:pStyle w:val="Normal"/>
              <w:widowControl w:val="false"/>
              <w:rPr>
                <w:rFonts w:eastAsia="Calibri"/>
              </w:rPr>
            </w:pPr>
            <w:r>
              <w:rPr>
                <w:rFonts w:eastAsia="Calibri"/>
              </w:rPr>
              <w:t>БИК 044525823</w:t>
            </w:r>
          </w:p>
          <w:p>
            <w:pPr>
              <w:pStyle w:val="Normal"/>
              <w:widowControl w:val="false"/>
              <w:spacing w:before="0" w:after="0"/>
              <w:ind w:left="34" w:right="104" w:hanging="0"/>
              <w:contextualSpacing/>
              <w:rPr>
                <w:rFonts w:eastAsia="Calibri"/>
                <w:b/>
                <w:bCs/>
              </w:rPr>
            </w:pPr>
            <w:r>
              <w:rPr>
                <w:rFonts w:eastAsia="Calibri"/>
                <w:b/>
                <w:bCs/>
              </w:rPr>
            </w:r>
          </w:p>
          <w:p>
            <w:pPr>
              <w:pStyle w:val="Normal"/>
              <w:widowControl w:val="false"/>
              <w:spacing w:before="0" w:after="0"/>
              <w:ind w:left="34" w:right="104" w:hanging="0"/>
              <w:contextualSpacing/>
              <w:rPr>
                <w:rFonts w:eastAsia="Calibri"/>
                <w:b/>
                <w:bCs/>
              </w:rPr>
            </w:pPr>
            <w:r>
              <w:rPr>
                <w:rFonts w:eastAsia="Calibri"/>
                <w:b/>
                <w:bCs/>
              </w:rPr>
              <w:t xml:space="preserve">Камчатский филиал </w:t>
            </w:r>
          </w:p>
          <w:p>
            <w:pPr>
              <w:pStyle w:val="Normal"/>
              <w:widowControl w:val="false"/>
              <w:spacing w:before="0" w:after="0"/>
              <w:ind w:left="34" w:right="104" w:hanging="0"/>
              <w:contextualSpacing/>
              <w:rPr>
                <w:rFonts w:eastAsia="Calibri"/>
                <w:b/>
                <w:bCs/>
                <w:u w:val="single"/>
              </w:rPr>
            </w:pPr>
            <w:r>
              <w:rPr>
                <w:rFonts w:eastAsia="Calibri"/>
                <w:b/>
                <w:bCs/>
              </w:rPr>
              <w:t>АО «ТК РусГидро»</w:t>
            </w:r>
          </w:p>
          <w:p>
            <w:pPr>
              <w:pStyle w:val="Normal"/>
              <w:widowControl w:val="false"/>
              <w:spacing w:before="0" w:after="0"/>
              <w:ind w:left="29" w:hanging="0"/>
              <w:contextualSpacing/>
              <w:rPr>
                <w:rFonts w:eastAsia="Calibri"/>
              </w:rPr>
            </w:pPr>
            <w:r>
              <w:rPr>
                <w:rFonts w:eastAsia="Calibri"/>
              </w:rPr>
              <w:t>Почтовый адрес: 683032, Камчатский край, г. Петропавловск-Камчатский, ул. Пограничная, д. 14а</w:t>
            </w:r>
          </w:p>
          <w:p>
            <w:pPr>
              <w:pStyle w:val="Normal"/>
              <w:widowControl w:val="false"/>
              <w:spacing w:before="0" w:after="0"/>
              <w:ind w:left="29" w:hanging="0"/>
              <w:contextualSpacing/>
              <w:rPr>
                <w:rFonts w:eastAsia="Calibri"/>
              </w:rPr>
            </w:pPr>
            <w:r>
              <w:rPr>
                <w:rFonts w:eastAsia="Calibri"/>
                <w:b/>
                <w:sz w:val="24"/>
                <w:szCs w:val="24"/>
              </w:rPr>
              <w:t>ИНН: 1902018248; КПП: 410143001.</w:t>
            </w:r>
          </w:p>
        </w:tc>
        <w:tc>
          <w:tcPr>
            <w:tcW w:w="4869"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1" w:type="dxa"/>
            <w:tcBorders/>
          </w:tcPr>
          <w:p>
            <w:pPr>
              <w:pStyle w:val="Normal"/>
              <w:widowControl w:val="false"/>
              <w:rPr/>
            </w:pPr>
            <w:r>
              <w:rPr/>
              <w:t xml:space="preserve">_______________ / М.В. Нешев </w:t>
            </w:r>
          </w:p>
        </w:tc>
        <w:tc>
          <w:tcPr>
            <w:tcW w:w="4774"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52"/>
        <w:gridCol w:w="392"/>
        <w:gridCol w:w="602"/>
        <w:gridCol w:w="612"/>
        <w:gridCol w:w="612"/>
        <w:gridCol w:w="776"/>
        <w:gridCol w:w="724"/>
        <w:gridCol w:w="624"/>
        <w:gridCol w:w="731"/>
        <w:gridCol w:w="690"/>
        <w:gridCol w:w="515"/>
        <w:gridCol w:w="647"/>
        <w:gridCol w:w="553"/>
        <w:gridCol w:w="516"/>
        <w:gridCol w:w="715"/>
        <w:gridCol w:w="473"/>
      </w:tblGrid>
      <w:tr>
        <w:trPr>
          <w:trHeight w:val="526" w:hRule="atLeast"/>
        </w:trPr>
        <w:tc>
          <w:tcPr>
            <w:tcW w:w="4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5"/>
            </w:r>
          </w:p>
        </w:tc>
        <w:tc>
          <w:tcPr>
            <w:tcW w:w="7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6"/>
            </w:r>
          </w:p>
          <w:p>
            <w:pPr>
              <w:pStyle w:val="Normal"/>
              <w:widowControl w:val="false"/>
              <w:jc w:val="center"/>
              <w:rPr>
                <w:bCs/>
              </w:rPr>
            </w:pPr>
            <w:r>
              <w:rPr>
                <w:bCs/>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6"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6"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6"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lang w:val="en-US"/>
              </w:rPr>
            </w:pPr>
            <w:r>
              <w:rPr>
                <w:sz w:val="24"/>
                <w:szCs w:val="24"/>
              </w:rPr>
              <w:t>_____________________/</w:t>
            </w:r>
            <w:r>
              <w:rPr>
                <w:sz w:val="24"/>
                <w:szCs w:val="24"/>
                <w:lang w:val="en-US"/>
              </w:rPr>
              <w:t>М.В. Нешев</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по договору поставки №______________ от «____» _____202</w:t>
      </w:r>
      <w:r>
        <w:rPr>
          <w:b/>
          <w:sz w:val="24"/>
          <w:szCs w:val="24"/>
        </w:rPr>
        <w:t>7</w:t>
      </w:r>
      <w:r>
        <w:rPr>
          <w:b/>
          <w:sz w:val="24"/>
          <w:szCs w:val="24"/>
        </w:rPr>
        <w:t xml:space="preserve">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noVBand="1" w:val="04a0" w:noHBand="0" w:lastColumn="0" w:firstColumn="1" w:lastRow="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firstLine="709"/>
        <w:jc w:val="center"/>
        <w:outlineLvl w:val="0"/>
        <w:rPr>
          <w:b/>
          <w:bCs/>
          <w:sz w:val="24"/>
          <w:szCs w:val="24"/>
        </w:rPr>
      </w:pPr>
      <w:r>
        <w:rPr>
          <w:b/>
          <w:bCs/>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18"/>
        <w:gridCol w:w="5104"/>
      </w:tblGrid>
      <w:tr>
        <w:trPr/>
        <w:tc>
          <w:tcPr>
            <w:tcW w:w="4818"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4"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firstLine="709"/>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lang w:val="en-US"/>
              </w:rPr>
            </w:pPr>
            <w:r>
              <w:rPr>
                <w:sz w:val="24"/>
                <w:szCs w:val="24"/>
              </w:rPr>
              <w:t>_____________________/</w:t>
            </w:r>
            <w:r>
              <w:rPr>
                <w:sz w:val="24"/>
                <w:szCs w:val="24"/>
                <w:lang w:val="en-US"/>
              </w:rPr>
              <w:t xml:space="preserve"> </w:t>
            </w:r>
            <w:bookmarkStart w:id="16" w:name="_GoBack"/>
            <w:bookmarkEnd w:id="16"/>
            <w:r>
              <w:rPr>
                <w:sz w:val="24"/>
                <w:szCs w:val="24"/>
                <w:lang w:val="en-US"/>
              </w:rPr>
              <w:t>М.В. Нешев</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3">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6">
    <w:p>
      <w:pPr>
        <w:pStyle w:val="FootnoteText"/>
        <w:jc w:val="both"/>
        <w:rPr/>
      </w:pPr>
      <w:r>
        <w:rPr>
          <w:rStyle w:val="Style14"/>
        </w:rPr>
        <w:footnoteRef/>
      </w:r>
      <w:r>
        <w:rPr>
          <w:highlight w:val="lightGray"/>
        </w:rPr>
        <w:t xml:space="preserve"> </w:t>
      </w:r>
      <w:r>
        <w:rPr>
          <w:rFonts w:eastAsia="Calibri" w:eastAsiaTheme="minorHAnsi"/>
          <w:highlight w:val="lightGray"/>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rFonts w:ascii="Times New Roman" w:hAnsi="Times New Roman" w:eastAsia="Times New Roman" w:cs="Times New Roman"/>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hanging="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hanging="0"/>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9A11403C-5204-463D-A148-02FC2D95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1511</TotalTime>
  <Application>AlterOffice/3.4.0.9$Linux_X86_64 LibreOffice_project/b8daf9e823b1a5463a2f48435ddc2e8696e7d4fc</Application>
  <AppVersion>15.0000</AppVersion>
  <Pages>20</Pages>
  <Words>6997</Words>
  <Characters>49423</Characters>
  <CharactersWithSpaces>56142</CharactersWithSpaces>
  <Paragraphs>365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gritskikhea@corp.gidroogk.com</cp:lastModifiedBy>
  <cp:lastPrinted>2026-04-02T15:10:00Z</cp:lastPrinted>
  <dcterms:modified xsi:type="dcterms:W3CDTF">2026-10-13T15:03:35Z</dcterms:modified>
  <cp:revision>25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