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8.xml" ContentType="application/vnd.openxmlformats-officedocument.wordprocessingml.header+xml"/>
  <Override PartName="/word/header11.xml" ContentType="application/vnd.openxmlformats-officedocument.wordprocessingml.header+xml"/>
  <Override PartName="/word/header10.xml" ContentType="application/vnd.openxmlformats-officedocument.wordprocessingml.header+xml"/>
  <Override PartName="/word/header7.xml" ContentType="application/vnd.openxmlformats-officedocument.wordprocessingml.header+xml"/>
  <Override PartName="/word/theme/theme1.xml" ContentType="application/vnd.openxmlformats-officedocument.theme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footer5.xml" ContentType="application/vnd.openxmlformats-officedocument.wordprocessingml.footer+xml"/>
  <Override PartName="/word/footer4.xml" ContentType="application/vnd.openxmlformats-officedocument.wordprocessingml.footer+xml"/>
  <Override PartName="/word/header14.xml" ContentType="application/vnd.openxmlformats-officedocument.wordprocessingml.header+xml"/>
  <Override PartName="/word/header13.xml" ContentType="application/vnd.openxmlformats-officedocument.wordprocessingml.header+xml"/>
  <Override PartName="/word/media/image1.wmf" ContentType="image/x-wmf"/>
  <Override PartName="/word/embeddings/oleObject1.xlsx" ContentType="application/vnd.openxmlformats-officedocument.spreadsheetml.sheet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</w:rPr>
      </w:pPr>
      <w:r>
        <w:rPr>
          <w:rFonts w:eastAsia="Calibri"/>
          <w:b/>
          <w:bCs/>
          <w:sz w:val="26"/>
          <w:szCs w:val="26"/>
        </w:rPr>
        <w:t>ОКПД2 71.20.13.000 по проведению комплексного обследования рельсовых путей подъемных сооружений филиала ПАО «РусГидро»-«Жигулевская ГЭС» для нужд Жигулевского филиала АО «Гидроремонт-ВКК» в г. Жигулевск в 2027 году</w:t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60" w:charSpace="0"/>
        </w:sect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>Лот № ________________________________</w:t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54643694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5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Обозначения и сокращения…………………………………………………………………………………..</w:t>
              <w:tab/>
            </w:r>
          </w:hyperlink>
          <w:r>
            <w:rPr/>
            <w:t>3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6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Наименование закупаемой продукции………………………………………………………………………</w:t>
            </w:r>
          </w:hyperlink>
          <w:r>
            <w:rPr/>
            <w:t>4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7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Цель оказания услуг ………………………………………………………………………………………….</w:t>
              <w:tab/>
            </w:r>
          </w:hyperlink>
          <w:r>
            <w:rPr/>
            <w:t>4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8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Существующее положение …………………………………………………………………………………..</w:t>
              <w:tab/>
            </w:r>
          </w:hyperlink>
          <w:r>
            <w:rPr/>
            <w:t>4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699"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</w:r>
          </w:hyperlink>
          <w:r>
            <w:rPr/>
            <w:t>4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0">
            <w:r>
              <w:rPr>
                <w:webHidden/>
                <w:rStyle w:val="Style14"/>
                <w:iCs/>
                <w:vanish w:val="false"/>
              </w:rPr>
              <w:t>1.5.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 ……………………………………………………………………………………………………………...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1">
            <w:r>
              <w:rPr>
                <w:webHidden/>
                <w:rStyle w:val="Style14"/>
                <w:iCs/>
                <w:vanish w:val="false"/>
              </w:rPr>
              <w:t>1.6.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Иные требования и сведения общего характера…………………………………………………………….</w:t>
              <w:tab/>
            </w:r>
          </w:hyperlink>
          <w:r>
            <w:rPr/>
            <w:t>5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2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</w:r>
          </w:hyperlink>
          <w:r>
            <w:rPr/>
            <w:t>6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3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объемам и срокам оказания услуг……………………………………………………………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4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перечню и объему услуг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5"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</w:r>
          </w:hyperlink>
          <w:r>
            <w:rPr>
              <w:vanish w:val="false"/>
            </w:rPr>
            <w:t>6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6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срокам оказания услуг</w:t>
              <w:tab/>
            </w:r>
          </w:hyperlink>
          <w:r>
            <w:rPr/>
            <w:t>6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7"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</w:r>
          </w:hyperlink>
          <w:r>
            <w:rPr>
              <w:vanish w:val="false"/>
            </w:rPr>
            <w:t>6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8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качеству услуг ……………………………………………………………………………….</w:t>
            </w:r>
          </w:hyperlink>
          <w:r>
            <w:rPr/>
            <w:t>..</w:t>
          </w:r>
          <w:r>
            <w:rPr/>
            <w:t>8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9"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</w:r>
          </w:hyperlink>
          <w:r>
            <w:rPr>
              <w:vanish w:val="false"/>
            </w:rPr>
            <w:t>8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10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11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заключения (исполнения) договора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12">
            <w:r>
              <w:rPr>
                <w:webHidden/>
                <w:rStyle w:val="Style14"/>
                <w:vanish w:val="false"/>
              </w:rPr>
              <w:t>5.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Приложения</w:t>
            </w:r>
            <w:r>
              <w:rPr>
                <w:rStyle w:val="Style1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r>
            <w:rPr/>
            <w:t xml:space="preserve">Приложение № 1. </w:t>
          </w:r>
          <w:hyperlink w:anchor="_Toc54643713">
            <w:r>
              <w:rPr>
                <w:webHidden/>
                <w:rStyle w:val="Style14"/>
                <w:vanish w:val="false"/>
              </w:rPr>
              <w:t>Требования к оформлению и составлению документации по ценообразованию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19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</w:rPr>
      </w:pPr>
      <w:r>
        <w:rPr>
          <w:rFonts w:eastAsia="" w:cs="" w:cstheme="minorBidi" w:eastAsiaTheme="minorEastAsia" w:ascii="Calibri" w:hAnsi="Calibri"/>
          <w:b w:val="false"/>
          <w:bCs w:val="false"/>
        </w:rPr>
      </w:r>
    </w:p>
    <w:p>
      <w:pPr>
        <w:pStyle w:val="Heading2"/>
        <w:numPr>
          <w:ilvl w:val="0"/>
        </w:numPr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Toc54643694"/>
      <w:r>
        <w:rPr>
          <w:lang w:val="ru-RU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rPr/>
      </w:pPr>
      <w:bookmarkStart w:id="1" w:name="_Toc46743505"/>
      <w:bookmarkStart w:id="2" w:name="_Toc54643695"/>
      <w:r>
        <w:rPr/>
        <w:t>Обозначения и сокращения</w:t>
      </w:r>
      <w:bookmarkEnd w:id="1"/>
      <w:bookmarkEnd w:id="2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опасный производственный объект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НТД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нормативно-техническая документация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НПА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нормативные правовые акты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ОРД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организационно-распорядительный документ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подъемные сооружения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 РП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комплексное обследование рельсового пути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3" w:name="_Toc46743506"/>
      <w:bookmarkStart w:id="4" w:name="_Toc54643696"/>
      <w:r>
        <w:rPr/>
        <w:t>Наименование закупаемой продукции</w:t>
      </w:r>
      <w:bookmarkEnd w:id="3"/>
      <w:bookmarkEnd w:id="4"/>
      <w:r>
        <w:rPr/>
        <w:t>/услуги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«ОКПД2 71.20.13.000 Оказание услуг по проведению комплексного обследования рельсового пути безопасности подъемных сооружений филиала ПАО «РусГидро»-«Жигулевская ГЭС» для нужд Жигулевского филиала АО «Гидроремонт-ВКК» в г. Жигулевск (далее также - Заказчик) в 2027 году».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5" w:name="_Toc54643697"/>
      <w:bookmarkStart w:id="6" w:name="_Toc46743507"/>
      <w:r>
        <w:rPr/>
        <w:t xml:space="preserve">Цель </w:t>
      </w:r>
      <w:bookmarkEnd w:id="6"/>
      <w:r>
        <w:rPr>
          <w:lang w:val="ru-RU"/>
        </w:rPr>
        <w:t>оказания услуг</w:t>
      </w:r>
      <w:bookmarkEnd w:id="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Услуги оказываются в рамках исполнения Филиалом обязательств по доходному договору по эксплуатации подъемных сооружений филиала ПАО «РусГидро»-«Жигулевская ГЭС».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 xml:space="preserve">Целью КО РП является определение их технического состояния. При проведении КО РП выполняется комплекс работ по определению технического состояния рельсового пути с оформлением заключения (акта) комплексного обследования рельсового пути. </w:t>
      </w:r>
    </w:p>
    <w:p>
      <w:pPr>
        <w:pStyle w:val="Heading4"/>
        <w:numPr>
          <w:ilvl w:val="1"/>
          <w:numId w:val="3"/>
        </w:numPr>
        <w:rPr/>
      </w:pPr>
      <w:bookmarkStart w:id="7" w:name="_Toc54643698"/>
      <w:bookmarkStart w:id="8" w:name="_Toc46743508"/>
      <w:r>
        <w:rPr/>
        <w:t>Существующее положение</w:t>
      </w:r>
      <w:bookmarkEnd w:id="7"/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Типовое наименование ОПО: ОПО, на которых используются стационарно установленные грузоподъемные механизмы.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В соответствии с требованиями действующих НПА и НТД периодическое комплексное обследование рельсовых путей проводится специализированными организациями не реже одного раза в три года.</w:t>
      </w:r>
    </w:p>
    <w:p>
      <w:pPr>
        <w:pStyle w:val="Heading1"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9" w:name="_Toc54643699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9"/>
    </w:p>
    <w:tbl>
      <w:tblPr>
        <w:tblW w:w="1002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15"/>
        <w:gridCol w:w="2550"/>
        <w:gridCol w:w="2167"/>
        <w:gridCol w:w="3278"/>
        <w:gridCol w:w="1410"/>
      </w:tblGrid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-454" w:right="-4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/>
            </w:pPr>
            <w:r>
              <w:rPr/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ОПО «Площадка маневровых и ремонтных работ машинного зала Жигулевского филиала», рег. № А40-19617-0031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Самарская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г. Жигулевск,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Московское шоссе, 2. Филиал ПАО «РусГидро»- «Жигулевская ГЭС»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Рельсовый путь мостовых кранов машинного зала г/п 450/100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Рельсовый путь мостовых кранов машинного зала г/п 30/5 т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/>
            </w:pPr>
            <w:r>
              <w:rPr/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Площадка мостового крана склада № 2 Жигулевского филиала, рег. № А40-19617-0032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Самарская обл.,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Жигулевск,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Московское шоссе, 2. Филиал ПАО «РусГидро»- «Жигулевская ГЭС»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Рельсовый путь мостового крана склада ОМТС № 2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/>
            </w:pPr>
            <w:r>
              <w:rPr/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ОПО «Площадка мостового крана склада базы оборудования Жигулевского филиала», рег. № А40-19617-0035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Самарская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г. Жигулевск,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Московское шоссе, 2. Филиал ПАО «РусГидро»- «Жигулевская ГЭС»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Рельсовый путь мостового крана склада базы оборудования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/>
            </w:pPr>
            <w:r>
              <w:rPr/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Площадка маневровых и ремонтных работ щитового отделения верхнего бьефа Жигулевского филиала, </w:t>
            </w:r>
            <w:r>
              <w:rPr>
                <w:iCs/>
                <w:sz w:val="24"/>
                <w:szCs w:val="24"/>
              </w:rPr>
              <w:t>рег. № А40-19617-0036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Самарская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г. Жигулевск,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Московское шоссе, 2. Филиал ПАО «РусГидро»- «Жигулевская ГЭС»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Рельсовый путь мостовых кранов ЩОВБ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/>
            </w:pPr>
            <w:r>
              <w:rPr/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Площадка мостового крана склада № 1 Жигулевского филиала, рег. № А40-19617-0038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Самарская обл.,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г. Жигулевск,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Московское шоссе, 2. Филиал ПАО «РусГидро»- «Жигулевская ГЭС»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Рельсовый путь мостового крана склада ОМТС № 1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/>
            </w:pPr>
            <w:r>
              <w:rPr/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ОПО «Площадка козлового крана базы оборудования Жигулевского филиала», рег. № А40-19617-0039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Самарская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г. Жигулевск,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Московское шоссе, 2.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Филиал ПАО «РусГидро» - «Жигулевская ГЭС»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Рельсовый путь козлового крана базы оборудования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BodyTex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1.5.  </w:t>
      </w:r>
      <w:bookmarkStart w:id="10" w:name="_Toc46743509"/>
      <w:bookmarkStart w:id="11" w:name="_Hlk49857604"/>
      <w:bookmarkStart w:id="12" w:name="_Toc54643700"/>
      <w:r>
        <w:rPr>
          <w:b/>
          <w:bCs/>
          <w:sz w:val="24"/>
          <w:szCs w:val="24"/>
        </w:rPr>
        <w:t xml:space="preserve">Информация в отношении исполнения договора, </w:t>
      </w:r>
      <w:bookmarkStart w:id="13" w:name="_Hlk46492347"/>
      <w:r>
        <w:rPr>
          <w:b/>
          <w:bCs/>
          <w:sz w:val="24"/>
          <w:szCs w:val="24"/>
        </w:rPr>
        <w:t xml:space="preserve">которая должна быть учтена при подготовке заявки </w:t>
      </w:r>
      <w:bookmarkEnd w:id="13"/>
      <w:r>
        <w:rPr>
          <w:b/>
          <w:bCs/>
          <w:sz w:val="24"/>
          <w:szCs w:val="24"/>
        </w:rPr>
        <w:t>(в том числе перечень ресурсов, услуг и документов, предоставляемых заказчиком на этапе исполнения договора)</w:t>
      </w:r>
      <w:bookmarkEnd w:id="10"/>
      <w:bookmarkEnd w:id="11"/>
      <w:bookmarkEnd w:id="12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>При оказании услуг Исполнитель обязан обеспечить применение персоналом сертифицированных средств индивидуальной защиты, соответствующих характеру оказываемых услуг, а также соблюдение правил внутреннего распорядка, действующих в филиале ПАО «РусГидро»-«Жигулевская ГЭС» и в Жигулевском филиале АО «Гидроремонт-ВКК» в г. Жигулевск.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>Допуск персонала Исполнителя для оказания услуг осуществляется в соответствии с Регламентом процесса допуска подрядных организаций на объекты ПАО «РусГидро», утвержденным Приказом ПАО «РусГидро» от 28.04.2023 № 300. В соответствии с Методикой допуска персонала подрядных организаций к выполнению работ на объектах ПАО «РусГидро» (приложение 2 к приказу ПАО «РусГидро» от 28.04.2023 № 300) Исполнитель сопроводительным письмом на имя заказчика направляет список работников, с предоставлением прав ответственных за безопасное выполнение работ на объектах с указанием группы по электробезопасности и разряда работников, сообщает состав бригады для допуска персонала на объекты и места выполнения работ, с указанием руководителя работ, лица, выдающего наряд (при наличии), производителей работ и членов бригады. К письму сведения указанные в сопроводительном письме должны быть подтверждены копиями ОРД Исполнителя, протоколов проверки знаний, аттестации, копиями удостоверений о проверке знаний, свидетельств о прохождении обучения, документов прохождения медосмотра и психиатрического освидетельствования, заверенными руководителем или уполномоченным лицом Исполнителя.</w:t>
      </w:r>
    </w:p>
    <w:p>
      <w:pPr>
        <w:pStyle w:val="Heading4"/>
        <w:numPr>
          <w:ilvl w:val="0"/>
        </w:numPr>
        <w:ind w:hanging="432" w:left="432"/>
        <w:rPr/>
      </w:pPr>
      <w:bookmarkStart w:id="14" w:name="_Toc50125126"/>
      <w:bookmarkEnd w:id="14"/>
      <w:r>
        <w:rPr/>
        <w:t xml:space="preserve">1.6. </w:t>
      </w:r>
      <w:bookmarkStart w:id="15" w:name="_Toc54643701"/>
      <w:r>
        <w:rPr/>
        <w:t>Иные требования и сведения общего характера</w:t>
      </w:r>
      <w:bookmarkEnd w:id="1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Все работы, предусмотренные настоящим ТТ, проводятся по наряду-допуску и выполняются согласно разрабатываемому Исполнителем проекту производства работ (технологической карте).</w:t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16" w:name="_Toc51339693"/>
      <w:bookmarkStart w:id="17" w:name="_Toc54643702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6"/>
      <w:bookmarkEnd w:id="17"/>
    </w:p>
    <w:p>
      <w:pPr>
        <w:pStyle w:val="Heading4"/>
        <w:numPr>
          <w:ilvl w:val="1"/>
          <w:numId w:val="3"/>
        </w:numPr>
        <w:rPr/>
      </w:pPr>
      <w:bookmarkStart w:id="18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8"/>
    </w:p>
    <w:p>
      <w:pPr>
        <w:pStyle w:val="Heading3"/>
        <w:numPr>
          <w:ilvl w:val="2"/>
          <w:numId w:val="3"/>
        </w:numPr>
        <w:rPr/>
      </w:pPr>
      <w:bookmarkStart w:id="19" w:name="_Toc54643704"/>
      <w:r>
        <w:rPr>
          <w:lang w:val="ru-RU"/>
        </w:rPr>
        <w:t>Требования к перечню и объему услуг</w:t>
      </w:r>
      <w:bookmarkEnd w:id="19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20" w:name="_Toc54643705"/>
      <w:bookmarkStart w:id="2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1"/>
      <w:r>
        <w:rPr>
          <w:sz w:val="24"/>
          <w:szCs w:val="24"/>
          <w:lang w:val="ru-RU"/>
        </w:rPr>
        <w:t>и объем оказываемых услуг</w:t>
      </w:r>
      <w:bookmarkEnd w:id="20"/>
    </w:p>
    <w:tbl>
      <w:tblPr>
        <w:tblW w:w="9795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64"/>
        <w:gridCol w:w="3706"/>
        <w:gridCol w:w="1690"/>
        <w:gridCol w:w="1867"/>
        <w:gridCol w:w="1768"/>
      </w:tblGrid>
      <w:tr>
        <w:trPr/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</w:t>
            </w:r>
          </w:p>
        </w:tc>
      </w:tr>
      <w:tr>
        <w:trPr/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7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 РП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71.20.13.000</w:t>
            </w:r>
          </w:p>
        </w:tc>
      </w:tr>
      <w:tr>
        <w:trPr/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340" w:left="397" w:right="-227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  <w:t>1.1.</w:t>
            </w:r>
          </w:p>
        </w:tc>
        <w:tc>
          <w:tcPr>
            <w:tcW w:w="37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Рельсовый путь мостовых кранов машинного зала г/п 450/100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694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340" w:left="397" w:right="-227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  <w:t>1.2.</w:t>
            </w:r>
          </w:p>
        </w:tc>
        <w:tc>
          <w:tcPr>
            <w:tcW w:w="37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Рельсовый путь мостовых кранов машинного зала г/п 30/5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660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340" w:left="397" w:right="-227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  <w:t>1.3.</w:t>
            </w:r>
          </w:p>
        </w:tc>
        <w:tc>
          <w:tcPr>
            <w:tcW w:w="37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Рельсовый путь мостовых кранов ЩОВБ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666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340" w:left="397" w:right="-227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  <w:t>1.4.</w:t>
            </w:r>
          </w:p>
        </w:tc>
        <w:tc>
          <w:tcPr>
            <w:tcW w:w="37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Рельсовый путь козлового крана базы оборудования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187,5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340" w:left="397" w:right="-227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  <w:t>1.5.</w:t>
            </w:r>
          </w:p>
        </w:tc>
        <w:tc>
          <w:tcPr>
            <w:tcW w:w="37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Рельсовый путь мостового крана склада ОМТС № 1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340" w:left="397" w:right="-227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  <w:t>1.6.</w:t>
            </w:r>
          </w:p>
        </w:tc>
        <w:tc>
          <w:tcPr>
            <w:tcW w:w="37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Рельсовый путь мостового крана склада ОМТС № 2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340" w:left="397" w:right="-227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  <w:t>1.7.</w:t>
            </w:r>
          </w:p>
        </w:tc>
        <w:tc>
          <w:tcPr>
            <w:tcW w:w="37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Рельсовый путь мостового крана склада базы оборудования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2" w:name="_Toc54643706"/>
      <w:bookmarkStart w:id="23" w:name="_Toc51339696"/>
      <w:r>
        <w:rPr>
          <w:lang w:val="ru-RU"/>
        </w:rPr>
        <w:t xml:space="preserve">Требования </w:t>
      </w:r>
      <w:bookmarkEnd w:id="23"/>
      <w:r>
        <w:rPr>
          <w:lang w:val="ru-RU"/>
        </w:rPr>
        <w:t>к срокам оказания услуг</w:t>
      </w:r>
      <w:bookmarkEnd w:id="22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24" w:name="_Toc54643707"/>
      <w:bookmarkStart w:id="25" w:name="_Toc51339697"/>
      <w:bookmarkStart w:id="26" w:name="_Toc50125127"/>
      <w:bookmarkStart w:id="27" w:name="_Toc50125126_Копия_1"/>
      <w:bookmarkEnd w:id="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8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5"/>
      <w:bookmarkEnd w:id="26"/>
      <w:bookmarkEnd w:id="28"/>
      <w:r>
        <w:rPr>
          <w:sz w:val="24"/>
          <w:szCs w:val="24"/>
          <w:lang w:val="ru-RU"/>
        </w:rPr>
        <w:t>оказания услуг</w:t>
      </w:r>
      <w:bookmarkEnd w:id="24"/>
    </w:p>
    <w:tbl>
      <w:tblPr>
        <w:tblW w:w="9795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23"/>
        <w:gridCol w:w="3747"/>
        <w:gridCol w:w="1590"/>
        <w:gridCol w:w="1919"/>
        <w:gridCol w:w="1816"/>
      </w:tblGrid>
      <w:tr>
        <w:trPr/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 (в т.ч. предоставления результатов Заказчику)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rPr/>
            </w:pPr>
            <w:r>
              <w:rPr/>
              <w:t>1.</w:t>
            </w:r>
          </w:p>
        </w:tc>
        <w:tc>
          <w:tcPr>
            <w:tcW w:w="7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 РП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rPr/>
            </w:pPr>
            <w:r>
              <w:rPr/>
              <w:t>1.1.</w:t>
            </w:r>
          </w:p>
        </w:tc>
        <w:tc>
          <w:tcPr>
            <w:tcW w:w="3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Рельсовый путь мостовых кранов машинного зала 450/100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20.09.2027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24.09.2027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rPr/>
            </w:pPr>
            <w:r>
              <w:rPr/>
              <w:t>1.2.</w:t>
            </w:r>
          </w:p>
        </w:tc>
        <w:tc>
          <w:tcPr>
            <w:tcW w:w="3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Рельсовый путь мостовых кранов машинного зала 30/5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17.01.2027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21.01.2027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rPr/>
            </w:pPr>
            <w:r>
              <w:rPr/>
              <w:t>1.3.</w:t>
            </w:r>
          </w:p>
        </w:tc>
        <w:tc>
          <w:tcPr>
            <w:tcW w:w="3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Рельсовый путь мостовых кранов ЩОВБ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20.09.2027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24.09.2027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rPr/>
            </w:pPr>
            <w:r>
              <w:rPr/>
              <w:t>1.4.</w:t>
            </w:r>
          </w:p>
        </w:tc>
        <w:tc>
          <w:tcPr>
            <w:tcW w:w="3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Рельсовый путь козлового крана базы оборудования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09.08.2027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13.08.2027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rPr/>
            </w:pPr>
            <w:r>
              <w:rPr/>
              <w:t>1.5.</w:t>
            </w:r>
          </w:p>
        </w:tc>
        <w:tc>
          <w:tcPr>
            <w:tcW w:w="3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Рельсовый путь мостового крана склада ОМТС № 1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17.01.2027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21.01.2027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rPr/>
            </w:pPr>
            <w:r>
              <w:rPr/>
              <w:t>1.6.</w:t>
            </w:r>
          </w:p>
        </w:tc>
        <w:tc>
          <w:tcPr>
            <w:tcW w:w="3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Рельсовый путь мостового крана склада ОМТС № 2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09.08.2027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13.08.2027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rPr/>
            </w:pPr>
            <w:r>
              <w:rPr/>
              <w:t>1.7.</w:t>
            </w:r>
          </w:p>
        </w:tc>
        <w:tc>
          <w:tcPr>
            <w:tcW w:w="3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Рельсовый путь мостового крана склада базы оборудования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09.08.2027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13.08.2027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851" w:gutter="0" w:header="680" w:top="905" w:footer="0" w:bottom="992"/>
          <w:pgNumType w:fmt="decimal"/>
          <w:formProt w:val="false"/>
          <w:textDirection w:val="lrTb"/>
          <w:docGrid w:type="default" w:linePitch="360" w:charSpace="0"/>
        </w:sectPr>
        <w:pStyle w:val="Normal"/>
        <w:rPr>
          <w:sz w:val="24"/>
          <w:szCs w:val="24"/>
        </w:rPr>
      </w:pPr>
      <w:r>
        <w:rPr>
          <w:sz w:val="24"/>
          <w:szCs w:val="24"/>
        </w:rPr>
        <w:t>Общий срок оказания услуг: с 21.01.2027</w:t>
      </w:r>
      <w:r>
        <w:rPr>
          <w:sz w:val="24"/>
          <w:szCs w:val="24"/>
          <w:shd w:fill="auto" w:val="clear"/>
        </w:rPr>
        <w:t xml:space="preserve"> и по 24.09.2027.</w:t>
      </w:r>
    </w:p>
    <w:p>
      <w:pPr>
        <w:pStyle w:val="Heading4"/>
        <w:numPr>
          <w:ilvl w:val="1"/>
          <w:numId w:val="3"/>
        </w:numPr>
        <w:rPr/>
      </w:pPr>
      <w:bookmarkStart w:id="29" w:name="_Toc54643709"/>
      <w:bookmarkStart w:id="30" w:name="_Toc51339698"/>
      <w:bookmarkStart w:id="31" w:name="_Toc54643708"/>
      <w:bookmarkStart w:id="32" w:name="_Toc46743511"/>
      <w:r>
        <w:rPr/>
        <w:t xml:space="preserve">Требования к </w:t>
      </w:r>
      <w:bookmarkEnd w:id="32"/>
      <w:r>
        <w:rPr>
          <w:lang w:val="ru-RU"/>
        </w:rPr>
        <w:t>качеству услуг</w:t>
      </w:r>
      <w:bookmarkEnd w:id="31"/>
    </w:p>
    <w:p>
      <w:pPr>
        <w:pStyle w:val="Heading1"/>
        <w:numPr>
          <w:ilvl w:val="0"/>
          <w:numId w:val="0"/>
        </w:numPr>
        <w:spacing w:before="240" w:after="60"/>
        <w:ind w:hanging="0" w:left="0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0"/>
      <w:r>
        <w:rPr>
          <w:sz w:val="24"/>
          <w:szCs w:val="24"/>
          <w:lang w:val="ru-RU"/>
        </w:rPr>
        <w:t>качеству услуг</w:t>
      </w:r>
      <w:bookmarkEnd w:id="29"/>
      <w:r>
        <w:rPr>
          <w:sz w:val="24"/>
          <w:szCs w:val="24"/>
        </w:rPr>
        <w:t xml:space="preserve"> </w:t>
      </w:r>
    </w:p>
    <w:p>
      <w:pPr>
        <w:pStyle w:val="Normal"/>
        <w:rPr>
          <w:rStyle w:val="Style8"/>
          <w:b w:val="false"/>
        </w:rPr>
      </w:pPr>
      <w:r>
        <w:rPr>
          <w:rStyle w:val="Style8"/>
          <w:b w:val="false"/>
        </w:rPr>
        <w:t xml:space="preserve"> 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>Наименование услуг/этапа услуг (Таблица 2): КО РП.</w:t>
      </w:r>
    </w:p>
    <w:tbl>
      <w:tblPr>
        <w:tblStyle w:val="affffa"/>
        <w:tblW w:w="1488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1"/>
        <w:gridCol w:w="2267"/>
        <w:gridCol w:w="4922"/>
        <w:gridCol w:w="2221"/>
        <w:gridCol w:w="2429"/>
        <w:gridCol w:w="2194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92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65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19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92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4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9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33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3"/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9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2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4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1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Соблюдение при оказании услуг норм, правил, требований НТД</w:t>
            </w:r>
          </w:p>
        </w:tc>
        <w:tc>
          <w:tcPr>
            <w:tcW w:w="49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При оказании услуг исполнитель обязан руководствоваться и исполнять требования следующих НПА и НТД (в действующей редакции):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настоящих технических требований;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Федеральных норм и правил в области промышленной безопасности «Правила безопасности опасных производственных объектов, на которых используются подъемные сооружения», утвержденных приказом Ростехнадзора от 26.11.2020 № 461;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Руководства по безопасности «Методические рекомендации о порядке проведения визуального и измерительного контроля», утвержденного Приказом Ростехнадзора от 16.01.2024 № 8;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Правил по охране труда при эксплуатации электроустановок, утвержденных Приказом Минтруда России от 15.12.2020 № 903н;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Правил по охране труда при работе на высоте, утвержденных Приказом Минтруда России от 16.11.2020 № 782н;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Методических указаний «Комплексное обследование крановых путей грузоподъемных машин», утвержденных Постановлением Госгортехнадзора РФ от 28.03.1997 № 14 (РД 10-138-97);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bCs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- ГОСТ Р 72193-2025 «Гидроэлектростанции и гидроаккумулирующие электростанции. Гидротехнические сооружения. Гидросиловое и механическое оборудование. Правила организации безопасного обслуживания»;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bCs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- ГОСТ 35253-2025. Межгосударственный стандарт. Краны грузоподъемные. Пути рельсовые крановые надземные. Общие технические требования;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bCs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- ГОСТ 35321-2025. Межгосударственный стандарт. Краны грузоподъемные. Пути рельсовые крановые наземные. Общие технические требования;</w:t>
            </w:r>
          </w:p>
          <w:p>
            <w:pPr>
              <w:pStyle w:val="BodyText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bCs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- СП 126.13330.2017. Свод правил. Геодезические работы в строительстве. СНиП 3.01.03-84;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правил внутреннего трудового распорядка Заказчика и филиала ПАО «РусГидро»-«Жигулевская ГЭС»;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иных нормативных документов, устанавливающих требования в области охраны труда, промышленной, пожарной и экологической безопасности, промышленной санитарии и охраны окружающей среды, действующих на момент выполнения работ.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Ответственность за нарушения указанных НПА и НТД несет руководитель Исполнителя. Размер ответственности исполнителя за выявленные нарушения предусматривается условиями заключенного договора.</w:t>
            </w:r>
          </w:p>
        </w:tc>
        <w:tc>
          <w:tcPr>
            <w:tcW w:w="22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  <w:shd w:color="auto" w:fill="auto" w:val="clear"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19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2221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Способ оказания услуг</w:t>
            </w:r>
          </w:p>
        </w:tc>
        <w:tc>
          <w:tcPr>
            <w:tcW w:w="492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Услуги оказываются на территории, а также в зданиях и сооружениях, принадлежащих филиалу ПАО «РусГидро»-«Жигулевская ГЭС».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Заказчик обязан предоставить безопасный и беспрепятственный доступ персоналу Исполнителя, участвующему в оказании услуг, к объектам и их эксплуатационной документации.</w:t>
            </w:r>
          </w:p>
        </w:tc>
        <w:tc>
          <w:tcPr>
            <w:tcW w:w="22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9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Организационно-технические мероприятия по допуску персонала исполнителя</w:t>
            </w:r>
          </w:p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i/>
                <w:i/>
                <w:i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/>
                <w:i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492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Допуск персонала исполнителя для оказания услуг осуществляется в соответствии с Регламентом процесса допуска подрядных организаций на объекты ПАО «РусГидро», утвержденным Приказом ПАО «РусГидро» от 28.04.2023 № 300, и обязательным оформлением наряда-допуска.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29" w:type="dxa"/>
            <w:tcBorders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9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Требования к используемому оборудованию, инструментам и материалам</w:t>
            </w:r>
          </w:p>
        </w:tc>
        <w:tc>
          <w:tcPr>
            <w:tcW w:w="4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Наличие зданий или нежилых помещений, принадлежащих исполнителю на праве собственности или на ином законном основании, используемых при осуществлении лицензируемой деятельности, а также оборудования, приборов, материалов и средств информационного обеспечения в соответствии с пунктом 8 статьи 13 Федерального закона «О промышленной безопасности опасных производственных объектов».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Оборудование, инструменты и материалы, необходимые для оказания услуг, приобретаются исполнителем самостоятельно.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Применяемые при оказании услуг инструменты и оборудование должны обслуживаться, ремонтироваться, проверяться, испытываться и проходить техническое освидетельствование в соответствии с требованиями технической документации организации-изготовителя квалифицированным персоналом Исполнителя.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К применению допускаются средства измерений, прошедшие поверку в соответствии с положениями закона о единстве измерений.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Предоставление копий документов, подтверждающих наличие зданий или нежилых помещений н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а праве собственности или на ином законном основании, используемых при осуществлении лицензируемой деятельности, а также оборудования, приборов, материалов и средств информационного обеспечения в соответствии с пунктом 8 статьи 13 Федерального закона «О промышленной безопасности опасных производственных объектов».</w:t>
            </w:r>
          </w:p>
        </w:tc>
        <w:tc>
          <w:tcPr>
            <w:tcW w:w="219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Квалификация персонала исполнителя</w:t>
            </w:r>
          </w:p>
        </w:tc>
        <w:tc>
          <w:tcPr>
            <w:tcW w:w="4922" w:type="dxa"/>
            <w:tcBorders/>
          </w:tcPr>
          <w:p>
            <w:pPr>
              <w:pStyle w:val="BodyText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Наличие в штате исполнителя как минимум 2 экспертов в области промышленной безопасности, которые соответствуют требованиям, установленным Федеральным </w:t>
            </w:r>
            <w:r>
              <w:rPr>
                <w:rFonts w:eastAsia="Times New Roman" w:cs="Times New Roman"/>
                <w:b w:val="false"/>
                <w:i/>
                <w:iCs/>
                <w:strike w:val="false"/>
                <w:dstrike w:val="false"/>
                <w:color w:val="auto"/>
                <w:kern w:val="0"/>
                <w:sz w:val="24"/>
                <w:szCs w:val="24"/>
                <w:u w:val="none"/>
                <w:effect w:val="none"/>
                <w:lang w:val="ru-RU" w:eastAsia="ru-RU" w:bidi="ar-SA"/>
              </w:rPr>
              <w:t>законом</w:t>
            </w:r>
            <w:r>
              <w:rPr>
                <w:rFonts w:eastAsia="Times New Roman" w:cs="Times New Roman"/>
                <w:b w:val="false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 «О</w:t>
            </w:r>
            <w:r>
              <w:rPr>
                <w:rFonts w:eastAsia="Times New Roman" w:cs="Times New Roman"/>
                <w:b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 промышленной безопасности опасных производственных объектов», и для которых работа в этой организации является основной.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Исполнителем для оказания услуг по договору должна быть сформирована комиссия, включающая не менее одного эксперта в области промышленной безопасности и 1 геодезиста (возможно совмещение профессий), а также представлены следующие документы, действительные на период проведения работ: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квалификационное удостоверение эксперта (ОА Э14.4 ТУ) в области промышленной безопасности (либо подтверждающая запись в реестре), выданное (оформленное) согласно постановлению Правительства РФ от 02.06.2022 № 1009 «Об аттестации экспертов в области промышленной безопасности» (вместе с «Положением об аттестации экспертов в области промышленной безопасности»);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удостоверение о повышении квалификации по программе «Инженерно-геодезические изыскания, в том числе на особо опасных, технически сложных и уникальных объектах»;.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Персонал исполнителя должен иметь удостоверения установленной формы о проверке знаний норм и правил в соответствии с характером выполняемых работ и требованиями НПА и НТД (группа по электробезопасности не ниже IV, наличие группы по безопасности работ на высоте (в зависимости от характера выполняемых работ)).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 w:val="false"/>
                <w:bCs w:val="false"/>
                <w:i/>
                <w:i/>
                <w:iCs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Предоставление документов, подтверждающих наличие: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 w:val="false"/>
                <w:bCs w:val="false"/>
                <w:i/>
                <w:i/>
                <w:iCs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-  в штате исполнителя геодезиста и, как минимум, 2 экспертов в области промышленной безопасности, которые соответствуют требованиям, установленным Федеральным </w:t>
            </w:r>
            <w:r>
              <w:rPr>
                <w:rFonts w:eastAsia="Times New Roman" w:cs="Times New Roman"/>
                <w:b w:val="false"/>
                <w:bCs w:val="false"/>
                <w:i/>
                <w:iCs/>
                <w:strike w:val="false"/>
                <w:dstrike w:val="false"/>
                <w:color w:val="auto"/>
                <w:kern w:val="0"/>
                <w:sz w:val="24"/>
                <w:szCs w:val="24"/>
                <w:u w:val="none"/>
                <w:effect w:val="none"/>
                <w:lang w:val="ru-RU" w:eastAsia="ru-RU" w:bidi="ar-SA"/>
              </w:rPr>
              <w:t>законом</w:t>
            </w:r>
            <w:r>
              <w:rPr>
                <w:rFonts w:eastAsia="Times New Roman" w:cs="Times New Roman"/>
                <w:b w:val="false"/>
                <w:bCs w:val="false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 «О</w:t>
            </w:r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 промышленной безопасности опасных производственных объектов», и для которых работа в этой организации является основной/</w:t>
            </w:r>
          </w:p>
        </w:tc>
        <w:tc>
          <w:tcPr>
            <w:tcW w:w="219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Результат оказания услуг</w:t>
            </w:r>
          </w:p>
        </w:tc>
        <w:tc>
          <w:tcPr>
            <w:tcW w:w="4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Проведение КО РП включает выполнение следующего комплекса работ: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проверку наличия службы эксплуатации ОПО, отвечающей за состояние рельсовых путей; проверку наличия проектной и эксплуатационной документации; выполнение планово-высотной съемки рельсового пути; поэлементное обследование рельсовых путей, включая оценку фактического состояния рельсового пути; подготовку результатов комплексного обследования: оформление инструментальных замеров, включая измерение сопротивления его заземления, и составление ведомости дефектов.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Результаты КО РП оформляются в форме заключения (акта) комплексного обследования рельсового пути.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Требования к информационной безопасности результата оказания услуг</w:t>
            </w:r>
          </w:p>
        </w:tc>
        <w:tc>
          <w:tcPr>
            <w:tcW w:w="4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Любая информация, полученная Исполнителем при оказании услуг, не относится к категории общедоступной и является конфиденциальной.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При пересылке файлов не допускается использование открытых файлообменных сервисов.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Приемка результатов оказания услуг</w:t>
            </w:r>
          </w:p>
        </w:tc>
        <w:tc>
          <w:tcPr>
            <w:tcW w:w="492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Исполнитель услуг не позднее, чем за 3 рабочих дня до планируемой даты передачи Заказчику оригиналов документов, являющихся результатом оказания услуг, обязан предоставить проекты подготовленных документов (согласно п.2.4.1) в адрес специалиста по промышленной безопасности Жигулевского филиала АО «Гидроремонт-ВКК» в г. Жигулевск для рассмотрения и предварительного согласования в электронном виде посредством электронной почты.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Документы, передаваемые Исполнителем заказчику по результатам оказанных услуг</w:t>
            </w:r>
          </w:p>
        </w:tc>
        <w:tc>
          <w:tcPr>
            <w:tcW w:w="49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По результатам оказания услуг Исполнителем оформляются следующие документы: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заключение (акт) комплексного обследования рельсового пути на каждый рельсовый путь. Заключение (акт) предоставляется на бумажном (1 экз.) и электронном виде в цветном формате PDF.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194" w:type="dxa"/>
            <w:tcBorders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37" w:hRule="atLeast"/>
        </w:trPr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i/>
                <w:i/>
                <w:i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/>
                <w:iCs/>
                <w:kern w:val="0"/>
                <w:sz w:val="20"/>
                <w:szCs w:val="20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</w:t>
            </w:r>
          </w:p>
        </w:tc>
        <w:tc>
          <w:tcPr>
            <w:tcW w:w="492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Наличие у Исполнителя лицензии на осуществление деятельности по проведению экспертизы промышленной безопасности технических устройств, применяемых на опасных производственных объектах, действующей на период оказания услуг. Лицензия предоставляется на этапе до заключения договора.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Наличии у Исполнителя собственной или используемой на иных законных основаниях аттестованной лаборатории неразрушающего контроля по видам контроля (не менее): ВИК, УК. (свидетельство об аттестации лаборатории предоставляется до заключения договора). Удостоверения персонала (не менее двух человек), выполняющего работы по неразрушающему контролю; персонал должен иметь области аттестации «3.1. Грузоподъемные краны», «3.10 Крановые пути» в соответствии с СДАНК-02-2020 и виды контроля (не менее): ВИК, УК.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Наличие у Исполнителя собственной или используемой на иных законных основаниях электролаборатории с правом выполнения испытаний и (или) измерений в электроустановках напряжением до 1000 В (свидетельство о регистрации электролаборатории предоставляется до заключения договора). Перечень разрешенных видов испытаний и измерений должен включать «Измерение сопротивления заземляющих устройств» и «Проверка цепи между заземлителем и заземляемыми элементами».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Предоставление копий: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 xml:space="preserve">-лицензии </w:t>
            </w:r>
            <w:r>
              <w:rPr>
                <w:rFonts w:eastAsia="Times New Roman" w:cs="Times New Roman"/>
                <w:bCs/>
                <w:i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на право осуществления деятельности по проведению экспертизы промышленной безопасности технических устройств, применяемых на ОПО;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свидетельства об аттестации лаборатории неразрушающего контроля;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свидетельство о регистрации электролаборатории</w:t>
            </w:r>
          </w:p>
        </w:tc>
        <w:tc>
          <w:tcPr>
            <w:tcW w:w="2194" w:type="dxa"/>
            <w:tcBorders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Ответственность и гарантии исполнителя за результат оказания услуг</w:t>
            </w:r>
          </w:p>
        </w:tc>
        <w:tc>
          <w:tcPr>
            <w:tcW w:w="4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При выявлении замечаний к содержанию результатов оказания услуг, в т.ч. со стороны надзорных и контролирующих инстанций, Исполнитель обязан устранить замечания и предоставить Заказчику исправленный вариант документации в течение 3 лет с даты подписания Сторонами Акта сдачи-приемки услуг.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i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194" w:type="dxa"/>
            <w:tcBorders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b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Требования к  соисполнителям</w:t>
            </w:r>
          </w:p>
        </w:tc>
        <w:tc>
          <w:tcPr>
            <w:tcW w:w="4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Исполнитель не вправе привлекать к оказанию услуг по договору соисполнителя.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i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194" w:type="dxa"/>
            <w:tcBorders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</w:tr>
    </w:tbl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lang w:val="ru-RU"/>
        </w:rPr>
      </w:pPr>
      <w:bookmarkStart w:id="34" w:name="_Toc54643710"/>
      <w:bookmarkStart w:id="35" w:name="_Toc53395937"/>
      <w:bookmarkStart w:id="36" w:name="_Toc53393312"/>
      <w:bookmarkStart w:id="37" w:name="_Toc51339699"/>
      <w:bookmarkStart w:id="38" w:name="_Toc46743519"/>
      <w:bookmarkEnd w:id="37"/>
      <w:bookmarkEnd w:id="38"/>
      <w:r>
        <w:rPr>
          <w:lang w:val="ru-RU"/>
        </w:rPr>
        <w:t>Требования к документации по ценообразованию</w:t>
      </w:r>
      <w:bookmarkEnd w:id="35"/>
      <w:bookmarkEnd w:id="36"/>
      <w:r>
        <w:rPr>
          <w:lang w:val="ru-RU"/>
        </w:rPr>
        <w:t xml:space="preserve"> на этапе закупки</w:t>
      </w:r>
      <w:bookmarkEnd w:id="34"/>
    </w:p>
    <w:p>
      <w:pPr>
        <w:pStyle w:val="Normal"/>
        <w:widowControl w:val="false"/>
        <w:tabs>
          <w:tab w:val="clear" w:pos="708"/>
          <w:tab w:val="left" w:pos="993" w:leader="none"/>
        </w:tabs>
        <w:spacing w:before="120" w:after="120"/>
        <w:ind w:firstLine="851"/>
        <w:jc w:val="both"/>
        <w:rPr/>
      </w:pPr>
      <w:r>
        <w:rPr>
          <w:rFonts w:eastAsia="Calibri"/>
          <w:sz w:val="24"/>
          <w:szCs w:val="24"/>
          <w:lang w:eastAsia="x-none"/>
        </w:rPr>
        <w:t xml:space="preserve">3.1. В обоснование стоимости своей заявки Участник предоставляет Коммерческое предложение (дополнительные документы по ценообразованию к нему не прикладываются). </w:t>
      </w:r>
    </w:p>
    <w:p>
      <w:pPr>
        <w:pStyle w:val="Normal"/>
        <w:keepLines/>
        <w:widowControl w:val="false"/>
        <w:tabs>
          <w:tab w:val="clear" w:pos="708"/>
          <w:tab w:val="left" w:pos="993" w:leader="none"/>
        </w:tabs>
        <w:spacing w:before="120" w:after="120"/>
        <w:ind w:firstLine="851"/>
        <w:jc w:val="both"/>
        <w:rPr/>
      </w:pPr>
      <w:r>
        <w:rPr>
          <w:rStyle w:val="Style8"/>
          <w:rFonts w:eastAsia="Calibri"/>
          <w:b w:val="false"/>
          <w:bCs/>
          <w:i w:val="false"/>
          <w:sz w:val="24"/>
          <w:szCs w:val="24"/>
          <w:shd w:fill="auto" w:val="clear"/>
          <w:lang w:val="x-none" w:eastAsia="x-none"/>
        </w:rPr>
        <w:t>3.2. Дополнительные документы по ценообразованию в состав заявки не включаются.</w:t>
      </w:r>
    </w:p>
    <w:p>
      <w:pPr>
        <w:pStyle w:val="Heading1"/>
        <w:keepLines/>
        <w:numPr>
          <w:ilvl w:val="0"/>
          <w:numId w:val="0"/>
        </w:numPr>
        <w:ind w:hanging="0" w:left="357"/>
        <w:rPr>
          <w:iCs/>
          <w:caps/>
        </w:rPr>
      </w:pPr>
      <w:r>
        <w:rPr>
          <w:iCs/>
          <w:caps/>
        </w:rPr>
      </w:r>
    </w:p>
    <w:p>
      <w:pPr>
        <w:pStyle w:val="Normal"/>
        <w:rPr>
          <w:iCs/>
          <w:caps/>
        </w:rPr>
      </w:pPr>
      <w:r>
        <w:rPr>
          <w:iCs/>
          <w:caps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lang w:val="ru-RU"/>
        </w:rPr>
      </w:pPr>
      <w:bookmarkStart w:id="39" w:name="_Toc54643711"/>
      <w:bookmarkStart w:id="40" w:name="_Toc54281228"/>
      <w:r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39"/>
      <w:bookmarkEnd w:id="40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ab/>
        <w:t xml:space="preserve">4.1. Требования к оформлению и составлению документации по ценообразованию представлены в Приложении № 1 к настоящим ТТ. </w:t>
      </w:r>
      <w:r>
        <w:rPr>
          <w:rStyle w:val="Style8"/>
          <w:b w:val="false"/>
          <w:bCs w:val="false"/>
          <w:i w:val="false"/>
          <w:sz w:val="24"/>
          <w:szCs w:val="24"/>
          <w:shd w:fill="auto" w:val="clear"/>
        </w:rPr>
        <w:t>Расчет стоимости услуг составлять с применением понижающего коэффициента, приводящего к стоимости, указанной в ТКП участника; коэффициент начисляется к каждой локальной смете по итогу.</w:t>
      </w:r>
    </w:p>
    <w:p>
      <w:pPr>
        <w:pStyle w:val="Heading1"/>
        <w:keepLines/>
        <w:numPr>
          <w:ilvl w:val="0"/>
          <w:numId w:val="0"/>
        </w:numPr>
        <w:ind w:hanging="0" w:left="357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rFonts w:eastAsia="Calibri"/>
          <w:b/>
          <w:iCs/>
          <w:lang w:val="x-none" w:eastAsia="x-none"/>
        </w:rPr>
      </w:pPr>
      <w:r>
        <w:rPr>
          <w:rFonts w:eastAsia="Calibri"/>
          <w:b/>
          <w:iCs/>
          <w:lang w:val="x-none" w:eastAsia="x-none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</w:rPr>
      </w:pPr>
      <w:r>
        <w:rPr>
          <w:iCs/>
          <w:lang w:val="ru-RU"/>
        </w:rPr>
        <w:t>Приложения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/>
      </w:pPr>
      <w:bookmarkStart w:id="41" w:name="_Ref125469522111_Копия_1_Копия_1_Копия_1"/>
      <w:bookmarkStart w:id="42" w:name="_Ref125469522111_Копия_1_Копия_1_Копия_1"/>
      <w:bookmarkStart w:id="43" w:name="_Ref125469522111_Копия_1"/>
      <w:bookmarkStart w:id="44" w:name="_Ref125469522111_Копия_1_Копия_1_Копия_1"/>
      <w:bookmarkStart w:id="45" w:name="_Ref125469522111_Копия_1_Копия_1"/>
      <w:bookmarkStart w:id="46" w:name="_Ref125469522111_Копия_1_Копия_1_Копия_1"/>
      <w:bookmarkStart w:id="47" w:name="_Ref125469522111_Копия_1_Копия_1_Копия_1"/>
      <w:bookmarkStart w:id="48" w:name="_Ref125469522111_Копия_1_Копия_1_Копия_1"/>
      <w:bookmarkStart w:id="49" w:name="_Ref125469522111_Копия_1_Копия_1_Копия_1"/>
      <w:bookmarkStart w:id="50" w:name="_Ref125469522111_Копия_1_Копия_1_Копия_1"/>
      <w:bookmarkStart w:id="51" w:name="_Ref125469522111_Копия_1_Копия_1_Копия_1"/>
      <w:bookmarkStart w:id="52" w:name="_Ref125469522111_Копия_1_Копия_1_Копия_1"/>
      <w:bookmarkStart w:id="53" w:name="_Ref125469522111_Копия_1_Копия_1_Копия_1"/>
      <w:bookmarkStart w:id="54" w:name="_Ref125469522111_Копия_1_Копия_1_Копия_1"/>
      <w:bookmarkStart w:id="55" w:name="_Ref125469522111_Копия_1_Копия_1_Копия_1"/>
      <w:bookmarkStart w:id="56" w:name="_Ref125469522111"/>
      <w:bookmarkStart w:id="57" w:name="_Ref125469522111_Копия_1_Копия_1_Копия_1"/>
      <w:bookmarkStart w:id="58" w:name="_Ref125469522111_Копия_1_Копия_1_Копия_1"/>
      <w:bookmarkStart w:id="59" w:name="_Ref125469522111_Копия_1_Копия_1_Копия_1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r>
        <w:rPr>
          <w:rStyle w:val="Style8"/>
          <w:b w:val="false"/>
          <w:i w:val="false"/>
          <w:sz w:val="24"/>
          <w:szCs w:val="24"/>
          <w:shd w:fill="auto" w:val="clear"/>
        </w:rPr>
        <w:tab/>
        <w:tab/>
        <w:t>На этапе заключения/исполнения договора расчет стоимости услуг производится на основе единичных расценок на каждый вид и объем оказываемых услуг</w:t>
      </w:r>
      <w:bookmarkStart w:id="60" w:name="_Ref125469522111_Копия_1_Копия_1_Копия_1"/>
      <w:bookmarkEnd w:id="60"/>
    </w:p>
    <w:p>
      <w:pPr>
        <w:sectPr>
          <w:headerReference w:type="default" r:id="rId8"/>
          <w:headerReference w:type="first" r:id="rId9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  <w:pStyle w:val="ListParagraph"/>
        <w:ind w:hanging="0" w:left="0"/>
        <w:jc w:val="both"/>
        <w:rPr/>
      </w:pPr>
      <w:r>
        <w:rPr>
          <w:rStyle w:val="Style8"/>
          <w:b w:val="false"/>
          <w:bCs/>
          <w:i w:val="false"/>
          <w:shd w:fill="auto" w:val="clear"/>
        </w:rPr>
        <w:tab/>
        <w:t xml:space="preserve">Приложение 1. </w:t>
      </w:r>
      <w:bookmarkStart w:id="61" w:name="_Ref125469522"/>
      <w:bookmarkStart w:id="62" w:name="Закладка_12"/>
      <w:bookmarkStart w:id="63" w:name="Закладка_131"/>
      <w:bookmarkStart w:id="64" w:name="_Ref1254695221"/>
      <w:r>
        <w:rPr>
          <w:rStyle w:val="Style8"/>
          <w:b w:val="false"/>
          <w:bCs/>
          <w:i w:val="false"/>
          <w:shd w:fill="auto" w:val="clear"/>
        </w:rPr>
        <w:t>Требования к оформлению и составл</w:t>
      </w:r>
      <w:bookmarkEnd w:id="61"/>
      <w:bookmarkEnd w:id="62"/>
      <w:bookmarkEnd w:id="63"/>
      <w:bookmarkEnd w:id="64"/>
      <w:r>
        <w:rPr>
          <w:rStyle w:val="Style8"/>
          <w:b w:val="false"/>
          <w:bCs/>
          <w:i w:val="false"/>
          <w:shd w:fill="auto" w:val="clear"/>
        </w:rPr>
        <w:t>ению документации по ценообразованию</w:t>
      </w:r>
      <w:r>
        <w:br w:type="page"/>
      </w:r>
    </w:p>
    <w:p>
      <w:pPr>
        <w:pStyle w:val="Normal"/>
        <w:spacing w:lineRule="auto" w:line="264" w:before="0" w:after="10"/>
        <w:ind w:hanging="0" w:left="4535"/>
        <w:jc w:val="right"/>
        <w:rPr/>
      </w:pPr>
      <w:bookmarkStart w:id="65" w:name="_Ref40301253"/>
      <w:bookmarkStart w:id="66" w:name="_GoBack"/>
      <w:bookmarkEnd w:id="65"/>
      <w:bookmarkEnd w:id="66"/>
      <w:r>
        <w:rPr>
          <w:color w:val="000000"/>
          <w:sz w:val="24"/>
          <w:szCs w:val="24"/>
          <w:lang w:eastAsia="en-US"/>
        </w:rPr>
        <w:t>Приложение № 1</w:t>
      </w:r>
    </w:p>
    <w:p>
      <w:pPr>
        <w:pStyle w:val="Normal"/>
        <w:spacing w:lineRule="auto" w:line="264" w:before="0" w:after="4"/>
        <w:ind w:hanging="0" w:left="4536" w:right="2"/>
        <w:jc w:val="right"/>
        <w:rPr/>
      </w:pPr>
      <w:r>
        <w:rPr>
          <w:color w:val="000000"/>
          <w:sz w:val="24"/>
          <w:szCs w:val="24"/>
          <w:lang w:eastAsia="en-US"/>
        </w:rPr>
        <w:t>к техническим требованиям</w:t>
      </w:r>
    </w:p>
    <w:p>
      <w:pPr>
        <w:pStyle w:val="TOC1"/>
        <w:tabs>
          <w:tab w:val="clear" w:pos="708"/>
          <w:tab w:val="right" w:pos="9911" w:leader="dot"/>
        </w:tabs>
        <w:jc w:val="center"/>
        <w:rPr>
          <w:rFonts w:cs="Times New Roman"/>
        </w:rPr>
      </w:pPr>
      <w:r>
        <w:rPr>
          <w:rFonts w:cs="Times New Roman"/>
        </w:rPr>
        <w:t xml:space="preserve">Требования к оформлению и составлению документации по </w:t>
      </w:r>
    </w:p>
    <w:p>
      <w:pPr>
        <w:pStyle w:val="TOC1"/>
        <w:tabs>
          <w:tab w:val="clear" w:pos="708"/>
          <w:tab w:val="right" w:pos="9911" w:leader="dot"/>
        </w:tabs>
        <w:jc w:val="center"/>
        <w:rPr>
          <w:rFonts w:cs="Times New Roman"/>
        </w:rPr>
      </w:pPr>
      <w:bookmarkStart w:id="67" w:name="Закладка_1_Копия_1"/>
      <w:r>
        <w:rPr>
          <w:rFonts w:cs="Times New Roman"/>
        </w:rPr>
        <w:t>ценообразованию</w:t>
      </w:r>
      <w:bookmarkEnd w:id="67"/>
    </w:p>
    <w:p>
      <w:pPr>
        <w:pStyle w:val="Normal"/>
        <w:spacing w:lineRule="auto" w:line="264" w:before="0" w:after="5"/>
        <w:ind w:hanging="10" w:right="-2"/>
        <w:jc w:val="center"/>
        <w:rPr>
          <w:b/>
          <w:color w:val="000000"/>
          <w:sz w:val="24"/>
          <w:szCs w:val="24"/>
          <w:lang w:eastAsia="en-US"/>
        </w:rPr>
      </w:pPr>
      <w:r>
        <w:rPr>
          <w:b/>
          <w:color w:val="000000"/>
          <w:sz w:val="24"/>
          <w:szCs w:val="24"/>
          <w:lang w:eastAsia="en-US"/>
        </w:rPr>
        <w:t xml:space="preserve">ПОЯСНИТЕЛЬНАЯ ЗАПИСКА </w:t>
      </w:r>
    </w:p>
    <w:p>
      <w:pPr>
        <w:pStyle w:val="Normal"/>
        <w:spacing w:lineRule="auto" w:line="264"/>
        <w:ind w:hanging="10" w:right="-2"/>
        <w:jc w:val="center"/>
        <w:rPr>
          <w:b/>
          <w:color w:val="000000"/>
          <w:sz w:val="24"/>
          <w:szCs w:val="24"/>
          <w:lang w:eastAsia="en-US"/>
        </w:rPr>
      </w:pPr>
      <w:r>
        <w:rPr>
          <w:b/>
          <w:color w:val="000000"/>
          <w:sz w:val="24"/>
          <w:szCs w:val="24"/>
          <w:lang w:eastAsia="en-US"/>
        </w:rPr>
        <w:t>по заполнению формы №3п</w:t>
      </w:r>
    </w:p>
    <w:p>
      <w:pPr>
        <w:pStyle w:val="Normal"/>
        <w:spacing w:lineRule="auto" w:line="264"/>
        <w:ind w:hanging="10" w:right="-2"/>
        <w:jc w:val="center"/>
        <w:rPr>
          <w:color w:val="000000"/>
          <w:sz w:val="24"/>
          <w:szCs w:val="24"/>
          <w:lang w:eastAsia="en-US"/>
        </w:rPr>
      </w:pPr>
      <w:r>
        <w:rPr>
          <w:b/>
          <w:sz w:val="24"/>
          <w:szCs w:val="24"/>
        </w:rPr>
        <w:t>при составлении смет на НИР/НИОКР</w:t>
      </w:r>
    </w:p>
    <w:p>
      <w:pPr>
        <w:pStyle w:val="Normal"/>
        <w:spacing w:lineRule="auto" w:line="259"/>
        <w:ind w:hanging="0" w:left="651"/>
        <w:jc w:val="center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 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1134" w:leader="none"/>
        </w:tabs>
        <w:ind w:firstLine="567" w:left="0"/>
        <w:jc w:val="both"/>
        <w:rPr>
          <w:color w:val="000000"/>
        </w:rPr>
      </w:pPr>
      <w:r>
        <w:rPr>
          <w:color w:val="000000"/>
        </w:rPr>
        <w:t>При составлении калькуляции затрат (форма №3п), разработанным организацией, выполняющей НИР/НИОРК, Заказчику предоставляется обоснование расчета. Сметные расчеты составляются в ценах текущего периода.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1134" w:leader="none"/>
        </w:tabs>
        <w:ind w:firstLine="567" w:left="0"/>
        <w:jc w:val="both"/>
        <w:rPr>
          <w:color w:val="000000"/>
        </w:rPr>
      </w:pPr>
      <w:r>
        <w:rPr>
          <w:color w:val="000000"/>
        </w:rPr>
        <w:t>Калькуляцией затрат (форма №3п) рекомендуется определять стоимость работ, цены на которые отсутствуют в МНЗ и СБЦ, внесенных в ФРСН.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1134" w:leader="none"/>
        </w:tabs>
        <w:spacing w:before="240" w:after="0"/>
        <w:ind w:firstLine="567" w:left="0"/>
        <w:contextualSpacing/>
        <w:jc w:val="both"/>
        <w:rPr>
          <w:color w:val="000000"/>
        </w:rPr>
      </w:pPr>
      <w:r>
        <w:rPr>
          <w:color w:val="000000"/>
        </w:rPr>
        <w:t>Стоимость работ и расходов в соответствии с калькуляцией затрат определяется согласно положениям Методики №707 с учетом следующего:</w:t>
      </w:r>
    </w:p>
    <w:p>
      <w:pPr>
        <w:pStyle w:val="ConsPlusNormal1"/>
        <w:numPr>
          <w:ilvl w:val="1"/>
          <w:numId w:val="10"/>
        </w:numPr>
        <w:tabs>
          <w:tab w:val="clear" w:pos="708"/>
          <w:tab w:val="left" w:pos="1134" w:leader="none"/>
        </w:tabs>
        <w:spacing w:before="240" w:after="200"/>
        <w:ind w:firstLine="567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Стоимость НИР/НИОКР (</w:t>
      </w: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Спр</m:t>
        </m:r>
      </m:oMath>
      <w:r>
        <w:rPr>
          <w:rFonts w:cs="Times New Roman" w:ascii="Times New Roman" w:hAnsi="Times New Roman"/>
          <w:sz w:val="24"/>
          <w:szCs w:val="24"/>
        </w:rPr>
        <w:t>) в соответствии с калькуляцией затрат определяется по формуле:</w:t>
      </w:r>
    </w:p>
    <w:p>
      <w:pPr>
        <w:pStyle w:val="ConsPlusNormal1"/>
        <w:tabs>
          <w:tab w:val="clear" w:pos="708"/>
          <w:tab w:val="left" w:pos="0" w:leader="none"/>
          <w:tab w:val="left" w:pos="1134" w:leader="none"/>
        </w:tabs>
        <w:ind w:firstLine="567"/>
        <w:jc w:val="center"/>
        <w:rPr>
          <w:rFonts w:ascii="Times New Roman" w:hAnsi="Times New Roman" w:cs="Times New Roman"/>
          <w:i/>
          <w:i/>
          <w:sz w:val="24"/>
          <w:szCs w:val="24"/>
        </w:rPr>
      </w:pPr>
      <w:r>
        <w:rPr/>
      </w:r>
      <m:oMathPara xmlns:m="http://schemas.openxmlformats.org/officeDocument/2006/math">
        <m:oMathParaPr>
          <m:jc m:val="center"/>
        </m:oMathParaPr>
        <m:oMath>
          <m:sSub>
            <m:e>
              <m:r>
                <w:rPr>
                  <w:rFonts w:ascii="Cambria Math" w:hAnsi="Cambria Math"/>
                </w:rPr>
                <m:t xml:space="preserve">С</m:t>
              </m:r>
            </m:e>
            <m:sub>
              <m:r>
                <w:rPr>
                  <w:rFonts w:ascii="Cambria Math" w:hAnsi="Cambria Math"/>
                </w:rPr>
                <m:t xml:space="preserve">пр</m:t>
              </m:r>
            </m:sub>
          </m:sSub>
          <m:r>
            <w:rPr>
              <w:rFonts w:ascii="Cambria Math" w:hAnsi="Cambria Math"/>
            </w:rPr>
            <m:t xml:space="preserve">=</m:t>
          </m:r>
          <m:sSub>
            <m:e>
              <m:r>
                <w:rPr>
                  <w:rFonts w:ascii="Cambria Math" w:hAnsi="Cambria Math"/>
                </w:rPr>
                <m:t xml:space="preserve">В</m:t>
              </m:r>
            </m:e>
            <m:sub>
              <m:r>
                <w:rPr>
                  <w:rFonts w:ascii="Cambria Math" w:hAnsi="Cambria Math"/>
                </w:rPr>
                <m:t xml:space="preserve">ср</m:t>
              </m:r>
            </m:sub>
          </m:sSub>
          <m:r>
            <w:rPr>
              <w:rFonts w:ascii="Cambria Math" w:hAnsi="Cambria Math"/>
            </w:rPr>
            <m:t xml:space="preserve">×</m:t>
          </m:r>
          <m:sSub>
            <m:e>
              <m:r>
                <w:rPr>
                  <w:rFonts w:ascii="Cambria Math" w:hAnsi="Cambria Math"/>
                </w:rPr>
                <m:t xml:space="preserve">Т</m:t>
              </m:r>
            </m:e>
            <m:sub>
              <m:r>
                <w:rPr>
                  <w:rFonts w:ascii="Cambria Math" w:hAnsi="Cambria Math"/>
                </w:rPr>
                <m:t xml:space="preserve">п</m:t>
              </m:r>
            </m:sub>
          </m:sSub>
          <m:r>
            <w:rPr>
              <w:rFonts w:ascii="Cambria Math" w:hAnsi="Cambria Math"/>
            </w:rPr>
            <m:t xml:space="preserve">×</m:t>
          </m:r>
          <m:sSub>
            <m:e>
              <m:r>
                <w:rPr>
                  <w:rFonts w:ascii="Cambria Math" w:hAnsi="Cambria Math"/>
                </w:rPr>
                <m:t xml:space="preserve">Ч</m:t>
              </m:r>
            </m:e>
            <m:sub>
              <m:r>
                <w:rPr>
                  <w:rFonts w:ascii="Cambria Math" w:hAnsi="Cambria Math"/>
                </w:rPr>
                <m:t xml:space="preserve">общ</m:t>
              </m:r>
            </m:sub>
          </m:sSub>
          <m:r>
            <w:rPr>
              <w:rFonts w:ascii="Cambria Math" w:hAnsi="Cambria Math"/>
            </w:rPr>
            <m:t xml:space="preserve">×</m:t>
          </m:r>
          <m:sSub>
            <m:e>
              <m:r>
                <w:rPr>
                  <w:rFonts w:ascii="Cambria Math" w:hAnsi="Cambria Math"/>
                </w:rPr>
                <m:t xml:space="preserve">К</m:t>
              </m:r>
            </m:e>
            <m:sub>
              <m:r>
                <w:rPr>
                  <w:rFonts w:ascii="Cambria Math" w:hAnsi="Cambria Math"/>
                </w:rPr>
                <m:t xml:space="preserve">кв</m:t>
              </m:r>
              <m:r>
                <w:rPr>
                  <w:rFonts w:ascii="Cambria Math" w:hAnsi="Cambria Math"/>
                </w:rPr>
                <m:t xml:space="preserve">−</m:t>
              </m:r>
              <m:r>
                <w:rPr>
                  <w:rFonts w:ascii="Cambria Math" w:hAnsi="Cambria Math"/>
                </w:rPr>
                <m:t xml:space="preserve">уч</m:t>
              </m:r>
            </m:sub>
          </m:sSub>
        </m:oMath>
      </m:oMathPara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где:</w:t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Спр</m:t>
        </m:r>
      </m:oMath>
      <w:r>
        <w:rPr>
          <w:rFonts w:cs="Times New Roman" w:ascii="Times New Roman" w:hAnsi="Times New Roman"/>
          <w:sz w:val="24"/>
          <w:szCs w:val="24"/>
          <w:vertAlign w:val="subscript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стоимость проектных работ, определенная в соответствии с калькуляцией затрат, рублей;</w:t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Вср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среднедневная выработка одного непосредственного исполнителя, рублей;</w:t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Тп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плановая продолжительность выполнения проектных работ, предусмотренных калькуляцией затрат, дни;</w:t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Чобщ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общая численность непосредственных исполнителей-проектировщиков, занятых в выполнении проектных работ, предусмотренных калькуляцией затрат, чел.;</w:t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Ккв-уч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корректирующий коэффициент, учитывающий степень участия исполнителей различной квалификации в выполнении проектных работ, предусмотренных калькуляцией затрат (далее - коэффициент квалификации-участия);</w:t>
      </w:r>
    </w:p>
    <w:p>
      <w:pPr>
        <w:pStyle w:val="ConsPlusNormal1"/>
        <w:numPr>
          <w:ilvl w:val="1"/>
          <w:numId w:val="10"/>
        </w:numPr>
        <w:tabs>
          <w:tab w:val="clear" w:pos="708"/>
          <w:tab w:val="left" w:pos="1134" w:leader="none"/>
        </w:tabs>
        <w:spacing w:before="240" w:after="200"/>
        <w:ind w:firstLine="567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среднедневная выработка (</w:t>
      </w: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В</m:t>
        </m:r>
        <m:r>
          <m:rPr>
            <m:lit/>
            <m:nor/>
          </m:rPr>
          <w:rPr>
            <w:rFonts w:ascii="Cambria Math" w:hAnsi="Cambria Math"/>
          </w:rPr>
          <m:t xml:space="preserve">ср</m:t>
        </m:r>
      </m:oMath>
      <w:r>
        <w:rPr>
          <w:rFonts w:cs="Times New Roman" w:ascii="Times New Roman" w:hAnsi="Times New Roman"/>
          <w:sz w:val="24"/>
          <w:szCs w:val="24"/>
        </w:rPr>
        <w:t>) определяется по формуле:</w:t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tabs>
          <w:tab w:val="clear" w:pos="708"/>
          <w:tab w:val="left" w:pos="0" w:leader="none"/>
          <w:tab w:val="left" w:pos="1134" w:leader="none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/>
      </w:r>
      <m:oMathPara xmlns:m="http://schemas.openxmlformats.org/officeDocument/2006/math">
        <m:oMathParaPr>
          <m:jc m:val="center"/>
        </m:oMathParaPr>
        <m:oMath>
          <m:sSub>
            <m:e>
              <m:r>
                <w:rPr>
                  <w:rFonts w:ascii="Cambria Math" w:hAnsi="Cambria Math"/>
                </w:rPr>
                <m:t xml:space="preserve">В</m:t>
              </m:r>
            </m:e>
            <m:sub>
              <m:r>
                <w:rPr>
                  <w:rFonts w:ascii="Cambria Math" w:hAnsi="Cambria Math"/>
                </w:rPr>
                <m:t xml:space="preserve">ср</m:t>
              </m:r>
            </m:sub>
          </m:sSub>
          <m:r>
            <w:rPr>
              <w:rFonts w:ascii="Cambria Math" w:hAnsi="Cambria Math"/>
            </w:rPr>
            <m:t xml:space="preserve">=</m:t>
          </m:r>
          <m:f>
            <m:num>
              <m:sSub>
                <m:e>
                  <m:r>
                    <w:rPr>
                      <w:rFonts w:ascii="Cambria Math" w:hAnsi="Cambria Math"/>
                    </w:rPr>
                    <m:t xml:space="preserve">ЗП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ср</m:t>
                  </m:r>
                </m:sub>
              </m:sSub>
              <m:r>
                <w:rPr>
                  <w:rFonts w:ascii="Cambria Math" w:hAnsi="Cambria Math"/>
                </w:rPr>
                <m:t xml:space="preserve">×</m:t>
              </m:r>
              <m:d>
                <m:dPr>
                  <m:begChr m:val="("/>
                  <m:endChr m:val=")"/>
                </m:dPr>
                <m:e>
                  <m:r>
                    <w:rPr>
                      <w:rFonts w:ascii="Cambria Math" w:hAnsi="Cambria Math"/>
                    </w:rPr>
                    <m:t xml:space="preserve">1</m:t>
                  </m:r>
                  <m:r>
                    <w:rPr>
                      <w:rFonts w:ascii="Cambria Math" w:hAnsi="Cambria Math"/>
                    </w:rPr>
                    <m:t xml:space="preserve">+</m:t>
                  </m:r>
                  <m:r>
                    <w:rPr>
                      <w:rFonts w:ascii="Cambria Math" w:hAnsi="Cambria Math"/>
                    </w:rPr>
                    <m:t xml:space="preserve">Р</m:t>
                  </m:r>
                </m:e>
              </m:d>
            </m:num>
            <m:den>
              <m:sSub>
                <m:e>
                  <m:r>
                    <w:rPr>
                      <w:rFonts w:ascii="Cambria Math" w:hAnsi="Cambria Math"/>
                    </w:rPr>
                    <m:t xml:space="preserve">К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з</m:t>
                  </m:r>
                </m:sub>
              </m:sSub>
            </m:den>
          </m:f>
        </m:oMath>
      </m:oMathPara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где:</w:t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Р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- коэффициент уровня рентабельности (сметной прибыли), принимается Р = 0,1 (1%) согласно </w:t>
      </w:r>
      <w:hyperlink w:anchor="P1643">
        <w:r>
          <w:rPr>
            <w:rStyle w:val="Hyperlink"/>
            <w:rFonts w:cs="Times New Roman" w:ascii="Times New Roman" w:hAnsi="Times New Roman"/>
            <w:sz w:val="24"/>
            <w:szCs w:val="24"/>
          </w:rPr>
          <w:t>таблице 1.2</w:t>
        </w:r>
      </w:hyperlink>
      <w:r>
        <w:rPr>
          <w:rFonts w:cs="Times New Roman" w:ascii="Times New Roman" w:hAnsi="Times New Roman"/>
          <w:sz w:val="24"/>
          <w:szCs w:val="24"/>
        </w:rPr>
        <w:t>, приведенной в приложении N 2 к Методике  определения стоимости работ по подготовке проектной документации, утвержденной Приказом Минстроя от 01.10.2021г  №707/пр (далее – Методика №707);</w:t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ЗП</m:t>
        </m:r>
        <m:r>
          <m:rPr>
            <m:lit/>
            <m:nor/>
          </m:rPr>
          <w:rPr>
            <w:rFonts w:ascii="Cambria Math" w:hAnsi="Cambria Math"/>
          </w:rPr>
          <m:t xml:space="preserve">ср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- среднедневная заработная плата, тыс. руб. Принимается по данным Росстата о среднемесячной номинальной начисленной заработной плате работающих в экономике, по видам экономической деятельности в Российской Федерации для деятельности в области архитектуры (код </w:t>
      </w:r>
      <w:r>
        <w:rPr>
          <w:rFonts w:cs="Times New Roman" w:ascii="Times New Roman" w:hAnsi="Times New Roman"/>
          <w:sz w:val="24"/>
          <w:szCs w:val="24"/>
          <w:u w:val="single"/>
        </w:rPr>
        <w:t>71.2</w:t>
      </w:r>
      <w:r>
        <w:rPr>
          <w:rStyle w:val="Hyperlink"/>
          <w:rFonts w:cs="Times New Roman" w:ascii="Times New Roman" w:hAnsi="Times New Roman"/>
          <w:sz w:val="24"/>
          <w:szCs w:val="24"/>
        </w:rPr>
        <w:t>0</w:t>
      </w:r>
      <w:r>
        <w:rPr>
          <w:rFonts w:cs="Times New Roman" w:ascii="Times New Roman" w:hAnsi="Times New Roman"/>
          <w:sz w:val="24"/>
          <w:szCs w:val="24"/>
        </w:rPr>
        <w:t xml:space="preserve"> согласно ОК 029-2014 (КДЕС ред. 2) "Общероссийский классификатор видов экономической деятельности" (далее - Общероссийский классификатор) и </w:t>
      </w:r>
      <w:r>
        <w:rPr>
          <w:rFonts w:cs="Times New Roman" w:ascii="Times New Roman" w:hAnsi="Times New Roman"/>
          <w:sz w:val="24"/>
          <w:szCs w:val="24"/>
          <w:u w:val="single"/>
        </w:rPr>
        <w:t>с учетом классификатора объектов административно-территориального деления</w:t>
      </w:r>
      <w:r>
        <w:rPr>
          <w:rFonts w:cs="Times New Roman" w:ascii="Times New Roman" w:hAnsi="Times New Roman"/>
          <w:sz w:val="24"/>
          <w:szCs w:val="24"/>
        </w:rPr>
        <w:t xml:space="preserve"> (ОКАТО) проектной организации, за год, предшествующий году определения сметной стоимости объекта проектирования (среднее значение за период январь - декабрь), исходя из усредненного на основании производственного календаря количества рабочих дней в месяце для года, предшествующего году определения сметной стоимости проектных работ;</w:t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Кз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коэффициент, учитывающий долю оплаты труда производственного персонала в себестоимости проектных работ: К3 принимается в размере 40,06%;</w:t>
      </w:r>
    </w:p>
    <w:p>
      <w:pPr>
        <w:pStyle w:val="ConsPlusNormal1"/>
        <w:numPr>
          <w:ilvl w:val="1"/>
          <w:numId w:val="10"/>
        </w:numPr>
        <w:tabs>
          <w:tab w:val="clear" w:pos="708"/>
          <w:tab w:val="left" w:pos="1134" w:leader="none"/>
        </w:tabs>
        <w:spacing w:before="220" w:after="200"/>
        <w:ind w:firstLine="567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коэффициент, квалификации-участия (</w:t>
      </w: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К</m:t>
            </m:r>
          </m:e>
          <m:sub>
            <m:r>
              <w:rPr>
                <w:rFonts w:ascii="Cambria Math" w:hAnsi="Cambria Math"/>
              </w:rPr>
              <m:t xml:space="preserve">кв</m:t>
            </m:r>
            <m:r>
              <w:rPr>
                <w:rFonts w:ascii="Cambria Math" w:hAnsi="Cambria Math"/>
              </w:rPr>
              <m:t xml:space="preserve">−</m:t>
            </m:r>
            <m:r>
              <w:rPr>
                <w:rFonts w:ascii="Cambria Math" w:hAnsi="Cambria Math"/>
              </w:rPr>
              <m:t xml:space="preserve">уч</m:t>
            </m:r>
          </m:sub>
        </m:sSub>
      </m:oMath>
      <w:r>
        <w:rPr>
          <w:rFonts w:cs="Times New Roman" w:ascii="Times New Roman" w:hAnsi="Times New Roman"/>
          <w:sz w:val="24"/>
          <w:szCs w:val="24"/>
        </w:rPr>
        <w:t>), определяется по формуле:</w:t>
      </w:r>
    </w:p>
    <w:p>
      <w:pPr>
        <w:pStyle w:val="ConsPlusNormal1"/>
        <w:tabs>
          <w:tab w:val="clear" w:pos="708"/>
          <w:tab w:val="left" w:pos="1134" w:leader="none"/>
        </w:tabs>
        <w:spacing w:before="220" w:after="20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/>
      </w:r>
      <m:oMathPara xmlns:m="http://schemas.openxmlformats.org/officeDocument/2006/math">
        <m:oMathParaPr>
          <m:jc m:val="center"/>
        </m:oMathParaPr>
        <m:oMath>
          <m:sSub>
            <m:e>
              <m:r>
                <w:rPr>
                  <w:rFonts w:ascii="Cambria Math" w:hAnsi="Cambria Math"/>
                </w:rPr>
                <m:t xml:space="preserve">К</m:t>
              </m:r>
            </m:e>
            <m:sub>
              <m:r>
                <w:rPr>
                  <w:rFonts w:ascii="Cambria Math" w:hAnsi="Cambria Math"/>
                </w:rPr>
                <m:t xml:space="preserve">кв</m:t>
              </m:r>
              <m:r>
                <w:rPr>
                  <w:rFonts w:ascii="Cambria Math" w:hAnsi="Cambria Math"/>
                </w:rPr>
                <m:t xml:space="preserve">−</m:t>
              </m:r>
              <m:r>
                <w:rPr>
                  <w:rFonts w:ascii="Cambria Math" w:hAnsi="Cambria Math"/>
                </w:rPr>
                <m:t xml:space="preserve">уч</m:t>
              </m:r>
            </m:sub>
          </m:sSub>
          <m:r>
            <w:rPr>
              <w:rFonts w:ascii="Cambria Math" w:hAnsi="Cambria Math"/>
            </w:rPr>
            <m:t xml:space="preserve">=</m:t>
          </m:r>
          <m:f>
            <m:num>
              <m:nary>
                <m:naryPr>
                  <m:chr m:val="∑"/>
                </m:naryPr>
                <m:sub>
                  <m:r>
                    <w:rPr>
                      <w:rFonts w:ascii="Cambria Math" w:hAnsi="Cambria Math"/>
                    </w:rPr>
                    <m:t xml:space="preserve">i</m:t>
                  </m:r>
                  <m:r>
                    <w:rPr>
                      <w:rFonts w:ascii="Cambria Math" w:hAnsi="Cambria Math"/>
                    </w:rPr>
                    <m:t xml:space="preserve">=</m:t>
                  </m:r>
                  <m:r>
                    <w:rPr>
                      <w:rFonts w:ascii="Cambria Math" w:hAnsi="Cambria Math"/>
                    </w:rPr>
                    <m:t xml:space="preserve">1</m:t>
                  </m:r>
                </m:sub>
                <m:sup>
                  <m:r>
                    <w:rPr>
                      <w:rFonts w:ascii="Cambria Math" w:hAnsi="Cambria Math"/>
                    </w:rPr>
                    <m:t xml:space="preserve">n</m:t>
                  </m:r>
                </m:sup>
                <m:e>
                  <m:f>
                    <m:num>
                      <m:sSub>
                        <m:e>
                          <m:r>
                            <w:rPr>
                              <w:rFonts w:ascii="Cambria Math" w:hAnsi="Cambria Math"/>
                            </w:rPr>
                            <m:t xml:space="preserve"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 xml:space="preserve">фi</m:t>
                          </m:r>
                        </m:sub>
                      </m:sSub>
                    </m:num>
                    <m:den>
                      <m:sSub>
                        <m:e>
                          <m:r>
                            <w:rPr>
                              <w:rFonts w:ascii="Cambria Math" w:hAnsi="Cambria Math"/>
                            </w:rPr>
                            <m:t xml:space="preserve">Т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 xml:space="preserve">общ</m:t>
                          </m:r>
                        </m:sub>
                      </m:sSub>
                    </m:den>
                  </m:f>
                </m:e>
              </m:nary>
              <m:r>
                <w:rPr>
                  <w:rFonts w:ascii="Cambria Math" w:hAnsi="Cambria Math"/>
                </w:rPr>
                <m:t xml:space="preserve">×</m:t>
              </m:r>
              <m:sSub>
                <m:e>
                  <m:r>
                    <w:rPr>
                      <w:rFonts w:ascii="Cambria Math" w:hAnsi="Cambria Math"/>
                    </w:rPr>
                    <m:t xml:space="preserve">Ч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i</m:t>
                  </m:r>
                </m:sub>
              </m:sSub>
              <m:r>
                <w:rPr>
                  <w:rFonts w:ascii="Cambria Math" w:hAnsi="Cambria Math"/>
                </w:rPr>
                <m:t xml:space="preserve">×</m:t>
              </m:r>
              <m:sSub>
                <m:e>
                  <m:r>
                    <w:rPr>
                      <w:rFonts w:ascii="Cambria Math" w:hAnsi="Cambria Math"/>
                    </w:rPr>
                    <m:t xml:space="preserve">И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i</m:t>
                  </m:r>
                </m:sub>
              </m:sSub>
            </m:num>
            <m:den>
              <m:sSub>
                <m:e>
                  <m:r>
                    <w:rPr>
                      <w:rFonts w:ascii="Cambria Math" w:hAnsi="Cambria Math"/>
                    </w:rPr>
                    <m:t xml:space="preserve">Ч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общ</m:t>
                  </m:r>
                </m:sub>
              </m:sSub>
            </m:den>
          </m:f>
        </m:oMath>
      </m:oMathPara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где:</w:t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И</m:t>
            </m:r>
          </m:e>
          <m:sub>
            <m:r>
              <w:rPr>
                <w:rFonts w:ascii="Cambria Math" w:hAnsi="Cambria Math"/>
              </w:rPr>
              <m:t xml:space="preserve">i</m:t>
            </m:r>
          </m:sub>
        </m:sSub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- индекс квалификации непосредственных исполнителей согласно </w:t>
      </w:r>
      <w:hyperlink w:anchor="P1654">
        <w:r>
          <w:rPr>
            <w:rStyle w:val="Hyperlink"/>
            <w:rFonts w:cs="Times New Roman" w:ascii="Times New Roman" w:hAnsi="Times New Roman"/>
            <w:sz w:val="24"/>
            <w:szCs w:val="24"/>
          </w:rPr>
          <w:t>таблицам 1.3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- </w:t>
      </w:r>
      <w:hyperlink w:anchor="P1701">
        <w:r>
          <w:rPr>
            <w:rStyle w:val="Hyperlink"/>
            <w:rFonts w:cs="Times New Roman" w:ascii="Times New Roman" w:hAnsi="Times New Roman"/>
            <w:sz w:val="24"/>
            <w:szCs w:val="24"/>
          </w:rPr>
          <w:t>1.4</w:t>
        </w:r>
      </w:hyperlink>
      <w:r>
        <w:rPr>
          <w:rFonts w:cs="Times New Roman" w:ascii="Times New Roman" w:hAnsi="Times New Roman"/>
          <w:sz w:val="24"/>
          <w:szCs w:val="24"/>
        </w:rPr>
        <w:t xml:space="preserve">, приведенным в приложении N 2 к Методике №707. Для отдельных отраслей индексы, приведенные в </w:t>
      </w:r>
      <w:hyperlink w:anchor="P1654">
        <w:r>
          <w:rPr>
            <w:rStyle w:val="Hyperlink"/>
            <w:rFonts w:cs="Times New Roman" w:ascii="Times New Roman" w:hAnsi="Times New Roman"/>
            <w:sz w:val="24"/>
            <w:szCs w:val="24"/>
          </w:rPr>
          <w:t>таблицах 1.3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- </w:t>
      </w:r>
      <w:hyperlink w:anchor="P1701">
        <w:r>
          <w:rPr>
            <w:rStyle w:val="Hyperlink"/>
            <w:rFonts w:cs="Times New Roman" w:ascii="Times New Roman" w:hAnsi="Times New Roman"/>
            <w:sz w:val="24"/>
            <w:szCs w:val="24"/>
          </w:rPr>
          <w:t>1.4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приложения N 2 к Методике №707, подлежат уточнению при предоставлении соответствующих обоснований (бухгалтерских справок и аналогичных документов), документально подтвержденных уполномоченными лицами проектной организации;</w:t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Ч</m:t>
            </m:r>
          </m:e>
          <m:sub>
            <m:r>
              <w:rPr>
                <w:rFonts w:ascii="Cambria Math" w:hAnsi="Cambria Math"/>
              </w:rPr>
              <m:t xml:space="preserve">i</m:t>
            </m:r>
          </m:sub>
        </m:sSub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численность исполнителей одинаковой квалификации, чел.;</w:t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T</m:t>
            </m:r>
          </m:e>
          <m:sub>
            <m:r>
              <w:rPr>
                <w:rFonts w:ascii="Cambria Math" w:hAnsi="Cambria Math"/>
              </w:rPr>
              <m:t xml:space="preserve">фi</m:t>
            </m:r>
          </m:sub>
        </m:sSub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фактическое время работы исполнителей одинаковой квалификации, дни.</w:t>
      </w:r>
    </w:p>
    <w:p>
      <w:pPr>
        <w:pStyle w:val="ConsPlusNormal1"/>
        <w:tabs>
          <w:tab w:val="clear" w:pos="708"/>
          <w:tab w:val="left" w:pos="1134" w:leader="none"/>
        </w:tabs>
        <w:spacing w:before="220" w:after="20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Численность и должностные категории (квалификация) исполнителей, фактическое время работы исполнителей одинаковой квалификации определяются на основании положений документов по стандартизации согласно </w:t>
      </w:r>
      <w:hyperlink r:id="rId10">
        <w:r>
          <w:rPr>
            <w:rStyle w:val="Hyperlink"/>
            <w:rFonts w:cs="Times New Roman" w:ascii="Times New Roman" w:hAnsi="Times New Roman"/>
            <w:sz w:val="24"/>
            <w:szCs w:val="24"/>
          </w:rPr>
          <w:t>статье 14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Федерального закона от 29 июня 2015 г. N 162-ФЗ "О стандартизации в Российской Федерации" (Собрание законодательства Российской Федерации, 2015, N 27, ст. 3953; 2021, N 1, ст. 62), стандартов процесса подготовки проектной документации согласно </w:t>
      </w:r>
      <w:hyperlink r:id="rId11">
        <w:r>
          <w:rPr>
            <w:rStyle w:val="Hyperlink"/>
            <w:rFonts w:cs="Times New Roman" w:ascii="Times New Roman" w:hAnsi="Times New Roman"/>
            <w:sz w:val="24"/>
            <w:szCs w:val="24"/>
          </w:rPr>
          <w:t>пункту 10 части 8 статьи 55.20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Градостроительного кодекса Российской Федерации (Собрание законодательства Российской Федерации, 2005, N 1, ст. 16; 2018, N 32, ст. 5133), норм проектирования, данных о трудоемкости объектов-аналогов, результатов опроса, проведенного среди не менее трех проектных организаций, специализирующихся на выполнение проектных работ, на которые подготавливается смета, таблиц технологического процесса выполнения проектных работ по объекту, продолжительности выполняемых работ, указанных в календарном плане к договору на выполнение проектных работ, данных о времени и количестве исполнителей определенной квалификации, принимающих участие в выполнении проектных работ, которые должны быть подписаны руководителем проектной организации, предоставляющей такие данные, и заверены ее печатью;</w:t>
      </w:r>
    </w:p>
    <w:p>
      <w:pPr>
        <w:pStyle w:val="ListParagraph"/>
        <w:numPr>
          <w:ilvl w:val="1"/>
          <w:numId w:val="10"/>
        </w:numPr>
        <w:tabs>
          <w:tab w:val="clear" w:pos="708"/>
          <w:tab w:val="left" w:pos="1134" w:leader="none"/>
        </w:tabs>
        <w:spacing w:before="240" w:after="0"/>
        <w:ind w:firstLine="567" w:left="0"/>
        <w:contextualSpacing/>
        <w:jc w:val="both"/>
        <w:rPr/>
      </w:pPr>
      <w:r>
        <w:rPr/>
        <w:t>стоимость НИР/НИОКР, определяемых в соответствии с калькуляцией затрат, не учитывает командировочные расходы исполнителей, определяемые дополнительно.</w:t>
      </w:r>
    </w:p>
    <w:p>
      <w:pPr>
        <w:pStyle w:val="Normal"/>
        <w:tabs>
          <w:tab w:val="clear" w:pos="708"/>
          <w:tab w:val="left" w:pos="1134" w:leader="none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1134" w:leader="none"/>
        </w:tabs>
        <w:spacing w:lineRule="auto" w:line="276"/>
        <w:ind w:firstLine="567" w:left="0"/>
        <w:jc w:val="both"/>
        <w:rPr>
          <w:color w:val="000000"/>
        </w:rPr>
      </w:pPr>
      <w:r>
        <w:rPr>
          <w:color w:val="000000"/>
        </w:rPr>
        <w:t>Для обоснования командировочных расходов предоставляется отдельно выполненный расчет (Приложение №1.2) с расшифровкой затрат на проезд, проживание, суточные расходы. Размер расходов на проезд и стоимость проживания в гостинице определяется на момент составления расчета.</w:t>
      </w:r>
    </w:p>
    <w:p>
      <w:pPr>
        <w:pStyle w:val="Normal"/>
        <w:tabs>
          <w:tab w:val="clear" w:pos="708"/>
          <w:tab w:val="left" w:pos="1080" w:leader="none"/>
          <w:tab w:val="left" w:pos="1134" w:leader="none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>
      <w:pPr>
        <w:pStyle w:val="ConsPlusNormal1"/>
        <w:tabs>
          <w:tab w:val="clear" w:pos="708"/>
          <w:tab w:val="left" w:pos="284" w:leader="none"/>
          <w:tab w:val="left" w:pos="1134" w:leader="none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Лимиты командировочных расходов при производстве НИР/НИОКР не более:</w:t>
      </w:r>
    </w:p>
    <w:p>
      <w:pPr>
        <w:pStyle w:val="ListParagraph"/>
        <w:numPr>
          <w:ilvl w:val="0"/>
          <w:numId w:val="9"/>
        </w:numPr>
        <w:tabs>
          <w:tab w:val="clear" w:pos="708"/>
          <w:tab w:val="left" w:pos="851" w:leader="none"/>
          <w:tab w:val="left" w:pos="1080" w:leader="none"/>
          <w:tab w:val="left" w:pos="1134" w:leader="none"/>
        </w:tabs>
        <w:ind w:firstLine="567" w:left="0"/>
        <w:jc w:val="both"/>
        <w:rPr>
          <w:color w:val="000000"/>
        </w:rPr>
      </w:pPr>
      <w:r>
        <w:rPr>
          <w:color w:val="000000"/>
        </w:rPr>
        <w:t>суточные - 700 руб./сутки;</w:t>
      </w:r>
    </w:p>
    <w:p>
      <w:pPr>
        <w:pStyle w:val="ListParagraph"/>
        <w:numPr>
          <w:ilvl w:val="0"/>
          <w:numId w:val="9"/>
        </w:numPr>
        <w:tabs>
          <w:tab w:val="clear" w:pos="708"/>
          <w:tab w:val="left" w:pos="851" w:leader="none"/>
          <w:tab w:val="left" w:pos="1080" w:leader="none"/>
          <w:tab w:val="left" w:pos="1134" w:leader="none"/>
        </w:tabs>
        <w:ind w:firstLine="567" w:left="0"/>
        <w:jc w:val="both"/>
        <w:rPr>
          <w:color w:val="000000"/>
        </w:rPr>
      </w:pPr>
      <w:r>
        <w:rPr>
          <w:color w:val="000000"/>
        </w:rPr>
        <w:t>проживание – 5000 руб./сутки;</w:t>
      </w:r>
    </w:p>
    <w:p>
      <w:pPr>
        <w:pStyle w:val="ListParagraph"/>
        <w:numPr>
          <w:ilvl w:val="0"/>
          <w:numId w:val="9"/>
        </w:numPr>
        <w:tabs>
          <w:tab w:val="clear" w:pos="708"/>
          <w:tab w:val="left" w:pos="851" w:leader="none"/>
          <w:tab w:val="left" w:pos="1080" w:leader="none"/>
          <w:tab w:val="left" w:pos="1134" w:leader="none"/>
        </w:tabs>
        <w:ind w:firstLine="567" w:left="0"/>
        <w:jc w:val="both"/>
        <w:rPr>
          <w:color w:val="000000"/>
        </w:rPr>
      </w:pPr>
      <w:r>
        <w:rPr>
          <w:color w:val="000000"/>
        </w:rPr>
        <w:t>проезд: поезд (купе) или самолет (класс–эконом с багажом до 20 (двадцати) кг, ручная кладь до 10 (десяти) кг).</w:t>
      </w:r>
    </w:p>
    <w:p>
      <w:pPr>
        <w:pStyle w:val="ListParagraph"/>
        <w:tabs>
          <w:tab w:val="clear" w:pos="708"/>
          <w:tab w:val="left" w:pos="1080" w:leader="none"/>
          <w:tab w:val="left" w:pos="1134" w:leader="none"/>
        </w:tabs>
        <w:ind w:firstLine="567" w:left="0"/>
        <w:jc w:val="both"/>
        <w:rPr/>
      </w:pPr>
      <w:r>
        <w:rPr/>
        <w:t xml:space="preserve">При учете командировочных расходов стоимость проезда (авиа-, ж/д, …) определяется </w:t>
      </w:r>
      <w:r>
        <w:rPr>
          <w:lang w:eastAsia="en-US"/>
        </w:rPr>
        <w:t xml:space="preserve">по наиболее экономичному варианту, </w:t>
      </w:r>
      <w:r>
        <w:rPr/>
        <w:t>Методом анализа ТКП в соответствии с Методикой ПЦ.</w:t>
      </w:r>
    </w:p>
    <w:p>
      <w:pPr>
        <w:sectPr>
          <w:headerReference w:type="default" r:id="rId12"/>
          <w:headerReference w:type="first" r:id="rId13"/>
          <w:footerReference w:type="default" r:id="rId14"/>
          <w:type w:val="nextPage"/>
          <w:pgSz w:w="11906" w:h="16838"/>
          <w:pgMar w:left="1418" w:right="851" w:gutter="0" w:header="709" w:top="1134" w:footer="709" w:bottom="1134"/>
          <w:pgNumType w:fmt="decimal"/>
          <w:formProt w:val="false"/>
          <w:textDirection w:val="lrTb"/>
          <w:docGrid w:type="default" w:linePitch="360" w:charSpace="0"/>
        </w:sectPr>
        <w:pStyle w:val="ListParagraph"/>
        <w:tabs>
          <w:tab w:val="clear" w:pos="708"/>
          <w:tab w:val="left" w:pos="1080" w:leader="none"/>
          <w:tab w:val="left" w:pos="1134" w:leader="none"/>
        </w:tabs>
        <w:ind w:firstLine="567" w:left="0"/>
        <w:jc w:val="both"/>
        <w:rPr/>
      </w:pPr>
      <w:r>
        <w:rPr/>
        <w:t>При наличии командированных расходов необходимо составлять общий реестр стоимости проездных билетов с разбивкой по сметам, к которым они относятся.</w:t>
      </w:r>
    </w:p>
    <w:p>
      <w:pPr>
        <w:pStyle w:val="Normal"/>
        <w:spacing w:before="0" w:after="0"/>
        <w:ind w:firstLine="709" w:left="5811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№1.1</w:t>
      </w:r>
    </w:p>
    <w:p>
      <w:pPr>
        <w:pStyle w:val="Normal"/>
        <w:spacing w:before="0" w:after="0"/>
        <w:ind w:hanging="0" w:left="5811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к пояснительной записке</w:t>
      </w:r>
    </w:p>
    <w:p>
      <w:pPr>
        <w:pStyle w:val="Normal"/>
        <w:spacing w:before="0" w:after="0"/>
        <w:ind w:hanging="0" w:left="5811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по заполнению формы 3П</w:t>
      </w:r>
    </w:p>
    <w:p>
      <w:pPr>
        <w:pStyle w:val="Normal"/>
        <w:spacing w:before="0" w:after="0"/>
        <w:ind w:hanging="0" w:left="6373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Образец сметы</w:t>
      </w:r>
    </w:p>
    <w:p>
      <w:pPr>
        <w:pStyle w:val="Normal"/>
        <w:spacing w:before="0" w:after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на проектные работы в соответствии</w:t>
      </w:r>
    </w:p>
    <w:p>
      <w:pPr>
        <w:pStyle w:val="Normal"/>
        <w:spacing w:before="0" w:after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с калькуляцией затрат (форма 3п)</w:t>
      </w:r>
    </w:p>
    <w:p>
      <w:pPr>
        <w:pStyle w:val="Normal"/>
        <w:spacing w:before="0" w:after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СМЕТА №</w:t>
      </w:r>
    </w:p>
    <w:p>
      <w:pPr>
        <w:pStyle w:val="Normal"/>
        <w:spacing w:before="0" w:after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на проектные работы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ind w:hanging="0" w:left="720" w:right="124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</w:p>
    <w:p>
      <w:pPr>
        <w:pStyle w:val="Normal"/>
        <w:spacing w:before="0" w:after="0"/>
        <w:contextualSpacing/>
        <w:jc w:val="center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(наименование объекта)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ind w:hanging="0" w:left="720" w:right="142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Заказчик ______________________________________________________________</w:t>
      </w:r>
    </w:p>
    <w:p>
      <w:pPr>
        <w:pStyle w:val="Normal"/>
        <w:spacing w:before="0" w:after="0"/>
        <w:contextualSpacing/>
        <w:jc w:val="center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(наименование организации)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ind w:hanging="0" w:left="720" w:right="124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Проектная организация ___________________________________________________</w:t>
      </w:r>
    </w:p>
    <w:p>
      <w:pPr>
        <w:pStyle w:val="Normal"/>
        <w:spacing w:before="0" w:after="0"/>
        <w:contextualSpacing/>
        <w:jc w:val="center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(наименование организации)</w:t>
      </w:r>
    </w:p>
    <w:p>
      <w:pPr>
        <w:pStyle w:val="Normal"/>
        <w:spacing w:before="0" w:after="0"/>
        <w:ind w:hanging="0" w:left="720" w:right="124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Составлена в уровне цен на ___________ 20__ г.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Расчет коэффициента, учитывающего степень</w:t>
      </w:r>
    </w:p>
    <w:p>
      <w:pPr>
        <w:pStyle w:val="Normal"/>
        <w:spacing w:before="0" w:after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участия исполнителей-проектировщиков различной</w:t>
      </w:r>
    </w:p>
    <w:p>
      <w:pPr>
        <w:pStyle w:val="Normal"/>
        <w:spacing w:before="0" w:after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квалификации в выполнении проектных работ (Ккв-уч)</w:t>
      </w:r>
    </w:p>
    <w:tbl>
      <w:tblPr>
        <w:tblW w:w="10055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559"/>
        <w:gridCol w:w="1395"/>
        <w:gridCol w:w="1582"/>
        <w:gridCol w:w="1985"/>
        <w:gridCol w:w="1557"/>
        <w:gridCol w:w="1420"/>
        <w:gridCol w:w="1556"/>
      </w:tblGrid>
      <w:tr>
        <w:trPr/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 п/п</w:t>
            </w:r>
          </w:p>
        </w:tc>
        <w:tc>
          <w:tcPr>
            <w:tcW w:w="1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Наименование должностей исполнителей</w:t>
            </w:r>
          </w:p>
        </w:tc>
        <w:tc>
          <w:tcPr>
            <w:tcW w:w="15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Фактическое время участия исполнителя в работе, Тф (дни)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Плановая продолжительность выполнения проектных работ, предусмотренных калькуляцией, Тп (дни)</w:t>
            </w:r>
          </w:p>
        </w:tc>
        <w:tc>
          <w:tcPr>
            <w:tcW w:w="15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Численность исполнителей одной квалификации Чi (чел)</w:t>
            </w:r>
          </w:p>
        </w:tc>
        <w:tc>
          <w:tcPr>
            <w:tcW w:w="14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Индекс уровня квалификации специалистов исполнителей работы И</w:t>
            </w:r>
            <w:r>
              <w:rPr>
                <w:rFonts w:cs="Times New Roman" w:ascii="Times New Roman" w:hAnsi="Times New Roman"/>
                <w:lang w:val="en-US"/>
              </w:rPr>
              <w:t>i</w:t>
            </w:r>
          </w:p>
        </w:tc>
        <w:tc>
          <w:tcPr>
            <w:tcW w:w="15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Коэффициент квалификации (участия) специалистов одной квалификации,</w:t>
            </w:r>
          </w:p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∑</w:t>
            </w:r>
            <w:r>
              <w:rPr>
                <w:rFonts w:cs="Times New Roman" w:ascii="Times New Roman" w:hAnsi="Times New Roman"/>
              </w:rPr>
              <w:t>(гр.3/итог гр.4 х гр.5 х гр.6) / ∑гр.5</w:t>
            </w:r>
          </w:p>
        </w:tc>
      </w:tr>
      <w:tr>
        <w:trPr/>
        <w:tc>
          <w:tcPr>
            <w:tcW w:w="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81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158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155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14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</w:tr>
      <w:tr>
        <w:trPr/>
        <w:tc>
          <w:tcPr>
            <w:tcW w:w="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8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51" w:left="720"/>
              <w:jc w:val="center"/>
              <w:rPr>
                <w:rFonts w:ascii="Times New Roman" w:hAnsi="Times New Roman" w:cs="Times New Roman"/>
              </w:rPr>
            </w:pPr>
            <w:hyperlink w:anchor="P3816">
              <w:r>
                <w:rPr>
                  <w:rStyle w:val="Hyperlink"/>
                  <w:rFonts w:cs="Times New Roman" w:ascii="Times New Roman" w:hAnsi="Times New Roman"/>
                </w:rPr>
                <w:t>*</w:t>
              </w:r>
            </w:hyperlink>
          </w:p>
        </w:tc>
        <w:tc>
          <w:tcPr>
            <w:tcW w:w="155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8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51" w:left="720"/>
              <w:jc w:val="center"/>
              <w:rPr>
                <w:rFonts w:ascii="Times New Roman" w:hAnsi="Times New Roman" w:cs="Times New Roman"/>
              </w:rPr>
            </w:pPr>
            <w:hyperlink w:anchor="P3816">
              <w:r>
                <w:rPr>
                  <w:rStyle w:val="Hyperlink"/>
                  <w:rFonts w:cs="Times New Roman" w:ascii="Times New Roman" w:hAnsi="Times New Roman"/>
                </w:rPr>
                <w:t>*</w:t>
              </w:r>
            </w:hyperlink>
          </w:p>
        </w:tc>
        <w:tc>
          <w:tcPr>
            <w:tcW w:w="155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8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51" w:left="720"/>
              <w:jc w:val="center"/>
              <w:rPr>
                <w:rFonts w:ascii="Times New Roman" w:hAnsi="Times New Roman" w:cs="Times New Roman"/>
              </w:rPr>
            </w:pPr>
            <w:hyperlink w:anchor="P3816">
              <w:r>
                <w:rPr>
                  <w:rStyle w:val="Hyperlink"/>
                  <w:rFonts w:cs="Times New Roman" w:ascii="Times New Roman" w:hAnsi="Times New Roman"/>
                </w:rPr>
                <w:t>*</w:t>
              </w:r>
            </w:hyperlink>
          </w:p>
        </w:tc>
        <w:tc>
          <w:tcPr>
            <w:tcW w:w="155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Итого</w:t>
            </w:r>
          </w:p>
        </w:tc>
        <w:tc>
          <w:tcPr>
            <w:tcW w:w="158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hyperlink w:anchor="P3816">
              <w:r>
                <w:rPr>
                  <w:rStyle w:val="Hyperlink"/>
                  <w:rFonts w:cs="Times New Roman" w:ascii="Times New Roman" w:hAnsi="Times New Roman"/>
                </w:rPr>
                <w:t>*</w:t>
              </w:r>
            </w:hyperlink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51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hyperlink w:anchor="P3816">
              <w:r>
                <w:rPr>
                  <w:rStyle w:val="Hyperlink"/>
                  <w:rFonts w:cs="Times New Roman" w:ascii="Times New Roman" w:hAnsi="Times New Roman"/>
                </w:rPr>
                <w:t>*</w:t>
              </w:r>
            </w:hyperlink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sectPr>
          <w:headerReference w:type="default" r:id="rId15"/>
          <w:headerReference w:type="first" r:id="rId16"/>
          <w:footerReference w:type="default" r:id="rId17"/>
          <w:footerReference w:type="first" r:id="rId18"/>
          <w:type w:val="nextPage"/>
          <w:pgSz w:w="11906" w:h="16838"/>
          <w:pgMar w:left="1418" w:right="851" w:gutter="0" w:header="709" w:top="1134" w:footer="709" w:bottom="1134"/>
          <w:pgNumType w:fmt="decimal"/>
          <w:formProt w:val="false"/>
          <w:textDirection w:val="lrTb"/>
          <w:docGrid w:type="default" w:linePitch="360" w:charSpace="0"/>
        </w:sect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Примечание: &lt;*&gt; Графы для расчета коэффициента в таблице не заполняются</w:t>
      </w:r>
      <w:r>
        <w:br w:type="page"/>
      </w:r>
    </w:p>
    <w:p>
      <w:pPr>
        <w:pStyle w:val="Normal"/>
        <w:spacing w:before="0" w:after="0"/>
        <w:contextualSpacing/>
        <w:jc w:val="center"/>
        <w:rPr/>
      </w:pPr>
      <w:r>
        <w:rPr/>
        <w:t>Расчет стоимости проектных работ в соответствии</w:t>
      </w:r>
    </w:p>
    <w:p>
      <w:pPr>
        <w:pStyle w:val="Normal"/>
        <w:jc w:val="center"/>
        <w:rPr/>
      </w:pPr>
      <w:r>
        <w:rPr/>
        <w:t>с калькуляцией затрат на проектирование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5501" w:type="dxa"/>
        <w:jc w:val="left"/>
        <w:tblInd w:w="-71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1833"/>
        <w:gridCol w:w="1279"/>
        <w:gridCol w:w="1701"/>
        <w:gridCol w:w="1843"/>
        <w:gridCol w:w="1134"/>
        <w:gridCol w:w="1702"/>
        <w:gridCol w:w="1420"/>
        <w:gridCol w:w="1708"/>
        <w:gridCol w:w="1637"/>
        <w:gridCol w:w="1242"/>
      </w:tblGrid>
      <w:tr>
        <w:trPr/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Среднемесячная зарплата исполнителей, руб.</w:t>
            </w:r>
          </w:p>
        </w:tc>
        <w:tc>
          <w:tcPr>
            <w:tcW w:w="127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Кол-во рабочих дней в месяце, дни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Среднедневная зарплата исполнителей, руб.</w:t>
            </w:r>
          </w:p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</w:t>
            </w:r>
            <w:hyperlink w:anchor="P3831">
              <w:r>
                <w:rPr>
                  <w:rStyle w:val="Hyperlink"/>
                  <w:rFonts w:cs="Times New Roman" w:ascii="Times New Roman" w:hAnsi="Times New Roman"/>
                </w:rPr>
                <w:t>гр 1</w:t>
              </w:r>
            </w:hyperlink>
            <w:r>
              <w:rPr>
                <w:rFonts w:cs="Times New Roman" w:ascii="Times New Roman" w:hAnsi="Times New Roman"/>
              </w:rPr>
              <w:t xml:space="preserve"> / </w:t>
            </w:r>
            <w:hyperlink w:anchor="P3832">
              <w:r>
                <w:rPr>
                  <w:rStyle w:val="Hyperlink"/>
                  <w:rFonts w:cs="Times New Roman" w:ascii="Times New Roman" w:hAnsi="Times New Roman"/>
                </w:rPr>
                <w:t>гр 2</w:t>
              </w:r>
            </w:hyperlink>
            <w:r>
              <w:rPr>
                <w:rFonts w:cs="Times New Roman" w:ascii="Times New Roman" w:hAnsi="Times New Roman"/>
              </w:rPr>
              <w:t>)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Удельный вес зарплаты в себестоимости работ - Кз, %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Рентабель-ность, %</w:t>
            </w:r>
          </w:p>
        </w:tc>
        <w:tc>
          <w:tcPr>
            <w:tcW w:w="17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Среднедневная единичная выработка, руб. (</w:t>
            </w:r>
            <w:hyperlink w:anchor="P3833">
              <w:r>
                <w:rPr>
                  <w:rStyle w:val="Hyperlink"/>
                  <w:rFonts w:cs="Times New Roman" w:ascii="Times New Roman" w:hAnsi="Times New Roman"/>
                </w:rPr>
                <w:t>гр. 3</w:t>
              </w:r>
            </w:hyperlink>
            <w:r>
              <w:rPr>
                <w:rFonts w:cs="Times New Roman" w:ascii="Times New Roman" w:hAnsi="Times New Roman"/>
              </w:rPr>
              <w:t xml:space="preserve"> x (1 + </w:t>
            </w:r>
            <w:hyperlink w:anchor="P3835">
              <w:r>
                <w:rPr>
                  <w:rStyle w:val="Hyperlink"/>
                  <w:rFonts w:cs="Times New Roman" w:ascii="Times New Roman" w:hAnsi="Times New Roman"/>
                </w:rPr>
                <w:t>гр. 5</w:t>
              </w:r>
            </w:hyperlink>
            <w:r>
              <w:rPr>
                <w:rFonts w:cs="Times New Roman" w:ascii="Times New Roman" w:hAnsi="Times New Roman"/>
              </w:rPr>
              <w:t xml:space="preserve">)) / </w:t>
            </w:r>
            <w:hyperlink w:anchor="P3834">
              <w:r>
                <w:rPr>
                  <w:rStyle w:val="Hyperlink"/>
                  <w:rFonts w:cs="Times New Roman" w:ascii="Times New Roman" w:hAnsi="Times New Roman"/>
                </w:rPr>
                <w:t>гр. 4</w:t>
              </w:r>
            </w:hyperlink>
          </w:p>
        </w:tc>
        <w:tc>
          <w:tcPr>
            <w:tcW w:w="14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Продолжи-тельность разработки (дни)</w:t>
            </w:r>
          </w:p>
        </w:tc>
        <w:tc>
          <w:tcPr>
            <w:tcW w:w="17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Численность исполнителей (чел.)</w:t>
            </w:r>
          </w:p>
        </w:tc>
        <w:tc>
          <w:tcPr>
            <w:tcW w:w="1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Коэффициент квалификации (участия)</w:t>
            </w:r>
          </w:p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Ккв-уч</w:t>
            </w:r>
          </w:p>
        </w:tc>
        <w:tc>
          <w:tcPr>
            <w:tcW w:w="12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Стоимость работ, руб.</w:t>
            </w:r>
          </w:p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 = (</w:t>
            </w:r>
            <w:hyperlink w:anchor="P3836">
              <w:r>
                <w:rPr>
                  <w:rStyle w:val="Hyperlink"/>
                  <w:rFonts w:cs="Times New Roman" w:ascii="Times New Roman" w:hAnsi="Times New Roman"/>
                </w:rPr>
                <w:t>гр. 6</w:t>
              </w:r>
            </w:hyperlink>
            <w:r>
              <w:rPr>
                <w:rFonts w:cs="Times New Roman" w:ascii="Times New Roman" w:hAnsi="Times New Roman"/>
              </w:rPr>
              <w:t xml:space="preserve"> x </w:t>
            </w:r>
            <w:hyperlink w:anchor="P3837">
              <w:r>
                <w:rPr>
                  <w:rStyle w:val="Hyperlink"/>
                  <w:rFonts w:cs="Times New Roman" w:ascii="Times New Roman" w:hAnsi="Times New Roman"/>
                </w:rPr>
                <w:t>гр. 7</w:t>
              </w:r>
            </w:hyperlink>
            <w:r>
              <w:rPr>
                <w:rFonts w:cs="Times New Roman" w:ascii="Times New Roman" w:hAnsi="Times New Roman"/>
              </w:rPr>
              <w:t xml:space="preserve"> x </w:t>
            </w:r>
            <w:hyperlink w:anchor="P3838">
              <w:r>
                <w:rPr>
                  <w:rStyle w:val="Hyperlink"/>
                  <w:rFonts w:cs="Times New Roman" w:ascii="Times New Roman" w:hAnsi="Times New Roman"/>
                </w:rPr>
                <w:t>гр. 8</w:t>
              </w:r>
            </w:hyperlink>
            <w:r>
              <w:rPr>
                <w:rFonts w:cs="Times New Roman" w:ascii="Times New Roman" w:hAnsi="Times New Roman"/>
              </w:rPr>
              <w:t xml:space="preserve"> x </w:t>
            </w:r>
            <w:hyperlink w:anchor="P3839">
              <w:r>
                <w:rPr>
                  <w:rStyle w:val="Hyperlink"/>
                  <w:rFonts w:cs="Times New Roman" w:ascii="Times New Roman" w:hAnsi="Times New Roman"/>
                </w:rPr>
                <w:t>гр. 9</w:t>
              </w:r>
            </w:hyperlink>
            <w:r>
              <w:rPr>
                <w:rFonts w:cs="Times New Roman" w:ascii="Times New Roman" w:hAnsi="Times New Roman"/>
              </w:rPr>
              <w:t>)</w:t>
            </w:r>
          </w:p>
        </w:tc>
      </w:tr>
      <w:tr>
        <w:trPr/>
        <w:tc>
          <w:tcPr>
            <w:tcW w:w="18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127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14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  <w:tc>
          <w:tcPr>
            <w:tcW w:w="170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</w:t>
            </w:r>
          </w:p>
        </w:tc>
        <w:tc>
          <w:tcPr>
            <w:tcW w:w="163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</w:t>
            </w:r>
          </w:p>
        </w:tc>
        <w:tc>
          <w:tcPr>
            <w:tcW w:w="124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</w:tr>
      <w:tr>
        <w:trPr/>
        <w:tc>
          <w:tcPr>
            <w:tcW w:w="18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0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3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4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ConsPlusNormal1"/>
        <w:jc w:val="both"/>
        <w:rPr>
          <w:rFonts w:ascii="Times New Roman" w:hAnsi="Times New Roman" w:eastAsia="Calibri" w:cs="Times New Roman" w:eastAsiaTheme="minorHAnsi"/>
          <w:sz w:val="24"/>
          <w:szCs w:val="24"/>
        </w:rPr>
      </w:pPr>
      <w:r>
        <w:rPr>
          <w:rFonts w:eastAsia="Calibri" w:cs="Times New Roman" w:eastAsiaTheme="minorHAnsi" w:ascii="Times New Roman" w:hAnsi="Times New Roman"/>
          <w:sz w:val="24"/>
          <w:szCs w:val="24"/>
        </w:rPr>
      </w:r>
    </w:p>
    <w:p>
      <w:pPr>
        <w:pStyle w:val="Normal"/>
        <w:ind w:hanging="0" w:right="2947"/>
        <w:jc w:val="both"/>
        <w:rPr>
          <w:rFonts w:eastAsia="Calibri" w:eastAsiaTheme="minorHAnsi"/>
        </w:rPr>
      </w:pPr>
      <w:r>
        <w:rPr/>
        <w:t>Руководитель</w:t>
      </w:r>
    </w:p>
    <w:p>
      <w:pPr>
        <w:pStyle w:val="Normal"/>
        <w:ind w:hanging="0" w:right="2947"/>
        <w:jc w:val="both"/>
        <w:rPr/>
      </w:pPr>
      <w:r>
        <w:rPr/>
        <w:t>проектной организации _______________________________________________________________________________</w:t>
      </w:r>
    </w:p>
    <w:p>
      <w:pPr>
        <w:pStyle w:val="Normal"/>
        <w:ind w:hanging="0" w:right="2947"/>
        <w:jc w:val="center"/>
        <w:rPr>
          <w:i/>
          <w:i/>
          <w:iCs/>
        </w:rPr>
      </w:pPr>
      <w:r>
        <w:rPr>
          <w:i/>
          <w:iCs/>
        </w:rPr>
        <w:t>[подпись (инициалы, фамилия)]</w:t>
      </w:r>
    </w:p>
    <w:p>
      <w:pPr>
        <w:pStyle w:val="Normal"/>
        <w:ind w:hanging="0" w:right="2947"/>
        <w:jc w:val="both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hanging="0" w:right="2947"/>
        <w:jc w:val="both"/>
        <w:rPr/>
      </w:pPr>
      <w:r>
        <w:rPr/>
        <w:t>Главный инженер</w:t>
      </w:r>
    </w:p>
    <w:p>
      <w:pPr>
        <w:pStyle w:val="Normal"/>
        <w:ind w:hanging="0" w:right="2947"/>
        <w:jc w:val="both"/>
        <w:rPr/>
      </w:pPr>
      <w:r>
        <w:rPr/>
        <w:t>проекта _______________________________________________________________________________________________</w:t>
      </w:r>
    </w:p>
    <w:p>
      <w:pPr>
        <w:pStyle w:val="Normal"/>
        <w:ind w:hanging="0" w:right="2947"/>
        <w:jc w:val="center"/>
        <w:rPr>
          <w:i/>
          <w:i/>
          <w:iCs/>
        </w:rPr>
      </w:pPr>
      <w:r>
        <w:rPr>
          <w:i/>
          <w:iCs/>
        </w:rPr>
        <w:t>[подпись (инициалы, фамилия)]</w:t>
      </w:r>
    </w:p>
    <w:p>
      <w:pPr>
        <w:pStyle w:val="Normal"/>
        <w:ind w:hanging="0" w:right="2947"/>
        <w:jc w:val="both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hanging="0" w:right="2947"/>
        <w:jc w:val="both"/>
        <w:rPr>
          <w:i/>
          <w:i/>
          <w:iCs/>
        </w:rPr>
      </w:pPr>
      <w:r>
        <w:rPr>
          <w:i/>
          <w:iCs/>
        </w:rPr>
      </w:r>
    </w:p>
    <w:p>
      <w:pPr>
        <w:pStyle w:val="ConsPlusNormal1"/>
        <w:ind w:hanging="0"/>
        <w:jc w:val="both"/>
        <w:rPr/>
      </w:pPr>
      <w:bookmarkStart w:id="68" w:name="_Hlk146878269"/>
      <w:bookmarkStart w:id="69" w:name="_MON_1758635370"/>
      <w:bookmarkStart w:id="70" w:name="_MON_1798523847"/>
      <w:bookmarkEnd w:id="69"/>
      <w:bookmarkEnd w:id="70"/>
      <w:r>
        <w:rPr/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3" name="_x0000_tole_rId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28" path="m0,0l-2147483645,0l-2147483645,-2147483646l0,-2147483646xe" stroked="f" o:allowincell="f" style="position:absolute;margin-left:0.05pt;margin-top:0.05pt;width:49.95pt;height:49.9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635" distR="0" simplePos="0" locked="0" layoutInCell="0" allowOverlap="1" relativeHeight="4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4" name="Фигура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3" path="m0,0l-2147483645,0l-2147483645,-2147483646l0,-2147483646xe" stroked="f" o:allowincell="f" style="position:absolute;margin-left:0.05pt;margin-top:0.05pt;width:49.95pt;height:49.9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w:object>
          <v:shapetype id="_x0000_tole_rId19" coordsize="21600,21600" o:spt="ole_rId19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9" type="_x0000_tole_rId19" style="width:84.25pt;height:54.35pt;mso-wrap-distance-right:0pt" filled="f" o:ole="">
            <v:imagedata r:id="rId20" o:title=""/>
          </v:shape>
          <o:OLEObject Type="Embed" ProgID="Excel.Sheet.12" ShapeID="ole_rId19" DrawAspect="Icon" ObjectID="_1025505436" r:id="rId19"/>
        </w:object>
      </w:r>
      <w:bookmarkEnd w:id="68"/>
    </w:p>
    <w:p>
      <w:pPr>
        <w:pStyle w:val="ConsPlusNormal1"/>
        <w:ind w:hanging="0"/>
        <w:jc w:val="both"/>
        <w:rPr/>
      </w:pPr>
      <w:r>
        <w:rPr/>
      </w:r>
    </w:p>
    <w:p>
      <w:pPr>
        <w:pStyle w:val="ConsPlusNormal1"/>
        <w:ind w:hanging="0"/>
        <w:jc w:val="both"/>
        <w:rPr/>
      </w:pPr>
      <w:r>
        <w:rPr/>
      </w:r>
    </w:p>
    <w:p>
      <w:pPr>
        <w:pStyle w:val="ConsPlusNormal1"/>
        <w:ind w:hanging="0"/>
        <w:jc w:val="both"/>
        <w:rPr/>
      </w:pPr>
      <w:r>
        <w:rPr/>
      </w:r>
    </w:p>
    <w:p>
      <w:pPr>
        <w:pStyle w:val="ConsPlusNormal1"/>
        <w:ind w:hanging="0"/>
        <w:jc w:val="both"/>
        <w:rPr/>
      </w:pPr>
      <w:r>
        <w:rPr/>
      </w:r>
    </w:p>
    <w:p>
      <w:pPr>
        <w:pStyle w:val="ConsPlusNormal1"/>
        <w:ind w:hanging="0"/>
        <w:jc w:val="both"/>
        <w:rPr/>
      </w:pPr>
      <w:r>
        <w:rPr/>
      </w:r>
    </w:p>
    <w:p>
      <w:pPr>
        <w:pStyle w:val="ConsPlusNormal1"/>
        <w:ind w:hanging="0"/>
        <w:jc w:val="both"/>
        <w:rPr/>
      </w:pPr>
      <w:r>
        <w:rPr/>
      </w:r>
    </w:p>
    <w:p>
      <w:pPr>
        <w:pStyle w:val="ConsPlusNormal1"/>
        <w:ind w:hanging="0"/>
        <w:jc w:val="both"/>
        <w:rPr/>
      </w:pPr>
      <w:r>
        <w:rPr/>
      </w:r>
    </w:p>
    <w:p>
      <w:pPr>
        <w:pStyle w:val="ConsPlusNormal1"/>
        <w:ind w:hanging="0"/>
        <w:jc w:val="both"/>
        <w:rPr/>
      </w:pPr>
      <w:r>
        <w:rPr/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1.2</w:t>
      </w:r>
    </w:p>
    <w:p>
      <w:pPr>
        <w:pStyle w:val="Normal"/>
        <w:widowControl w:val="false"/>
        <w:ind w:hanging="0" w:left="680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Требованиям к оформлению и составлению сметной документации </w:t>
      </w:r>
    </w:p>
    <w:p>
      <w:pPr>
        <w:pStyle w:val="Normal"/>
        <w:widowControl w:val="false"/>
        <w:ind w:hanging="0" w:left="6804"/>
        <w:jc w:val="right"/>
        <w:rPr>
          <w:rFonts w:cs="Arial"/>
          <w:sz w:val="20"/>
          <w:szCs w:val="20"/>
        </w:rPr>
      </w:pPr>
      <w:r>
        <w:rPr>
          <w:color w:val="000000"/>
          <w:sz w:val="24"/>
          <w:szCs w:val="24"/>
          <w:lang w:eastAsia="en-US"/>
        </w:rPr>
        <w:t>на оказание услуг по эксплуатации подъёмных сооружений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>
          <w:b/>
        </w:rPr>
        <w:t xml:space="preserve">Образец расчета командировочных расходов </w:t>
      </w:r>
    </w:p>
    <w:p>
      <w:pPr>
        <w:pStyle w:val="Normal"/>
        <w:ind w:hanging="567"/>
        <w:jc w:val="right"/>
        <w:rPr/>
      </w:pPr>
      <w:r>
        <w:rPr/>
        <w:t>Приложение № __ к смете № __</w:t>
      </w:r>
    </w:p>
    <w:p>
      <w:pPr>
        <w:pStyle w:val="Normal"/>
        <w:ind w:hanging="567"/>
        <w:jc w:val="center"/>
        <w:rPr>
          <w:b/>
        </w:rPr>
      </w:pPr>
      <w:r>
        <w:rPr>
          <w:b/>
        </w:rPr>
        <w:t>Расчет командировочных расходов</w:t>
      </w:r>
    </w:p>
    <w:p>
      <w:pPr>
        <w:pStyle w:val="Normal"/>
        <w:ind w:hanging="0" w:left="6373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14874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395"/>
        <w:gridCol w:w="1440"/>
        <w:gridCol w:w="1892"/>
        <w:gridCol w:w="1896"/>
        <w:gridCol w:w="2624"/>
        <w:gridCol w:w="1364"/>
        <w:gridCol w:w="1917"/>
        <w:gridCol w:w="1958"/>
        <w:gridCol w:w="1386"/>
      </w:tblGrid>
      <w:tr>
        <w:trPr>
          <w:trHeight w:val="644" w:hRule="atLeast"/>
        </w:trPr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 п/п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Пункт назначения</w:t>
            </w:r>
          </w:p>
        </w:tc>
        <w:tc>
          <w:tcPr>
            <w:tcW w:w="18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Количество специалистов</w:t>
            </w:r>
          </w:p>
        </w:tc>
        <w:tc>
          <w:tcPr>
            <w:tcW w:w="189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Проезд к месту командировки (туда и обратно)</w:t>
            </w:r>
          </w:p>
        </w:tc>
        <w:tc>
          <w:tcPr>
            <w:tcW w:w="26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Проживание в номере гостиницы класса "3 звезды",</w:t>
            </w:r>
          </w:p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чел/сутки.</w:t>
            </w:r>
          </w:p>
        </w:tc>
        <w:tc>
          <w:tcPr>
            <w:tcW w:w="13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Суточные</w:t>
            </w:r>
          </w:p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сутки/руб.</w:t>
            </w:r>
          </w:p>
        </w:tc>
        <w:tc>
          <w:tcPr>
            <w:tcW w:w="19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Продолжительность командировки, сутки</w:t>
            </w:r>
          </w:p>
        </w:tc>
        <w:tc>
          <w:tcPr>
            <w:tcW w:w="19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Продолжительность проживания в гостинице, сутки</w:t>
            </w:r>
          </w:p>
        </w:tc>
        <w:tc>
          <w:tcPr>
            <w:tcW w:w="13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Итого затрат, рубли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189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262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191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  <w:tc>
          <w:tcPr>
            <w:tcW w:w="195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</w:t>
            </w:r>
          </w:p>
        </w:tc>
        <w:tc>
          <w:tcPr>
            <w:tcW w:w="138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9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2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1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5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9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2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1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5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9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2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1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5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372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Итого по сметному расчету</w:t>
            </w:r>
          </w:p>
        </w:tc>
        <w:tc>
          <w:tcPr>
            <w:tcW w:w="189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2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1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5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ConsPlusNormal1"/>
        <w:jc w:val="both"/>
        <w:rPr>
          <w:rFonts w:ascii="Times New Roman" w:hAnsi="Times New Roman" w:eastAsia="Calibri" w:cs="Times New Roman" w:eastAsiaTheme="minorHAnsi"/>
          <w:sz w:val="22"/>
          <w:szCs w:val="22"/>
        </w:rPr>
      </w:pPr>
      <w:r>
        <w:rPr>
          <w:rFonts w:eastAsia="Calibri" w:cs="Times New Roman" w:eastAsiaTheme="minorHAnsi" w:ascii="Times New Roman" w:hAnsi="Times New Roman"/>
          <w:sz w:val="22"/>
          <w:szCs w:val="22"/>
        </w:rPr>
      </w:r>
    </w:p>
    <w:p>
      <w:pPr>
        <w:pStyle w:val="Normal"/>
        <w:ind w:hanging="0" w:right="2947"/>
        <w:jc w:val="both"/>
        <w:rPr>
          <w:rFonts w:eastAsia="Calibri" w:eastAsiaTheme="minorHAnsi"/>
        </w:rPr>
      </w:pPr>
      <w:r>
        <w:rPr/>
        <w:t>Руководитель</w:t>
      </w:r>
    </w:p>
    <w:p>
      <w:pPr>
        <w:pStyle w:val="Normal"/>
        <w:ind w:hanging="0" w:right="2947"/>
        <w:jc w:val="both"/>
        <w:rPr/>
      </w:pPr>
      <w:r>
        <w:rPr/>
        <w:t>Проектной организации ______________________________________________________________</w:t>
      </w:r>
    </w:p>
    <w:p>
      <w:pPr>
        <w:pStyle w:val="Normal"/>
        <w:ind w:hanging="0" w:right="2947"/>
        <w:jc w:val="center"/>
        <w:rPr>
          <w:i/>
          <w:i/>
          <w:iCs/>
        </w:rPr>
      </w:pPr>
      <w:r>
        <w:rPr>
          <w:i/>
          <w:iCs/>
        </w:rPr>
        <w:t>[подпись (инициалы, фамилия)]</w:t>
      </w:r>
    </w:p>
    <w:p>
      <w:pPr>
        <w:pStyle w:val="Normal"/>
        <w:ind w:hanging="0" w:right="2947"/>
        <w:jc w:val="both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hanging="0" w:right="2947"/>
        <w:jc w:val="both"/>
        <w:rPr/>
      </w:pPr>
      <w:r>
        <w:rPr/>
        <w:t>Главный инженер</w:t>
      </w:r>
    </w:p>
    <w:p>
      <w:pPr>
        <w:pStyle w:val="Normal"/>
        <w:ind w:hanging="0" w:right="2947"/>
        <w:jc w:val="both"/>
        <w:rPr/>
      </w:pPr>
      <w:r>
        <w:rPr/>
        <w:t>проекта ____________________________________________________________________________________</w:t>
      </w:r>
    </w:p>
    <w:p>
      <w:pPr>
        <w:pStyle w:val="Normal"/>
        <w:ind w:hanging="0" w:right="2947"/>
        <w:jc w:val="center"/>
        <w:rPr>
          <w:i/>
          <w:i/>
          <w:iCs/>
        </w:rPr>
      </w:pPr>
      <w:r>
        <w:rPr>
          <w:i/>
          <w:iCs/>
        </w:rPr>
        <w:t>[подпись (инициалы, фамилия)]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ConsPlusNormal1"/>
        <w:ind w:hanging="0"/>
        <w:jc w:val="both"/>
        <w:rPr>
          <w:rFonts w:ascii="Times New Roman" w:hAnsi="Times New Roman"/>
          <w:color w:val="000000"/>
          <w:sz w:val="28"/>
          <w:szCs w:val="28"/>
          <w:lang w:val="en-US" w:eastAsia="en-US"/>
        </w:rPr>
      </w:pPr>
      <w:r>
        <w:rPr>
          <w:rFonts w:ascii="Times New Roman" w:hAnsi="Times New Roman"/>
          <w:color w:val="000000"/>
          <w:sz w:val="28"/>
          <w:szCs w:val="28"/>
          <w:lang w:val="en-US" w:eastAsia="en-US"/>
        </w:rPr>
      </w:r>
      <w:bookmarkStart w:id="71" w:name="_GoBack_Копия_1"/>
      <w:bookmarkStart w:id="72" w:name="_GoBack_Копия_1"/>
      <w:bookmarkEnd w:id="72"/>
    </w:p>
    <w:sectPr>
      <w:headerReference w:type="default" r:id="rId21"/>
      <w:headerReference w:type="first" r:id="rId22"/>
      <w:footerReference w:type="default" r:id="rId23"/>
      <w:footerReference w:type="first" r:id="rId24"/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1"/>
    <w:family w:val="roman"/>
    <w:pitch w:val="variable"/>
  </w:font>
  <w:font w:name="Segoe UI Symbol">
    <w:charset w:val="01"/>
    <w:family w:val="roman"/>
    <w:pitch w:val="variable"/>
  </w:font>
  <w:font w:name="Tahoma">
    <w:charset w:val="01"/>
    <w:family w:val="roman"/>
    <w:pitch w:val="variable"/>
  </w:font>
  <w:font w:name="Wingdings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59"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22</w:t>
    </w:r>
    <w:r>
      <w:rPr/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24</w:t>
    </w:r>
    <w:r>
      <w:rPr/>
      <w:fldChar w:fldCharType="end"/>
    </w:r>
  </w:p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33C0117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33C01171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15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18</w:t>
    </w:r>
    <w:r>
      <w:rPr/>
      <w:fldChar w:fldCharType="end"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24</w:t>
    </w:r>
    <w:r>
      <w:rPr/>
      <w:fldChar w:fldCharType="end"/>
    </w:r>
  </w:p>
</w:hdr>
</file>

<file path=word/header1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decimal"/>
      <w:lvlText w:val="%1."/>
      <w:lvlJc w:val="center"/>
      <w:pPr>
        <w:tabs>
          <w:tab w:val="num" w:pos="1272"/>
        </w:tabs>
        <w:ind w:left="1272" w:hanging="279"/>
      </w:pPr>
      <w:rPr>
        <w:sz w:val="28"/>
        <w:i w:val="false"/>
        <w:u w:val="none"/>
        <w:b w:val="false"/>
        <w:szCs w:val="28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844"/>
        </w:tabs>
        <w:ind w:left="1844" w:hanging="567"/>
      </w:pPr>
      <w:rPr>
        <w:sz w:val="28"/>
        <w:u w:val="none"/>
        <w:b w:val="false"/>
        <w:szCs w:val="28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dstrike w:val="false"/>
        <w:strike w:val="false"/>
      </w:rPr>
    </w:lvl>
    <w:lvl w:ilvl="3">
      <w:start w:val="1"/>
      <w:numFmt w:val="decimal"/>
      <w:lvlText w:val="%1.%2.%3.%4."/>
      <w:lvlJc w:val="left"/>
      <w:pPr>
        <w:tabs>
          <w:tab w:val="num" w:pos="1277"/>
        </w:tabs>
        <w:ind w:left="1277" w:hanging="567"/>
      </w:pPr>
      <w:rPr/>
    </w:lvl>
    <w:lvl w:ilvl="4">
      <w:start w:val="1"/>
      <w:numFmt w:val="lowerLetter"/>
      <w:lvlText w:val="%5)"/>
      <w:lvlJc w:val="left"/>
      <w:pPr>
        <w:tabs>
          <w:tab w:val="num" w:pos="1718"/>
        </w:tabs>
        <w:ind w:left="1718" w:hanging="1008"/>
      </w:pPr>
      <w:rPr/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/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432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7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5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Символ нумерации"/>
    <w:qFormat/>
    <w:rPr/>
  </w:style>
  <w:style w:type="character" w:styleId="WW8Num9z0" w:customStyle="1">
    <w:name w:val="WW8Num9z0"/>
    <w:qFormat/>
    <w:rPr>
      <w:rFonts w:ascii="Symbol" w:hAnsi="Symbol"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</w:rPr>
  </w:style>
  <w:style w:type="character" w:styleId="WW8Num9z1" w:customStyle="1">
    <w:name w:val="WW8Num9z1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</w:rPr>
  </w:style>
  <w:style w:type="character" w:styleId="WW8Num9z2" w:customStyle="1">
    <w:name w:val="WW8Num9z2"/>
    <w:qFormat/>
    <w:rPr>
      <w:rFonts w:ascii="Times New Roman" w:hAnsi="Times New Roman" w:cs="Times New Roman"/>
    </w:rPr>
  </w:style>
  <w:style w:type="character" w:styleId="WW8Num10z0" w:customStyle="1">
    <w:name w:val="WW8Num10z0"/>
    <w:qFormat/>
    <w:rPr>
      <w:rFonts w:ascii="Times New Roman" w:hAnsi="Times New Roman" w:eastAsia="Calibri" w:cs="Times New Roman"/>
    </w:rPr>
  </w:style>
  <w:style w:type="character" w:styleId="WW8Num11z0" w:customStyle="1">
    <w:name w:val="WW8Num11z0"/>
    <w:qFormat/>
    <w:rPr>
      <w:rFonts w:ascii="Arial" w:hAnsi="Arial" w:cs="Symbol"/>
    </w:rPr>
  </w:style>
  <w:style w:type="character" w:styleId="WW8Num11z1" w:customStyle="1">
    <w:name w:val="WW8Num11z1"/>
    <w:qFormat/>
    <w:rPr>
      <w:rFonts w:ascii="Segoe UI Symbol" w:hAnsi="Segoe UI Symbol" w:cs="Segoe UI Symbol"/>
    </w:rPr>
  </w:style>
  <w:style w:type="character" w:styleId="WW8Num11z3" w:customStyle="1">
    <w:name w:val="WW8Num11z3"/>
    <w:qFormat/>
    <w:rPr>
      <w:rFonts w:ascii="Arial" w:hAnsi="Arial" w:cs="Arial"/>
    </w:rPr>
  </w:style>
  <w:style w:type="character" w:styleId="WW8Num12z0" w:customStyle="1">
    <w:name w:val="WW8Num12z0"/>
    <w:qFormat/>
    <w:rPr>
      <w:rFonts w:ascii="Arial" w:hAnsi="Arial" w:cs="Symbol"/>
    </w:rPr>
  </w:style>
  <w:style w:type="character" w:styleId="WW8Num12z1" w:customStyle="1">
    <w:name w:val="WW8Num12z1"/>
    <w:qFormat/>
    <w:rPr>
      <w:rFonts w:ascii="Segoe UI Symbol" w:hAnsi="Segoe UI Symbol" w:cs="Segoe UI Symbol"/>
    </w:rPr>
  </w:style>
  <w:style w:type="character" w:styleId="WW8Num12z3" w:customStyle="1">
    <w:name w:val="WW8Num12z3"/>
    <w:qFormat/>
    <w:rPr>
      <w:rFonts w:ascii="Arial" w:hAnsi="Arial" w:cs="Arial"/>
    </w:rPr>
  </w:style>
  <w:style w:type="character" w:styleId="FootnoteReference2" w:customStyle="1">
    <w:name w:val="Footnote Reference2"/>
    <w:qFormat/>
    <w:rPr>
      <w:vertAlign w:val="superscript"/>
    </w:rPr>
  </w:style>
  <w:style w:type="character" w:styleId="WW8Num13z0" w:customStyle="1">
    <w:name w:val="WW8Num13z0"/>
    <w:qFormat/>
    <w:rPr>
      <w:rFonts w:cs="Symbol"/>
    </w:rPr>
  </w:style>
  <w:style w:type="character" w:styleId="Linenumber">
    <w:name w:val="line number"/>
    <w:qFormat/>
    <w:rPr/>
  </w:style>
  <w:style w:type="character" w:styleId="Style16" w:customStyle="1">
    <w:name w:val="Нижний колонтитул Знак"/>
    <w:basedOn w:val="DefaultParagraphFont"/>
    <w:uiPriority w:val="99"/>
    <w:qFormat/>
    <w:rsid w:val="008449aa"/>
    <w:rPr>
      <w:sz w:val="28"/>
      <w:szCs w:val="28"/>
    </w:rPr>
  </w:style>
  <w:style w:type="character" w:styleId="ConsPlusNormal" w:customStyle="1">
    <w:name w:val="ConsPlusNormal Знак"/>
    <w:link w:val="ConsPlusNormal1"/>
    <w:qFormat/>
    <w:rsid w:val="008449aa"/>
    <w:rPr>
      <w:rFonts w:ascii="Arial" w:hAnsi="Arial" w:cs="Arial"/>
    </w:rPr>
  </w:style>
  <w:style w:type="character" w:styleId="Style17">
    <w:name w:val="Стиль полужирный"/>
    <w:qFormat/>
    <w:rPr>
      <w:rFonts w:cs="Times New Roman"/>
      <w:b/>
      <w:bCs/>
    </w:rPr>
  </w:style>
  <w:style w:type="character" w:styleId="Style18">
    <w:name w:val="Основной текст с отступом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9">
    <w:name w:val="Текст выноски Знак"/>
    <w:qFormat/>
    <w:rPr>
      <w:rFonts w:ascii="Tahoma" w:hAnsi="Tahoma" w:cs="Tahoma"/>
      <w:sz w:val="16"/>
      <w:szCs w:val="16"/>
    </w:rPr>
  </w:style>
  <w:style w:type="character" w:styleId="Style20">
    <w:name w:val="Основной шрифт абзаца"/>
    <w:qFormat/>
    <w:rPr/>
  </w:style>
  <w:style w:type="character" w:styleId="WW8Num7z0">
    <w:name w:val="WW8Num7z0"/>
    <w:qFormat/>
    <w:rPr/>
  </w:style>
  <w:style w:type="character" w:styleId="WW8Num6z1">
    <w:name w:val="WW8Num6z1"/>
    <w:qFormat/>
    <w:rPr/>
  </w:style>
  <w:style w:type="character" w:styleId="WW8Num6z0">
    <w:name w:val="WW8Num6z0"/>
    <w:qFormat/>
    <w:rPr>
      <w:rFonts w:ascii="Times New Roman" w:hAnsi="Times New Roman" w:eastAsia="Calibri" w:cs="Times New Roman"/>
    </w:rPr>
  </w:style>
  <w:style w:type="character" w:styleId="WW8Num5z1">
    <w:name w:val="WW8Num5z1"/>
    <w:qFormat/>
    <w:rPr/>
  </w:style>
  <w:style w:type="character" w:styleId="WW8Num4z2">
    <w:name w:val="WW8Num4z2"/>
    <w:qFormat/>
    <w:rPr>
      <w:rFonts w:ascii="Wingdings" w:hAnsi="Wingdings" w:cs="Wingdings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3z0">
    <w:name w:val="WW8Num3z0"/>
    <w:qFormat/>
    <w:rPr/>
  </w:style>
  <w:style w:type="character" w:styleId="WW8Num2z0">
    <w:name w:val="WW8Num2z0"/>
    <w:qFormat/>
    <w:rPr/>
  </w:style>
  <w:style w:type="character" w:styleId="WW8Num1z0">
    <w:name w:val="WW8Num1z0"/>
    <w:qFormat/>
    <w:rPr/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23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4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5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6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link w:val="Style16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7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8" w:customStyle="1">
    <w:name w:val="Раздел регламента"/>
    <w:basedOn w:val="Normal"/>
    <w:qFormat/>
    <w:rsid w:val="00e228fa"/>
    <w:pPr/>
    <w:rPr/>
  </w:style>
  <w:style w:type="paragraph" w:styleId="Style29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0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1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31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link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2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3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4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5" w:customStyle="1">
    <w:name w:val="Подподпункт"/>
    <w:basedOn w:val="Style27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6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7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8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9" w:customStyle="1">
    <w:name w:val="Содержимое врезки"/>
    <w:basedOn w:val="Normal"/>
    <w:qFormat/>
    <w:pPr/>
    <w:rPr/>
  </w:style>
  <w:style w:type="paragraph" w:styleId="Style40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1" w:customStyle="1">
    <w:name w:val="Заголовок таблицы"/>
    <w:basedOn w:val="Style40"/>
    <w:qFormat/>
    <w:pPr>
      <w:jc w:val="center"/>
    </w:pPr>
    <w:rPr>
      <w:b/>
      <w:bCs/>
    </w:rPr>
  </w:style>
  <w:style w:type="paragraph" w:styleId="Caption1111" w:customStyle="1">
    <w:name w:val="caption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ConsPlusNonformat" w:customStyle="1">
    <w:name w:val="ConsPlusNonformat"/>
    <w:basedOn w:val="Normal"/>
    <w:qFormat/>
    <w:rsid w:val="008449aa"/>
    <w:pPr/>
    <w:rPr>
      <w:rFonts w:ascii="Courier New" w:hAnsi="Courier New" w:eastAsia="Calibri" w:cs="Courier New" w:eastAsiaTheme="minorHAnsi"/>
      <w:sz w:val="20"/>
      <w:szCs w:val="20"/>
    </w:rPr>
  </w:style>
  <w:style w:type="paragraph" w:styleId="Style42">
    <w:name w:val="Абзац списка"/>
    <w:basedOn w:val="Normal"/>
    <w:qFormat/>
    <w:pPr>
      <w:spacing w:before="0" w:after="200"/>
      <w:ind w:hanging="0" w:left="720" w:right="0"/>
      <w:contextualSpacing/>
    </w:pPr>
    <w:rPr>
      <w:rFonts w:ascii="Calibri" w:hAnsi="Calibri" w:eastAsia="Calibri" w:cs="Times New Roman"/>
    </w:rPr>
  </w:style>
  <w:style w:type="paragraph" w:styleId="Style43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Xl82">
    <w:name w:val="xl82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textAlignment w:val="top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Xl81">
    <w:name w:val="xl8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="280" w:after="280"/>
      <w:textAlignment w:val="top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Xl80">
    <w:name w:val="xl80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lineRule="auto" w:line="240" w:before="280" w:after="280"/>
      <w:textAlignment w:val="top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Xl79">
    <w:name w:val="xl7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fill="FFFFFF"/>
      <w:spacing w:lineRule="auto" w:line="240" w:before="280" w:after="280"/>
      <w:textAlignment w:val="top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Xl78">
    <w:name w:val="xl7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lineRule="auto" w:line="240" w:before="280" w:after="280"/>
      <w:jc w:val="center"/>
      <w:textAlignment w:val="top"/>
    </w:pPr>
    <w:rPr>
      <w:rFonts w:ascii="Times New Roman" w:hAnsi="Times New Roman" w:eastAsia="Times New Roman" w:cs="Times New Roman"/>
      <w:b/>
      <w:bCs/>
      <w:sz w:val="18"/>
      <w:szCs w:val="18"/>
    </w:rPr>
  </w:style>
  <w:style w:type="paragraph" w:styleId="Xl77">
    <w:name w:val="xl77"/>
    <w:basedOn w:val="Normal"/>
    <w:qFormat/>
    <w:pPr>
      <w:shd w:val="clear" w:fill="FFFFFF"/>
      <w:spacing w:lineRule="auto" w:line="240" w:before="280" w:after="280"/>
    </w:pPr>
    <w:rPr>
      <w:rFonts w:ascii="Times New Roman" w:hAnsi="Times New Roman" w:eastAsia="Times New Roman" w:cs="Times New Roman"/>
      <w:color w:val="FF0000"/>
      <w:sz w:val="24"/>
      <w:szCs w:val="24"/>
    </w:rPr>
  </w:style>
  <w:style w:type="paragraph" w:styleId="Xl76">
    <w:name w:val="xl76"/>
    <w:basedOn w:val="Normal"/>
    <w:qFormat/>
    <w:pPr>
      <w:shd w:val="clear" w:fill="FFFFFF"/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Xl75">
    <w:name w:val="xl7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lineRule="auto" w:line="240" w:before="280" w:after="280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styleId="Xl74">
    <w:name w:val="xl7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lineRule="auto" w:line="240" w:before="280" w:after="280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styleId="Xl73">
    <w:name w:val="xl7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lineRule="auto" w:line="240" w:before="280" w:after="280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styleId="Xl71">
    <w:name w:val="xl7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top"/>
    </w:pPr>
    <w:rPr>
      <w:rFonts w:ascii="Times New Roman" w:hAnsi="Times New Roman" w:eastAsia="Times New Roman" w:cs="Times New Roman"/>
      <w:b/>
      <w:bCs/>
      <w:sz w:val="18"/>
      <w:szCs w:val="18"/>
    </w:rPr>
  </w:style>
  <w:style w:type="paragraph" w:styleId="Xl70">
    <w:name w:val="xl7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styleId="Xl69">
    <w:name w:val="xl6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top"/>
    </w:pPr>
    <w:rPr>
      <w:rFonts w:ascii="Times New Roman" w:hAnsi="Times New Roman" w:eastAsia="Times New Roman" w:cs="Times New Roman"/>
      <w:sz w:val="16"/>
      <w:szCs w:val="16"/>
    </w:rPr>
  </w:style>
  <w:style w:type="paragraph" w:styleId="Xl68">
    <w:name w:val="xl68"/>
    <w:basedOn w:val="Normal"/>
    <w:qFormat/>
    <w:pPr>
      <w:shd w:val="clear" w:fill="FFFF00"/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Xl67">
    <w:name w:val="xl6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top"/>
    </w:pPr>
    <w:rPr>
      <w:rFonts w:ascii="Times New Roman" w:hAnsi="Times New Roman" w:eastAsia="Times New Roman" w:cs="Times New Roman"/>
      <w:sz w:val="16"/>
      <w:szCs w:val="16"/>
    </w:rPr>
  </w:style>
  <w:style w:type="paragraph" w:styleId="Xl66">
    <w:name w:val="xl6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styleId="Xl65">
    <w:name w:val="xl6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styleId="Xl64">
    <w:name w:val="xl6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styleId="Style44">
    <w:name w:val="Текст выноски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  <w:lang w:val="ru-RU"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WW8Num9" w:customStyle="1">
    <w:name w:val="WW8Num9"/>
    <w:qFormat/>
  </w:style>
  <w:style w:type="numbering" w:styleId="WW8Num10" w:customStyle="1">
    <w:name w:val="WW8Num10"/>
    <w:qFormat/>
  </w:style>
  <w:style w:type="numbering" w:styleId="WW8Num11" w:customStyle="1">
    <w:name w:val="WW8Num11"/>
    <w:qFormat/>
  </w:style>
  <w:style w:type="numbering" w:styleId="WW8Num12" w:customStyle="1">
    <w:name w:val="WW8Num12"/>
    <w:qFormat/>
  </w:style>
  <w:style w:type="numbering" w:styleId="WW8Num13" w:customStyle="1">
    <w:name w:val="WW8Num13"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a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hyperlink" Target="consultantplus://offline/ref=B32CDE0E905E401B1BFF323EF993DB2C6F62F6A7789C3444C3F7F56C5AF257E783F32977DF4B25AAFDACBC60359FF614F9C1315096B586250A26N" TargetMode="External"/><Relationship Id="rId11" Type="http://schemas.openxmlformats.org/officeDocument/2006/relationships/hyperlink" Target="consultantplus://offline/ref=B32CDE0E905E401B1BFF323EF993DB2C6F6DF7AA75973444C3F7F56C5AF257E783F32974D8482DA7A0F6AC647CCBFC0BFEDE2F5388B50824N" TargetMode="External"/><Relationship Id="rId12" Type="http://schemas.openxmlformats.org/officeDocument/2006/relationships/header" Target="header9.xml"/><Relationship Id="rId13" Type="http://schemas.openxmlformats.org/officeDocument/2006/relationships/header" Target="header10.xml"/><Relationship Id="rId14" Type="http://schemas.openxmlformats.org/officeDocument/2006/relationships/footer" Target="footer1.xml"/><Relationship Id="rId15" Type="http://schemas.openxmlformats.org/officeDocument/2006/relationships/header" Target="header11.xml"/><Relationship Id="rId16" Type="http://schemas.openxmlformats.org/officeDocument/2006/relationships/header" Target="header12.xml"/><Relationship Id="rId17" Type="http://schemas.openxmlformats.org/officeDocument/2006/relationships/footer" Target="footer2.xml"/><Relationship Id="rId18" Type="http://schemas.openxmlformats.org/officeDocument/2006/relationships/footer" Target="footer3.xml"/><Relationship Id="rId19" Type="http://schemas.openxmlformats.org/officeDocument/2006/relationships/package" Target="embeddings/oleObject1.xlsx"/><Relationship Id="rId20" Type="http://schemas.openxmlformats.org/officeDocument/2006/relationships/image" Target="media/image1.wmf"/><Relationship Id="rId21" Type="http://schemas.openxmlformats.org/officeDocument/2006/relationships/header" Target="header13.xml"/><Relationship Id="rId22" Type="http://schemas.openxmlformats.org/officeDocument/2006/relationships/header" Target="header14.xml"/><Relationship Id="rId23" Type="http://schemas.openxmlformats.org/officeDocument/2006/relationships/footer" Target="footer4.xml"/><Relationship Id="rId24" Type="http://schemas.openxmlformats.org/officeDocument/2006/relationships/footer" Target="footer5.xml"/><Relationship Id="rId25" Type="http://schemas.openxmlformats.org/officeDocument/2006/relationships/numbering" Target="numbering.xml"/><Relationship Id="rId26" Type="http://schemas.openxmlformats.org/officeDocument/2006/relationships/fontTable" Target="fontTable.xml"/><Relationship Id="rId27" Type="http://schemas.openxmlformats.org/officeDocument/2006/relationships/settings" Target="settings.xml"/><Relationship Id="rId28" Type="http://schemas.openxmlformats.org/officeDocument/2006/relationships/theme" Target="theme/theme1.xml"/><Relationship Id="rId2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8EFB0-9FF0-4D02-A507-02E9A6979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Application>AlterOffice/2026.2.0.0$Linux_X86_64 LibreOffice_project/bc4ef1adf80b36c7a6365f8ed6cbf29021361edd</Application>
  <AppVersion>15.0000</AppVersion>
  <Pages>24</Pages>
  <Words>3622</Words>
  <Characters>25826</Characters>
  <CharactersWithSpaces>26325</CharactersWithSpaces>
  <Paragraphs>543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Быстров Олег Геннадьевич</dc:creator>
  <dc:description/>
  <dc:language>ru-RU</dc:language>
  <cp:lastModifiedBy>sugakds@corp.gidroogk.com</cp:lastModifiedBy>
  <cp:lastPrinted>2026-10-13T10:51:41Z</cp:lastPrinted>
  <dcterms:modified xsi:type="dcterms:W3CDTF">2026-10-13T10:56:21Z</dcterms:modified>
  <cp:revision>119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