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39856287"/>
      <w:bookmarkStart w:id="1" w:name="_Toc141696704"/>
      <w:bookmarkStart w:id="2" w:name="_Toc137554584"/>
      <w:bookmarkStart w:id="3" w:name="_Toc139856287"/>
      <w:bookmarkStart w:id="4" w:name="_Toc141696704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6" w:name="_Toc141696704_Копия_1"/>
      <w:bookmarkStart w:id="7" w:name="_Toc139856287_Копия_1"/>
      <w:bookmarkStart w:id="8" w:name="_Toc137554584_Копия_1"/>
      <w:bookmarkStart w:id="9" w:name="_Toc141696704_Копия_1"/>
      <w:bookmarkStart w:id="10" w:name="_Toc139856287_Копия_1"/>
      <w:bookmarkStart w:id="11" w:name="_Toc137554584_Копия_1"/>
      <w:bookmarkEnd w:id="9"/>
      <w:bookmarkEnd w:id="10"/>
      <w:bookmarkEnd w:id="11"/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BodyText"/>
        <w:numPr>
          <w:ilvl w:val="0"/>
        </w:numPr>
        <w:jc w:val="center"/>
        <w:rPr>
          <w:rFonts w:eastAsia="Calibri"/>
          <w:b/>
          <w:sz w:val="24"/>
          <w:szCs w:val="24"/>
        </w:rPr>
      </w:pPr>
      <w:bookmarkStart w:id="12" w:name="__RefHeading___Toc20885_1323904207"/>
      <w:bookmarkEnd w:id="12"/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ОКПД2 28.13.11.130</w:t>
      </w:r>
    </w:p>
    <w:p>
      <w:pPr>
        <w:pStyle w:val="Normal"/>
        <w:jc w:val="center"/>
        <w:rPr/>
      </w:pPr>
      <w:r>
        <w:rPr>
          <w:rFonts w:eastAsia="Calibri"/>
          <w:b/>
          <w:i w:val="false"/>
          <w:iCs w:val="false"/>
          <w:sz w:val="24"/>
          <w:szCs w:val="24"/>
          <w:shd w:fill="auto" w:val="clear"/>
        </w:rPr>
        <w:t xml:space="preserve">Поставка электронасоса </w:t>
      </w:r>
      <w:r>
        <w:rPr>
          <w:rFonts w:eastAsia="Calibri"/>
          <w:b/>
          <w:i w:val="false"/>
          <w:iCs w:val="false"/>
          <w:color w:val="000000"/>
          <w:sz w:val="24"/>
          <w:szCs w:val="24"/>
          <w:shd w:fill="auto" w:val="clear"/>
        </w:rPr>
        <w:t>для нужд филиала ПАО "РусГидро"-"Саяно-Шушенская ГЭС имени П.С. Непорожнего" (аварийный запас)</w:t>
      </w:r>
    </w:p>
    <w:p>
      <w:pPr>
        <w:pStyle w:val="Normal"/>
        <w:jc w:val="center"/>
        <w:rPr>
          <w:rFonts w:eastAsia="Calibri"/>
          <w:b/>
          <w:i w:val="false"/>
          <w:i w:val="false"/>
          <w:iCs w:val="false"/>
          <w:color w:val="000000"/>
          <w:sz w:val="24"/>
          <w:szCs w:val="24"/>
          <w:shd w:fill="auto" w:val="clear"/>
        </w:rPr>
      </w:pPr>
      <w:r>
        <w:rPr>
          <w:rFonts w:eastAsia="Calibri"/>
          <w:b/>
          <w:i w:val="false"/>
          <w:iCs w:val="false"/>
          <w:color w:val="000000"/>
          <w:sz w:val="24"/>
          <w:szCs w:val="24"/>
          <w:shd w:fill="auto" w:val="clear"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b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color w:val="auto"/>
          <w:kern w:val="0"/>
          <w:sz w:val="24"/>
          <w:szCs w:val="24"/>
          <w:lang w:val="ru-RU" w:eastAsia="ru-RU" w:bidi="ar-SA"/>
        </w:rPr>
      </w:pPr>
      <w:r>
        <w:rPr/>
      </w:r>
    </w:p>
    <w:p>
      <w:pPr>
        <w:pStyle w:val="Normal"/>
        <w:keepNext w:val="true"/>
        <w:keepLines/>
        <w:rPr>
          <w:rFonts w:eastAsia="Calibri"/>
          <w:i w:val="false"/>
          <w:i w:val="false"/>
          <w:iCs w:val="false"/>
          <w:sz w:val="20"/>
          <w:szCs w:val="20"/>
          <w:highlight w:val="none"/>
          <w:shd w:fill="auto" w:val="clear"/>
        </w:rPr>
      </w:pPr>
      <w:r>
        <w:rPr>
          <w:rFonts w:eastAsia="Calibri"/>
          <w:i w:val="false"/>
          <w:iCs w:val="false"/>
          <w:sz w:val="20"/>
          <w:szCs w:val="20"/>
          <w:shd w:fill="auto" w:val="clear"/>
        </w:rPr>
      </w:r>
      <w:bookmarkStart w:id="13" w:name="_GoBack"/>
      <w:bookmarkStart w:id="14" w:name="_GoBack"/>
      <w:bookmarkEnd w:id="14"/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iCs/>
          <w:sz w:val="24"/>
          <w:szCs w:val="24"/>
        </w:rPr>
      </w:pPr>
      <w:r>
        <w:rPr>
          <w:rFonts w:eastAsia="Calibri"/>
          <w:b/>
          <w:iCs/>
          <w:sz w:val="24"/>
          <w:szCs w:val="24"/>
        </w:rPr>
        <w:t xml:space="preserve">СОДЕРЖАНИЕ 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17804_3851503367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7806_3851503367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7808_3851503367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7810_3851503367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812_3851503367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17814_3851503367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20"/>
              <w:tab w:val="right" w:pos="9921" w:leader="dot"/>
            </w:tabs>
            <w:rPr/>
          </w:pPr>
          <w:hyperlink w:anchor="__RefHeading___Toc17816_3851503367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Normal"/>
            <w:tabs>
              <w:tab w:val="clear" w:pos="720"/>
              <w:tab w:val="right" w:pos="9921" w:leader="dot"/>
            </w:tabs>
            <w:rPr/>
          </w:pPr>
          <w:r>
            <w:rPr>
              <w:b/>
              <w:bCs/>
              <w:sz w:val="24"/>
              <w:szCs w:val="24"/>
            </w:rPr>
            <w:t xml:space="preserve">Таблица 1.1. Перечень и объем закупаемой </w:t>
          </w:r>
          <w:r>
            <w:rPr>
              <w:rFonts w:eastAsia="Times New Roman" w:cs="Times New Roman"/>
              <w:b/>
              <w:bCs/>
              <w:color w:val="auto"/>
              <w:kern w:val="0"/>
              <w:sz w:val="24"/>
              <w:szCs w:val="24"/>
              <w:lang w:val="ru-RU" w:eastAsia="ru-RU" w:bidi="ar-SA"/>
            </w:rPr>
            <w:t>продукции…………………………………………3</w:t>
          </w:r>
        </w:p>
        <w:p>
          <w:pPr>
            <w:pStyle w:val="TOC3"/>
            <w:tabs>
              <w:tab w:val="clear" w:pos="720"/>
              <w:tab w:val="right" w:pos="9921" w:leader="dot"/>
            </w:tabs>
            <w:rPr/>
          </w:pPr>
          <w:hyperlink w:anchor="__RefHeading___Toc17818_3851503367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4934_3214676810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820_3851503367">
            <w:r>
              <w:rPr>
                <w:webHidden/>
                <w:rStyle w:val="Style14"/>
                <w:vanish w:val="false"/>
              </w:rPr>
              <w:t>Таблица 2. Требования к качеству продукции</w:t>
              <w:tab/>
              <w:t>4</w:t>
            </w:r>
          </w:hyperlink>
        </w:p>
        <w:p>
          <w:pPr>
            <w:pStyle w:val="TOC3"/>
            <w:tabs>
              <w:tab w:val="clear" w:pos="720"/>
              <w:tab w:val="right" w:pos="9921" w:leader="dot"/>
            </w:tabs>
            <w:rPr/>
          </w:pPr>
          <w:hyperlink w:anchor="__RefHeading___Toc17822_3851503367">
            <w:r>
              <w:rPr>
                <w:webHidden/>
                <w:rStyle w:val="Style14"/>
                <w:vanish w:val="false"/>
              </w:rPr>
              <w:t>2.1.3. В составе заявки необходимо предоставить:</w:t>
              <w:tab/>
              <w:t>13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824_3851503367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17826_3851503367">
            <w:r>
              <w:rPr>
                <w:webHidden/>
                <w:rStyle w:val="Style14"/>
                <w:vanish w:val="false"/>
              </w:rPr>
              <w:t>4. Приложения</w:t>
              <w:tab/>
              <w:t>14</w:t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before="0" w:after="6"/>
        <w:ind w:left="0" w:hanging="0"/>
        <w:jc w:val="center"/>
        <w:rPr/>
      </w:pPr>
      <w:bookmarkStart w:id="15" w:name="__RefHeading___Toc17804_3851503367"/>
      <w:bookmarkStart w:id="16" w:name="_Toc51921655"/>
      <w:bookmarkStart w:id="17" w:name="_Toc141728489"/>
      <w:bookmarkStart w:id="18" w:name="_Toc54279827"/>
      <w:bookmarkEnd w:id="15"/>
      <w:r>
        <w:rPr/>
        <w:t>Общие сведения</w:t>
      </w:r>
      <w:bookmarkEnd w:id="16"/>
      <w:bookmarkEnd w:id="17"/>
      <w:bookmarkEnd w:id="18"/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0" w:after="0"/>
        <w:jc w:val="both"/>
        <w:rPr>
          <w:b w:val="false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0"/>
        <w:rPr/>
      </w:pPr>
      <w:bookmarkStart w:id="19" w:name="__RefHeading___Toc17808_3851503367"/>
      <w:bookmarkStart w:id="20" w:name="_Toc141728491"/>
      <w:bookmarkStart w:id="21" w:name="_Toc46743506"/>
      <w:bookmarkEnd w:id="19"/>
      <w:r>
        <w:rPr/>
        <w:t>Наименование закупаемой продукции</w:t>
      </w:r>
      <w:bookmarkEnd w:id="20"/>
      <w:bookmarkEnd w:id="21"/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68" w:after="0"/>
        <w:jc w:val="both"/>
        <w:rPr/>
      </w:pPr>
      <w:r>
        <w:rPr>
          <w:i/>
          <w:iCs/>
          <w:sz w:val="24"/>
          <w:szCs w:val="24"/>
        </w:rPr>
        <w:t>«Электронасос центробежный герметичный ЦГ 6,3/32-2,2-2»</w:t>
      </w:r>
    </w:p>
    <w:p>
      <w:pPr>
        <w:pStyle w:val="Heading4"/>
        <w:numPr>
          <w:ilvl w:val="1"/>
          <w:numId w:val="3"/>
        </w:numPr>
        <w:spacing w:before="125" w:after="0"/>
        <w:rPr/>
      </w:pPr>
      <w:bookmarkStart w:id="22" w:name="__RefHeading___Toc17810_3851503367"/>
      <w:bookmarkStart w:id="23" w:name="_Toc46743507"/>
      <w:bookmarkStart w:id="24" w:name="_Toc141728492"/>
      <w:bookmarkEnd w:id="22"/>
      <w:r>
        <w:rPr/>
        <w:t>Цель использования закупаемой продукции</w:t>
      </w:r>
      <w:bookmarkEnd w:id="23"/>
      <w:r>
        <w:rPr/>
        <w:t xml:space="preserve"> </w:t>
      </w:r>
      <w:bookmarkEnd w:id="24"/>
    </w:p>
    <w:p>
      <w:pPr>
        <w:pStyle w:val="ConsPlusNormal"/>
        <w:spacing w:before="68" w:after="0"/>
        <w:ind w:left="0" w:firstLine="540"/>
        <w:jc w:val="both"/>
        <w:rPr/>
      </w:pPr>
      <w:r>
        <w:rPr>
          <w:rStyle w:val="Style8"/>
          <w:rFonts w:ascii="Times New Roman" w:hAnsi="Times New Roman"/>
          <w:b w:val="false"/>
          <w:bCs w:val="false"/>
          <w:i/>
          <w:iCs/>
          <w:sz w:val="24"/>
          <w:szCs w:val="24"/>
          <w:shd w:fill="auto" w:val="clear"/>
        </w:rPr>
        <w:t xml:space="preserve">Закупка осуществляется в целях формирования и поддержания </w:t>
      </w:r>
      <w:r>
        <w:rPr>
          <w:rStyle w:val="Style8"/>
          <w:rFonts w:ascii="Times New Roman" w:hAnsi="Times New Roman"/>
          <w:b w:val="false"/>
          <w:bCs w:val="false"/>
          <w:i/>
          <w:iCs/>
          <w:sz w:val="24"/>
          <w:szCs w:val="24"/>
          <w:shd w:fill="auto" w:val="clear"/>
        </w:rPr>
        <w:t>аварийного запаса</w:t>
      </w:r>
      <w:r>
        <w:rPr>
          <w:rStyle w:val="Style8"/>
          <w:rFonts w:ascii="Times New Roman" w:hAnsi="Times New Roman"/>
          <w:b w:val="false"/>
          <w:bCs w:val="false"/>
          <w:i/>
          <w:iCs/>
          <w:color w:val="000000"/>
          <w:sz w:val="24"/>
          <w:szCs w:val="24"/>
          <w:shd w:fill="auto" w:val="clear"/>
        </w:rPr>
        <w:t xml:space="preserve"> оборудовании.</w:t>
      </w:r>
    </w:p>
    <w:p>
      <w:pPr>
        <w:pStyle w:val="Heading1"/>
        <w:numPr>
          <w:ilvl w:val="0"/>
          <w:numId w:val="3"/>
        </w:numPr>
        <w:spacing w:before="57" w:after="0"/>
        <w:ind w:left="0" w:hanging="0"/>
        <w:jc w:val="center"/>
        <w:rPr/>
      </w:pPr>
      <w:bookmarkStart w:id="25" w:name="__RefHeading___Toc17812_3851503367"/>
      <w:bookmarkStart w:id="26" w:name="_Toc50125126"/>
      <w:bookmarkStart w:id="27" w:name="_Toc141728496"/>
      <w:bookmarkStart w:id="28" w:name="_Toc51921656"/>
      <w:bookmarkStart w:id="29" w:name="_Toc54279835"/>
      <w:bookmarkStart w:id="30" w:name="_Toc46743510"/>
      <w:bookmarkEnd w:id="25"/>
      <w:bookmarkEnd w:id="30"/>
      <w:r>
        <w:rPr/>
        <w:t>Требования к продукции</w:t>
      </w:r>
      <w:bookmarkEnd w:id="27"/>
      <w:bookmarkEnd w:id="28"/>
      <w:bookmarkEnd w:id="29"/>
    </w:p>
    <w:p>
      <w:pPr>
        <w:pStyle w:val="Heading4"/>
        <w:numPr>
          <w:ilvl w:val="1"/>
          <w:numId w:val="3"/>
        </w:numPr>
        <w:spacing w:before="113" w:after="0"/>
        <w:rPr/>
      </w:pPr>
      <w:bookmarkStart w:id="31" w:name="__RefHeading___Toc17814_3851503367"/>
      <w:bookmarkStart w:id="32" w:name="_Toc141728497"/>
      <w:bookmarkEnd w:id="31"/>
      <w:r>
        <w:rPr/>
        <w:t>Требования к объемам и срокам поставки</w:t>
      </w:r>
      <w:bookmarkEnd w:id="32"/>
    </w:p>
    <w:p>
      <w:pPr>
        <w:pStyle w:val="Heading3"/>
        <w:numPr>
          <w:ilvl w:val="2"/>
          <w:numId w:val="3"/>
        </w:numPr>
        <w:spacing w:before="113" w:after="0"/>
        <w:rPr/>
      </w:pPr>
      <w:bookmarkStart w:id="33" w:name="__RefHeading___Toc17816_3851503367"/>
      <w:bookmarkStart w:id="34" w:name="_Toc141728498"/>
      <w:bookmarkEnd w:id="33"/>
      <w:r>
        <w:rPr/>
        <w:t>Перечень и объем закупаемой продукции</w:t>
      </w:r>
      <w:bookmarkEnd w:id="34"/>
    </w:p>
    <w:p>
      <w:pPr>
        <w:pStyle w:val="Normal"/>
        <w:spacing w:before="113" w:after="0"/>
        <w:rPr/>
      </w:pPr>
      <w:r>
        <w:rPr>
          <w:b/>
          <w:bCs/>
          <w:sz w:val="24"/>
          <w:szCs w:val="24"/>
        </w:rPr>
        <w:t xml:space="preserve">Таблица 1.1 Перечень и объем закупаемой продукции </w:t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93"/>
        <w:gridCol w:w="3300"/>
        <w:gridCol w:w="2207"/>
        <w:gridCol w:w="1706"/>
        <w:gridCol w:w="1704"/>
      </w:tblGrid>
      <w:tr>
        <w:trPr>
          <w:trHeight w:val="311" w:hRule="atLeast"/>
        </w:trPr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bookmarkStart w:id="35" w:name="_Hlk68866984"/>
            <w:bookmarkEnd w:id="35"/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sz w:val="22"/>
                <w:szCs w:val="22"/>
              </w:rPr>
              <w:t>Тип, марка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>
          <w:trHeight w:val="139" w:hRule="atLeast"/>
        </w:trPr>
        <w:tc>
          <w:tcPr>
            <w:tcW w:w="8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7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/>
            </w:pPr>
            <w:r>
              <w:rPr>
                <w:i/>
                <w:iCs/>
                <w:color w:val="000000"/>
                <w:sz w:val="22"/>
                <w:szCs w:val="22"/>
              </w:rPr>
              <w:t>Электронасос центробежный герметичный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ЦГ6,3/32-2,2-2 </w:t>
            </w:r>
            <w:r>
              <w:rPr>
                <w:i/>
                <w:iCs/>
                <w:sz w:val="22"/>
                <w:szCs w:val="22"/>
              </w:rPr>
              <w:t>или эквивалент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i/>
                <w:iCs/>
                <w:sz w:val="22"/>
                <w:szCs w:val="22"/>
              </w:rPr>
              <w:t>шт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i/>
                <w:iCs/>
                <w:sz w:val="22"/>
                <w:szCs w:val="22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spacing w:before="57" w:after="0"/>
        <w:rPr/>
      </w:pPr>
      <w:bookmarkStart w:id="36" w:name="__RefHeading___Toc17818_3851503367"/>
      <w:bookmarkStart w:id="37" w:name="_Toc54449295"/>
      <w:bookmarkStart w:id="38" w:name="_Toc54595881"/>
      <w:bookmarkStart w:id="39" w:name="_Toc54449322"/>
      <w:bookmarkStart w:id="40" w:name="_Toc54596167"/>
      <w:bookmarkStart w:id="41" w:name="_Toc141728501"/>
      <w:bookmarkStart w:id="42" w:name="_Toc54449446"/>
      <w:bookmarkEnd w:id="36"/>
      <w:bookmarkEnd w:id="37"/>
      <w:bookmarkEnd w:id="38"/>
      <w:bookmarkEnd w:id="39"/>
      <w:bookmarkEnd w:id="40"/>
      <w:bookmarkEnd w:id="42"/>
      <w:r>
        <w:rPr/>
        <w:t xml:space="preserve">Требования к срокам поставки продукции и </w:t>
      </w:r>
      <w:r>
        <w:rPr>
          <w:lang w:val="ru-RU"/>
        </w:rPr>
        <w:t>оказания</w:t>
      </w:r>
      <w:r>
        <w:rPr/>
        <w:t xml:space="preserve"> сопутствующих услуг</w:t>
      </w:r>
      <w:bookmarkEnd w:id="26"/>
      <w:bookmarkEnd w:id="41"/>
    </w:p>
    <w:p>
      <w:pPr>
        <w:pStyle w:val="Heading1"/>
        <w:keepLines/>
        <w:numPr>
          <w:ilvl w:val="0"/>
          <w:numId w:val="0"/>
        </w:numPr>
        <w:tabs>
          <w:tab w:val="clear" w:pos="720"/>
        </w:tabs>
        <w:spacing w:before="125" w:after="62"/>
        <w:ind w:left="0" w:hanging="0"/>
        <w:rPr/>
      </w:pPr>
      <w:bookmarkStart w:id="43" w:name="__RefHeading___Toc4934_3214676810"/>
      <w:bookmarkStart w:id="44" w:name="_Toc50125126_Копия_1"/>
      <w:bookmarkEnd w:id="43"/>
      <w:bookmarkEnd w:id="44"/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Т</w:t>
      </w:r>
      <w:bookmarkStart w:id="45" w:name="_Toc75446579"/>
      <w:bookmarkStart w:id="46" w:name="_Toc50125127"/>
      <w:bookmarkStart w:id="47" w:name="_Toc51339697"/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аблица 2.1 </w:t>
      </w:r>
      <w:bookmarkStart w:id="48" w:name="_Hlk50465284"/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Требования по срокам </w:t>
      </w:r>
      <w:bookmarkEnd w:id="46"/>
      <w:bookmarkEnd w:id="47"/>
      <w:bookmarkEnd w:id="48"/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поставки продукции</w:t>
      </w:r>
      <w:bookmarkEnd w:id="45"/>
      <w:r>
        <w:rPr>
          <w:rFonts w:eastAsia="Times New Roman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 </w:t>
      </w:r>
    </w:p>
    <w:tbl>
      <w:tblPr>
        <w:tblW w:w="9776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5"/>
        <w:gridCol w:w="3175"/>
        <w:gridCol w:w="3013"/>
        <w:gridCol w:w="2912"/>
      </w:tblGrid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Наименование продукции / партии продукции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Требования к началу срока поставки продукции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left="0" w:right="0" w:hanging="0"/>
              <w:contextualSpacing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Электронасос центробежный герметичный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 дня, , следующего за днем заключения договора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Не позднее 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9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0 календарных дней со дня, следующего за днем заключения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before="11" w:after="62"/>
        <w:ind w:left="0" w:right="-907" w:hanging="0"/>
        <w:jc w:val="left"/>
        <w:outlineLvl w:val="0"/>
        <w:rPr>
          <w:rFonts w:eastAsia="Calibri"/>
          <w:b/>
          <w:sz w:val="24"/>
          <w:szCs w:val="24"/>
          <w:lang w:eastAsia="x-none"/>
        </w:rPr>
      </w:pPr>
      <w:bookmarkStart w:id="49" w:name="__RefHeading___Toc17820_3851503367"/>
      <w:bookmarkStart w:id="50" w:name="_Toc141728504"/>
      <w:bookmarkStart w:id="51" w:name="_Toc50125131"/>
      <w:bookmarkEnd w:id="49"/>
      <w:r>
        <w:rPr>
          <w:rFonts w:eastAsia="Calibri"/>
          <w:b/>
          <w:sz w:val="24"/>
          <w:szCs w:val="24"/>
          <w:lang w:val="x-none" w:eastAsia="x-none"/>
        </w:rPr>
        <w:t>Таблица </w:t>
      </w:r>
      <w:r>
        <w:rPr>
          <w:rFonts w:eastAsia="Calibri"/>
          <w:b/>
          <w:sz w:val="24"/>
          <w:szCs w:val="24"/>
          <w:lang w:eastAsia="x-none"/>
        </w:rPr>
        <w:t>2</w:t>
      </w:r>
      <w:r>
        <w:rPr>
          <w:rFonts w:eastAsia="Calibri"/>
          <w:b/>
          <w:sz w:val="24"/>
          <w:szCs w:val="24"/>
          <w:lang w:val="x-none" w:eastAsia="x-none"/>
        </w:rPr>
        <w:t xml:space="preserve">. </w:t>
      </w:r>
      <w:r>
        <w:rPr>
          <w:rFonts w:eastAsia="Calibri"/>
          <w:b/>
          <w:sz w:val="24"/>
          <w:szCs w:val="24"/>
          <w:lang w:eastAsia="x-none"/>
        </w:rPr>
        <w:t>Требования к качеству пр</w:t>
      </w:r>
      <w:bookmarkEnd w:id="50"/>
      <w:bookmarkEnd w:id="51"/>
      <w:r>
        <w:rPr>
          <w:rFonts w:eastAsia="Calibri"/>
          <w:b/>
          <w:sz w:val="24"/>
          <w:szCs w:val="24"/>
          <w:lang w:eastAsia="x-none"/>
        </w:rPr>
        <w:t xml:space="preserve">одукции </w:t>
      </w:r>
    </w:p>
    <w:p>
      <w:pPr>
        <w:pStyle w:val="Normal"/>
        <w:rPr>
          <w:rStyle w:val="Style8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tbl>
      <w:tblPr>
        <w:tblStyle w:val="1c"/>
        <w:tblW w:w="153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88"/>
        <w:gridCol w:w="2351"/>
        <w:gridCol w:w="8"/>
        <w:gridCol w:w="26"/>
        <w:gridCol w:w="3625"/>
        <w:gridCol w:w="2978"/>
        <w:gridCol w:w="3259"/>
        <w:gridCol w:w="2273"/>
      </w:tblGrid>
      <w:tr>
        <w:trPr/>
        <w:tc>
          <w:tcPr>
            <w:tcW w:w="78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3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659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2" w:name="_Hlk51251235"/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Требование заказчика</w:t>
            </w:r>
            <w:bookmarkEnd w:id="52"/>
          </w:p>
        </w:tc>
        <w:tc>
          <w:tcPr>
            <w:tcW w:w="62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3659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9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2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3" w:name="_Hlk51253264"/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  <w:bookmarkEnd w:id="53"/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3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6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9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325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2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01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8510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Указанные в технических требованиях ссылки на ТУ, марку (тип) продукции носят описательный, а не обязательный характер. В сл</w:t>
            </w:r>
            <w:bookmarkStart w:id="54" w:name="_GoBack_Копия_1"/>
            <w:bookmarkEnd w:id="54"/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объеме, установленном в требованиях к продукции.</w:t>
            </w:r>
          </w:p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Style w:val="Style8"/>
                <w:rFonts w:eastAsia="Times New Roman" w:cs="Times New Roman"/>
                <w:i/>
                <w:iCs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Состояние поставляемого оборудования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Поставляемое оборудование должно быть новым (с датой изготовления не раньше 2024 г.), не бывшим в употреблении, не восстановленным, у которого не была осуществлена замена составных частей, не были восстановлены потребительские свойства, не являющимся выставочными образцами), свободным от прав третьих лиц.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i/>
                <w:i/>
                <w:iCs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</w:rPr>
              <w:t>Тип насоса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Центробежный, герметичный, с асинхронным трехфазным электродвигателем с короткозамкнутым ротором, взрывозащищенный или его эквивалент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  <w:t>Вид монтажа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  <w:t>Горизонтальный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  <w:t>Марка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ЦГ 6,3/32/2,2-2 или эквивалент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/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</w:rPr>
              <w:t xml:space="preserve">Температура перекачиваемой жидкости, </w:t>
            </w: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  <w:t>ºC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от - 50 до + 100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b w:val="false"/>
                <w:bCs w:val="false"/>
                <w:i/>
                <w:i/>
                <w:iCs/>
                <w:sz w:val="24"/>
                <w:szCs w:val="24"/>
                <w:u w:val="none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</w:rPr>
              <w:t>Подача, м</w:t>
            </w: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  <w:vertAlign w:val="superscript"/>
              </w:rPr>
              <w:t>3</w:t>
            </w: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</w:rPr>
              <w:t>/ч</w:t>
            </w:r>
          </w:p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b w:val="false"/>
                <w:bCs w:val="false"/>
                <w:i/>
                <w:i/>
                <w:iCs/>
                <w:sz w:val="24"/>
                <w:szCs w:val="24"/>
                <w:u w:val="none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</w:rPr>
              <w:t>не менее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6,3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b w:val="false"/>
                <w:bCs w:val="false"/>
                <w:i/>
                <w:i/>
                <w:iCs/>
                <w:sz w:val="24"/>
                <w:szCs w:val="24"/>
                <w:u w:val="none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</w:rPr>
              <w:t>Напор, м</w:t>
            </w:r>
          </w:p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b w:val="false"/>
                <w:bCs w:val="false"/>
                <w:i/>
                <w:i/>
                <w:iCs/>
                <w:sz w:val="24"/>
                <w:szCs w:val="24"/>
                <w:u w:val="none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</w:rPr>
              <w:t>не менее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32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Габаритные размеры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 соответствии с Приложением 2 к настоящим ТТ. (отклонения от указанных размеров не допускаются)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shd w:fill="auto" w:val="clear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Диаметр рабочего колеса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В соответствии с Приложением 2 к настоящим ТТ. (отклонения от указанных размеров не допускаются)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Размеры фланцев присоединяемых к напорному и всасывающему трубопроводу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В соответствии с Приложением 2 к настоящим ТТ. (отклонения от указанных размеров не допускаются)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shd w:fill="auto" w:val="clear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 w:cs="Times New Roman"/>
                <w:b w:val="false"/>
                <w:bCs w:val="false"/>
                <w:i/>
                <w:i/>
                <w:iCs/>
                <w:sz w:val="24"/>
                <w:szCs w:val="24"/>
                <w:u w:val="none"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</w:rPr>
              <w:t>Условное давление в контуре электронасоса, МПа, не более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1,57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i/>
                <w:i/>
                <w:iCs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  <w:u w:val="none"/>
              </w:rPr>
              <w:t>Номинальная  мощность электродвигателя, к</w:t>
            </w: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u w:val="none"/>
                <w:lang w:val="ru-RU" w:eastAsia="ru-RU" w:bidi="ar-SA"/>
              </w:rPr>
              <w:t>Вт</w:t>
            </w:r>
          </w:p>
          <w:p>
            <w:pPr>
              <w:pStyle w:val="Normal"/>
              <w:widowControl w:val="false"/>
              <w:suppressAutoHyphens w:val="true"/>
              <w:spacing w:before="0" w:after="6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u w:val="none"/>
                <w:lang w:val="ru-RU" w:eastAsia="ru-RU" w:bidi="ar-SA"/>
              </w:rPr>
              <w:t>не менее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cs="Times New Roman"/>
                <w:i/>
                <w:iCs/>
                <w:sz w:val="24"/>
                <w:szCs w:val="24"/>
              </w:rPr>
              <w:t>2,2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/>
            </w:pPr>
            <w:r>
              <w:rPr>
                <w:rFonts w:cs="Times New Roman"/>
                <w:sz w:val="24"/>
                <w:szCs w:val="24"/>
              </w:rPr>
              <w:t>‍</w:t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Род тока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Переменный (AC)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Номинальное напряжение В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380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i/>
                <w:i/>
                <w:iCs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i/>
                <w:iCs/>
                <w:kern w:val="0"/>
                <w:lang w:val="ru-RU" w:eastAsia="en-US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Частота вращения синхронная, об/мин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BodyText"/>
              <w:widowControl w:val="false"/>
              <w:spacing w:before="0" w:after="12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3000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auto"/>
                <w:kern w:val="0"/>
                <w:lang w:val="ru-RU" w:bidi="ar-SA"/>
              </w:rPr>
            </w:pPr>
            <w:r>
              <w:rPr>
                <w:i/>
                <w:iCs/>
                <w:color w:val="auto"/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Частота сети, Гц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50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auto"/>
                <w:kern w:val="0"/>
                <w:lang w:val="ru-RU" w:bidi="ar-SA"/>
              </w:rPr>
            </w:pPr>
            <w:r>
              <w:rPr>
                <w:i/>
                <w:iCs/>
                <w:color w:val="auto"/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Коэффициент мощности (cosϕ) при номинальной мощности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не менее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0,78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auto"/>
                <w:kern w:val="0"/>
                <w:lang w:val="ru-RU" w:bidi="ar-SA"/>
              </w:rPr>
            </w:pPr>
            <w:r>
              <w:rPr>
                <w:i/>
                <w:iCs/>
                <w:color w:val="auto"/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Начальный пусковой ток, А, при напряжении 380 В, не более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21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auto"/>
                <w:kern w:val="0"/>
                <w:lang w:val="ru-RU" w:bidi="ar-SA"/>
              </w:rPr>
            </w:pPr>
            <w:r>
              <w:rPr>
                <w:i/>
                <w:iCs/>
                <w:color w:val="auto"/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1077" w:right="0" w:hanging="10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Класс изоляции электродвигателя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Н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i/>
                <w:iCs/>
                <w:sz w:val="24"/>
                <w:szCs w:val="24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color w:val="auto"/>
                <w:kern w:val="0"/>
                <w:lang w:val="ru-RU" w:bidi="ar-SA"/>
              </w:rPr>
            </w:pPr>
            <w:r>
              <w:rPr>
                <w:i/>
                <w:iCs/>
                <w:color w:val="auto"/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01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380" w:hRule="atLeast"/>
        </w:trPr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color w:val="auto"/>
                <w:kern w:val="0"/>
                <w:lang w:val="ru-RU" w:bidi="ar-SA"/>
              </w:rPr>
            </w:pPr>
            <w:r>
              <w:rPr>
                <w:color w:val="auto"/>
                <w:kern w:val="0"/>
                <w:lang w:val="ru-RU" w:bidi="ar-SA"/>
              </w:rPr>
              <w:t>2.1</w:t>
            </w:r>
          </w:p>
        </w:tc>
        <w:tc>
          <w:tcPr>
            <w:tcW w:w="2359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en-US" w:eastAsia="ru-RU" w:bidi="ar-SA"/>
              </w:rPr>
              <w:t>Степень защиты</w:t>
            </w:r>
          </w:p>
        </w:tc>
        <w:tc>
          <w:tcPr>
            <w:tcW w:w="3651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en-US" w:eastAsia="ru-RU" w:bidi="ar-SA"/>
              </w:rPr>
              <w:t>Не ниже IP54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01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конструкции, изготовлению и материалам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color w:val="auto"/>
                <w:kern w:val="0"/>
                <w:lang w:bidi="ar-SA"/>
              </w:rPr>
            </w:pPr>
            <w:r>
              <w:rPr>
                <w:color w:val="auto"/>
                <w:kern w:val="0"/>
                <w:lang w:bidi="ar-SA"/>
              </w:rPr>
              <w:t>3.1</w:t>
            </w:r>
          </w:p>
        </w:tc>
        <w:tc>
          <w:tcPr>
            <w:tcW w:w="23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</w:rPr>
              <w:t>Материал обмоток</w:t>
            </w:r>
          </w:p>
        </w:tc>
        <w:tc>
          <w:tcPr>
            <w:tcW w:w="36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cs="Times New Roman"/>
                <w:b w:val="false"/>
                <w:bCs w:val="false"/>
                <w:i/>
                <w:iCs/>
                <w:sz w:val="24"/>
                <w:szCs w:val="24"/>
              </w:rPr>
              <w:t>медь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cs="" w:asciiTheme="majorBidi" w:cstheme="majorBidi" w:hAnsiTheme="majorBidi"/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01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eastAsia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/>
                <w:color w:val="auto"/>
                <w:kern w:val="0"/>
                <w:lang w:val="ru-RU" w:eastAsia="ru-RU" w:bidi="ar-SA"/>
              </w:rPr>
              <w:t>4.1</w:t>
            </w:r>
          </w:p>
        </w:tc>
        <w:tc>
          <w:tcPr>
            <w:tcW w:w="238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Высота над уровнем моря, м</w:t>
            </w:r>
          </w:p>
        </w:tc>
        <w:tc>
          <w:tcPr>
            <w:tcW w:w="3625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до 1000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Указание участником ТХ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Паспорт или Руководство по эксплуатации (с указанием точных характеристик)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01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" w:asciiTheme="majorBidi" w:cstheme="majorBidi" w:hAnsiTheme="majorBidi"/>
                <w:i/>
                <w:i/>
                <w:iCs/>
              </w:rPr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5.1</w:t>
            </w:r>
          </w:p>
        </w:tc>
        <w:tc>
          <w:tcPr>
            <w:tcW w:w="23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365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Продукция должна быть доставлена Поставщиком по адресу: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Российская Федерация, Республика Хакасия, г Саяногорск, п. Черемушки, 106.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Приемка продукции осуществляется только в рабочие дни с 9-00 до 11-00 и с 13-00 до 16-00.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5.2</w:t>
            </w:r>
          </w:p>
        </w:tc>
        <w:tc>
          <w:tcPr>
            <w:tcW w:w="23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Условия транспортировки и перемещения</w:t>
            </w:r>
          </w:p>
        </w:tc>
        <w:tc>
          <w:tcPr>
            <w:tcW w:w="3659" w:type="dxa"/>
            <w:gridSpan w:val="3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740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Транспортировка, погрузка и разгрузка Продукции на складе Покупателя осуществляется силами Поставщика.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>5.3</w:t>
            </w:r>
          </w:p>
        </w:tc>
        <w:tc>
          <w:tcPr>
            <w:tcW w:w="23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Условия приемки</w:t>
            </w:r>
          </w:p>
        </w:tc>
        <w:tc>
          <w:tcPr>
            <w:tcW w:w="36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1. Не позднее, чем за 10 рабочих дней до даты поставки Поставщик официально уведомляет Покупателя о сроках и способе поставки Продукции и направляет Покупателю данные для отслеживания поставки.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2. При приемке Продукции представителями Покупателя осуществляется внешний осмотр, проверка сохранности тары и упаковки, наличия сопроводительной документации, удостоверяющей качество, и правильность ее оформления. Приемка Продукции осуществляется в присутствии представителя Поставщика.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3. Приемка Товара со вскрытием упаковки производится Покупателем в течение 3 (трех) рабочих дней с даты подписания товарно-транспортной накладной по форме №1-Т. В случае отсутствия замечаний Покупатель подписывает товарную накладную унифицированной формы ТОРГ-12, либо направляет Поставщику мотивированный отказ.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4. Обязательство по поставке считается исполненным после передачи Товара Покупателю на складе Покупателя и подписания товарной накладной ТОРГ-12 уполномоченными представителями Сторон.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>5.4</w:t>
            </w:r>
          </w:p>
        </w:tc>
        <w:tc>
          <w:tcPr>
            <w:tcW w:w="23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Требования к упаковке</w:t>
            </w:r>
          </w:p>
        </w:tc>
        <w:tc>
          <w:tcPr>
            <w:tcW w:w="365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Поставляемый Товар должен быть упакован в заводскую упаковку.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Упаковка должна обеспечивать защиту поставляемого оборудования: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в части воздействий климатических факторов - по группе условий хранения  не ниже 3 (п.10.1 ГОСТ 15150-69);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в части воздействия механических факторов – не ниже С (п.2.1 ГОСТ 23216-78).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Все неокрашенные металлические части оборудования (включая комплектующие), подверженные воздействию внешней среды в процессе транспортирования и хранения, должны быть законсервированы с помощью защитных смазок.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Поставщик несет ответственность за достаточность и надежность упаковки, обеспечивающую устойчивость к воздействиям внешней среды, к особенностям погрузки и выгрузки.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Поставляемое оборудование должно быть для транспортирования упаковано в плотные ящики, материалы или в специальную тару.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Упаковка должна исключать возможность механических повреждений и климатических факторов внешней среды на оборудование.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Упаковка должна обеспечивать полную сохранность и защиту от повреждения Товара на весь срок его транспортировки любым средством транспорта с учетом перегрузок и длительного хранения в течение гарантийного срока  (не менее 36 месяцев с даты подписания товарной накладной по форме ТОРГ-12 на поставленный Товар). Товар поставляется в таре завода-изготовителя.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Тара и упаковка Поставщику не возвращаются.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В каждое грузовое место должен быть вложен упаковочный лист, содержащий перечень упакованных частей.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>5.5</w:t>
            </w:r>
          </w:p>
        </w:tc>
        <w:tc>
          <w:tcPr>
            <w:tcW w:w="23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маркировке</w:t>
            </w:r>
          </w:p>
        </w:tc>
        <w:tc>
          <w:tcPr>
            <w:tcW w:w="3659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Маркировка Товара должна быть достоверной, читаемой и доступной для осмотра и идентификации, обладать износостойкостью.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Маркировка наносится силами Поставщика должна   содержать следующую информацию: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наименование Товара;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наименование страны, производителя;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наименование Поставщика;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условия хранения (теплый/холодный склад, уличное хранение);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дату изготовления и срок хранения.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В случае если срок хранения на Товар не установлен, указывается «срок хранения не ограничен».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Наносимая маркировка должна быть четкой и разборчивой, представлена на русском языке, выделяться или размещаться на фоне, контрастном по отношению к цвету упаковки.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01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" w:cstheme="majorBid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  <w:t>6.1</w:t>
            </w:r>
          </w:p>
        </w:tc>
        <w:tc>
          <w:tcPr>
            <w:tcW w:w="23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Срок гарантии</w:t>
            </w:r>
          </w:p>
        </w:tc>
        <w:tc>
          <w:tcPr>
            <w:tcW w:w="365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 xml:space="preserve">Срок гарантии на оборудование и все поставленные запасные части должен составлять не менее 36 месяцев с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даты подписания накладной ТОРГ-12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Calibri" w:cs="Times New Roman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Предложение по сроку гарантии на оборудование и запасные части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01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" w:cstheme="majorBid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hd w:fill="FFFF99" w:val="clear"/>
              </w:rPr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3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65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 xml:space="preserve">- технические паспорта </w:t>
            </w: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>и чертежи</w:t>
            </w: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 xml:space="preserve">- руководство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 монтажу и эксплуатации (включая технологию/порядок проведения технического обслуживания и ремонта)</w:t>
            </w: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упаковочные листы,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упаковочные ярлыки;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товарную накладную унифицированной формы ТОРГ-12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протоколы заводских испытаний.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Calibri" w:cs="Times New Roman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01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экономическим параметрам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" w:cstheme="majorBid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627" w:hRule="atLeast"/>
        </w:trPr>
        <w:tc>
          <w:tcPr>
            <w:tcW w:w="78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351" w:type="dxa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службы, не менее, лет</w:t>
            </w:r>
          </w:p>
        </w:tc>
        <w:tc>
          <w:tcPr>
            <w:tcW w:w="3659" w:type="dxa"/>
            <w:gridSpan w:val="3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15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Паспорт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627" w:hRule="atLeast"/>
        </w:trPr>
        <w:tc>
          <w:tcPr>
            <w:tcW w:w="78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8.2</w:t>
            </w:r>
          </w:p>
        </w:tc>
        <w:tc>
          <w:tcPr>
            <w:tcW w:w="2351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хранения, не менее, лет</w:t>
            </w:r>
          </w:p>
        </w:tc>
        <w:tc>
          <w:tcPr>
            <w:tcW w:w="36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7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auto"/>
                <w:sz w:val="24"/>
                <w:szCs w:val="24"/>
                <w:lang w:val="ru-RU" w:eastAsia="ru-RU" w:bidi="ar-SA"/>
              </w:rPr>
              <w:t>Указание участником ТХ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3259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/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27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/>
            </w:pPr>
            <w:r>
              <w:rPr/>
            </w:r>
          </w:p>
        </w:tc>
        <w:tc>
          <w:tcPr>
            <w:tcW w:w="6010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Прочие (дополнительные) требования к продукции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" w:cstheme="majorBidi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" w:cstheme="majorBidi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775" w:hRule="atLeast"/>
        </w:trPr>
        <w:tc>
          <w:tcPr>
            <w:tcW w:w="78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9"/>
              </w:numPr>
              <w:tabs>
                <w:tab w:val="clear" w:pos="720"/>
                <w:tab w:val="left" w:pos="963" w:leader="none"/>
                <w:tab w:val="left" w:pos="1250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23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Требования к происхождению поставляемой продукции</w:t>
            </w:r>
          </w:p>
        </w:tc>
        <w:tc>
          <w:tcPr>
            <w:tcW w:w="365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При подготовке предложения учесть требования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8" w:leader="none"/>
              </w:tabs>
              <w:bidi w:val="0"/>
              <w:spacing w:lineRule="atLeast" w:line="100" w:before="0" w:after="0"/>
              <w:ind w:left="0" w:right="0" w:hanging="0"/>
              <w:jc w:val="left"/>
              <w:rPr>
                <w:rFonts w:ascii="Times New Roman" w:hAnsi="Times New Roman" w:eastAsia="Calibri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Постановления Правительства РФ от 23.12.2024 N 1875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708" w:leader="none"/>
              </w:tabs>
              <w:bidi w:val="0"/>
              <w:spacing w:lineRule="atLeast" w:line="100" w:before="0" w:after="0"/>
              <w:ind w:left="0" w:right="0" w:hanging="0"/>
              <w:jc w:val="left"/>
              <w:rPr>
                <w:rFonts w:ascii="Times New Roman" w:hAnsi="Times New Roman" w:eastAsia="Calibri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      </w:r>
          </w:p>
        </w:tc>
        <w:tc>
          <w:tcPr>
            <w:tcW w:w="297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</w:rPr>
            </w:pPr>
            <w:r>
              <w:rPr>
                <w:rFonts w:eastAsia="Calibri" w:cs="Times New Roman"/>
                <w:i/>
                <w:iCs/>
                <w:color w:val="auto"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25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стране ее происхождения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775" w:hRule="atLeast"/>
        </w:trPr>
        <w:tc>
          <w:tcPr>
            <w:tcW w:w="15308" w:type="dxa"/>
            <w:gridSpan w:val="8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963" w:leader="none"/>
                <w:tab w:val="left" w:pos="1250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i/>
                <w:i/>
                <w:iCs/>
                <w:sz w:val="24"/>
                <w:szCs w:val="28"/>
                <w:u w:val="none"/>
              </w:rPr>
            </w:pPr>
            <w:r>
              <w:rPr>
                <w:i/>
                <w:iCs/>
                <w:sz w:val="24"/>
                <w:szCs w:val="28"/>
                <w:u w:val="none"/>
              </w:rPr>
              <w:t>*  - участник обязан описать все позиции Технических требований в соответствии с формой и инструкцией по заполнению, приведенной в разделе 7.4. Документации о закупке.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134" w:right="391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3"/>
        <w:numPr>
          <w:ilvl w:val="2"/>
          <w:numId w:val="3"/>
        </w:numPr>
        <w:rPr/>
      </w:pPr>
      <w:bookmarkStart w:id="55" w:name="__RefHeading___Toc17822_3851503367"/>
      <w:bookmarkStart w:id="56" w:name="_Toc141728505"/>
      <w:bookmarkStart w:id="57" w:name="_Hlk140571699"/>
      <w:bookmarkStart w:id="58" w:name="_Hlk140572020"/>
      <w:bookmarkStart w:id="59" w:name="_Hlk140574117"/>
      <w:bookmarkEnd w:id="55"/>
      <w:bookmarkEnd w:id="59"/>
      <w:r>
        <w:rPr/>
        <w:t>В составе заявки необходимо предоставить</w:t>
      </w:r>
      <w:bookmarkEnd w:id="58"/>
      <w:r>
        <w:rPr/>
        <w:t>:</w:t>
      </w:r>
      <w:bookmarkEnd w:id="56"/>
      <w:bookmarkEnd w:id="57"/>
    </w:p>
    <w:p>
      <w:pPr>
        <w:pStyle w:val="Normal"/>
        <w:spacing w:before="0" w:after="60"/>
        <w:jc w:val="both"/>
        <w:rPr>
          <w:b/>
          <w:i/>
          <w:i/>
          <w:iCs/>
          <w:sz w:val="24"/>
          <w:szCs w:val="24"/>
        </w:rPr>
      </w:pPr>
      <w:bookmarkStart w:id="60" w:name="_Hlk140574117_Копия_1"/>
      <w:bookmarkEnd w:id="60"/>
      <w:r>
        <w:rPr>
          <w:i/>
          <w:iCs/>
          <w:sz w:val="24"/>
          <w:szCs w:val="24"/>
        </w:rPr>
        <w:t xml:space="preserve">Участник в составе своей заявки для подтверждения соответствия заявленных характеристик и конструктивного исполнения предложенной продукции поставляемой продукции, требованиям настоящих ТТ, предоставляет следующие документы: </w:t>
      </w:r>
    </w:p>
    <w:p>
      <w:pPr>
        <w:pStyle w:val="ListParagraph"/>
        <w:numPr>
          <w:ilvl w:val="0"/>
          <w:numId w:val="8"/>
        </w:numPr>
        <w:spacing w:before="0" w:after="60"/>
        <w:ind w:left="426" w:hanging="437"/>
        <w:contextualSpacing w:val="false"/>
        <w:jc w:val="both"/>
        <w:rPr>
          <w:i/>
          <w:i/>
          <w:iCs/>
        </w:rPr>
      </w:pPr>
      <w:r>
        <w:rPr>
          <w:i/>
          <w:iCs/>
        </w:rPr>
        <w:t>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ListParagraph"/>
        <w:numPr>
          <w:ilvl w:val="0"/>
          <w:numId w:val="8"/>
        </w:numPr>
        <w:spacing w:before="0" w:after="60"/>
        <w:ind w:left="426" w:hanging="437"/>
        <w:contextualSpacing w:val="false"/>
        <w:jc w:val="both"/>
        <w:rPr>
          <w:i/>
          <w:i/>
          <w:iCs/>
        </w:rPr>
      </w:pPr>
      <w:r>
        <w:rPr>
          <w:i/>
          <w:iCs/>
        </w:rPr>
        <w:t>Габаритные и установочные чертежи.</w:t>
      </w:r>
    </w:p>
    <w:p>
      <w:pPr>
        <w:pStyle w:val="ListParagraph"/>
        <w:numPr>
          <w:ilvl w:val="0"/>
          <w:numId w:val="8"/>
        </w:numPr>
        <w:spacing w:before="0" w:after="60"/>
        <w:ind w:left="426" w:hanging="437"/>
        <w:contextualSpacing w:val="false"/>
        <w:jc w:val="both"/>
        <w:rPr>
          <w:i/>
          <w:i/>
          <w:iCs/>
        </w:rPr>
      </w:pPr>
      <w:r>
        <w:rPr>
          <w:i/>
          <w:iCs/>
        </w:rPr>
        <w:t>Копии Протоколов испытаний проведенных в аккредитованной испытательной лаборатории, подтверждающих соответствие оборудования требованиям ГОСТ IEC 60034-19—2017.</w:t>
      </w:r>
    </w:p>
    <w:p>
      <w:pPr>
        <w:pStyle w:val="ListParagraph"/>
        <w:spacing w:before="0" w:after="60"/>
        <w:ind w:left="720" w:hanging="0"/>
        <w:contextualSpacing w:val="false"/>
        <w:jc w:val="both"/>
        <w:rPr/>
      </w:pPr>
      <w:r>
        <w:rPr/>
      </w:r>
      <w:r>
        <w:br w:type="page"/>
      </w:r>
    </w:p>
    <w:p>
      <w:pPr>
        <w:pStyle w:val="Heading1"/>
        <w:numPr>
          <w:ilvl w:val="0"/>
          <w:numId w:val="3"/>
        </w:numPr>
        <w:ind w:left="0" w:hanging="0"/>
        <w:jc w:val="center"/>
        <w:rPr/>
      </w:pPr>
      <w:bookmarkStart w:id="61" w:name="__RefHeading___Toc17824_3851503367"/>
      <w:bookmarkStart w:id="62" w:name="_Toc54279844"/>
      <w:bookmarkStart w:id="63" w:name="_Toc141728506"/>
      <w:bookmarkEnd w:id="61"/>
      <w:r>
        <w:rPr/>
        <w:t>Требования к документации по</w:t>
      </w:r>
      <w:r>
        <w:rPr>
          <w:lang w:val="ru-RU"/>
        </w:rPr>
        <w:t xml:space="preserve"> </w:t>
      </w:r>
      <w:r>
        <w:rPr/>
        <w:t>ценообразованию на этапе закупки</w:t>
      </w:r>
      <w:bookmarkEnd w:id="62"/>
      <w:bookmarkEnd w:id="63"/>
    </w:p>
    <w:p>
      <w:pPr>
        <w:pStyle w:val="Normal"/>
        <w:numPr>
          <w:ilvl w:val="1"/>
          <w:numId w:val="7"/>
        </w:numPr>
        <w:spacing w:before="0" w:after="120"/>
        <w:jc w:val="both"/>
        <w:rPr>
          <w:bCs/>
          <w:i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64" w:name="_Hlk88325985"/>
      <w:r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64"/>
      <w:r>
        <w:rPr>
          <w:bCs/>
          <w:i/>
          <w:iCs/>
          <w:sz w:val="24"/>
          <w:szCs w:val="24"/>
          <w:lang w:eastAsia="x-none"/>
        </w:rPr>
        <w:t xml:space="preserve">, приведенной в Документации о закупке. </w:t>
      </w:r>
      <w:bookmarkStart w:id="65" w:name="_Hlk87532473_Копия_1"/>
      <w:r>
        <w:rPr>
          <w:bCs/>
          <w:i/>
          <w:iCs/>
          <w:sz w:val="24"/>
          <w:szCs w:val="24"/>
          <w:lang w:eastAsia="x-none"/>
        </w:rPr>
        <w:t>Требования к оформлению и составлению документации по ценообразованию</w:t>
      </w:r>
      <w:bookmarkEnd w:id="65"/>
      <w:r>
        <w:rPr>
          <w:bCs/>
          <w:i/>
          <w:iCs/>
          <w:sz w:val="24"/>
          <w:szCs w:val="24"/>
          <w:lang w:eastAsia="x-none"/>
        </w:rPr>
        <w:t xml:space="preserve"> указаны в приложении №1 к настоящим ТТ.</w:t>
      </w:r>
    </w:p>
    <w:p>
      <w:pPr>
        <w:pStyle w:val="Normal"/>
        <w:numPr>
          <w:ilvl w:val="1"/>
          <w:numId w:val="7"/>
        </w:numPr>
        <w:spacing w:before="0" w:after="120"/>
        <w:jc w:val="both"/>
        <w:rPr>
          <w:bCs/>
          <w:i/>
          <w:i/>
          <w:iCs/>
          <w:sz w:val="24"/>
          <w:szCs w:val="24"/>
          <w:lang w:eastAsia="x-none"/>
        </w:rPr>
      </w:pPr>
      <w:bookmarkStart w:id="66" w:name="_Hlk88327292"/>
      <w:r>
        <w:rPr>
          <w:bCs/>
          <w:i/>
          <w:iCs/>
          <w:sz w:val="24"/>
          <w:szCs w:val="24"/>
          <w:lang w:eastAsia="x-none"/>
        </w:rPr>
        <w:t>Дополнительные документы по ценообразованию</w:t>
      </w:r>
      <w:bookmarkEnd w:id="66"/>
      <w:r>
        <w:rPr>
          <w:bCs/>
          <w:i/>
          <w:iCs/>
          <w:sz w:val="24"/>
          <w:szCs w:val="24"/>
          <w:lang w:eastAsia="x-none"/>
        </w:rPr>
        <w:t xml:space="preserve"> в состав заявки не включаются.</w:t>
      </w:r>
    </w:p>
    <w:p>
      <w:pPr>
        <w:pStyle w:val="Normal"/>
        <w:spacing w:before="0" w:after="120"/>
        <w:jc w:val="both"/>
        <w:rPr>
          <w:bCs/>
          <w:i/>
          <w:i/>
          <w:iCs/>
          <w:sz w:val="24"/>
          <w:szCs w:val="24"/>
          <w:lang w:eastAsia="x-none"/>
        </w:rPr>
      </w:pPr>
      <w:r>
        <w:rPr/>
      </w:r>
    </w:p>
    <w:p>
      <w:pPr>
        <w:pStyle w:val="Heading1"/>
        <w:numPr>
          <w:ilvl w:val="0"/>
          <w:numId w:val="3"/>
        </w:numPr>
        <w:ind w:left="0" w:hanging="0"/>
        <w:jc w:val="center"/>
        <w:rPr/>
      </w:pPr>
      <w:bookmarkStart w:id="67" w:name="__RefHeading___Toc17826_3851503367"/>
      <w:bookmarkStart w:id="68" w:name="_Toc54279845"/>
      <w:bookmarkStart w:id="69" w:name="_Toc141728507"/>
      <w:bookmarkEnd w:id="67"/>
      <w:r>
        <w:rPr/>
        <w:t>П</w:t>
      </w:r>
      <w:bookmarkEnd w:id="68"/>
      <w:bookmarkEnd w:id="69"/>
      <w:r>
        <w:rPr/>
        <w:t>риложения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Приложение № 1: </w:t>
      </w:r>
      <w:bookmarkStart w:id="70" w:name="_Hlk87532473"/>
      <w:r>
        <w:rPr>
          <w:bCs/>
          <w:i/>
          <w:iCs/>
          <w:sz w:val="24"/>
          <w:szCs w:val="24"/>
        </w:rPr>
        <w:t>Требования к оформлению и составлению документации по ценообразованию</w:t>
      </w:r>
      <w:bookmarkEnd w:id="70"/>
      <w:r>
        <w:rPr>
          <w:bCs/>
          <w:i/>
          <w:iCs/>
          <w:sz w:val="24"/>
          <w:szCs w:val="24"/>
        </w:rPr>
        <w:t>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Приложение № 2: Габаритный чертеж электронасоса;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Приложение № </w:t>
      </w:r>
      <w:r>
        <w:rPr>
          <w:bCs/>
          <w:i/>
          <w:iCs/>
          <w:sz w:val="24"/>
          <w:szCs w:val="24"/>
        </w:rPr>
        <w:t>3</w:t>
      </w:r>
      <w:r>
        <w:rPr>
          <w:bCs/>
          <w:i/>
          <w:iCs/>
          <w:sz w:val="24"/>
          <w:szCs w:val="24"/>
        </w:rPr>
        <w:t xml:space="preserve">: </w:t>
      </w:r>
      <w:r>
        <w:rPr>
          <w:bCs/>
          <w:i/>
          <w:iCs/>
          <w:sz w:val="24"/>
          <w:szCs w:val="24"/>
        </w:rPr>
        <w:t xml:space="preserve">Паспорт </w:t>
      </w:r>
      <w:r>
        <w:rPr>
          <w:bCs/>
          <w:i/>
          <w:iCs/>
          <w:sz w:val="24"/>
          <w:szCs w:val="24"/>
        </w:rPr>
        <w:t>электронасоса.</w:t>
      </w:r>
    </w:p>
    <w:sectPr>
      <w:headerReference w:type="default" r:id="rId7"/>
      <w:headerReference w:type="first" r:id="rId8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15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60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9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9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0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1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31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9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sz w:val="24"/>
        <w:b w:val="false"/>
        <w:szCs w:val="24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sz w:val="28"/>
        <w:i w:val="false"/>
        <w:b/>
        <w:szCs w:val="28"/>
        <w:iCs w:val="false"/>
        <w:bCs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sz w:val="28"/>
        <w:i w:val="false"/>
        <w:szCs w:val="28"/>
        <w:iCs w:val="false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sz w:val="28"/>
        <w:i w:val="false"/>
        <w:szCs w:val="28"/>
        <w:iCs w:val="fals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sz w:val="28"/>
        <w:i w:val="false"/>
        <w:szCs w:val="28"/>
        <w:iCs w:val="false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sz w:val="28"/>
        <w:i w:val="false"/>
        <w:szCs w:val="28"/>
        <w:iCs w:val="false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sz w:val="28"/>
        <w:i w:val="false"/>
        <w:szCs w:val="28"/>
        <w:iCs w:val="false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sz w:val="28"/>
        <w:i w:val="false"/>
        <w:szCs w:val="28"/>
        <w:iCs w:val="false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sz w:val="28"/>
        <w:i w:val="false"/>
        <w:szCs w:val="28"/>
        <w:iCs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sz w:val="28"/>
        <w:i w:val="false"/>
        <w:szCs w:val="28"/>
        <w:iCs w:val="false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2d077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qFormat/>
    <w:rsid w:val="00b714b0"/>
    <w:rPr>
      <w:sz w:val="16"/>
      <w:szCs w:val="16"/>
    </w:rPr>
  </w:style>
  <w:style w:type="character" w:styleId="Strong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2d077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LineNumber">
    <w:name w:val="Line Number"/>
    <w:rPr/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character" w:styleId="Style15">
    <w:name w:val="Символ нумерации"/>
    <w:qFormat/>
    <w:rPr>
      <w:i w:val="false"/>
      <w:iCs w:val="false"/>
      <w:sz w:val="28"/>
      <w:szCs w:val="2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ind w:left="0" w:hanging="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a45420"/>
    <w:pPr>
      <w:tabs>
        <w:tab w:val="clear" w:pos="720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b4e02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b4e02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370e97"/>
    <w:pPr>
      <w:tabs>
        <w:tab w:val="clear" w:pos="720"/>
        <w:tab w:val="left" w:pos="1120" w:leader="none"/>
        <w:tab w:val="right" w:pos="9911" w:leader="dot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20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4d2e55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4d2e55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4d2e55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[РГ] Таблица_текст"/>
    <w:basedOn w:val="Normal"/>
    <w:next w:val="Normal"/>
    <w:qFormat/>
    <w:rsid w:val="001004d7"/>
    <w:pPr>
      <w:spacing w:before="40" w:after="40"/>
    </w:pPr>
    <w:rPr>
      <w:rFonts w:cs="Times New Roman (???????? ?????"/>
      <w:color w:val="000000"/>
      <w:sz w:val="22"/>
      <w:szCs w:val="22"/>
      <w:shd w:fill="FFFFFF" w:val="clear"/>
      <w:lang w:eastAsia="en-US"/>
    </w:rPr>
  </w:style>
  <w:style w:type="paragraph" w:styleId="Style35">
    <w:name w:val="Содержимое врезки"/>
    <w:basedOn w:val="Normal"/>
    <w:qFormat/>
    <w:pPr/>
    <w:rPr/>
  </w:style>
  <w:style w:type="paragraph" w:styleId="19">
    <w:name w:val="Уровень 1"/>
    <w:basedOn w:val="ListParagraph"/>
    <w:qFormat/>
    <w:pPr>
      <w:numPr>
        <w:ilvl w:val="0"/>
        <w:numId w:val="6"/>
      </w:numPr>
      <w:spacing w:before="360" w:after="240"/>
      <w:contextualSpacing w:val="false"/>
      <w:jc w:val="both"/>
    </w:pPr>
    <w:rPr>
      <w:b/>
      <w:sz w:val="32"/>
    </w:rPr>
  </w:style>
  <w:style w:type="paragraph" w:styleId="29">
    <w:name w:val="Уровень 2"/>
    <w:basedOn w:val="19"/>
    <w:qFormat/>
    <w:pPr>
      <w:numPr>
        <w:ilvl w:val="1"/>
      </w:numPr>
      <w:tabs>
        <w:tab w:val="clear" w:pos="720"/>
        <w:tab w:val="left" w:pos="1701" w:leader="none"/>
      </w:tabs>
      <w:spacing w:before="0" w:after="0"/>
    </w:pPr>
    <w:rPr>
      <w:b w:val="false"/>
      <w:sz w:val="28"/>
    </w:rPr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paragraph" w:styleId="110">
    <w:name w:val="Основной текст1"/>
    <w:basedOn w:val="Normal"/>
    <w:qFormat/>
    <w:pPr>
      <w:shd w:val="clear" w:color="auto" w:fill="FFFFFF"/>
      <w:spacing w:lineRule="atLeast" w:line="0"/>
    </w:pPr>
    <w:rPr>
      <w:sz w:val="23"/>
      <w:szCs w:val="23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25798693111">
    <w:name w:val="2579869311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A99EC-6C0D-432F-97CB-24F6A941E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Application>AlterOffice/3.4.0.9$Linux_X86_64 LibreOffice_project/b8daf9e823b1a5463a2f48435ddc2e8696e7d4fc</Application>
  <AppVersion>15.0000</AppVersion>
  <Pages>15</Pages>
  <Words>1793</Words>
  <Characters>12046</Characters>
  <CharactersWithSpaces>13513</CharactersWithSpaces>
  <Paragraphs>324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2023-07-21T14:20:00Z</dcterms:created>
  <dc:creator>Быстров Олег Геннадьевич</dc:creator>
  <dc:description/>
  <dc:language>ru-RU</dc:language>
  <cp:lastModifiedBy>Ирина Анатольевна Щербак</cp:lastModifiedBy>
  <cp:lastPrinted>2025-09-05T08:24:03Z</cp:lastPrinted>
  <dcterms:modified xsi:type="dcterms:W3CDTF">2026-10-13T16:22:58Z</dcterms:modified>
  <cp:revision>78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