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/>
      </w:pPr>
      <w:r>
        <w:rPr/>
        <w:t xml:space="preserve">на «Поставка компрессорного оборудования низкого давления Гергебильской ГЭС» филиала ПАО «РусГидро»-«Дагестанского филиала» </w:t>
      </w:r>
    </w:p>
    <w:p>
      <w:pPr>
        <w:pStyle w:val="Normal"/>
        <w:jc w:val="center"/>
        <w:rPr>
          <w:rStyle w:val="Style8"/>
          <w:rFonts w:eastAsia="Calibri"/>
          <w:b w:val="false"/>
          <w:bCs w:val="false"/>
          <w:i w:val="false"/>
          <w:i w:val="false"/>
          <w:iCs w:val="false"/>
          <w:sz w:val="26"/>
          <w:szCs w:val="26"/>
          <w:shd w:fill="FFFFFF" w:val="clear"/>
          <w:lang w:val="en-US"/>
        </w:rPr>
      </w:pPr>
      <w:r>
        <w:rPr>
          <w:rFonts w:eastAsia="Calibri"/>
          <w:b w:val="false"/>
          <w:bCs w:val="false"/>
          <w:i w:val="false"/>
          <w:iCs w:val="false"/>
          <w:sz w:val="26"/>
          <w:szCs w:val="26"/>
          <w:shd w:fill="FFFFFF" w:val="clear"/>
          <w:lang w:val="en-US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276701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kern w:val="2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_Toc227670194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1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_Toc227670195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1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_Toc227670196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1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_Toc227670197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1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_Toc227670198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1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_Toc227670199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20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kern w:val="2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02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03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20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закупаемой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05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2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07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20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209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kern w:val="2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>Требования к документации по ценообразованию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kern w:val="2"/>
              <w:lang w:val="en-US" w:eastAsia="en-US"/>
              <w14:ligatures w14:val="standardContextual"/>
            </w:rPr>
          </w:pPr>
          <w:hyperlink w:anchor="_Toc227670210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kern w:val="2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11">
            <w:r>
              <w:rPr>
                <w:webHidden/>
                <w:rStyle w:val="Style14"/>
                <w:iCs/>
                <w:vanish w:val="false"/>
              </w:rPr>
              <w:t>4.1.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</w:rPr>
              <w:t xml:space="preserve">Приложение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12">
            <w:r>
              <w:rPr>
                <w:webHidden/>
                <w:rStyle w:val="Style14"/>
                <w:bCs/>
                <w:vanish w:val="false"/>
              </w:rPr>
              <w:t>4.1.1.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rStyle w:val="Style14"/>
                <w:bCs/>
              </w:rPr>
              <w:t>;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13">
            <w:r>
              <w:rPr>
                <w:webHidden/>
                <w:rStyle w:val="Style14"/>
                <w:bCs/>
                <w:vanish w:val="false"/>
              </w:rPr>
              <w:t>4.1.2.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_Toc227670213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7670214">
            <w:r>
              <w:rPr>
                <w:webHidden/>
                <w:rStyle w:val="Style14"/>
                <w:bCs/>
                <w:vanish w:val="false"/>
              </w:rPr>
              <w:t>4.1.3.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kern w:val="2"/>
                <w:sz w:val="24"/>
                <w:szCs w:val="24"/>
                <w:lang w:val="en-US" w:eastAsia="en-US"/>
                <w14:ligatures w14:val="standardContextual"/>
              </w:rPr>
              <w:tab/>
            </w:r>
          </w:hyperlink>
          <w:r>
            <w:rPr>
              <w:rFonts w:eastAsia="" w:cs="" w:ascii="Calibri" w:hAnsi="Calibri" w:asciiTheme="minorHAnsi" w:cstheme="minorBidi" w:eastAsiaTheme="minorEastAsia" w:hAnsiTheme="minorHAnsi"/>
              <w:kern w:val="2"/>
              <w:sz w:val="24"/>
              <w:szCs w:val="24"/>
              <w:lang w:val="en-US" w:eastAsia="en-US"/>
              <w14:ligatures w14:val="standardContextual"/>
            </w:rPr>
            <w:t xml:space="preserve"> </w:t>
          </w:r>
          <w:r>
            <w:rPr>
              <w:sz w:val="24"/>
              <w:kern w:val="2"/>
              <w:szCs w:val="24"/>
              <w:rFonts w:eastAsia="" w:cs="" w:ascii="Calibri" w:hAnsi="Calibri"/>
              <w:lang w:val="en-US" w:eastAsia="en-US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214892763"/>
      <w:bookmarkStart w:id="1" w:name="_Toc227670194"/>
      <w:bookmarkStart w:id="2" w:name="_Toc125709831"/>
      <w:r>
        <w:rPr>
          <w:lang w:val="ru-RU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214892764"/>
      <w:bookmarkStart w:id="4" w:name="_Toc46743505"/>
      <w:bookmarkStart w:id="5" w:name="_Toc227670195"/>
      <w:bookmarkStart w:id="6" w:name="_Toc125709832"/>
      <w:r>
        <w:rPr/>
        <w:t>Обозначения и сокращения</w:t>
      </w:r>
      <w:bookmarkEnd w:id="3"/>
      <w:bookmarkEnd w:id="4"/>
      <w:bookmarkEnd w:id="5"/>
      <w:bookmarkEnd w:id="6"/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7"/>
        <w:tblW w:w="7366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8"/>
        <w:gridCol w:w="274"/>
        <w:gridCol w:w="5954"/>
      </w:tblGrid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ТТ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технические требования;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ПАО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публичное акционерное общество;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ОП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обособленное подразделение;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ГЭС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>гидроэлектростанция;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ПНР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пусконаладочные работы;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ППР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проект производства работ;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ПБ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пожарная безопасность;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ПТС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производственно-техническая служба;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ВОР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ведомость объема работ;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ТПиР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техническое перевооружение и реконструкция;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РД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рабочая документация;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СМР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строительно-монтажные работы;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СИЗ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средства индивидуальной защиты;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НТД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нормативно-техническая документация;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ИД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исполнительная документация;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ПС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подъемное сооружение;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РТН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Ростехнадзор;</w:t>
            </w:r>
          </w:p>
        </w:tc>
      </w:tr>
      <w:tr>
        <w:trPr/>
        <w:tc>
          <w:tcPr>
            <w:tcW w:w="11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ДФ</w:t>
            </w:r>
          </w:p>
        </w:tc>
        <w:tc>
          <w:tcPr>
            <w:tcW w:w="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-</w:t>
            </w:r>
          </w:p>
        </w:tc>
        <w:tc>
          <w:tcPr>
            <w:tcW w:w="59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  <w:t>Дагестанский Филиал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7" w:name="_Toc46743506"/>
      <w:bookmarkStart w:id="8" w:name="_Toc214892765"/>
      <w:bookmarkStart w:id="9" w:name="_Toc227670196"/>
      <w:r>
        <w:rPr/>
        <w:t>Наименование закупаемой продукции</w:t>
      </w:r>
      <w:bookmarkEnd w:id="7"/>
      <w:bookmarkEnd w:id="8"/>
      <w:bookmarkEnd w:id="9"/>
    </w:p>
    <w:p>
      <w:pPr>
        <w:pStyle w:val="Normal"/>
        <w:suppressAutoHyphens w:val="true"/>
        <w:ind w:firstLine="708"/>
        <w:jc w:val="both"/>
        <w:rPr>
          <w:sz w:val="24"/>
          <w:szCs w:val="24"/>
        </w:rPr>
      </w:pPr>
      <w:r>
        <w:rPr>
          <w:b w:val="false"/>
          <w:sz w:val="24"/>
          <w:szCs w:val="24"/>
          <w:lang w:val="ru-RU"/>
        </w:rPr>
        <w:t xml:space="preserve"> </w:t>
      </w:r>
      <w:r>
        <w:rPr>
          <w:b w:val="false"/>
          <w:sz w:val="24"/>
          <w:szCs w:val="24"/>
          <w:lang w:val="ru-RU"/>
        </w:rPr>
        <w:t>Поставка компрессорного оборудования низкого давления Гергебильской ГЭС</w:t>
      </w:r>
      <w:bookmarkStart w:id="10" w:name="_Toc46743507"/>
      <w:r>
        <w:rPr>
          <w:sz w:val="24"/>
          <w:szCs w:val="24"/>
        </w:rPr>
        <w:t xml:space="preserve"> филиала ПАО «РусГидро» - «Дагестанский филиал».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1" w:name="_Toc214892766"/>
      <w:bookmarkStart w:id="12" w:name="_Toc227670197"/>
      <w:r>
        <w:rPr/>
        <w:t xml:space="preserve">Цель </w:t>
      </w:r>
      <w:bookmarkEnd w:id="10"/>
      <w:r>
        <w:rPr>
          <w:lang w:val="ru-RU"/>
        </w:rPr>
        <w:t>оказания услуг</w:t>
      </w:r>
      <w:bookmarkEnd w:id="11"/>
      <w:bookmarkEnd w:id="12"/>
      <w:r>
        <w:rPr/>
        <w:t xml:space="preserve"> </w:t>
      </w:r>
    </w:p>
    <w:p>
      <w:pPr>
        <w:pStyle w:val="ListParagraph"/>
        <w:numPr>
          <w:ilvl w:val="0"/>
          <w:numId w:val="10"/>
        </w:numPr>
        <w:spacing w:before="120" w:after="120"/>
        <w:ind w:firstLine="426" w:left="0"/>
        <w:contextualSpacing/>
        <w:rPr>
          <w:sz w:val="26"/>
          <w:szCs w:val="26"/>
        </w:rPr>
      </w:pPr>
      <w:r>
        <w:rPr>
          <w:sz w:val="26"/>
          <w:szCs w:val="26"/>
        </w:rPr>
        <w:t>Цель работ — поддержание в системе нормативного давления сжатого воздуха и обеспечение безаварийной эксплуатации оборудования и автоматики управления за счёт реконструкции системы низкого давления.</w:t>
      </w:r>
    </w:p>
    <w:p>
      <w:pPr>
        <w:pStyle w:val="BodyText"/>
        <w:widowControl/>
        <w:numPr>
          <w:ilvl w:val="0"/>
          <w:numId w:val="0"/>
        </w:numPr>
        <w:suppressAutoHyphens w:val="true"/>
        <w:bidi w:val="0"/>
        <w:spacing w:before="0" w:after="120"/>
        <w:ind w:hanging="0" w:left="0" w:right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>- Основание для реконструкции — длительная эксплуатация оборудования, необходимость повышения надёжности и автоматизации управления, а также обеспечение интеграции с существующей системой.</w:t>
      </w:r>
    </w:p>
    <w:p>
      <w:pPr>
        <w:pStyle w:val="ListParagraph"/>
        <w:numPr>
          <w:ilvl w:val="0"/>
          <w:numId w:val="0"/>
        </w:numPr>
        <w:spacing w:before="120" w:after="120"/>
        <w:ind w:hanging="0" w:left="0"/>
        <w:contextualSpacing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b w:val="false"/>
          <w:bCs/>
          <w:i w:val="false"/>
          <w:sz w:val="24"/>
          <w:szCs w:val="24"/>
          <w:shd w:fill="auto" w:val="clear"/>
        </w:rPr>
      </w:r>
    </w:p>
    <w:p>
      <w:pPr>
        <w:pStyle w:val="Heading4"/>
        <w:numPr>
          <w:ilvl w:val="1"/>
          <w:numId w:val="3"/>
        </w:numPr>
        <w:rPr/>
      </w:pPr>
      <w:bookmarkStart w:id="13" w:name="_Toc214892767"/>
      <w:bookmarkStart w:id="14" w:name="_Toc227670198"/>
      <w:bookmarkStart w:id="15" w:name="_Toc46743508"/>
      <w:r>
        <w:rPr/>
        <w:t>Существующее положение</w:t>
      </w:r>
      <w:bookmarkEnd w:id="13"/>
      <w:bookmarkEnd w:id="14"/>
      <w:bookmarkEnd w:id="15"/>
      <w:r>
        <w:rPr>
          <w:lang w:val="ru-RU"/>
        </w:rPr>
        <w:t xml:space="preserve"> </w:t>
      </w:r>
    </w:p>
    <w:p>
      <w:pPr>
        <w:pStyle w:val="Normal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 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На Гергебильской  ГЭС эксплуатируется одна компрессорная установка низкого давления модели КСВ-45, предназначенная для подачи сжатого воздуха в ресивер с рабочим давлением 0,8 МПа. Сжатый воздух используется для </w:t>
      </w:r>
      <w:r>
        <w:rPr>
          <w:sz w:val="26"/>
          <w:szCs w:val="26"/>
        </w:rPr>
        <w:t>механического торможения гидроагрегатов и хозяйственных нужд станции. Оборудование компрессорной системы низкого давления находится в эксплуатации с 2008 года.</w:t>
      </w:r>
    </w:p>
    <w:p>
      <w:pPr>
        <w:pStyle w:val="Normal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>Реконструкция системы низкого давления Гергебильской ГЭС (аналогично решению, применённому на Гунибской ГЭС ) включает поставку компрессорного оборудования:</w:t>
      </w:r>
    </w:p>
    <w:p>
      <w:pPr>
        <w:pStyle w:val="BodyText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>- Компрессорные установки ДЭН-15Ш (Q=1,85м3/мин, Pном=1,0 МПа, масса 0,49т), "ЧКЗ"</w:t>
        <w:tab/>
        <w:t>ДЭН-15Ш</w:t>
        <w:tab/>
        <w:t>ООО "ЧКЗ" — 2комплекта;</w:t>
      </w:r>
    </w:p>
    <w:p>
      <w:pPr>
        <w:pStyle w:val="BodyText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>- Сепаратор-влагоотделитель СЦ-0200Р в комплекте с автоматическим конденсатоотводчиком, "ЧКЗ"</w:t>
        <w:tab/>
        <w:t>СЦ-0200Р</w:t>
        <w:tab/>
        <w:t>ООО "ЧКЗ"  — 2комплекта;</w:t>
      </w:r>
    </w:p>
    <w:p>
      <w:pPr>
        <w:pStyle w:val="BodyText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>- Система управления группой компрессоров Metacentre P4 комплектно с выносным датчиком давления "ЧКЗ", габариты: 245х291х154</w:t>
        <w:tab/>
        <w:t>Metacentre P4</w:t>
        <w:tab/>
        <w:t>ООО "ЧКЗ" — 1комплект;</w:t>
      </w:r>
    </w:p>
    <w:p>
      <w:pPr>
        <w:pStyle w:val="BodyText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>- Система управления группой компрессоров Metacentre P4 комплектно с выносным датчиком давления "ЧКЗ", габариты: 245х291х154</w:t>
        <w:tab/>
        <w:t>Metacentre Т/Х</w:t>
        <w:tab/>
        <w:t>ООО "ЧКЗ" — 1комплект;</w:t>
      </w:r>
    </w:p>
    <w:p>
      <w:pPr>
        <w:pStyle w:val="BodyText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- </w:t>
      </w:r>
      <w:r>
        <w:rPr>
          <w:sz w:val="24"/>
          <w:szCs w:val="24"/>
        </w:rPr>
        <w:t xml:space="preserve">доставка комплект ЗиП на текущий ремонт к компрессорам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ДЭН-15Ш</w:t>
      </w:r>
      <w:r>
        <w:rPr>
          <w:sz w:val="24"/>
          <w:szCs w:val="24"/>
        </w:rPr>
        <w:t>.</w:t>
      </w:r>
    </w:p>
    <w:p>
      <w:pPr>
        <w:pStyle w:val="BodyText"/>
        <w:shd w:val="clear" w:fill="FFFFFF"/>
        <w:spacing w:before="240" w:after="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6" w:name="_Toc46743509"/>
      <w:bookmarkStart w:id="17" w:name="_Toc214892769"/>
      <w:bookmarkStart w:id="18" w:name="_Hlk49857604"/>
      <w:bookmarkStart w:id="19" w:name="_Toc227670200"/>
      <w:r>
        <w:rPr/>
        <w:t xml:space="preserve">Информация в отношении исполнения договора, </w:t>
      </w:r>
      <w:bookmarkStart w:id="20" w:name="_Hlk46492347"/>
      <w:r>
        <w:rPr/>
        <w:t xml:space="preserve">которая должна быть учтена при подготовке заявки </w:t>
      </w:r>
      <w:bookmarkEnd w:id="20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6"/>
      <w:bookmarkEnd w:id="17"/>
      <w:bookmarkEnd w:id="18"/>
      <w:bookmarkEnd w:id="19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Fonts w:eastAsia="Calibri"/>
          <w:sz w:val="24"/>
          <w:szCs w:val="24"/>
          <w:lang w:eastAsia="x-none"/>
        </w:rPr>
      </w:pPr>
      <w:bookmarkStart w:id="21" w:name="_Hlk48209761"/>
      <w:bookmarkEnd w:id="21"/>
      <w:r>
        <w:rPr>
          <w:rFonts w:eastAsia="Calibri"/>
          <w:sz w:val="24"/>
          <w:szCs w:val="24"/>
          <w:lang w:eastAsia="x-none"/>
        </w:rPr>
        <w:t xml:space="preserve">Заказчик предоставляет подрядчику: </w:t>
      </w:r>
    </w:p>
    <w:p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kern w:val="0"/>
          <w:sz w:val="24"/>
          <w:szCs w:val="24"/>
          <w:lang w:val="ru-RU" w:eastAsia="ru-RU" w:bidi="ar-SA"/>
        </w:rPr>
        <w:t xml:space="preserve">Рабочая документация по техническому перевооружению компрессорной низкого давления Гергебильской ГЭС </w:t>
      </w:r>
      <w:r>
        <w:rPr>
          <w:rFonts w:eastAsia="Calibri" w:cs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x-none" w:bidi="ar-SA"/>
        </w:rPr>
        <w:t xml:space="preserve">(электротехническая, технологическая и строительная часть) </w:t>
      </w:r>
      <w:r>
        <w:rPr>
          <w:rFonts w:eastAsia="Times New Roman" w:cs="Times New Roman"/>
          <w:b w:val="false"/>
          <w:bCs w:val="false"/>
          <w:kern w:val="0"/>
          <w:sz w:val="24"/>
          <w:szCs w:val="24"/>
          <w:lang w:val="ru-RU" w:eastAsia="ru-RU" w:bidi="ar-SA"/>
        </w:rPr>
        <w:t>будут предоставлена после завершения её разработки и процедуры согласования</w:t>
      </w:r>
      <w:r>
        <w:rPr>
          <w:rFonts w:eastAsia="Times New Roman" w:cs="Times New Roman"/>
          <w:b w:val="false"/>
          <w:bCs/>
          <w:kern w:val="0"/>
          <w:sz w:val="24"/>
          <w:szCs w:val="24"/>
          <w:lang w:val="ru-RU" w:eastAsia="ru-RU" w:bidi="ar-SA"/>
        </w:rPr>
        <w:t>.</w:t>
      </w:r>
    </w:p>
    <w:p>
      <w:pPr>
        <w:pStyle w:val="ListParagraph"/>
        <w:numPr>
          <w:ilvl w:val="0"/>
          <w:numId w:val="0"/>
        </w:numPr>
        <w:ind w:hanging="0" w:left="1069"/>
        <w:jc w:val="both"/>
        <w:rPr>
          <w:bCs/>
        </w:rPr>
      </w:pPr>
      <w:r>
        <w:rPr>
          <w:bCs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2" w:name="_Toc51339693"/>
      <w:bookmarkStart w:id="23" w:name="_Toc227670201"/>
      <w:bookmarkStart w:id="24" w:name="_Toc214892770"/>
      <w:bookmarkStart w:id="25" w:name="_Hlk48209761_Копия_1"/>
      <w:bookmarkStart w:id="26" w:name="_Toc50125126"/>
      <w:bookmarkEnd w:id="25"/>
      <w:bookmarkEnd w:id="26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22"/>
      <w:bookmarkEnd w:id="23"/>
      <w:bookmarkEnd w:id="24"/>
    </w:p>
    <w:p>
      <w:pPr>
        <w:pStyle w:val="Heading4"/>
        <w:numPr>
          <w:ilvl w:val="1"/>
          <w:numId w:val="3"/>
        </w:numPr>
        <w:rPr/>
      </w:pPr>
      <w:bookmarkStart w:id="27" w:name="_Toc214892771"/>
      <w:bookmarkStart w:id="28" w:name="_Toc227670202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7"/>
      <w:bookmarkEnd w:id="28"/>
    </w:p>
    <w:p>
      <w:pPr>
        <w:pStyle w:val="Heading3"/>
        <w:numPr>
          <w:ilvl w:val="2"/>
          <w:numId w:val="3"/>
        </w:numPr>
        <w:rPr/>
      </w:pPr>
      <w:bookmarkStart w:id="29" w:name="_Toc227670203"/>
      <w:bookmarkStart w:id="30" w:name="_Toc214892772"/>
      <w:r>
        <w:rPr>
          <w:lang w:val="ru-RU"/>
        </w:rPr>
        <w:t>Перечень и объем закупаемой продукции</w:t>
      </w:r>
      <w:bookmarkEnd w:id="29"/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1" w:name="_Toc227670204"/>
      <w:bookmarkStart w:id="32" w:name="_Toc214892773"/>
      <w:bookmarkStart w:id="3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3"/>
      <w:r>
        <w:rPr>
          <w:sz w:val="24"/>
          <w:szCs w:val="24"/>
          <w:lang w:val="ru-RU"/>
        </w:rPr>
        <w:t>и объем закупаемой продукции</w:t>
      </w:r>
      <w:bookmarkEnd w:id="31"/>
      <w:bookmarkEnd w:id="32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5961"/>
        <w:gridCol w:w="1551"/>
        <w:gridCol w:w="1701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firstLine="708"/>
              <w:jc w:val="both"/>
              <w:rPr/>
            </w:pPr>
            <w:r>
              <w:rPr>
                <w:b w:val="false"/>
                <w:sz w:val="24"/>
                <w:szCs w:val="24"/>
                <w:lang w:val="ru-RU"/>
              </w:rPr>
              <w:t xml:space="preserve"> </w:t>
            </w:r>
            <w:r>
              <w:rPr>
                <w:b w:val="false"/>
                <w:sz w:val="24"/>
                <w:szCs w:val="24"/>
                <w:lang w:val="ru-RU"/>
              </w:rPr>
              <w:t>Поставка компрессорного оборудования низкого давления Гергебильской ГЭС</w:t>
            </w:r>
          </w:p>
        </w:tc>
      </w:tr>
      <w:tr>
        <w:trPr>
          <w:trHeight w:val="28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ind w:hanging="0" w:left="0"/>
              <w:rPr/>
            </w:pPr>
            <w:r>
              <w:rPr/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Компрессорные установки ДЭН-15Ш (Q=1,85м3/мин, Pном=1,0 МПа, масса 0,49т), "ЧКЗ"</w:t>
              <w:tab/>
              <w:t>ДЭН-15Ш</w:t>
              <w:tab/>
              <w:t>ООО "ЧКЗ" — 2комплекта;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ТТ</w:t>
            </w:r>
          </w:p>
        </w:tc>
      </w:tr>
      <w:tr>
        <w:trPr>
          <w:trHeight w:val="28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ind w:hanging="0" w:left="0"/>
              <w:rPr/>
            </w:pPr>
            <w:r>
              <w:rPr/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- Сепаратор-влагоотделитель СЦ-0200Р в комплекте с автоматическим конденсатоотводчиком, "ЧКЗ"</w:t>
              <w:tab/>
              <w:t>СЦ-0200Р</w:t>
              <w:tab/>
              <w:t>ООО "ЧКЗ"  — 2комплекта;</w:t>
            </w:r>
          </w:p>
        </w:tc>
        <w:tc>
          <w:tcPr>
            <w:tcW w:w="325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ind w:hanging="0" w:left="0"/>
              <w:rPr/>
            </w:pPr>
            <w:r>
              <w:rPr/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- Система управления группой компрессоров Metacentre P4 комплектно с выносным датчиком давления "ЧКЗ", габариты: 245х291х154</w:t>
              <w:tab/>
              <w:t>Metacentre P4</w:t>
              <w:tab/>
              <w:t>ООО "ЧКЗ" — 1комплект;</w:t>
            </w:r>
          </w:p>
        </w:tc>
        <w:tc>
          <w:tcPr>
            <w:tcW w:w="325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ind w:hanging="0" w:left="0"/>
              <w:rPr/>
            </w:pPr>
            <w:r>
              <w:rPr/>
            </w:r>
          </w:p>
        </w:tc>
        <w:tc>
          <w:tcPr>
            <w:tcW w:w="5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- Система управления группой компрессоров Metacentre P4 комплектно с выносным датчиком давления "ЧКЗ", габариты: 245х291х154</w:t>
              <w:tab/>
              <w:t>Metacentre Т/Х</w:t>
              <w:tab/>
              <w:t>ООО "ЧКЗ" — 1комплект;</w:t>
            </w:r>
          </w:p>
        </w:tc>
        <w:tc>
          <w:tcPr>
            <w:tcW w:w="3252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>
          <w:i/>
          <w:i/>
        </w:rPr>
      </w:pPr>
      <w:bookmarkStart w:id="34" w:name="_Toc54785620"/>
      <w:r>
        <w:rPr>
          <w:sz w:val="24"/>
          <w:szCs w:val="24"/>
        </w:rPr>
        <w:t>Таблица 1.2 «Перечень и объем закупаемых сопутствующих услуг»</w:t>
      </w:r>
      <w:bookmarkEnd w:id="34"/>
      <w:r>
        <w:rPr>
          <w:sz w:val="24"/>
          <w:szCs w:val="24"/>
        </w:rPr>
        <w:t xml:space="preserve"> 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5275"/>
        <w:gridCol w:w="1417"/>
        <w:gridCol w:w="2268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Сборка и доставка оборудования </w:t>
            </w:r>
            <w:r>
              <w:rPr>
                <w:rFonts w:eastAsia="Times New Roman" w:cs="Times New Roman"/>
                <w:b w:val="false"/>
                <w:bCs w:val="false"/>
                <w:iCs/>
                <w:kern w:val="0"/>
                <w:sz w:val="24"/>
                <w:szCs w:val="24"/>
                <w:lang w:val="ru-RU" w:eastAsia="ru-RU" w:bidi="ar-SA"/>
              </w:rPr>
              <w:t xml:space="preserve"> компрессорной низкого давления Гергебильской ГЭС</w:t>
            </w:r>
            <w:r>
              <w:rPr>
                <w:iCs/>
                <w:sz w:val="24"/>
                <w:szCs w:val="24"/>
              </w:rPr>
              <w:t xml:space="preserve">, Гергебильский район, п. Курмы. Республика Дагестан </w:t>
            </w:r>
            <w:r>
              <w:rPr>
                <w:sz w:val="24"/>
                <w:szCs w:val="24"/>
              </w:rPr>
              <w:t>с оплатой таможенных сборов и пошлин, погрузка/разгрузка. Входной контроль оборудования на месте доставки (расконсервация нового оборудования, визуальный осмотр оборудования и комплектующих, проверка комплектации, проверка качества сборки и отсутствия повреждений. Ревизия оборудования (в присутствии представителей Заказчика и Подрядчика, выполняющего поставку оборудования по согласованию)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комплект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5.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Шеф-монтаж и ПНР </w:t>
            </w:r>
            <w:r>
              <w:rPr>
                <w:iCs/>
                <w:sz w:val="24"/>
                <w:szCs w:val="24"/>
                <w:lang w:val="en-US"/>
              </w:rPr>
              <w:t>Поставщика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комплекс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6.</w:t>
            </w:r>
          </w:p>
        </w:tc>
        <w:tc>
          <w:tcPr>
            <w:tcW w:w="5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Разработка и согласование программ приемо-сдаточных испытаний с Заказчиком, проведение полного комплекса приемо-сдаточных испытаний поставляемого электрооборудования на месте монтажа (в присутствии представителей Заказчика и Подрядчика, выполняющего СМР и ПНР)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комплекс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35" w:name="_Toc214892774"/>
      <w:bookmarkStart w:id="36" w:name="_Toc227670205"/>
      <w:bookmarkStart w:id="37" w:name="_Toc51339696"/>
      <w:r>
        <w:rPr>
          <w:lang w:val="ru-RU"/>
        </w:rPr>
        <w:t xml:space="preserve">Требования </w:t>
      </w:r>
      <w:bookmarkEnd w:id="37"/>
      <w:r>
        <w:rPr>
          <w:lang w:val="ru-RU"/>
        </w:rPr>
        <w:t>к срокам оказания услуг</w:t>
      </w:r>
      <w:bookmarkEnd w:id="35"/>
      <w:bookmarkEnd w:id="3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8" w:name="_Toc227670206"/>
      <w:bookmarkStart w:id="39" w:name="_Toc214892775"/>
      <w:bookmarkStart w:id="40" w:name="_Toc50125127"/>
      <w:bookmarkStart w:id="41" w:name="_Toc51339697"/>
      <w:bookmarkStart w:id="42" w:name="_Toc50125126_Копия_1"/>
      <w:bookmarkEnd w:id="4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. </w:t>
      </w:r>
      <w:bookmarkStart w:id="4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40"/>
      <w:bookmarkEnd w:id="41"/>
      <w:bookmarkEnd w:id="43"/>
      <w:r>
        <w:rPr>
          <w:sz w:val="24"/>
          <w:szCs w:val="24"/>
          <w:lang w:val="ru-RU"/>
        </w:rPr>
        <w:t>оказания услуг</w:t>
      </w:r>
      <w:bookmarkEnd w:id="38"/>
      <w:bookmarkEnd w:id="39"/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393"/>
        <w:gridCol w:w="2128"/>
        <w:gridCol w:w="2692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услуг/ этапа услуг</w:t>
            </w:r>
          </w:p>
        </w:tc>
      </w:tr>
      <w:tr>
        <w:trPr>
          <w:trHeight w:val="12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44" w:name="_Toc46743510"/>
            <w:r>
              <w:rPr>
                <w:b/>
                <w:sz w:val="24"/>
                <w:szCs w:val="24"/>
              </w:rPr>
              <w:t>4</w:t>
            </w:r>
            <w:bookmarkEnd w:id="44"/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Поставка и наладка 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оборудования </w:t>
            </w:r>
            <w:r>
              <w:rPr>
                <w:rFonts w:eastAsia="Times New Roman" w:cs="Times New Roman"/>
                <w:b w:val="false"/>
                <w:bCs w:val="false"/>
                <w:iCs/>
                <w:kern w:val="0"/>
                <w:sz w:val="24"/>
                <w:szCs w:val="24"/>
                <w:lang w:val="ru-RU" w:eastAsia="ru-RU" w:bidi="ar-SA"/>
              </w:rPr>
              <w:t xml:space="preserve"> компрессорной низкого давления Гергебильской ГЭС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25.10.2031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hd w:val="clear" w:color="auto" w:fill="FFFFFF"/>
        <w:spacing w:before="120" w:after="60"/>
        <w:ind w:hanging="0" w:left="0"/>
        <w:outlineLvl w:val="0"/>
        <w:rPr>
          <w:rFonts w:eastAsia="Calibri"/>
          <w:b/>
          <w:sz w:val="24"/>
          <w:szCs w:val="24"/>
          <w:lang w:val="x-none" w:eastAsia="x-none"/>
        </w:rPr>
      </w:pPr>
      <w:bookmarkStart w:id="45" w:name="_Toc203466672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2</w:t>
      </w:r>
      <w:r>
        <w:rPr>
          <w:rFonts w:eastAsia="Calibri"/>
          <w:b/>
          <w:sz w:val="24"/>
          <w:szCs w:val="24"/>
          <w:lang w:val="x-none" w:eastAsia="x-none"/>
        </w:rPr>
        <w:t>.</w:t>
      </w:r>
      <w:r>
        <w:rPr>
          <w:rFonts w:eastAsia="Calibri"/>
          <w:b/>
          <w:sz w:val="24"/>
          <w:szCs w:val="24"/>
          <w:lang w:eastAsia="x-none"/>
        </w:rPr>
        <w:t>2</w:t>
      </w:r>
      <w:r>
        <w:rPr>
          <w:rFonts w:eastAsia="Calibri"/>
          <w:b/>
          <w:sz w:val="24"/>
          <w:szCs w:val="24"/>
          <w:lang w:val="x-none" w:eastAsia="x-none"/>
        </w:rPr>
        <w:t xml:space="preserve"> Требования по срокам </w:t>
      </w:r>
      <w:r>
        <w:rPr>
          <w:rFonts w:eastAsia="Calibri"/>
          <w:b/>
          <w:sz w:val="24"/>
          <w:szCs w:val="24"/>
          <w:lang w:eastAsia="x-none"/>
        </w:rPr>
        <w:t xml:space="preserve">оказания </w:t>
      </w:r>
      <w:r>
        <w:rPr>
          <w:rFonts w:eastAsia="Calibri"/>
          <w:b/>
          <w:sz w:val="24"/>
          <w:szCs w:val="24"/>
          <w:lang w:val="x-none" w:eastAsia="x-none"/>
        </w:rPr>
        <w:t>сопутствующих услуг</w:t>
      </w:r>
      <w:bookmarkEnd w:id="45"/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1927"/>
        <w:gridCol w:w="3176"/>
        <w:gridCol w:w="2200"/>
        <w:gridCol w:w="1911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40" w:after="40"/>
              <w:ind w:hanging="0"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40" w:after="40"/>
              <w:ind w:hanging="0"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40" w:after="40"/>
              <w:ind w:hanging="0"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40" w:after="40"/>
              <w:ind w:hanging="0" w:left="57" w:righ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before="40" w:after="40"/>
              <w:ind w:hanging="0" w:left="57" w:righ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40" w:after="40"/>
              <w:ind w:hanging="0"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1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Шеф-наладка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соответствии с согласованным календарным сетевым графиком, но не позднее 60 дней с момента окончания срока поставки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30 дней с момента окончания СМР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6" w:name="_Toc51339698"/>
      <w:bookmarkStart w:id="47" w:name="_Toc214892776"/>
      <w:bookmarkStart w:id="48" w:name="_Toc227670207"/>
      <w:bookmarkStart w:id="49" w:name="_Toc46743511"/>
      <w:r>
        <w:rPr/>
        <w:t xml:space="preserve">Требования к </w:t>
      </w:r>
      <w:bookmarkEnd w:id="49"/>
      <w:r>
        <w:rPr>
          <w:lang w:val="ru-RU"/>
        </w:rPr>
        <w:t>качеству услуг</w:t>
      </w:r>
      <w:bookmarkEnd w:id="47"/>
      <w:bookmarkEnd w:id="4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50" w:name="_Toc214892777"/>
      <w:bookmarkStart w:id="51" w:name="_Toc22767020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6"/>
      <w:r>
        <w:rPr>
          <w:sz w:val="24"/>
          <w:szCs w:val="24"/>
          <w:lang w:val="ru-RU"/>
        </w:rPr>
        <w:t>качеству услуг</w:t>
      </w:r>
      <w:bookmarkEnd w:id="50"/>
      <w:bookmarkEnd w:id="51"/>
      <w:r>
        <w:rPr>
          <w:sz w:val="24"/>
          <w:szCs w:val="24"/>
        </w:rPr>
        <w:t xml:space="preserve"> 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Style w:val="af"/>
        <w:tblW w:w="151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"/>
        <w:gridCol w:w="2413"/>
        <w:gridCol w:w="4540"/>
        <w:gridCol w:w="1981"/>
        <w:gridCol w:w="3117"/>
        <w:gridCol w:w="2267"/>
      </w:tblGrid>
      <w:tr>
        <w:trPr>
          <w:tblHeader w:val="true"/>
        </w:trPr>
        <w:tc>
          <w:tcPr>
            <w:tcW w:w="8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1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5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8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1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5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0" w:left="0" w:right="74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</w:tcPr>
          <w:p>
            <w:pPr>
              <w:pStyle w:val="Normal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Компрессорные установки ДЭН-15Ш (Q=1,85м3/мин, Pном=1,0 МПа, масса 0,49т), "ЧКЗ"</w:t>
              <w:tab/>
              <w:t>ДЭН-15Ш</w:t>
              <w:tab/>
              <w:t>ООО "ЧКЗ" — 2комплекта;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 составе заявки Участник должен предоставить ведомость покупных позиций с параметрами оборудования и материалов для монтажа и сборки с указанием производителя, ГОСТ, ТУ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0" w:left="0" w:right="74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</w:tcPr>
          <w:p>
            <w:pPr>
              <w:pStyle w:val="BodyText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- Сепаратор-влагоотделитель СЦ-0200Р в комплекте с автоматическим конденсатоотводчиком, "ЧКЗ"</w:t>
              <w:tab/>
              <w:t>СЦ-0200Р</w:t>
              <w:tab/>
              <w:t>ООО "ЧКЗ"  — 2комплекта;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31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 составе заявки Участник должен предоставить ведомость покупных позиций с параметрами оборудования и материалов для монтажа и сборки с указанием производителя, ГОСТ, ТУ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0" w:left="0" w:right="74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BodyText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- Система управления группой компрессоров Metacentre P4 комплектно с выносным датчиком давления "ЧКЗ", габариты: 245х291х154</w:t>
              <w:tab/>
              <w:t>Metacentre P4</w:t>
              <w:tab/>
              <w:t>ООО "ЧКЗ" — 1комплект;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31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 составе заявки Участник должен предоставить ведомость покупных позиций с параметрами оборудования и материалов для монтажа и сборки с указанием производителя, ГОСТ, ТУ</w:t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0" w:left="0" w:right="74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BodyText"/>
              <w:shd w:val="clear" w:fill="FFFFFF"/>
              <w:spacing w:lineRule="auto" w:line="240" w:before="240" w:after="60"/>
              <w:jc w:val="both"/>
              <w:rPr/>
            </w:pPr>
            <w:r>
              <w:rPr>
                <w:rStyle w:val="Style8"/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- Система управления группой компрессоров Metacentre P4 комплектно с выносным датчиком давления "ЧКЗ", габариты: 245х291х154</w:t>
              <w:tab/>
              <w:t>Metacentre Т/Х</w:t>
              <w:tab/>
              <w:t>ООО "ЧКЗ" — 1комплект;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311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 составе заявки Участник должен предоставить ведомость покупных позиций с параметрами оборудования и материалов для монтажа и сборки с указанием производителя, ГОСТ, ТУ</w:t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45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Республика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Дагестан, Гергебильский район   Гергебильская  ГЭС, в 140 км от г. Махачкала.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Требования к маркировке</w:t>
            </w:r>
          </w:p>
        </w:tc>
        <w:tc>
          <w:tcPr>
            <w:tcW w:w="45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Упаковка оборудования должна соответствовать категории упаковки КУ-0, КУ-1 и КУ-2 по ГОСТ 23170-78*,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 производиться в соответствии с чертежами.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Каждое грузовое место с упакованным оборудованием должно сопровождаться упаковочным листом, содержащим все данные, приведенные в отправочной ведомости, согласно которой комплектуются и отгружаются грузовые места.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551" w:hRule="atLeast"/>
        </w:trPr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45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гарантии на оборудование и все поставленные запасные части должен составлять не менее 60 месяцев с даты ввода оборудования в эксплуатацию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(подписания Акта приемки)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оборудованием</w:t>
            </w:r>
          </w:p>
        </w:tc>
        <w:tc>
          <w:tcPr>
            <w:tcW w:w="45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Технические паспорта и эксплуатационная документация на оборудование и аппаратуру (паспорта и инструкции, соответствующие ГОСТ, ТУ указанные в спецификации);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Паспорта;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Р</w:t>
            </w:r>
            <w:r>
              <w:rPr>
                <w:rFonts w:cs="Times New Roman"/>
                <w:kern w:val="0"/>
                <w:lang w:val="ru-RU" w:eastAsia="ru-RU" w:bidi="ar-SA"/>
              </w:rPr>
              <w:t>уководства по эксплуатации;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kern w:val="0"/>
                <w:lang w:eastAsia="ru-RU" w:bidi="ar-SA"/>
              </w:rPr>
              <w:t>Принципиальные схемы;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Электрические (исполнительные) схемы;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У</w:t>
            </w:r>
            <w:r>
              <w:rPr>
                <w:rFonts w:cs="Times New Roman"/>
                <w:kern w:val="0"/>
                <w:lang w:val="ru-RU" w:eastAsia="ru-RU" w:bidi="ar-SA"/>
              </w:rPr>
              <w:t>паковочные листы, упаковочные ярлыки;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товарную накладную унифицированной формы ТОРГ-12 в 2 экз.;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firstLine="142" w:left="32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протоколы заводских испытаний и измерений.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конструкторской и технической документации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Вся конструкторская и техническая документация должна разрабатываться в соответствии с нормативно-техническими документами.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Конструкторская и техническая документация должна соответствовать требованиям национальных стандартов, нормативных документов федерального органа государственной власти, уполномоченного в области технического надзора в электроэнергетике, стандартов и руководящих документов, действующих в отрасли, правил, норм и инструкций по безопасности труда.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1"/>
                <w:u w:val="none"/>
                <w:em w:val="none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амена отдельных позиций на аналогичное оборудование нужно официально согласовать с проектировщиками — без их подтверждения изменения не имеют силы. Все расходы, которые возникают из</w:t>
              <w:noBreakHyphen/>
              <w:t>за процедуры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согласования  участник берёт на себя. Заказчик их не компенсирует.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применяет и использует в технической документации Международную систему единиц физических величин (система СИ).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Вся техническая документация, включая чертежи, схемы, а также применяемое программное обеспечение, выполняется на русском языке.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представляемой документации на шкафы автоматизации, должен включать: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полный перечень поставляемого оборудования и материалов;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перечень запасных частей на гарантийный период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перечень рекомендуемых запасных частей на послегарантийный пятилетний период - перечень специального инструмента и оборудования, необходимого для монтажа, испытаний и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принципиальные схемы управления и контроля с указанием технических характеристик входных и выходных сигналов и параметров элементов схем;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чертежи шкафов автоматизации, а также кабельных связей этих шкафов с поставляемым оборудованием;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представить Заказчику через 2 (четыре) месяца после даты подписания договора следующую документацию: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окончательные ведомости поставляемого оборудования, включая документацию по средствам и приборам управления;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чертежи и инструкции по упаковке, транспортировке и хранению оборудования;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Поставляемое оборудование должно сопровождаться комплектом подробных инструкций по монтажу, наладке, испытаниям и текущей эксплуатации, содержащих наряду с описанием чертежи, схемы, иллюстрирующие все этапы установки и сборки оборудования и их специфику.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инструкциях должна содержаться информация по наладке и испытаниям оборудования на месте монтажа.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решения Конструкторской документации должны соответствовать требованиям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людей, эксплуатацию объекта при соблюдении предусмотренных рабочими чертежами мероприятий.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Вся информация и документация должна передаваться Заказчику на русском языке в электронном виде в формате DWG-AvtoCad, VSD-Visio, DOC-Word, XLS-Excel; PDF (в количестве 1-го экземпляра). Документация предоставляется возможностью работы поиска по документу. Представить конструкторскую и эксплуатационную документацию на бумажном носителе (в количестве не мене 4-х экземпляров) на русском языке.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Комплект КД  предоставить на бумажном носителе – 4 экз., а также на электронном носителе в формате 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pdf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 xml:space="preserve"> оборудованию низкого давления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Компоновка</w:t>
            </w:r>
            <w:r>
              <w:rPr>
                <w:rFonts w:eastAsia="Times New Roman" w:cs="Times New Roman"/>
                <w:b w:val="false"/>
                <w:bCs w:val="false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и размещение </w:t>
            </w:r>
            <w:r>
              <w:rPr>
                <w:rFonts w:eastAsia="Times New Roman" w:cs="Times New Roman"/>
                <w:b w:val="false"/>
                <w:bCs w:val="false"/>
                <w:iCs/>
                <w:color w:val="000000"/>
                <w:kern w:val="0"/>
                <w:sz w:val="24"/>
                <w:szCs w:val="24"/>
                <w:lang w:val="en-US" w:eastAsia="ru-RU" w:bidi="ar-SA"/>
              </w:rPr>
              <w:t>оборудованию низкого давления</w:t>
            </w:r>
            <w:r>
              <w:rPr>
                <w:rFonts w:eastAsia="Times New Roman" w:cs="Times New Roman"/>
                <w:b w:val="false"/>
                <w:bCs w:val="false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выполнить в строгом соответствии с рабочей документации.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ГОСТ Р 54522-2011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«Сосуды и аппараты высокого давления. Нормы и методы расчёта на прочность». Здесь собраны нормы и методики расчёта элементов (обечаек, днищ, фланцев, крышек) при статическом нагружении. Стандарт применяется для стальных сосудов (кованых, кованосварных, многослойных и однослойных), которые работают под внутренним давлением свыше 10 до 130 МПа. Он актуален для газовой, нефтяной, нефтехимической, химической промышленности и производства минеральных удобрений.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ГОСТ Р 50599-93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«Сосуды и аппараты стальные сварные высокого давления. Контроль неразрушающий при изготовлении и эксплуатации». В нём прописаны методы неразрушающего контроля (визуальный, цветной, магнитопорошковый, ультразвуковой, радиографический) для таких сосудов. Также стандарт задаёт основные требования к проведению контроля и правила оценки качества по его результатам.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ГОСТ 34347-2017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«Сосуды и аппараты стальные сварные. Общие технические условия». Устанавливает общие технические требования к стальным сварным сосудам и аппаратам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ГОСТ 12.2.085-2002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«Сосуды, работающие под давлением. Клапаны предохранительные. Требования безопасности». Регулирует требования к предохранительным клапанам — критически важному элементу безопасности любого оборудования под давлением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ГОСТ 34233.1-2017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«Сосуды и аппараты. Нормы и методы расчёта на прочность. Общие требования». Заменяет более раннюю версию (ГОСТ 34233.1-78) и закладывает базовые принципы, на которых строятся все последующие расчёты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sz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оборудование, работающий под избыточным давлением, базовым является </w:t>
            </w: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 ТС 032/2013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«О безопасности оборудования, работающего под избыточным давлением». Именно он определяет, какие именно параметры (давление, температура, вместимость) переводят устройство в категорию «оборудование высокого давления»,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tLeast" w:line="330" w:before="0" w:after="120"/>
              <w:ind w:hanging="0" w:left="0" w:right="0"/>
              <w:jc w:val="left"/>
              <w:rPr/>
            </w:pPr>
            <w:r>
              <w:rPr>
                <w:rStyle w:val="Strong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Приказ Ростехнадзора от 15.12.2020 № 536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утверждает ФНП «Правила промышленной безопасности при использовании оборудования, работающего под избыточным давлением».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568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</w:rPr>
            </w:pPr>
            <w:r>
              <w:rPr>
                <w:rStyle w:val="Strong2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Формирование комплекта ЗИП 6000ч.</w:t>
            </w:r>
            <w:r>
              <w:rPr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 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Наличие запасных частей и инструментов для оперативной замены</w:t>
            </w:r>
          </w:p>
        </w:tc>
        <w:tc>
          <w:tcPr>
            <w:tcW w:w="198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шефналадке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1803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В соответствии с</w:t>
            </w:r>
          </w:p>
        </w:tc>
        <w:tc>
          <w:tcPr>
            <w:tcW w:w="45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ГОСТ Р 58176-2018</w:t>
            </w:r>
            <w:r>
              <w:rPr>
                <w:rFonts w:eastAsia="Times New Roman" w:cs="Times New Roman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 «Электроэнергетика. Энергетическое строительство. Организация пусконаладочных работ на объектах тепловых электрических станций»                                                            </w:t>
            </w:r>
            <w:r>
              <w:rPr>
                <w:rStyle w:val="Strong"/>
                <w:rFonts w:eastAsia="Times New Roman" w:cs="Times New Roman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СП 77.13330.2016</w:t>
            </w:r>
            <w:r>
              <w:rPr>
                <w:rFonts w:eastAsia="Times New Roman" w:cs="Times New Roman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 «Системы автоматизации»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Гарантированное участие Поставщика при выполнении строительно-монтажных работ. Соответствие установленному требованию подтверждается путем представления Участниками закупки в составе заявки гарантийного письма о готовности выполнения шеф-услуг при выполнении строительно-монтажных работ.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согласованию конструкторской документации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ru-RU"/>
              </w:rPr>
              <w:t>Разработанную конструкторскую документацию поставщик должен согласовать с Заказчиком/Покупателем  до начала изготовления продукции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Требования к сопутствующим затратам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  <w:lang w:bidi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упаковки, доставки, сборки, погрузочно-разгрузочных работ, транспортные расходы, расходы по уборке и вывозу упаковочного материала, таможенному оформлению и страхованию,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все налоги, сборы и другие обязательные платежи, взимаемые на территории Российской Федерации,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а также все затраты, издержки и расходы Поставщика, связанные с исполнением обязательств включены в цену Контракта.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в части ограничения по привлечению субподрядных организаций (указать свойства, которыми должна обладать или не обладать субподрядная организация, например: наличие лицензий, отсутствие налоговых задолженностей и т.п.)</w:t>
            </w:r>
          </w:p>
        </w:tc>
        <w:tc>
          <w:tcPr>
            <w:tcW w:w="45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Поставщик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198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Требования к надежности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соответствии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 ГОСТ 27.003-2016 «Надежность в технике. Состав и общие правила задания требований по надежности»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испытаний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Участие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ru-RU"/>
              </w:rPr>
              <w:t xml:space="preserve"> в приемо-сдаточных испытаниях представителя Поставщика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Гарантированное участие Поставщика в приемо-сдаточных испытаниях.  Соответствие установленному требованию подтверждается путем представления Участниками закупки в составе заявки гарантийного письма о готовности участия Поставщика в приемо-сдаточных испытаниях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Обучение персонала Заказчика</w:t>
            </w:r>
          </w:p>
        </w:tc>
        <w:tc>
          <w:tcPr>
            <w:tcW w:w="45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183"/>
              <w:jc w:val="both"/>
              <w:rPr>
                <w:rFonts w:ascii="Times New Roman" w:hAnsi="Times New Roman" w:eastAsia="Times New Roman" w:cs="Times New Roman"/>
                <w:kern w:val="0"/>
                <w:highlight w:val="none"/>
                <w:shd w:fill="FFFFFF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Перед вводом эксплуатацию персонал осуществляющий эксплуатацию компрессорного оборудования должны быть обучены.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31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Гарантированное участие Поставщика в обучении персонала Заказчика.  Соответствие установленному требованию подтверждается путем представления Участниками закупки в составе заявки гарантийного письма о готовности участия Поставщика в обучении персонала Заказчика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67" w:type="dxa"/>
            <w:gridSpan w:val="6"/>
            <w:tcBorders/>
            <w:vAlign w:val="center"/>
          </w:tcPr>
          <w:p>
            <w:pPr>
              <w:pStyle w:val="LHP1"/>
              <w:widowControl w:val="false"/>
              <w:shd w:val="clear" w:color="auto" w:fill="FFFFFF" w:themeFill="background1"/>
              <w:spacing w:before="0" w:after="0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Примечание:</w:t>
            </w:r>
          </w:p>
          <w:p>
            <w:pPr>
              <w:pStyle w:val="LHP1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ind w:hanging="360" w:left="1855" w:right="284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Указанные в настоящих ТТ ссылки на ТУ, марку (тип) продукции носят описательный, а не обязательный характер. В случае, если Участником предлагается эквивалентная продукция1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      </w:r>
          </w:p>
          <w:p>
            <w:pPr>
              <w:pStyle w:val="LHP1"/>
              <w:widowControl w:val="false"/>
              <w:shd w:val="clear" w:color="auto" w:fill="FFFFFF" w:themeFill="background1"/>
              <w:spacing w:before="0" w:after="0"/>
              <w:ind w:hanging="0" w:left="1855" w:right="284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Эквивалентная продукция (эквивалент)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 В качестве альтернативы Участник может предложить свое решение (на основе собственного опыта), изменив типы, состав, конструктив перечисленного выше оборудования, но сохранив его функциональные возможности с аналогичными (или лучшими) техническими характеристиками.</w:t>
            </w:r>
          </w:p>
          <w:p>
            <w:pPr>
              <w:pStyle w:val="LHP1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ind w:hanging="360" w:left="1855" w:right="284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В случае если какой-либо из указанных в настоящих Технических требованиях ГОСТ или нормативный документ был заменен/отменен в процессе проведения закупки в связи с выпуском новой редакции стандарта, то Участнику необходимо применять ГОСТ или нормативный документ, принятый в его развитие.</w:t>
            </w:r>
          </w:p>
          <w:p>
            <w:pPr>
              <w:pStyle w:val="LHP1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spacing w:before="0" w:after="0"/>
              <w:ind w:hanging="360" w:left="1855" w:right="284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Участник в составе своей заявки для подтверждения соответствия заявленных характеристик и конструктива предложенной продукции, поставляемой продукции, требованиям настоящих ТТ, предоставляет следующие документы:</w:t>
            </w:r>
          </w:p>
          <w:p>
            <w:pPr>
              <w:pStyle w:val="LHP1"/>
              <w:widowControl w:val="false"/>
              <w:shd w:val="clear" w:color="auto" w:fill="FFFFFF" w:themeFill="background1"/>
              <w:spacing w:before="0" w:after="0"/>
              <w:ind w:hanging="0" w:left="1855" w:right="284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3.1.1)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показатели.</w:t>
            </w:r>
          </w:p>
          <w:p>
            <w:pPr>
              <w:pStyle w:val="LHP1"/>
              <w:widowControl w:val="false"/>
              <w:shd w:val="clear" w:color="auto" w:fill="FFFFFF" w:themeFill="background1"/>
              <w:spacing w:before="0" w:after="0"/>
              <w:ind w:hanging="0" w:left="1855" w:right="284"/>
              <w:rPr>
                <w:i/>
                <w:i/>
                <w:color w:val="000000"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 xml:space="preserve">3.2.2) 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</w:t>
            </w:r>
            <w:r>
              <w:rPr>
                <w:rFonts w:eastAsia="Times New Roman" w:cs="Times New Roman"/>
                <w:i/>
                <w:color w:val="000000"/>
                <w:kern w:val="0"/>
                <w:sz w:val="24"/>
                <w:lang w:val="ru-RU" w:eastAsia="ru-RU" w:bidi="ar-SA"/>
              </w:rPr>
              <w:t>или гарантийное письмо (в соответствие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письме).</w:t>
            </w:r>
          </w:p>
          <w:p>
            <w:pPr>
              <w:pStyle w:val="LHP1"/>
              <w:widowControl w:val="false"/>
              <w:shd w:val="clear" w:color="auto" w:fill="FFFFFF" w:themeFill="background1"/>
              <w:spacing w:before="0" w:after="0"/>
              <w:ind w:hanging="0" w:left="1855" w:right="284"/>
              <w:rPr>
                <w:i/>
                <w:i/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3.2.3) Декларация соответствия, в соответствии с Федеральным Законом от 27.12.2002 г. № 184-ФЗ «О техническом регулировании», Постановлением Правительства РФ от 23.12.2021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соответствия»</w:t>
            </w:r>
          </w:p>
          <w:p>
            <w:pPr>
              <w:pStyle w:val="LHP1"/>
              <w:widowControl w:val="false"/>
              <w:shd w:val="clear" w:color="auto" w:fill="FFFFFF" w:themeFill="background1"/>
              <w:spacing w:before="0" w:after="0"/>
              <w:ind w:hanging="0" w:left="1855" w:right="284"/>
              <w:rPr>
                <w:sz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 xml:space="preserve">Декларация о соответствии должна иметь электронную регистрацию в едином реестре деклараций на сайте </w:t>
            </w:r>
            <w:r>
              <w:rPr>
                <w:rFonts w:eastAsia="Times New Roman" w:cs="Times New Roman"/>
                <w:i/>
                <w:kern w:val="0"/>
                <w:sz w:val="24"/>
                <w:lang w:val="en-US" w:eastAsia="ru-RU" w:bidi="ar-SA"/>
              </w:rPr>
              <w:t>https</w:t>
            </w: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://</w:t>
            </w:r>
            <w:r>
              <w:rPr>
                <w:rFonts w:eastAsia="Times New Roman" w:cs="Times New Roman"/>
                <w:i/>
                <w:kern w:val="0"/>
                <w:sz w:val="24"/>
                <w:lang w:val="en-US" w:eastAsia="ru-RU" w:bidi="ar-SA"/>
              </w:rPr>
              <w:t>fsa</w:t>
            </w: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i/>
                <w:kern w:val="0"/>
                <w:sz w:val="24"/>
                <w:lang w:val="en-US" w:eastAsia="ru-RU" w:bidi="ar-SA"/>
              </w:rPr>
              <w:t>gov</w:t>
            </w: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i/>
                <w:kern w:val="0"/>
                <w:sz w:val="24"/>
                <w:lang w:val="en-US" w:eastAsia="ru-RU" w:bidi="ar-SA"/>
              </w:rPr>
              <w:t>ru</w:t>
            </w:r>
            <w:r>
              <w:rPr>
                <w:rFonts w:eastAsia="Times New Roman" w:cs="Times New Roman"/>
                <w:i/>
                <w:kern w:val="0"/>
                <w:sz w:val="24"/>
                <w:lang w:val="ru-RU" w:eastAsia="ru-RU" w:bidi="ar-SA"/>
              </w:rPr>
              <w:t>/(требование п.6 ст.24 ФЗ-184.</w:t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992" w:right="567" w:gutter="0" w:header="680" w:top="851" w:footer="737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52" w:name="_Toc227670209"/>
      <w:bookmarkStart w:id="53" w:name="_Toc125709846"/>
      <w:bookmarkStart w:id="54" w:name="_Toc53393312"/>
      <w:bookmarkStart w:id="55" w:name="_Toc53395937"/>
      <w:bookmarkStart w:id="56" w:name="_Toc214892778"/>
      <w:bookmarkStart w:id="57" w:name="_Toc46743519"/>
      <w:bookmarkStart w:id="58" w:name="_Toc51339699"/>
      <w:bookmarkEnd w:id="57"/>
      <w:bookmarkEnd w:id="58"/>
      <w:r>
        <w:rPr>
          <w:lang w:val="ru-RU"/>
        </w:rPr>
        <w:t>Требования к документации по ценообразованию</w:t>
      </w:r>
      <w:bookmarkEnd w:id="52"/>
      <w:bookmarkEnd w:id="53"/>
      <w:bookmarkEnd w:id="54"/>
      <w:bookmarkEnd w:id="55"/>
      <w:bookmarkEnd w:id="56"/>
    </w:p>
    <w:p>
      <w:pPr>
        <w:pStyle w:val="ConsPlusNormal1"/>
        <w:spacing w:before="0" w:after="0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определении стоимости работ (услуг) и оформлению сметной документации применять в обязательном порядке «Требования к оформлению и составлению сметной документации …», указанные Технических требований.</w:t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  <w:caps/>
          <w:lang w:val="ru-RU"/>
        </w:rPr>
      </w:pPr>
      <w:r>
        <w:rPr>
          <w:iCs/>
          <w:caps/>
          <w:lang w:val="ru-RU"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59" w:name="_Toc214892779"/>
      <w:bookmarkStart w:id="60" w:name="_Toc227670210"/>
      <w:bookmarkStart w:id="61" w:name="_Toc125709847"/>
      <w:r>
        <w:rPr>
          <w:iCs/>
          <w:lang w:val="ru-RU"/>
        </w:rPr>
        <w:t>Приложения</w:t>
      </w:r>
      <w:bookmarkEnd w:id="59"/>
      <w:bookmarkEnd w:id="60"/>
      <w:bookmarkEnd w:id="61"/>
    </w:p>
    <w:p>
      <w:pPr>
        <w:pStyle w:val="Heading4"/>
        <w:numPr>
          <w:ilvl w:val="1"/>
          <w:numId w:val="3"/>
        </w:numPr>
        <w:rPr>
          <w:bCs w:val="false"/>
          <w:lang w:val="ru-RU"/>
        </w:rPr>
      </w:pPr>
      <w:bookmarkStart w:id="62" w:name="_Toc227670211"/>
      <w:r>
        <w:rPr>
          <w:bCs w:val="false"/>
          <w:lang w:val="ru-RU"/>
        </w:rPr>
        <w:t>Приложение №1:</w:t>
      </w:r>
      <w:bookmarkEnd w:id="6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8"/>
          <w:b w:val="false"/>
          <w:i w:val="false"/>
          <w:i w:val="false"/>
          <w:sz w:val="24"/>
          <w:szCs w:val="24"/>
          <w:shd w:fill="FFFFFF" w:val="clear"/>
        </w:rPr>
      </w:pPr>
      <w:r>
        <w:rPr>
          <w:b w:val="false"/>
          <w:i w:val="false"/>
          <w:sz w:val="24"/>
          <w:szCs w:val="24"/>
          <w:shd w:fill="FFFFFF" w:val="clear"/>
        </w:rPr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185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01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17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5" w:hanging="18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ConsPlusNormal" w:customStyle="1">
    <w:name w:val="ConsPlusNormal Знак"/>
    <w:link w:val="ConsPlusNormal1"/>
    <w:qFormat/>
    <w:rsid w:val="00e5263a"/>
    <w:rPr>
      <w:rFonts w:ascii="Arial" w:hAnsi="Arial" w:cs="Arial"/>
    </w:rPr>
  </w:style>
  <w:style w:type="character" w:styleId="Extended-textshort" w:customStyle="1">
    <w:name w:val="extended-text__short"/>
    <w:basedOn w:val="DefaultParagraphFont"/>
    <w:qFormat/>
    <w:rsid w:val="007b2b49"/>
    <w:rPr/>
  </w:style>
  <w:style w:type="character" w:styleId="LHP" w:customStyle="1">
    <w:name w:val="LHP_Основной текст Знак"/>
    <w:basedOn w:val="DefaultParagraphFont"/>
    <w:link w:val="LHP1"/>
    <w:qFormat/>
    <w:rsid w:val="00cd7001"/>
    <w:rPr>
      <w:sz w:val="26"/>
      <w:szCs w:val="24"/>
    </w:rPr>
  </w:style>
  <w:style w:type="character" w:styleId="Style14">
    <w:name w:val="Ссылка указателя"/>
    <w:qFormat/>
    <w:rPr/>
  </w:style>
  <w:style w:type="character" w:styleId="Strong2">
    <w:name w:val="Strong2"/>
    <w:qFormat/>
    <w:rPr>
      <w:b/>
      <w:bCs/>
    </w:rPr>
  </w:style>
  <w:style w:type="character" w:styleId="WW8Num40z0">
    <w:name w:val="WW8Num40z0"/>
    <w:qFormat/>
    <w:rPr>
      <w:rFonts w:ascii="Symbol" w:hAnsi="Symbol" w:cs="Symbol"/>
    </w:rPr>
  </w:style>
  <w:style w:type="character" w:styleId="WW8Num40z1">
    <w:name w:val="WW8Num40z1"/>
    <w:qFormat/>
    <w:rPr>
      <w:rFonts w:ascii="Courier New" w:hAnsi="Courier New" w:cs="Courier New"/>
    </w:rPr>
  </w:style>
  <w:style w:type="character" w:styleId="WW8Num40z2">
    <w:name w:val="WW8Num40z2"/>
    <w:qFormat/>
    <w:rPr>
      <w:rFonts w:ascii="Wingdings" w:hAnsi="Wingdings" w:cs="Wingdings"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.HEADERTEXT"/>
    <w:basedOn w:val="Normal"/>
    <w:uiPriority w:val="99"/>
    <w:qFormat/>
    <w:rsid w:val="00a060c8"/>
    <w:pPr/>
    <w:rPr>
      <w:rFonts w:eastAsia="Calibri" w:eastAsiaTheme="minorHAnsi"/>
      <w:color w:val="2B4279"/>
      <w:sz w:val="24"/>
      <w:szCs w:val="24"/>
    </w:rPr>
  </w:style>
  <w:style w:type="paragraph" w:styleId="LHP1" w:customStyle="1">
    <w:name w:val="LHP_Основной текст"/>
    <w:link w:val="LHP"/>
    <w:qFormat/>
    <w:rsid w:val="00cd7001"/>
    <w:pPr>
      <w:widowControl w:val="false"/>
      <w:suppressAutoHyphens w:val="true"/>
      <w:bidi w:val="0"/>
      <w:spacing w:lineRule="auto" w:line="360" w:before="0" w:after="0"/>
      <w:ind w:firstLine="851" w:left="284" w:right="284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40">
    <w:name w:val="WW8Num40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97D7-8CF8-40A3-AFBE-40A085381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Application>AlterOffice/2026.2.0.0$Linux_X86_64 LibreOffice_project/bc4ef1adf80b36c7a6365f8ed6cbf29021361edd</Application>
  <AppVersion>15.0000</AppVersion>
  <Pages>22</Pages>
  <Words>2714</Words>
  <Characters>19417</Characters>
  <CharactersWithSpaces>21869</CharactersWithSpaces>
  <Paragraphs>350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2026-04-21T10:23:00Z</dcterms:created>
  <dc:creator>Быстров Олег Геннадьевич</dc:creator>
  <dc:description/>
  <dc:language>ru-RU</dc:language>
  <cp:lastModifiedBy>abdulaevma@corp.gidroogk.com</cp:lastModifiedBy>
  <cp:lastPrinted>2025-10-04T14:28:00Z</cp:lastPrinted>
  <dcterms:modified xsi:type="dcterms:W3CDTF">2026-10-13T12:34:53Z</dcterms:modified>
  <cp:revision>93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