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24"/>
          <w:szCs w:val="24"/>
          <w:lang w:eastAsia="ru-RU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24"/>
          <w:szCs w:val="24"/>
          <w:lang w:eastAsia="ru-RU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24"/>
          <w:szCs w:val="24"/>
          <w:lang w:eastAsia="ru-RU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24"/>
          <w:szCs w:val="24"/>
          <w:lang w:eastAsia="ru-RU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24"/>
          <w:szCs w:val="24"/>
          <w:lang w:eastAsia="ru-RU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24"/>
          <w:szCs w:val="24"/>
          <w:lang w:eastAsia="ru-RU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24"/>
          <w:szCs w:val="24"/>
          <w:lang w:eastAsia="ru-RU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24"/>
          <w:szCs w:val="24"/>
          <w:lang w:eastAsia="ru-RU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24"/>
          <w:szCs w:val="24"/>
          <w:lang w:eastAsia="ru-RU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24"/>
          <w:szCs w:val="24"/>
          <w:lang w:eastAsia="ru-RU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lang w:eastAsia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/>
      </w:pPr>
      <w:r>
        <w:rPr>
          <w:rStyle w:val="Strong"/>
          <w:rFonts w:eastAsia="Calibri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lang w:val="ru-RU" w:eastAsia="ru-RU" w:bidi="ar-SA"/>
        </w:rPr>
        <w:t xml:space="preserve">ОКПД 2: 26.30.50.110 </w:t>
      </w:r>
      <w:r>
        <w:rPr>
          <w:rStyle w:val="Strong"/>
          <w:rFonts w:eastAsia="Calibri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em w:val="none"/>
          <w:lang w:val="ru-RU" w:eastAsia="ru-RU" w:bidi="ar-SA"/>
        </w:rPr>
        <w:t>П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оставка средств обнаружения и ограничения доступа</w:t>
      </w:r>
    </w:p>
    <w:p>
      <w:pPr>
        <w:pStyle w:val="Normal"/>
        <w:widowControl w:val="false"/>
        <w:spacing w:lineRule="auto" w:line="264"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  <w:u w:val="none"/>
          <w:lang w:eastAsia="ru-RU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u w:val="none"/>
          <w:lang w:eastAsia="ru-RU"/>
        </w:rPr>
        <w:t>для нужд Кубанского филиала.</w:t>
      </w:r>
    </w:p>
    <w:p>
      <w:pPr>
        <w:pStyle w:val="Style17"/>
        <w:widowControl w:val="false"/>
        <w:spacing w:lineRule="auto" w:line="264" w:before="0" w:after="0"/>
        <w:jc w:val="center"/>
        <w:rPr>
          <w:sz w:val="28"/>
          <w:szCs w:val="28"/>
        </w:rPr>
      </w:pPr>
      <w:r>
        <w:rPr/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fill="FFFFFF"/>
        <w:spacing w:lineRule="auto" w:line="264" w:before="0" w:after="0"/>
        <w:ind w:firstLine="851" w:left="0" w:right="0"/>
        <w:jc w:val="center"/>
        <w:outlineLvl w:val="1"/>
        <w:rPr>
          <w:sz w:val="24"/>
          <w:szCs w:val="24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p>
      <w:pPr>
        <w:pStyle w:val="Normal"/>
        <w:widowControl w:val="false"/>
        <w:numPr>
          <w:ilvl w:val="0"/>
          <w:numId w:val="0"/>
        </w:numPr>
        <w:shd w:val="clear" w:fill="FFFFFF"/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1.Общие сведения………………………………………………………………………….……………..3</w:t>
      </w:r>
    </w:p>
    <w:p>
      <w:pPr>
        <w:pStyle w:val="Normal"/>
        <w:shd w:val="clear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1.1.</w:t>
        <w:tab/>
        <w:t>Наименование закупаемой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……………………………………………………………</w:t>
      </w:r>
      <w:r>
        <w:rPr>
          <w:rFonts w:cs="Calibri" w:ascii="Times New Roman" w:hAnsi="Times New Roman"/>
          <w:color w:val="000000"/>
          <w:sz w:val="24"/>
          <w:szCs w:val="24"/>
        </w:rPr>
        <w:t>3</w:t>
      </w:r>
    </w:p>
    <w:p>
      <w:pPr>
        <w:pStyle w:val="Normal"/>
        <w:shd w:val="clear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1.2.</w:t>
        <w:tab/>
        <w:t>Цель использования закупаемой продукции.…………………………………………………….3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2.Требования к продукции.………………………………………………………………………………3</w:t>
      </w:r>
    </w:p>
    <w:p>
      <w:pPr>
        <w:pStyle w:val="Normal"/>
        <w:shd w:val="clear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2.1.1</w:t>
        <w:tab/>
        <w:t>Перечень и объем закупаемой продукции………………………………………………………..3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1.1 Перечень и объем закупаемой продукции………………………………………………..3</w:t>
      </w:r>
    </w:p>
    <w:p>
      <w:pPr>
        <w:pStyle w:val="Normal"/>
        <w:shd w:val="clear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2.1.2</w:t>
        <w:tab/>
        <w:t>Требования к срокам поставки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……………………………………………………….</w:t>
      </w:r>
      <w:r>
        <w:rPr>
          <w:rFonts w:cs="Calibri" w:ascii="Times New Roman" w:hAnsi="Times New Roman"/>
          <w:color w:val="000000"/>
          <w:sz w:val="24"/>
          <w:szCs w:val="24"/>
          <w:lang w:eastAsia="ru-RU"/>
        </w:rPr>
        <w:t>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2.1 Требования по срокам поставки продукции……………………………………………...3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2.2 Требование к качеству продукции    ………………………………………………………………..3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3. Требования к продукции…………………………………………………………………….4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3. Требования к документации по ценообразованию на этапе закупки...…………………………….8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0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exact" w:line="283" w:before="120" w:after="60"/>
        <w:ind w:hanging="0" w:left="720" w:right="0"/>
        <w:jc w:val="center"/>
        <w:outlineLvl w:val="0"/>
        <w:rPr/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1. Общ</w:t>
      </w:r>
      <w:bookmarkStart w:id="1" w:name="_Toc125476050"/>
      <w:bookmarkStart w:id="2" w:name="_Toc125473240"/>
      <w:bookmarkStart w:id="3" w:name="_Toc51339692"/>
      <w:bookmarkStart w:id="4" w:name="_Toc75446566"/>
      <w:r>
        <w:rPr>
          <w:rFonts w:cs="Times New Roman" w:ascii="Times New Roman" w:hAnsi="Times New Roman"/>
          <w:b/>
          <w:sz w:val="24"/>
          <w:szCs w:val="24"/>
          <w:lang w:eastAsia="x-none"/>
        </w:rPr>
        <w:t>ие сведения</w:t>
      </w:r>
      <w:bookmarkEnd w:id="1"/>
      <w:bookmarkEnd w:id="2"/>
      <w:bookmarkEnd w:id="3"/>
      <w:bookmarkEnd w:id="4"/>
    </w:p>
    <w:p>
      <w:pPr>
        <w:pStyle w:val="Normal"/>
        <w:numPr>
          <w:ilvl w:val="0"/>
          <w:numId w:val="0"/>
        </w:numPr>
        <w:spacing w:lineRule="exact" w:line="283" w:before="120" w:after="60"/>
        <w:ind w:hanging="0" w:left="720" w:right="0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widowControl w:val="false"/>
        <w:numPr>
          <w:ilvl w:val="1"/>
          <w:numId w:val="1"/>
        </w:numPr>
        <w:spacing w:lineRule="exact" w:line="283" w:before="0" w:after="0"/>
        <w:contextualSpacing/>
        <w:outlineLvl w:val="1"/>
        <w:rPr/>
      </w:pPr>
      <w:bookmarkStart w:id="5" w:name="_Toc125476051"/>
      <w:bookmarkStart w:id="6" w:name="_Toc12547324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 xml:space="preserve"> </w:t>
      </w:r>
    </w:p>
    <w:p>
      <w:pPr>
        <w:pStyle w:val="Normal"/>
        <w:widowControl w:val="false"/>
        <w:spacing w:lineRule="exact" w:line="283" w:before="0" w:after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lang w:val="ru-RU" w:eastAsia="ru-RU" w:bidi="ar-SA"/>
        </w:rPr>
        <w:t xml:space="preserve">ОКПД 2: 26.30.50.110 </w:t>
      </w:r>
      <w:r>
        <w:rPr>
          <w:rStyle w:val="Strong"/>
          <w:rFonts w:eastAsia="Calibri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4"/>
          <w:szCs w:val="24"/>
          <w:u w:val="none"/>
          <w:em w:val="none"/>
          <w:lang w:val="ru-RU" w:eastAsia="ru-RU" w:bidi="ar-SA"/>
        </w:rPr>
        <w:t>П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оставка средств обнаружения и ограничения доступа</w:t>
      </w:r>
      <w:r>
        <w:rPr>
          <w:rFonts w:cs="Times New Roman" w:ascii="Times New Roman" w:hAnsi="Times New Roman"/>
          <w:color w:val="000000"/>
          <w:sz w:val="24"/>
          <w:szCs w:val="24"/>
          <w:u w:val="none"/>
          <w:lang w:eastAsia="ru-RU"/>
        </w:rPr>
        <w:t xml:space="preserve"> для нужд Кубанского филиала </w:t>
      </w:r>
      <w:r>
        <w:rPr>
          <w:rFonts w:eastAsia="Calibri" w:cs="Times New Roman" w:ascii="Times New Roman" w:hAnsi="Times New Roman"/>
          <w:color w:val="000000"/>
          <w:sz w:val="24"/>
          <w:szCs w:val="24"/>
          <w:u w:val="none"/>
          <w:lang w:eastAsia="ru-RU"/>
        </w:rPr>
        <w:t>(далее продукция).</w:t>
      </w:r>
    </w:p>
    <w:p>
      <w:pPr>
        <w:pStyle w:val="Normal"/>
        <w:spacing w:lineRule="exact" w:line="283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1"/>
          <w:numId w:val="1"/>
        </w:numPr>
        <w:spacing w:lineRule="exact" w:line="283" w:before="0" w:after="0"/>
        <w:contextualSpacing/>
        <w:outlineLvl w:val="1"/>
        <w:rPr/>
      </w:pPr>
      <w:bookmarkStart w:id="7" w:name="_Toc125473242"/>
      <w:bookmarkStart w:id="8" w:name="_Toc12547605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spacing w:lineRule="exact" w:line="283"/>
        <w:jc w:val="left"/>
        <w:rPr/>
      </w:pPr>
      <w:r>
        <w:rPr>
          <w:rFonts w:eastAsia="Calibri" w:cs="Times New Roman" w:ascii="Times New Roman" w:hAnsi="Times New Roman"/>
          <w:b w:val="false"/>
          <w:bCs/>
          <w:i w:val="false"/>
          <w:iCs w:val="false"/>
          <w:color w:val="000000"/>
          <w:sz w:val="24"/>
          <w:szCs w:val="24"/>
          <w:shd w:fill="FFFFFF" w:val="clear"/>
          <w:lang w:eastAsia="ru-RU"/>
        </w:rPr>
        <w:t>Исполнение договора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olor w:val="000000"/>
          <w:sz w:val="24"/>
          <w:szCs w:val="24"/>
          <w:shd w:fill="FFFFFF" w:val="clear"/>
          <w:lang w:eastAsia="ru-RU"/>
        </w:rPr>
        <w:t xml:space="preserve"> № 5-ККГЭС-СМР-2026 от 05.06.26 г. выполнение работ по созданию комплексной системы безопасности на Сенгилеевской ГЭС Каскада Кубанских ГЭС, заключенного между АО «УК ГидроОГК» «Управляющая компания ГидроОГК» и АО «Гидроремонт-ВКК».</w:t>
      </w:r>
    </w:p>
    <w:p>
      <w:pPr>
        <w:pStyle w:val="Normal"/>
        <w:keepNext w:val="true"/>
        <w:keepLines/>
        <w:numPr>
          <w:ilvl w:val="0"/>
          <w:numId w:val="0"/>
        </w:numPr>
        <w:spacing w:lineRule="exact" w:line="283" w:before="120" w:after="0"/>
        <w:ind w:hanging="0" w:left="0" w:right="0"/>
        <w:jc w:val="center"/>
        <w:outlineLvl w:val="0"/>
        <w:rPr/>
      </w:pPr>
      <w:bookmarkStart w:id="9" w:name="_Toc125473249"/>
      <w:bookmarkStart w:id="10" w:name="_Toc125476056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 xml:space="preserve">2. </w:t>
      </w:r>
      <w:bookmarkStart w:id="11" w:name="_Toc51339693"/>
      <w:bookmarkStart w:id="12" w:name="_Toc7544657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Normal"/>
        <w:numPr>
          <w:ilvl w:val="0"/>
          <w:numId w:val="0"/>
        </w:numPr>
        <w:spacing w:lineRule="exact" w:line="283" w:before="120" w:after="0"/>
        <w:ind w:hanging="0" w:left="717" w:right="0"/>
        <w:jc w:val="center"/>
        <w:outlineLvl w:val="0"/>
        <w:rPr>
          <w:rFonts w:ascii="Times New Roman" w:hAnsi="Times New Roman" w:cs="Times New Roman"/>
          <w:b/>
          <w:iCs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1"/>
          <w:numId w:val="3"/>
        </w:numPr>
        <w:spacing w:lineRule="exact" w:line="283" w:before="120" w:after="0"/>
        <w:ind w:hanging="567" w:left="567" w:right="0"/>
        <w:outlineLvl w:val="3"/>
        <w:rPr/>
      </w:pPr>
      <w:bookmarkStart w:id="13" w:name="_Toc7544657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Требования к объемам и срокам постав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>ки</w:t>
      </w:r>
      <w:bookmarkEnd w:id="13"/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lineRule="exact" w:line="283" w:before="120" w:after="0"/>
        <w:ind w:hanging="1227" w:left="1227" w:right="0"/>
        <w:outlineLvl w:val="2"/>
        <w:rPr/>
      </w:pPr>
      <w:bookmarkStart w:id="14" w:name="_Toc75446575"/>
      <w:bookmarkStart w:id="15" w:name="_Toc125476057"/>
      <w:bookmarkStart w:id="16" w:name="_Toc125473250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lineRule="exact" w:line="283" w:before="240" w:after="0"/>
        <w:ind w:hanging="0" w:left="0" w:right="0"/>
        <w:outlineLvl w:val="0"/>
        <w:rPr/>
      </w:pPr>
      <w:bookmarkStart w:id="17" w:name="_Toc75446576"/>
      <w:bookmarkStart w:id="18" w:name="_Toc125473251"/>
      <w:bookmarkStart w:id="19" w:name="_Toc125476058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p>
      <w:pPr>
        <w:pStyle w:val="Normal"/>
        <w:numPr>
          <w:ilvl w:val="0"/>
          <w:numId w:val="0"/>
        </w:numPr>
        <w:spacing w:lineRule="exact" w:line="283" w:before="240" w:after="0"/>
        <w:ind w:hanging="0" w:left="0" w:right="0"/>
        <w:outlineLvl w:val="0"/>
        <w:rPr/>
      </w:pPr>
      <w:r>
        <w:rPr/>
      </w:r>
    </w:p>
    <w:tbl>
      <w:tblPr>
        <w:tblW w:w="10140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6289"/>
        <w:gridCol w:w="1415"/>
        <w:gridCol w:w="1645"/>
      </w:tblGrid>
      <w:tr>
        <w:trPr/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snapToGrid w:val="false"/>
              <w:spacing w:lineRule="exact" w:line="283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Двухпозиционное радиоволновое средство обнаружения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>
        <w:trPr>
          <w:trHeight w:val="351" w:hRule="atLeast"/>
        </w:trPr>
        <w:tc>
          <w:tcPr>
            <w:tcW w:w="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snapToGrid w:val="false"/>
              <w:spacing w:lineRule="exact" w:line="283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Однопозиционное радиолучевое средство обнаружения в комплекте с коробкой и КМЧ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351" w:hRule="atLeast"/>
        </w:trPr>
        <w:tc>
          <w:tcPr>
            <w:tcW w:w="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snapToGrid w:val="false"/>
              <w:spacing w:lineRule="exact" w:line="283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Пульт контроля универсальный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>
      <w:pPr>
        <w:pStyle w:val="Normal"/>
        <w:spacing w:lineRule="exact" w:line="28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exact" w:line="283" w:before="120" w:after="0"/>
        <w:ind w:hanging="0" w:left="0" w:right="0"/>
        <w:outlineLvl w:val="2"/>
        <w:rPr/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2.1.2. Требования к срокам поставки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exact" w:line="283" w:before="240" w:after="0"/>
        <w:ind w:hanging="0" w:left="0" w:right="0"/>
        <w:outlineLvl w:val="0"/>
        <w:rPr/>
      </w:pPr>
      <w:bookmarkStart w:id="21" w:name="_Toc125476060"/>
      <w:bookmarkStart w:id="22" w:name="_Toc75446579"/>
      <w:bookmarkStart w:id="23" w:name="_Toc125473253"/>
      <w:bookmarkStart w:id="24" w:name="_Toc50125127"/>
      <w:bookmarkStart w:id="25" w:name="_Toc5133969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10095" w:type="dxa"/>
        <w:jc w:val="left"/>
        <w:tblInd w:w="12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3550"/>
        <w:gridCol w:w="2239"/>
        <w:gridCol w:w="3435"/>
      </w:tblGrid>
      <w:tr>
        <w:trPr/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продукции/ партии продукции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40" w:after="0"/>
              <w:ind w:hanging="0" w:left="57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40" w:after="0"/>
              <w:ind w:hanging="0" w:left="57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spacing w:lineRule="exact" w:line="283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u w:val="none"/>
                <w:lang w:val="ru-RU" w:eastAsia="ru-RU" w:bidi="ar-SA"/>
              </w:rPr>
              <w:t xml:space="preserve">ОКПД 2: 26.30.50.110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П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оставка средств обнаружения и ограничения доступа</w:t>
            </w:r>
          </w:p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none"/>
                <w:shd w:fill="FFFFFF" w:val="clear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none"/>
                <w:shd w:fill="FFFFFF" w:val="clear"/>
                <w:lang w:eastAsia="ru-RU"/>
              </w:rPr>
              <w:t>для нужд Кубанского филиала.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40 календарных дней с даты подписания договора</w:t>
            </w:r>
          </w:p>
        </w:tc>
      </w:tr>
    </w:tbl>
    <w:p>
      <w:pPr>
        <w:pStyle w:val="Normal"/>
        <w:spacing w:lineRule="exact" w:line="283" w:before="0" w:after="0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  <w:bookmarkStart w:id="27" w:name="_Toc125473255_Копия_1_Копия_1_Копия_1_Ко"/>
      <w:bookmarkStart w:id="28" w:name="_Toc125476061_Копия_1_Копия_1_Копия_1_Ко"/>
      <w:bookmarkStart w:id="29" w:name="_Toc125473255_Копия_1_Копия_1_Копия_1_Ко"/>
      <w:bookmarkStart w:id="30" w:name="_Toc125476061_Копия_1_Копия_1_Копия_1_Ко"/>
      <w:bookmarkStart w:id="31" w:name="_Toc125476061_Копия_1_Копия_1_Копия_1_Ко"/>
      <w:bookmarkStart w:id="32" w:name="_Toc125476061_Копия_1_Копия_1_Копия_1_Ко"/>
      <w:bookmarkStart w:id="33" w:name="_Toc125473255_Копия_1_Копия_1_Копия_1_Ко"/>
      <w:bookmarkStart w:id="34" w:name="_Toc125476061_Копия_1_Копия_1_Копия_1_Ко"/>
      <w:bookmarkStart w:id="35" w:name="_Toc125476061_Копия_1_Копия_1_Копия_1_Ко"/>
      <w:bookmarkStart w:id="36" w:name="_Toc125476061_Копия_1_Копия_1_Копия_1_Ко"/>
      <w:bookmarkStart w:id="37" w:name="_Toc125473255_Копия_1_Копия_1_Копия_1_Ко"/>
      <w:bookmarkStart w:id="38" w:name="_Toc125476061_Копия_1_Копия_1_Копия_1_Ко"/>
      <w:bookmarkStart w:id="39" w:name="_Toc125473255_Копия_1_Копия_1_Копия_1_Ко"/>
      <w:bookmarkStart w:id="40" w:name="_Toc125476061_Копия_1_Копия_1_Копия_1_Ко"/>
      <w:bookmarkStart w:id="41" w:name="_Toc125473255_Копия_1_Копия_1_Копия_1_Ко"/>
      <w:bookmarkStart w:id="42" w:name="_Toc125476061_Копия_1_Копия_1"/>
      <w:bookmarkStart w:id="43" w:name="_Toc125473255_Копия_1_Копия_1"/>
      <w:bookmarkStart w:id="44" w:name="_Toc125473255_Копия_1_Копия_1_Копия_1_Ко"/>
      <w:bookmarkStart w:id="45" w:name="_Toc125476061_Копия_1_Копия_1_Копия_1_Ко"/>
      <w:bookmarkStart w:id="46" w:name="_Toc125473255_Копия_1_Копия_1_Копия_1_Ко"/>
      <w:bookmarkStart w:id="47" w:name="_Toc125476061_Копия_1_Копия_1_Копия_1_Ко"/>
      <w:bookmarkStart w:id="48" w:name="_Toc125476061_Копия_1_Копия_1_Копия_1_Ко"/>
      <w:bookmarkStart w:id="49" w:name="_Toc125473255_Копия_1_Копия_1_Копия_1_Ко"/>
      <w:bookmarkStart w:id="50" w:name="_Toc125473255_Копия_1_Копия_1_Копия_1_Ко"/>
      <w:bookmarkStart w:id="51" w:name="_Toc125473255_Копия_1_Копия_1_Копия_1_Ко"/>
      <w:bookmarkStart w:id="52" w:name="_Toc125476061_Копия_1_Копия_1_Копия_1_Ко"/>
      <w:bookmarkStart w:id="53" w:name="_Toc125476061_Копия_1_Копия_1_Копия_1_Ко"/>
      <w:bookmarkStart w:id="54" w:name="_Toc125476061_Копия_1_Копия_1_Копия_1_Ко"/>
      <w:bookmarkStart w:id="55" w:name="_Toc125473255_Копия_1_Копия_1_Копия_1_Ко"/>
      <w:bookmarkStart w:id="56" w:name="_Toc125476061_Копия_1_Копия_1_Копия_1_Ко"/>
      <w:bookmarkStart w:id="57" w:name="_Toc125473255_Копия_1_Копия_1_Копия_1"/>
      <w:bookmarkStart w:id="58" w:name="_Toc125476061_Копия_1"/>
      <w:bookmarkStart w:id="59" w:name="_Toc125476061_Копия_1_Копия_1_Копия_1_Ко"/>
      <w:bookmarkStart w:id="60" w:name="_Toc125473255_Копия_1_Копия_1_Копия_1_Ко"/>
      <w:bookmarkStart w:id="61" w:name="_Toc125473255_Копия_1_Копия_1_Копия_1_Ко"/>
      <w:bookmarkStart w:id="62" w:name="_Toc125473255_Копия_1_Копия_1_Копия_1_Ко"/>
      <w:bookmarkStart w:id="63" w:name="_Toc125476061_Копия_1_Копия_1_Копия_1"/>
      <w:bookmarkStart w:id="64" w:name="_Toc125473255_Копия_1_Копия_1_Копия_1_Ко"/>
      <w:bookmarkStart w:id="65" w:name="_Toc125473255_Копия_1_Копия_1_Копия_1_Ко"/>
      <w:bookmarkStart w:id="66" w:name="_Toc125473255_Копия_1_Копия_1_Копия_1_Ко"/>
      <w:bookmarkStart w:id="67" w:name="_Toc125473255_Копия_1"/>
      <w:bookmarkStart w:id="68" w:name="_Toc125476061_Копия_1_Копия_1_Копия_1_Ко"/>
      <w:bookmarkStart w:id="69" w:name="_Toc125473255_Копия_1_Копия_1_Копия_1_Ко"/>
      <w:bookmarkStart w:id="70" w:name="_Toc125476061_Копия_1_Копия_1_Копия_1_Ко"/>
      <w:bookmarkStart w:id="71" w:name="_Toc125473255_Копия_1_Копия_1_Копия_1_Ко"/>
      <w:bookmarkStart w:id="72" w:name="_Toc125476061_Копия_1_Копия_1_Копия_1_Ко"/>
      <w:bookmarkStart w:id="73" w:name="_Toc125473255_Копия_1_Копия_1_Копия_1_Ко"/>
      <w:bookmarkStart w:id="74" w:name="_Toc125476061_Копия_1_Копия_1_Копия_1_Ко"/>
      <w:bookmarkStart w:id="75" w:name="_Toc125476061_Копия_1_Копия_1_Копия_1_Ко"/>
      <w:bookmarkStart w:id="76" w:name="_Toc125476061_Копия_1_Копия_1_Копия_1_Ко"/>
      <w:bookmarkStart w:id="77" w:name="_Toc125473255_Копия_1_Копия_1_Копия_1_Ко"/>
      <w:bookmarkStart w:id="78" w:name="_Toc125476061_Копия_1_Копия_1_Копия_1_Ко"/>
      <w:bookmarkStart w:id="79" w:name="_Toc125476061_Копия_1_Копия_1_Копия_1_Ко"/>
      <w:bookmarkStart w:id="80" w:name="_Toc125476061_Копия_1_Копия_1_Копия_1_Ко"/>
      <w:bookmarkStart w:id="81" w:name="_Toc125473255_Копия_1_Копия_1_Копия_1_Ко"/>
      <w:bookmarkStart w:id="82" w:name="_Toc125476061_Копия_1_Копия_1_Копия_1_Ко"/>
      <w:bookmarkStart w:id="83" w:name="_Toc125473255_Копия_1_Копия_1_Копия_1_Ко"/>
      <w:bookmarkStart w:id="84" w:name="_Toc125476061_Копия_1_Копия_1_Копия_1_Ко"/>
      <w:bookmarkStart w:id="85" w:name="_Toc125473255_Копия_1_Копия_1_Копия_1_Ко"/>
      <w:bookmarkStart w:id="86" w:name="_Toc125476061_Копия_1_Копия_1"/>
      <w:bookmarkStart w:id="87" w:name="_Toc125473255_Копия_1_Копия_1"/>
      <w:bookmarkStart w:id="88" w:name="_Toc125473255_Копия_1_Копия_1_Копия_1_Ко"/>
      <w:bookmarkStart w:id="89" w:name="_Toc125476061_Копия_1_Копия_1_Копия_1_Ко"/>
      <w:bookmarkStart w:id="90" w:name="_Toc125473255_Копия_1_Копия_1_Копия_1_Ко"/>
      <w:bookmarkStart w:id="91" w:name="_Toc125476061_Копия_1_Копия_1_Копия_1_Ко"/>
      <w:bookmarkStart w:id="92" w:name="_Toc125476061_Копия_1_Копия_1_Копия_1_Ко"/>
      <w:bookmarkStart w:id="93" w:name="_Toc125473255_Копия_1_Копия_1_Копия_1_Ко"/>
      <w:bookmarkStart w:id="94" w:name="_Toc125473255_Копия_1_Копия_1_Копия_1_Ко"/>
      <w:bookmarkStart w:id="95" w:name="_Toc125473255_Копия_1_Копия_1_Копия_1_Ко"/>
      <w:bookmarkStart w:id="96" w:name="_Toc125476061_Копия_1_Копия_1_Копия_1_Ко"/>
      <w:bookmarkStart w:id="97" w:name="_Toc125476061_Копия_1_Копия_1_Копия_1_Ко"/>
      <w:bookmarkStart w:id="98" w:name="_Toc125476061_Копия_1_Копия_1_Копия_1_Ко"/>
      <w:bookmarkStart w:id="99" w:name="_Toc125473255_Копия_1_Копия_1_Копия_1_Ко"/>
      <w:bookmarkStart w:id="100" w:name="_Toc125476061_Копия_1_Копия_1_Копия_1_Ко"/>
      <w:bookmarkStart w:id="101" w:name="_Toc125473255_Копия_1_Копия_1_Копия_1"/>
      <w:bookmarkStart w:id="102" w:name="_Toc125476061_Копия_1"/>
      <w:bookmarkStart w:id="103" w:name="_Toc125476061_Копия_1_Копия_1_Копия_1_Ко"/>
      <w:bookmarkStart w:id="104" w:name="_Toc125473255_Копия_1_Копия_1_Копия_1_Ко"/>
      <w:bookmarkStart w:id="105" w:name="_Toc125473255_Копия_1_Копия_1_Копия_1_Ко"/>
      <w:bookmarkStart w:id="106" w:name="_Toc125473255_Копия_1_Копия_1_Копия_1_Ко"/>
      <w:bookmarkStart w:id="107" w:name="_Toc125476061_Копия_1_Копия_1_Копия_1"/>
      <w:bookmarkStart w:id="108" w:name="_Toc125473255_Копия_1_Копия_1_Копия_1_Ко"/>
      <w:bookmarkStart w:id="109" w:name="_Toc125473255_Копия_1_Копия_1_Копия_1_Ко"/>
      <w:bookmarkStart w:id="110" w:name="_Toc125473255_Копия_1_Копия_1_Копия_1_Ко"/>
      <w:bookmarkStart w:id="111" w:name="_Toc125473255_Копия_1"/>
      <w:bookmarkStart w:id="112" w:name="_Toc125476061_Копия_1_Копия_1_Копия_1_Ко"/>
      <w:bookmarkStart w:id="113" w:name="_Toc125473255_Копия_1_Копия_1_Копия_1_Ко"/>
      <w:bookmarkStart w:id="114" w:name="_Toc125476061_Копия_1_Копия_1_Копия_1_Ко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</w:p>
    <w:p>
      <w:pPr>
        <w:sectPr>
          <w:footerReference w:type="default" r:id="rId2"/>
          <w:type w:val="nextPage"/>
          <w:pgSz w:w="11906" w:h="16838"/>
          <w:pgMar w:left="1134" w:right="624" w:gutter="0" w:header="0" w:top="454" w:footer="0" w:bottom="454"/>
          <w:pgNumType w:fmt="decimal"/>
          <w:formProt w:val="false"/>
          <w:textDirection w:val="lrTb"/>
          <w:docGrid w:type="default" w:linePitch="360" w:charSpace="61440"/>
        </w:sectPr>
        <w:pStyle w:val="Normal"/>
        <w:spacing w:lineRule="exact" w:line="283" w:before="0" w:after="0"/>
        <w:rPr/>
      </w:pPr>
      <w:bookmarkStart w:id="115" w:name="_Toc125473255_Копия_1_Копия_1_Копия_1_Ко"/>
      <w:bookmarkStart w:id="116" w:name="_Toc125476061_Копия_1_Копия_1_Копия_1_Ко"/>
      <w:bookmarkEnd w:id="115"/>
      <w:bookmarkEnd w:id="116"/>
      <w:r>
        <w:rPr>
          <w:rFonts w:cs="Times New Roman" w:ascii="Times New Roman" w:hAnsi="Times New Roman"/>
          <w:b/>
          <w:sz w:val="24"/>
          <w:szCs w:val="24"/>
          <w:lang w:eastAsia="x-none"/>
        </w:rPr>
        <w:t>2.2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Требования к качеству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exact" w:line="283" w:before="240" w:after="0"/>
        <w:ind w:hanging="0" w:left="0" w:right="0"/>
        <w:outlineLvl w:val="0"/>
        <w:rPr/>
      </w:pPr>
      <w:bookmarkStart w:id="117" w:name="_Toc125473256_Копия_1"/>
      <w:bookmarkStart w:id="118" w:name="_Toc125476062_Копия_1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качеству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продукции</w:t>
      </w:r>
      <w:bookmarkEnd w:id="117"/>
      <w:bookmarkEnd w:id="118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numPr>
          <w:ilvl w:val="0"/>
          <w:numId w:val="0"/>
        </w:numPr>
        <w:spacing w:lineRule="exact" w:line="283" w:before="240" w:after="0"/>
        <w:ind w:hanging="0" w:left="0" w:right="0"/>
        <w:outlineLvl w:val="0"/>
        <w:rPr/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shd w:fill="FFFFFF" w:val="clear"/>
          <w:lang w:eastAsia="ar-SA"/>
        </w:rPr>
        <w:t>Наименование продукции: согласно Таблицы 1.1 Перечень и объем закупаемой продукции</w:t>
      </w:r>
      <w:r>
        <w:rPr>
          <w:rFonts w:eastAsia="Times New Roman" w:cs="Times New Roman" w:ascii="Times New Roman" w:hAnsi="Times New Roman"/>
          <w:bCs/>
          <w:iCs/>
          <w:color w:val="000000"/>
          <w:sz w:val="24"/>
          <w:szCs w:val="24"/>
          <w:shd w:fill="FFFFFF" w:val="clear"/>
          <w:lang w:eastAsia="ru-RU"/>
        </w:rPr>
        <w:t>.</w:t>
      </w:r>
    </w:p>
    <w:tbl>
      <w:tblPr>
        <w:tblW w:w="15930" w:type="dxa"/>
        <w:jc w:val="left"/>
        <w:tblInd w:w="5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14"/>
        <w:gridCol w:w="4996"/>
        <w:gridCol w:w="4935"/>
        <w:gridCol w:w="2880"/>
        <w:gridCol w:w="2205"/>
      </w:tblGrid>
      <w:tr>
        <w:trPr>
          <w:trHeight w:val="675" w:hRule="atLeast"/>
        </w:trPr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п/п</w:t>
            </w:r>
          </w:p>
        </w:tc>
        <w:tc>
          <w:tcPr>
            <w:tcW w:w="4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Наименование параметра</w:t>
            </w:r>
          </w:p>
        </w:tc>
        <w:tc>
          <w:tcPr>
            <w:tcW w:w="4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Требование заказчика</w:t>
            </w:r>
          </w:p>
        </w:tc>
        <w:tc>
          <w:tcPr>
            <w:tcW w:w="5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1305" w:hRule="atLeast"/>
        </w:trPr>
        <w:tc>
          <w:tcPr>
            <w:tcW w:w="9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99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9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274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/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/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2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/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3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/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4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/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5</w:t>
            </w:r>
          </w:p>
        </w:tc>
      </w:tr>
      <w:tr>
        <w:trPr>
          <w:trHeight w:val="95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1.</w:t>
            </w:r>
          </w:p>
        </w:tc>
        <w:tc>
          <w:tcPr>
            <w:tcW w:w="150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323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1.1</w:t>
            </w:r>
          </w:p>
        </w:tc>
        <w:tc>
          <w:tcPr>
            <w:tcW w:w="993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</w:rPr>
              <w:t>Двухпозиционное радиоволновое средство обнаружения</w:t>
            </w:r>
          </w:p>
        </w:tc>
        <w:tc>
          <w:tcPr>
            <w:tcW w:w="288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требованиям.</w:t>
            </w:r>
          </w:p>
        </w:tc>
        <w:tc>
          <w:tcPr>
            <w:tcW w:w="22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86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1.1.1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</w:numPr>
              <w:bidi w:val="0"/>
              <w:spacing w:lineRule="exact" w:line="283" w:before="0" w:after="160"/>
              <w:ind w:hanging="0"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РАПС-22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486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1.1.2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FFFFFF" w:val="clear"/>
              </w:rPr>
              <w:t>Длина блокируемого рубежа, м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lang w:eastAsia="ru-RU"/>
              </w:rPr>
              <w:t>От 5 до 30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472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1.1.3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FFFFFF" w:val="clear"/>
              </w:rPr>
              <w:t>Ширина зоны обнаружения, м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lang w:eastAsia="ru-RU"/>
              </w:rPr>
              <w:t>не более 4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323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1.1.4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Напряжение питания, В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От 11 до 30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211" w:hRule="atLeast"/>
        </w:trPr>
        <w:tc>
          <w:tcPr>
            <w:tcW w:w="9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499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Диапазон рабочих температур, °С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lang w:eastAsia="ru-RU"/>
              </w:rPr>
              <w:t>От -50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211" w:hRule="atLeast"/>
        </w:trPr>
        <w:tc>
          <w:tcPr>
            <w:tcW w:w="9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9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spacing w:val="0"/>
                <w:sz w:val="24"/>
                <w:szCs w:val="24"/>
                <w:u w:val="none"/>
                <w:shd w:fill="auto" w:val="clear"/>
                <w:lang w:eastAsia="ru-RU"/>
              </w:rPr>
              <w:t>до + 50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121" w:hRule="atLeast"/>
        </w:trPr>
        <w:tc>
          <w:tcPr>
            <w:tcW w:w="9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1.1.6</w:t>
            </w:r>
          </w:p>
        </w:tc>
        <w:tc>
          <w:tcPr>
            <w:tcW w:w="499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Ресурс срабатываний, циклы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Блок передающий (БПРД)- 1шт.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21" w:hRule="atLeast"/>
        </w:trPr>
        <w:tc>
          <w:tcPr>
            <w:tcW w:w="9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9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Блок приемный (БПРМ)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- 1шт.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21" w:hRule="atLeast"/>
        </w:trPr>
        <w:tc>
          <w:tcPr>
            <w:tcW w:w="9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9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монтажных частей (КМЧ)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- 1шт.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21" w:hRule="atLeast"/>
        </w:trPr>
        <w:tc>
          <w:tcPr>
            <w:tcW w:w="9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9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ЗИП-О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- 1шт.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70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</w:t>
            </w:r>
          </w:p>
        </w:tc>
        <w:tc>
          <w:tcPr>
            <w:tcW w:w="993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Однопозиционное радиолучевое средство обнаружения в комплекте с коробкой и КМЧ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2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1.2.1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Коралл-СМ-У/1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142" w:hRule="atLeast"/>
        </w:trPr>
        <w:tc>
          <w:tcPr>
            <w:tcW w:w="9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499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Диапазон рабочих температур, °С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ind w:hanging="0" w:left="0" w:right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lang w:eastAsia="ru-RU"/>
              </w:rPr>
              <w:t>Не более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 -50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142" w:hRule="atLeast"/>
        </w:trPr>
        <w:tc>
          <w:tcPr>
            <w:tcW w:w="9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499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Не менее +70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285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1.2.3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Длина зоны обнаружения, м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От 5 до 25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570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1.2.4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Ширина зоны обнаружения, м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numPr>
                <w:ilvl w:val="0"/>
              </w:numPr>
              <w:spacing w:lineRule="exact" w:line="283" w:before="0" w:after="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Не более 8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570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1.2.5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Высота зоны обнаружения, м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numPr>
                <w:ilvl w:val="0"/>
              </w:numPr>
              <w:spacing w:lineRule="exact" w:line="283" w:before="0" w:after="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Не менее 10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285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1.2.6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Диапазон рабочих частот, ГГц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ind w:hanging="0" w:left="0" w:right="0"/>
              <w:jc w:val="left"/>
              <w:rPr/>
            </w:pP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От 9,2 до 9,6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570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1.2.7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Допустимый уровень травяного покрова, м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numPr>
                <w:ilvl w:val="0"/>
              </w:numPr>
              <w:spacing w:lineRule="exact" w:line="283" w:before="0" w:after="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570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1.2.8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Допустимый уровень снежного покрова, м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0,5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285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1.2.9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Напряжение питания, В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 xml:space="preserve">От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12 </w:t>
            </w: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до 30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570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1.2.10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Напряжение питания по цепи подогрева, В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numPr>
                <w:ilvl w:val="0"/>
              </w:numPr>
              <w:spacing w:lineRule="exact" w:line="283" w:before="0" w:after="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20-30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570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1.2.11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Ток потребления, мА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numPr>
                <w:ilvl w:val="0"/>
              </w:numPr>
              <w:spacing w:lineRule="exact" w:line="283" w:before="0" w:after="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Не более 250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570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1.3.</w:t>
            </w:r>
          </w:p>
        </w:tc>
        <w:tc>
          <w:tcPr>
            <w:tcW w:w="993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Пульт контроля универсальный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Марка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КУ БАЖК.468219.009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288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Напряжение питания, В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30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569" w:hRule="atLeast"/>
        </w:trPr>
        <w:tc>
          <w:tcPr>
            <w:tcW w:w="9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1.3.3</w:t>
            </w:r>
          </w:p>
        </w:tc>
        <w:tc>
          <w:tcPr>
            <w:tcW w:w="499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exact" w:line="283" w:before="0" w:after="16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Максимальное кол-во идентифицируемых электронных блоков СО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для протокола "Медиана" - 60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303" w:hRule="atLeast"/>
        </w:trPr>
        <w:tc>
          <w:tcPr>
            <w:tcW w:w="9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9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exact" w:line="283" w:before="0" w:after="160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для протокола "Орбита" - 64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285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1.3.4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14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защиты оболочки, IP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14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285" w:hRule="atLeast"/>
        </w:trPr>
        <w:tc>
          <w:tcPr>
            <w:tcW w:w="9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1.3.5</w:t>
            </w:r>
          </w:p>
        </w:tc>
        <w:tc>
          <w:tcPr>
            <w:tcW w:w="499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Диапазон рабочих температур, °С- 40... + 50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ind w:hanging="0" w:left="0" w:right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lang w:eastAsia="ru-RU"/>
              </w:rPr>
              <w:t>Не более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 -40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285" w:hRule="atLeast"/>
        </w:trPr>
        <w:tc>
          <w:tcPr>
            <w:tcW w:w="9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9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Не менее +50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334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</w:t>
            </w:r>
          </w:p>
        </w:tc>
        <w:tc>
          <w:tcPr>
            <w:tcW w:w="993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60" w:after="0"/>
              <w:jc w:val="left"/>
              <w:rPr/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592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2.1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Гарантия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83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 xml:space="preserve">На Продукцию устанавливается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FFFFFF" w:val="clear"/>
                <w:lang w:val="ru-RU" w:eastAsia="ru-RU" w:bidi="ar-SA"/>
              </w:rPr>
              <w:t>гарантийный срок, равный 36 месяцам, с даты ввода продукции в эксплуатацию, но не более 48 месяцев с даты подписания Сторонами товарной накладной по форме ТОРГ-12 или Универсального передаточного документа (УПД)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022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2.2</w:t>
            </w:r>
          </w:p>
        </w:tc>
        <w:tc>
          <w:tcPr>
            <w:tcW w:w="993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r>
          </w:p>
        </w:tc>
      </w:tr>
      <w:tr>
        <w:trPr>
          <w:trHeight w:val="510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</w:t>
            </w:r>
          </w:p>
        </w:tc>
        <w:tc>
          <w:tcPr>
            <w:tcW w:w="993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60" w:after="0"/>
              <w:jc w:val="left"/>
              <w:rPr/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80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3.1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overflowPunct w:val="false"/>
              <w:spacing w:lineRule="auto" w:line="252" w:before="0" w:after="12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качества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экземпляра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01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3.2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overflowPunct w:val="false"/>
              <w:spacing w:lineRule="auto" w:line="252"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Упаковочный лист на продукцию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95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3.3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Технический паспорт на русском языке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80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3.4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2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документы предусмотренные п 3.3 договора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 экземпляра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19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4.</w:t>
            </w:r>
          </w:p>
        </w:tc>
        <w:tc>
          <w:tcPr>
            <w:tcW w:w="993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273" w:hRule="atLeast"/>
        </w:trPr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4.1</w:t>
            </w:r>
          </w:p>
        </w:tc>
        <w:tc>
          <w:tcPr>
            <w:tcW w:w="4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Место поставки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8"/>
              <w:numPr>
                <w:ilvl w:val="1"/>
              </w:numPr>
              <w:shd w:val="clear" w:fill="FFFFFF"/>
              <w:tabs>
                <w:tab w:val="clear" w:pos="708"/>
                <w:tab w:val="left" w:pos="142" w:leader="none"/>
                <w:tab w:val="left" w:pos="540" w:leader="none"/>
                <w:tab w:val="left" w:pos="1134" w:leader="none"/>
              </w:tabs>
              <w:spacing w:before="0" w:after="0"/>
              <w:ind w:hanging="0" w:left="0" w:right="0"/>
              <w:contextualSpacing w:val="false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357007, Ставропольский край, Кочубеевский р-н, с. Кочубеевское, АВТОДОРОГА «КАВКАЗ» 246КМ+1200М(СПРАВА).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4.2</w:t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Условия поставки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за счет средств Поставщика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spacing w:lineRule="exact" w:line="283" w:before="0" w:after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LineNumbers/>
              <w:spacing w:lineRule="exact" w:line="283"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4.3</w:t>
            </w:r>
          </w:p>
        </w:tc>
        <w:tc>
          <w:tcPr>
            <w:tcW w:w="993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eastAsia="ru-RU"/>
              </w:rPr>
              <w:t>Продукция должна быть новой, не бывшей в употреблении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LineNumbers/>
              <w:spacing w:lineRule="exact" w:line="283" w:before="0" w:after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 w:before="0" w:after="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4.5</w:t>
            </w:r>
          </w:p>
        </w:tc>
        <w:tc>
          <w:tcPr>
            <w:tcW w:w="993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bidi w:val="0"/>
              <w:spacing w:lineRule="exact" w:line="283" w:before="0" w:after="200"/>
              <w:ind w:hanging="0" w:left="57" w:right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Доставка оборудования должна соответствовать установленным требованиям.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28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exact" w:line="283" w:before="0" w:after="1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BodyText"/>
        <w:spacing w:lineRule="exact" w:line="283" w:before="0" w:after="140"/>
        <w:jc w:val="center"/>
        <w:rPr>
          <w:rFonts w:ascii="Times New Roman" w:hAnsi="Times New Roman" w:cs="Times New Roman"/>
          <w:b/>
          <w:sz w:val="24"/>
          <w:szCs w:val="24"/>
          <w:shd w:fill="auto" w:val="clear"/>
          <w:lang w:eastAsia="x-none"/>
        </w:rPr>
      </w:pP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</w:r>
    </w:p>
    <w:sectPr>
      <w:footerReference w:type="default" r:id="rId3"/>
      <w:footerReference w:type="first" r:id="rId4"/>
      <w:type w:val="nextPage"/>
      <w:pgSz w:orient="landscape" w:w="16838" w:h="11906"/>
      <w:pgMar w:left="454" w:right="454" w:gutter="0" w:header="0" w:top="450" w:footer="0" w:bottom="624"/>
      <w:pgNumType w:fmt="decimal"/>
      <w:formProt w:val="false"/>
      <w:textDirection w:val="lrTb"/>
      <w:docGrid w:type="default" w:linePitch="360" w:charSpace="614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3</w:t>
    </w:r>
    <w:r>
      <w:rPr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 xml:space="preserve"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7</w:t>
    </w:r>
    <w:r>
      <w:rPr>
        <w:sz w:val="24"/>
        <w:szCs w:val="24"/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2"/>
        <w:b/>
        <w:szCs w:val="22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Title"/>
    <w:next w:val="BodyText"/>
    <w:qFormat/>
    <w:pPr>
      <w:numPr>
        <w:ilvl w:val="0"/>
        <w:numId w:val="0"/>
      </w:numPr>
      <w:outlineLvl w:val="0"/>
    </w:pPr>
    <w:rPr>
      <w:rFonts w:ascii="Liberation Serif" w:hAnsi="Liberation Serif" w:eastAsia="Tahoma" w:cs="Tahoma"/>
      <w:b/>
      <w:bCs/>
      <w:sz w:val="48"/>
      <w:szCs w:val="48"/>
    </w:rPr>
  </w:style>
  <w:style w:type="paragraph" w:styleId="Heading2">
    <w:name w:val="Heading 2"/>
    <w:basedOn w:val="Title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paragraph" w:styleId="Heading3">
    <w:name w:val="Heading 3"/>
    <w:basedOn w:val="Style12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Tahoma" w:cs="Tahoma"/>
      <w:b/>
      <w:bCs/>
      <w:sz w:val="28"/>
      <w:szCs w:val="28"/>
    </w:rPr>
  </w:style>
  <w:style w:type="paragraph" w:styleId="Heading4">
    <w:name w:val="Heading 4"/>
    <w:basedOn w:val="Style12"/>
    <w:next w:val="BodyText"/>
    <w:qFormat/>
    <w:pPr>
      <w:numPr>
        <w:ilvl w:val="0"/>
        <w:numId w:val="0"/>
      </w:numPr>
      <w:spacing w:before="120" w:after="120"/>
      <w:outlineLvl w:val="3"/>
    </w:pPr>
    <w:rPr>
      <w:rFonts w:ascii="Liberation Serif" w:hAnsi="Liberation Serif" w:eastAsia="Tahoma" w:cs="Tahoma"/>
      <w:b/>
      <w:bCs/>
      <w:sz w:val="24"/>
      <w:szCs w:val="24"/>
    </w:rPr>
  </w:style>
  <w:style w:type="character" w:styleId="DefaultParagraphFont">
    <w:name w:val="Default Paragraph Font"/>
    <w:qFormat/>
    <w:rPr/>
  </w:style>
  <w:style w:type="character" w:styleId="Style5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1">
    <w:name w:val="Нижний колонтитул Знак1"/>
    <w:basedOn w:val="DefaultParagraphFont"/>
    <w:qFormat/>
    <w:rPr/>
  </w:style>
  <w:style w:type="character" w:styleId="Style6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Linenumber1">
    <w:name w:val="line number1"/>
    <w:qFormat/>
    <w:rPr/>
  </w:style>
  <w:style w:type="character" w:styleId="Linenumber">
    <w:name w:val="line number"/>
    <w:qFormat/>
    <w:rPr/>
  </w:style>
  <w:style w:type="character" w:styleId="Style7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character" w:styleId="Style8">
    <w:name w:val="Маркеры"/>
    <w:qFormat/>
    <w:rPr>
      <w:rFonts w:ascii="OpenSymbol" w:hAnsi="OpenSymbol" w:eastAsia="OpenSymbol" w:cs="OpenSymbol"/>
    </w:rPr>
  </w:style>
  <w:style w:type="character" w:styleId="Style9">
    <w:name w:val="Ссылка указателя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10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1">
    <w:name w:val="Тема примечания Знак"/>
    <w:basedOn w:val="Style10"/>
    <w:link w:val="Annotationsubject"/>
    <w:qFormat/>
    <w:rPr>
      <w:b/>
      <w:bCs/>
      <w:sz w:val="20"/>
      <w:szCs w:val="20"/>
    </w:rPr>
  </w:style>
  <w:style w:type="character" w:styleId="Strong">
    <w:name w:val="Strong"/>
    <w:qFormat/>
    <w:rPr>
      <w:b/>
      <w:bCs/>
    </w:rPr>
  </w:style>
  <w:style w:type="character" w:styleId="WW8Num5z0">
    <w:name w:val="WW8Num5z0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cs="Times New Roman"/>
    </w:rPr>
  </w:style>
  <w:style w:type="paragraph" w:styleId="BalloonText">
    <w:name w:val="Balloon Text"/>
    <w:basedOn w:val="Normal"/>
    <w:link w:val="Style6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5">
    <w:name w:val="Содержимое таблицы"/>
    <w:basedOn w:val="Standard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jc w:val="center"/>
    </w:pPr>
    <w:rPr>
      <w:b/>
      <w:bCs/>
    </w:rPr>
  </w:style>
  <w:style w:type="paragraph" w:styleId="Style1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TOC2">
    <w:name w:val="TOC 2"/>
    <w:basedOn w:val="Indexheading"/>
    <w:pPr>
      <w:tabs>
        <w:tab w:val="clear" w:pos="708"/>
        <w:tab w:val="right" w:pos="9865" w:leader="dot"/>
      </w:tabs>
      <w:ind w:hanging="0" w:left="283" w:right="0"/>
    </w:pPr>
    <w:rPr/>
  </w:style>
  <w:style w:type="paragraph" w:styleId="TOC1">
    <w:name w:val="TOC 1"/>
    <w:basedOn w:val="Indexheading"/>
    <w:pPr>
      <w:tabs>
        <w:tab w:val="clear" w:pos="708"/>
        <w:tab w:val="right" w:pos="10148" w:leader="dot"/>
      </w:tabs>
    </w:pPr>
    <w:rPr/>
  </w:style>
  <w:style w:type="paragraph" w:styleId="TOC3">
    <w:name w:val="TOC 3"/>
    <w:basedOn w:val="Indexheading"/>
    <w:pPr>
      <w:tabs>
        <w:tab w:val="clear" w:pos="708"/>
        <w:tab w:val="right" w:pos="9581" w:leader="dot"/>
      </w:tabs>
      <w:ind w:hanging="0" w:left="567" w:right="0"/>
    </w:pPr>
    <w:rPr/>
  </w:style>
  <w:style w:type="paragraph" w:styleId="Annotationtext">
    <w:name w:val="annotation text"/>
    <w:basedOn w:val="Normal"/>
    <w:link w:val="Style10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1"/>
    <w:qFormat/>
    <w:pPr/>
    <w:rPr>
      <w:b/>
      <w:bCs/>
    </w:rPr>
  </w:style>
  <w:style w:type="paragraph" w:styleId="Header">
    <w:name w:val="Header"/>
    <w:basedOn w:val="Style14"/>
    <w:pPr>
      <w:suppressLineNumbers/>
      <w:tabs>
        <w:tab w:val="clear" w:pos="708"/>
        <w:tab w:val="center" w:pos="5074" w:leader="none"/>
        <w:tab w:val="right" w:pos="10148" w:leader="none"/>
      </w:tabs>
    </w:pPr>
    <w:rPr/>
  </w:style>
  <w:style w:type="paragraph" w:styleId="Standard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ru-RU" w:eastAsia="zh-CN" w:bidi="ar-SA"/>
    </w:rPr>
  </w:style>
  <w:style w:type="paragraph" w:styleId="Style18">
    <w:name w:val="Абзац списка"/>
    <w:basedOn w:val="Normal"/>
    <w:qFormat/>
    <w:pPr>
      <w:widowControl w:val="false"/>
      <w:spacing w:before="0" w:after="0"/>
      <w:ind w:hanging="0" w:left="720" w:right="0"/>
      <w:contextualSpacing/>
    </w:pPr>
    <w:rPr/>
  </w:style>
  <w:style w:type="numbering" w:styleId="123">
    <w:name w:val="Нумерованный 123"/>
    <w:qFormat/>
  </w:style>
  <w:style w:type="numbering" w:styleId="9124036821">
    <w:name w:val="9124036821"/>
    <w:qFormat/>
  </w:style>
  <w:style w:type="numbering" w:styleId="26549995371">
    <w:name w:val="26549995371"/>
    <w:qFormat/>
  </w:style>
  <w:style w:type="numbering" w:styleId="8885772351">
    <w:name w:val="8885772351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18375</TotalTime>
  <Application>AlterOffice/2026.2.1.0$Linux_X86_64 LibreOffice_project/f008988ffacaa0b2bf57911c2759d08ca79831df</Application>
  <AppVersion>15.0000</AppVersion>
  <Pages>7</Pages>
  <Words>756</Words>
  <Characters>5077</Characters>
  <CharactersWithSpaces>5646</CharactersWithSpaces>
  <Paragraphs>191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2024-11-20T06:48:00Z</dcterms:created>
  <dc:creator>Бухарев Сергей Викторович</dc:creator>
  <dc:description/>
  <dc:language>ru-RU</dc:language>
  <cp:lastModifiedBy>velikosvyatnn@corp.gidroogk.com</cp:lastModifiedBy>
  <cp:lastPrinted>2025-10-03T13:40:31Z</cp:lastPrinted>
  <dcterms:modified xsi:type="dcterms:W3CDTF">2026-10-13T16:47:29Z</dcterms:modified>
  <cp:revision>185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