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ind w:firstLine="567"/>
        <w:jc w:val="right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b/>
          <w:bCs/>
          <w:sz w:val="28"/>
        </w:rPr>
      </w:pPr>
      <w:r>
        <w:rPr>
          <w:rFonts w:eastAsia="Calibri"/>
          <w:b/>
          <w:bCs/>
          <w:sz w:val="28"/>
        </w:rPr>
        <w:t>Р</w:t>
      </w:r>
      <w:r>
        <w:rPr>
          <w:b/>
          <w:bCs/>
          <w:sz w:val="28"/>
        </w:rPr>
        <w:t>азработка специализированных разделов рабочей документации (СС, ОВиК) по объекту: «Модернизация химводоочистки технологического оборудования Владивостокской ТЭЦ-2»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>
        <w:rPr>
          <w:rFonts w:eastAsia="Calibri"/>
          <w:b/>
          <w:i w:val="false"/>
          <w:iCs w:val="false"/>
          <w:sz w:val="26"/>
          <w:szCs w:val="26"/>
        </w:rPr>
        <w:t>0530-ОСН ПРОД-ДОХ-2026-ВНИИГ</w:t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widowControl w:val="false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ind w:firstLine="567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widowControl w:val="false"/>
        <w:ind w:firstLine="567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left" w:pos="708" w:leader="none"/>
              <w:tab w:val="right" w:pos="10065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2712_857294569">
            <w:r>
              <w:rPr>
                <w:webHidden/>
                <w:rStyle w:val="Style14"/>
                <w:vanish w:val="false"/>
              </w:rPr>
              <w:t>1.</w:t>
              <w:tab/>
              <w:t>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hyperlink w:anchor="__RefHeading___Toc2714_857294569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hyperlink w:anchor="__RefHeading___Toc2716_857294569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hyperlink w:anchor="__RefHeading___Toc2718_857294569">
            <w:r>
              <w:rPr>
                <w:webHidden/>
                <w:rStyle w:val="Style14"/>
                <w:vanish w:val="false"/>
              </w:rPr>
              <w:t>1.3. Цель выполнения работ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hyperlink w:anchor="__RefHeading___Toc2720_857294569">
            <w:r>
              <w:rPr>
                <w:webHidden/>
                <w:rStyle w:val="Style14"/>
                <w:vanish w:val="false"/>
              </w:rPr>
              <w:t>1.4. Существующее положение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hyperlink w:anchor="__RefHeading___Toc2722_857294569">
            <w:r>
              <w:rPr>
                <w:webHidden/>
                <w:rStyle w:val="Style14"/>
                <w:vanish w:val="fals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Генподрядчиком на этапе исполнения договора)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hyperlink w:anchor="__RefHeading___Toc2724_857294569">
            <w:r>
              <w:rPr>
                <w:webHidden/>
                <w:rStyle w:val="Style14"/>
                <w:vanish w:val="false"/>
              </w:rPr>
              <w:t>1.6. Иные требования и сведения общего характера</w:t>
              <w:tab/>
              <w:t>4</w:t>
            </w:r>
          </w:hyperlink>
        </w:p>
        <w:p>
          <w:pPr>
            <w:pStyle w:val="TOC1"/>
            <w:tabs>
              <w:tab w:val="left" w:pos="708" w:leader="none"/>
              <w:tab w:val="right" w:pos="10065" w:leader="dot"/>
            </w:tabs>
            <w:rPr/>
          </w:pPr>
          <w:hyperlink w:anchor="__RefHeading___Toc2726_857294569">
            <w:r>
              <w:rPr>
                <w:webHidden/>
                <w:rStyle w:val="Style14"/>
                <w:vanish w:val="false"/>
              </w:rPr>
              <w:t>2.</w:t>
              <w:tab/>
              <w:t>Требования к продукции</w:t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hyperlink w:anchor="__RefHeading___Toc2728_857294569">
            <w:r>
              <w:rPr>
                <w:webHidden/>
                <w:rStyle w:val="Style14"/>
                <w:vanish w:val="false"/>
              </w:rPr>
              <w:t>2.1. Общие требования к составу и объёму разрабатываемых разделов:</w:t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hyperlink w:anchor="__RefHeading___Toc2730_857294569">
            <w:r>
              <w:rPr>
                <w:webHidden/>
                <w:rStyle w:val="Style14"/>
                <w:vanish w:val="false"/>
              </w:rPr>
              <w:t>2.2. Перечень нормативной документации, в соответствии с требованиями которых необходимо выполнить разработку раздела рабочей документации</w:t>
            </w:r>
            <w:r>
              <w:rPr>
                <w:rStyle w:val="Style14"/>
                <w:i/>
              </w:rPr>
              <w:t xml:space="preserve"> Отопление, вентиляция и кондиционирование воздуха, тепловые сети:</w:t>
            </w:r>
            <w:r>
              <w:rPr>
                <w:rStyle w:val="Style14"/>
              </w:rPr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hyperlink w:anchor="__RefHeading___Toc2732_857294569">
            <w:r>
              <w:rPr>
                <w:webHidden/>
                <w:rStyle w:val="Style14"/>
                <w:vanish w:val="false"/>
              </w:rPr>
              <w:t>2.3. Перечень нормативной документации, в соответствии с требованиями которых необходимо выполнить разработку раздела рабочей документации</w:t>
            </w:r>
            <w:r>
              <w:rPr>
                <w:rStyle w:val="Style14"/>
                <w:i/>
              </w:rPr>
              <w:t xml:space="preserve"> Сети связи:</w:t>
            </w:r>
            <w:r>
              <w:rPr>
                <w:rStyle w:val="Style14"/>
              </w:rPr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hyperlink w:anchor="__RefHeading___Toc2734_857294569">
            <w:r>
              <w:rPr>
                <w:webHidden/>
                <w:rStyle w:val="Style14"/>
                <w:vanish w:val="false"/>
              </w:rPr>
              <w:t>2.4. Требования к объемам и срокам выполнения работ</w:t>
              <w:tab/>
              <w:t>7</w:t>
            </w:r>
          </w:hyperlink>
        </w:p>
        <w:p>
          <w:pPr>
            <w:pStyle w:val="TOC3"/>
            <w:tabs>
              <w:tab w:val="left" w:pos="708" w:leader="none"/>
              <w:tab w:val="right" w:pos="10065" w:leader="dot"/>
            </w:tabs>
            <w:rPr/>
          </w:pPr>
          <w:hyperlink w:anchor="__RefHeading___Toc2736_857294569">
            <w:r>
              <w:rPr>
                <w:webHidden/>
                <w:rStyle w:val="Style14"/>
                <w:vanish w:val="false"/>
              </w:rPr>
              <w:t>2.4.1.</w:t>
              <w:tab/>
              <w:t>Требования к видам и объемам работ</w:t>
              <w:tab/>
              <w:t>7</w:t>
            </w:r>
          </w:hyperlink>
        </w:p>
        <w:p>
          <w:pPr>
            <w:pStyle w:val="TOC3"/>
            <w:tabs>
              <w:tab w:val="left" w:pos="708" w:leader="none"/>
              <w:tab w:val="right" w:pos="10065" w:leader="dot"/>
            </w:tabs>
            <w:rPr/>
          </w:pPr>
          <w:hyperlink w:anchor="__RefHeading___Toc2738_857294569">
            <w:r>
              <w:rPr>
                <w:webHidden/>
                <w:rStyle w:val="Style14"/>
                <w:vanish w:val="false"/>
              </w:rPr>
              <w:t>2.4.2.</w:t>
              <w:tab/>
              <w:t>Требования к срокам выполнения работ</w:t>
              <w:tab/>
              <w:t>8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hyperlink w:anchor="__RefHeading___Toc2740_857294569">
            <w:r>
              <w:rPr>
                <w:webHidden/>
                <w:rStyle w:val="Style14"/>
                <w:vanish w:val="false"/>
              </w:rPr>
              <w:t>2.5. Требования к качеству работ</w:t>
              <w:tab/>
              <w:t>9</w:t>
            </w:r>
          </w:hyperlink>
        </w:p>
        <w:p>
          <w:pPr>
            <w:pStyle w:val="TOC1"/>
            <w:tabs>
              <w:tab w:val="left" w:pos="708" w:leader="none"/>
              <w:tab w:val="right" w:pos="10065" w:leader="dot"/>
            </w:tabs>
            <w:rPr/>
          </w:pPr>
          <w:hyperlink w:anchor="__RefHeading___Toc2742_857294569">
            <w:r>
              <w:rPr>
                <w:webHidden/>
                <w:rStyle w:val="Style14"/>
                <w:vanish w:val="false"/>
              </w:rPr>
              <w:t>3.</w:t>
              <w:tab/>
              <w:t>Требования к документации по ценообразованию на этапе закупки</w:t>
              <w:tab/>
              <w:t>12</w:t>
            </w:r>
          </w:hyperlink>
        </w:p>
        <w:p>
          <w:pPr>
            <w:pStyle w:val="TOC1"/>
            <w:tabs>
              <w:tab w:val="left" w:pos="708" w:leader="none"/>
              <w:tab w:val="right" w:pos="10065" w:leader="dot"/>
            </w:tabs>
            <w:rPr/>
          </w:pPr>
          <w:hyperlink w:anchor="__RefHeading___Toc2744_857294569">
            <w:r>
              <w:rPr>
                <w:webHidden/>
                <w:rStyle w:val="Style14"/>
                <w:vanish w:val="false"/>
              </w:rPr>
              <w:t>4.</w:t>
              <w:tab/>
              <w:t>Приложения</w:t>
              <w:tab/>
              <w:t>23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10055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left="432" w:hanging="0"/>
        <w:rPr/>
      </w:pPr>
      <w:r>
        <w:rPr/>
      </w:r>
    </w:p>
    <w:p>
      <w:pPr>
        <w:pStyle w:val="Normal"/>
        <w:widowControl w:val="false"/>
        <w:ind w:firstLine="567"/>
        <w:jc w:val="center"/>
        <w:rPr>
          <w:rFonts w:eastAsia="Calibri"/>
          <w:b/>
          <w:i/>
          <w:i/>
          <w:szCs w:val="24"/>
        </w:rPr>
      </w:pPr>
      <w:r>
        <w:rPr>
          <w:rFonts w:eastAsia="Calibri"/>
          <w:b/>
          <w:i/>
          <w:szCs w:val="24"/>
        </w:rPr>
      </w:r>
      <w:r>
        <w:br w:type="page"/>
      </w:r>
    </w:p>
    <w:p>
      <w:pPr>
        <w:pStyle w:val="Heading1"/>
        <w:ind w:left="0" w:firstLine="567"/>
        <w:rPr>
          <w:lang w:val="ru-RU"/>
        </w:rPr>
      </w:pPr>
      <w:bookmarkStart w:id="0" w:name="__RefHeading___Toc2712_857294569"/>
      <w:bookmarkStart w:id="1" w:name="_Toc204275058"/>
      <w:bookmarkStart w:id="2" w:name="_Toc51339692"/>
      <w:bookmarkEnd w:id="0"/>
      <w:r>
        <w:rPr/>
        <w:t>Общие сведения</w:t>
      </w:r>
      <w:bookmarkEnd w:id="1"/>
      <w:bookmarkEnd w:id="2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28"/>
        </w:numPr>
        <w:ind w:left="432" w:firstLine="567"/>
        <w:rPr/>
      </w:pPr>
      <w:bookmarkStart w:id="3" w:name="__RefHeading___Toc2714_857294569"/>
      <w:bookmarkStart w:id="4" w:name="_Toc204275059"/>
      <w:bookmarkStart w:id="5" w:name="_Toc46743505"/>
      <w:bookmarkEnd w:id="3"/>
      <w:r>
        <w:rPr/>
        <w:t>Обозначения и сокращения</w:t>
      </w:r>
      <w:bookmarkEnd w:id="4"/>
      <w:bookmarkEnd w:id="5"/>
    </w:p>
    <w:tbl>
      <w:tblPr>
        <w:tblStyle w:val="affff3"/>
        <w:tblW w:w="900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43"/>
        <w:gridCol w:w="7156"/>
      </w:tblGrid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ГОСТ</w:t>
            </w:r>
          </w:p>
        </w:tc>
        <w:tc>
          <w:tcPr>
            <w:tcW w:w="7156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Государственные стандарты РФ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СП</w:t>
            </w:r>
          </w:p>
        </w:tc>
        <w:tc>
          <w:tcPr>
            <w:tcW w:w="7156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Свод правил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СанПиН</w:t>
            </w:r>
          </w:p>
        </w:tc>
        <w:tc>
          <w:tcPr>
            <w:tcW w:w="7156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Санитарные (санитарно-эпидемиологические) правила и нормы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ЦММ</w:t>
            </w:r>
          </w:p>
        </w:tc>
        <w:tc>
          <w:tcPr>
            <w:tcW w:w="7156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Цифровая модель местности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ОВиК</w:t>
            </w:r>
          </w:p>
        </w:tc>
        <w:tc>
          <w:tcPr>
            <w:tcW w:w="7156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Отопление, вентиляция и кондиционирование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ПД</w:t>
            </w:r>
          </w:p>
        </w:tc>
        <w:tc>
          <w:tcPr>
            <w:tcW w:w="7156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Проектная документация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ТЗ</w:t>
            </w:r>
          </w:p>
        </w:tc>
        <w:tc>
          <w:tcPr>
            <w:tcW w:w="7156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Техническое задание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СС</w:t>
            </w:r>
          </w:p>
        </w:tc>
        <w:tc>
          <w:tcPr>
            <w:tcW w:w="7156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Сети связи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ВлТЭЦ-2</w:t>
            </w:r>
          </w:p>
        </w:tc>
        <w:tc>
          <w:tcPr>
            <w:tcW w:w="7156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Владивостокская ТЭЦ-2</w:t>
            </w:r>
          </w:p>
        </w:tc>
      </w:tr>
      <w:tr>
        <w:trPr/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ХВО</w:t>
            </w:r>
          </w:p>
        </w:tc>
        <w:tc>
          <w:tcPr>
            <w:tcW w:w="7156" w:type="dxa"/>
            <w:tcBorders/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both"/>
              <w:rPr>
                <w:sz w:val="20"/>
                <w:szCs w:val="24"/>
              </w:rPr>
            </w:pPr>
            <w:r>
              <w:rPr>
                <w:rFonts w:eastAsia="Times New Roman" w:cs="Times New Roman"/>
                <w:kern w:val="0"/>
                <w:sz w:val="20"/>
                <w:szCs w:val="24"/>
                <w:lang w:val="ru-RU" w:eastAsia="ru-RU" w:bidi="ar-SA"/>
              </w:rPr>
              <w:t>Химводоочистка</w:t>
            </w:r>
          </w:p>
        </w:tc>
      </w:tr>
    </w:tbl>
    <w:p>
      <w:pPr>
        <w:pStyle w:val="Normal"/>
        <w:widowControl w:val="false"/>
        <w:ind w:firstLine="567"/>
        <w:jc w:val="both"/>
        <w:rPr>
          <w:szCs w:val="24"/>
        </w:rPr>
      </w:pPr>
      <w:r>
        <w:rPr>
          <w:szCs w:val="24"/>
        </w:rPr>
      </w:r>
    </w:p>
    <w:p>
      <w:pPr>
        <w:pStyle w:val="Heading4"/>
        <w:numPr>
          <w:ilvl w:val="1"/>
          <w:numId w:val="29"/>
        </w:numPr>
        <w:ind w:left="432" w:firstLine="567"/>
        <w:rPr/>
      </w:pPr>
      <w:bookmarkStart w:id="6" w:name="__RefHeading___Toc2716_857294569"/>
      <w:bookmarkStart w:id="7" w:name="_Toc204275060"/>
      <w:bookmarkStart w:id="8" w:name="_Toc46743506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widowControl w:val="false"/>
        <w:spacing w:lineRule="auto" w:line="276"/>
        <w:ind w:firstLine="567"/>
        <w:jc w:val="both"/>
        <w:rPr>
          <w:szCs w:val="24"/>
        </w:rPr>
      </w:pPr>
      <w:r>
        <w:rPr>
          <w:rFonts w:eastAsia="Calibri"/>
          <w:szCs w:val="24"/>
        </w:rPr>
        <w:t xml:space="preserve">Разработка </w:t>
      </w:r>
      <w:r>
        <w:rPr>
          <w:szCs w:val="24"/>
        </w:rPr>
        <w:t xml:space="preserve">специализированных </w:t>
      </w:r>
      <w:r>
        <w:rPr>
          <w:rFonts w:eastAsia="Calibri"/>
          <w:szCs w:val="24"/>
        </w:rPr>
        <w:t xml:space="preserve">разделов рабочей документации </w:t>
      </w:r>
      <w:r>
        <w:rPr>
          <w:szCs w:val="24"/>
        </w:rPr>
        <w:t xml:space="preserve">(СС, ОВиК) </w:t>
      </w:r>
      <w:r>
        <w:rPr>
          <w:rFonts w:eastAsia="Calibri"/>
          <w:szCs w:val="24"/>
        </w:rPr>
        <w:t xml:space="preserve">по объекту: </w:t>
      </w:r>
      <w:r>
        <w:rPr>
          <w:szCs w:val="24"/>
        </w:rPr>
        <w:t>«Модернизация химводоочистки технологического оборудования Владивостокской ТЭЦ-2».</w:t>
      </w:r>
    </w:p>
    <w:p>
      <w:pPr>
        <w:pStyle w:val="Heading4"/>
        <w:numPr>
          <w:ilvl w:val="1"/>
          <w:numId w:val="30"/>
        </w:numPr>
        <w:ind w:left="432" w:firstLine="567"/>
        <w:rPr/>
      </w:pPr>
      <w:bookmarkStart w:id="9" w:name="__RefHeading___Toc2718_857294569"/>
      <w:bookmarkStart w:id="10" w:name="_Toc204275061"/>
      <w:bookmarkStart w:id="11" w:name="_Toc46743507"/>
      <w:bookmarkEnd w:id="9"/>
      <w:r>
        <w:rPr/>
        <w:t xml:space="preserve">Цель </w:t>
      </w:r>
      <w:bookmarkEnd w:id="11"/>
      <w:r>
        <w:rPr/>
        <w:t>выполнения работ</w:t>
      </w:r>
      <w:bookmarkEnd w:id="10"/>
      <w:r>
        <w:rPr/>
        <w:t xml:space="preserve"> </w:t>
      </w:r>
    </w:p>
    <w:p>
      <w:pPr>
        <w:pStyle w:val="Normal"/>
        <w:widowControl w:val="false"/>
        <w:spacing w:lineRule="auto" w:line="276"/>
        <w:ind w:firstLine="567"/>
        <w:jc w:val="both"/>
        <w:rPr>
          <w:szCs w:val="24"/>
        </w:rPr>
      </w:pPr>
      <w:r>
        <w:rPr>
          <w:szCs w:val="24"/>
        </w:rPr>
        <w:t>Разработка рабочей документации по объекту: «Модернизация химводоочистки технологического оборудования Владивостокской ТЭЦ-2» выполняется в части:</w:t>
      </w:r>
    </w:p>
    <w:p>
      <w:pPr>
        <w:pStyle w:val="Normal"/>
        <w:widowControl w:val="false"/>
        <w:spacing w:lineRule="auto" w:line="276"/>
        <w:ind w:firstLine="567"/>
        <w:jc w:val="both"/>
        <w:rPr>
          <w:szCs w:val="24"/>
        </w:rPr>
      </w:pPr>
      <w:r>
        <w:rPr>
          <w:szCs w:val="24"/>
        </w:rPr>
        <w:t>- Отопление, вентиляция и кондиционирование воздуха, тепловые сети;</w:t>
      </w:r>
    </w:p>
    <w:p>
      <w:pPr>
        <w:pStyle w:val="Normal"/>
        <w:widowControl w:val="false"/>
        <w:spacing w:lineRule="auto" w:line="276"/>
        <w:ind w:firstLine="567"/>
        <w:jc w:val="both"/>
        <w:rPr>
          <w:szCs w:val="24"/>
        </w:rPr>
      </w:pPr>
      <w:r>
        <w:rPr>
          <w:szCs w:val="24"/>
        </w:rPr>
        <w:t>- Сети связи;</w:t>
      </w:r>
    </w:p>
    <w:p>
      <w:pPr>
        <w:pStyle w:val="Normal"/>
        <w:widowControl w:val="false"/>
        <w:spacing w:lineRule="auto" w:line="276"/>
        <w:ind w:firstLine="567"/>
        <w:jc w:val="both"/>
        <w:rPr>
          <w:szCs w:val="24"/>
        </w:rPr>
      </w:pPr>
      <w:r>
        <w:rPr>
          <w:szCs w:val="24"/>
        </w:rPr>
        <w:t>- Ведомости объёмов работ к каждому подразделу;</w:t>
      </w:r>
    </w:p>
    <w:p>
      <w:pPr>
        <w:pStyle w:val="Normal"/>
        <w:widowControl w:val="false"/>
        <w:spacing w:lineRule="auto" w:line="276"/>
        <w:ind w:firstLine="567"/>
        <w:jc w:val="both"/>
        <w:rPr>
          <w:szCs w:val="24"/>
        </w:rPr>
      </w:pPr>
      <w:r>
        <w:rPr>
          <w:szCs w:val="24"/>
        </w:rPr>
        <w:t xml:space="preserve">в объеме, достаточном для прохождения всех необходимых согласований и экспертиз. </w:t>
      </w:r>
    </w:p>
    <w:p>
      <w:pPr>
        <w:pStyle w:val="Heading4"/>
        <w:numPr>
          <w:ilvl w:val="1"/>
          <w:numId w:val="31"/>
        </w:numPr>
        <w:ind w:left="432" w:firstLine="567"/>
        <w:rPr/>
      </w:pPr>
      <w:bookmarkStart w:id="12" w:name="__RefHeading___Toc2720_857294569"/>
      <w:bookmarkStart w:id="13" w:name="_Toc204275062"/>
      <w:bookmarkStart w:id="14" w:name="_Toc46743508"/>
      <w:bookmarkEnd w:id="12"/>
      <w:r>
        <w:rPr/>
        <w:t>Существующее положение</w:t>
      </w:r>
      <w:bookmarkEnd w:id="13"/>
      <w:bookmarkEnd w:id="14"/>
    </w:p>
    <w:p>
      <w:pPr>
        <w:pStyle w:val="Normal"/>
        <w:spacing w:lineRule="auto" w:line="264"/>
        <w:ind w:firstLine="851"/>
        <w:jc w:val="both"/>
        <w:rPr>
          <w:color w:val="000000"/>
          <w:szCs w:val="24"/>
          <w:highlight w:val="white"/>
        </w:rPr>
      </w:pPr>
      <w:r>
        <w:rPr>
          <w:color w:val="000000"/>
          <w:szCs w:val="24"/>
          <w:highlight w:val="white"/>
        </w:rPr>
        <w:t xml:space="preserve">Состав объектов производственного назначения, входящих в систему химводоочистки: </w:t>
      </w:r>
    </w:p>
    <w:p>
      <w:pPr>
        <w:pStyle w:val="Normal"/>
        <w:numPr>
          <w:ilvl w:val="0"/>
          <w:numId w:val="11"/>
        </w:numPr>
        <w:spacing w:lineRule="auto" w:line="264" w:before="0" w:after="0"/>
        <w:ind w:left="0" w:firstLine="851"/>
        <w:contextualSpacing/>
        <w:jc w:val="both"/>
        <w:rPr>
          <w:color w:val="000000"/>
          <w:szCs w:val="24"/>
          <w:highlight w:val="white"/>
        </w:rPr>
      </w:pPr>
      <w:r>
        <w:rPr>
          <w:color w:val="000000"/>
          <w:szCs w:val="24"/>
          <w:highlight w:val="white"/>
        </w:rPr>
        <w:t>Цех химводоочистки</w:t>
      </w:r>
    </w:p>
    <w:p>
      <w:pPr>
        <w:pStyle w:val="Normal"/>
        <w:numPr>
          <w:ilvl w:val="0"/>
          <w:numId w:val="11"/>
        </w:numPr>
        <w:spacing w:lineRule="auto" w:line="264" w:before="0" w:after="0"/>
        <w:ind w:left="0" w:firstLine="851"/>
        <w:contextualSpacing/>
        <w:jc w:val="both"/>
        <w:rPr>
          <w:color w:val="000000"/>
          <w:szCs w:val="24"/>
          <w:highlight w:val="white"/>
        </w:rPr>
      </w:pPr>
      <w:r>
        <w:rPr>
          <w:color w:val="000000"/>
          <w:szCs w:val="24"/>
          <w:highlight w:val="white"/>
        </w:rPr>
        <w:t>Склад реагентов</w:t>
      </w:r>
    </w:p>
    <w:p>
      <w:pPr>
        <w:pStyle w:val="Normal"/>
        <w:spacing w:lineRule="auto" w:line="264" w:before="0" w:after="0"/>
        <w:ind w:firstLine="851"/>
        <w:contextualSpacing/>
        <w:jc w:val="both"/>
        <w:rPr>
          <w:color w:val="000000"/>
          <w:szCs w:val="24"/>
        </w:rPr>
      </w:pPr>
      <w:r>
        <w:rPr>
          <w:color w:val="000000"/>
          <w:szCs w:val="24"/>
        </w:rPr>
        <w:t>Уровень ответственности – повышенный (КС-3).</w:t>
      </w:r>
    </w:p>
    <w:p>
      <w:pPr>
        <w:pStyle w:val="Normal"/>
        <w:ind w:firstLine="851"/>
        <w:rPr>
          <w:lang w:eastAsia="x-none"/>
        </w:rPr>
      </w:pPr>
      <w:r>
        <w:rPr>
          <w:lang w:eastAsia="x-none"/>
        </w:rPr>
        <w:t xml:space="preserve">Нормативная сейсмичность участка по картам ОСР-2015 составляет: </w:t>
        <w:br/>
        <w:t>по карте А – 7 баллов, по карте В – 7 баллов, по карте С – 8 баллов.</w:t>
      </w:r>
    </w:p>
    <w:p>
      <w:pPr>
        <w:pStyle w:val="Normal"/>
        <w:widowControl w:val="false"/>
        <w:ind w:firstLine="567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rPr>
          <w:rStyle w:val="Style8"/>
          <w:b w:val="false"/>
          <w:bCs/>
          <w:szCs w:val="24"/>
        </w:rPr>
      </w:pPr>
      <w:r>
        <w:rPr>
          <w:b/>
        </w:rPr>
        <w:t>Таблица 1. Перечень объектов заказчика</w:t>
      </w:r>
    </w:p>
    <w:tbl>
      <w:tblPr>
        <w:tblW w:w="1003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8"/>
        <w:gridCol w:w="2266"/>
        <w:gridCol w:w="2975"/>
        <w:gridCol w:w="2139"/>
        <w:gridCol w:w="1843"/>
      </w:tblGrid>
      <w:tr>
        <w:trPr/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Расположение объекта </w:t>
              <w:br/>
            </w:r>
            <w:r>
              <w:rPr>
                <w:i/>
                <w:iCs/>
                <w:sz w:val="22"/>
                <w:szCs w:val="22"/>
              </w:rPr>
              <w:t>(место производства работ)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Примечания</w:t>
            </w:r>
          </w:p>
        </w:tc>
      </w:tr>
      <w:tr>
        <w:trPr/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szCs w:val="24"/>
              </w:rPr>
              <w:t>Модернизация химводоочистки технологического оборудования Владивостокской ТЭЦ-2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0"/>
                <w:szCs w:val="20"/>
              </w:rPr>
            </w:pPr>
            <w:r>
              <w:rPr>
                <w:color w:val="000000"/>
                <w:szCs w:val="24"/>
              </w:rPr>
              <w:t xml:space="preserve">Приморский край, </w:t>
              <w:br/>
              <w:t xml:space="preserve">г. Владивосток, </w:t>
              <w:br/>
              <w:t>ул. Фадеева, 47.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r>
              <w:rPr/>
              <w:t>ХВО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</w:tc>
      </w:tr>
    </w:tbl>
    <w:p>
      <w:pPr>
        <w:pStyle w:val="Heading4"/>
        <w:numPr>
          <w:ilvl w:val="1"/>
          <w:numId w:val="32"/>
        </w:numPr>
        <w:ind w:left="0" w:firstLine="567"/>
        <w:rPr/>
      </w:pPr>
      <w:bookmarkStart w:id="15" w:name="__RefHeading___Toc2722_857294569"/>
      <w:bookmarkStart w:id="16" w:name="_Toc204275063"/>
      <w:bookmarkStart w:id="17" w:name="_Toc46743509"/>
      <w:bookmarkStart w:id="18" w:name="_Hlk49857604"/>
      <w:bookmarkEnd w:id="15"/>
      <w:r>
        <w:rPr/>
        <w:t xml:space="preserve">Информация в отношении исполнения договора, </w:t>
      </w:r>
      <w:bookmarkStart w:id="19" w:name="_Hlk46492347"/>
      <w:r>
        <w:rPr/>
        <w:t xml:space="preserve">которая должна быть учтена при подготовке заявки </w:t>
      </w:r>
      <w:bookmarkEnd w:id="19"/>
      <w:r>
        <w:rPr/>
        <w:t>(в том числе перечень ресурсов, услуг и документов, предоставляемых</w:t>
      </w:r>
      <w:r>
        <w:rPr>
          <w:lang w:val="ru-RU"/>
        </w:rPr>
        <w:t xml:space="preserve"> Генподрядчиком</w:t>
      </w:r>
      <w:r>
        <w:rPr/>
        <w:t xml:space="preserve"> на этапе исполнения договора)</w:t>
      </w:r>
      <w:bookmarkEnd w:id="16"/>
      <w:bookmarkEnd w:id="17"/>
      <w:bookmarkEnd w:id="18"/>
      <w:r>
        <w:rPr>
          <w:lang w:val="ru-RU"/>
        </w:rPr>
        <w:t xml:space="preserve"> </w:t>
      </w:r>
    </w:p>
    <w:p>
      <w:pPr>
        <w:pStyle w:val="Normal"/>
        <w:ind w:firstLine="567"/>
        <w:jc w:val="both"/>
        <w:rPr>
          <w:b/>
        </w:rPr>
      </w:pPr>
      <w:bookmarkStart w:id="20" w:name="_Toc50125126"/>
      <w:bookmarkEnd w:id="20"/>
      <w:r>
        <w:rPr>
          <w:b/>
        </w:rPr>
        <w:t>1.5.1. Перечень исходных данных, предоставляемых для разработки разделов рабочей документации:</w:t>
      </w:r>
    </w:p>
    <w:p>
      <w:pPr>
        <w:pStyle w:val="Normal"/>
        <w:widowControl w:val="false"/>
        <w:spacing w:lineRule="auto" w:line="276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Отчёты о проведённых обследованиях;</w:t>
      </w:r>
    </w:p>
    <w:p>
      <w:pPr>
        <w:pStyle w:val="Normal"/>
        <w:widowControl w:val="false"/>
        <w:spacing w:lineRule="auto" w:line="276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Технические условия на подключение к сетям;</w:t>
      </w:r>
    </w:p>
    <w:p>
      <w:pPr>
        <w:pStyle w:val="Normal"/>
        <w:widowControl w:val="false"/>
        <w:spacing w:lineRule="auto" w:line="276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Планировки и чертежи;</w:t>
      </w:r>
    </w:p>
    <w:p>
      <w:pPr>
        <w:pStyle w:val="Normal"/>
        <w:widowControl w:val="false"/>
        <w:spacing w:lineRule="auto" w:line="276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Исходные данные передаются в соответствии с условиями проекта Договора.</w:t>
      </w:r>
    </w:p>
    <w:p>
      <w:pPr>
        <w:pStyle w:val="Normal"/>
        <w:widowControl w:val="false"/>
        <w:spacing w:lineRule="auto" w:line="276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1"/>
          <w:numId w:val="33"/>
        </w:numPr>
        <w:ind w:left="0" w:firstLine="567"/>
        <w:rPr>
          <w:lang w:val="ru-RU"/>
        </w:rPr>
      </w:pPr>
      <w:bookmarkStart w:id="21" w:name="__RefHeading___Toc2724_857294569"/>
      <w:bookmarkStart w:id="22" w:name="_Toc204275064"/>
      <w:bookmarkEnd w:id="21"/>
      <w:r>
        <w:rPr/>
        <w:t>Иные требования и сведения общего характера</w:t>
      </w:r>
      <w:bookmarkEnd w:id="22"/>
    </w:p>
    <w:p>
      <w:pPr>
        <w:pStyle w:val="Normal"/>
        <w:spacing w:lineRule="auto" w:line="276"/>
        <w:ind w:firstLine="567"/>
        <w:jc w:val="both"/>
        <w:rPr>
          <w:szCs w:val="24"/>
        </w:rPr>
      </w:pPr>
      <w:r>
        <w:rPr>
          <w:szCs w:val="24"/>
        </w:rPr>
        <w:t>Субподрядчик в рамках договорных обязательств выполняет сопровождение при согласовании рабочей документации с Генеральным Заказчиком.</w:t>
      </w:r>
    </w:p>
    <w:p>
      <w:pPr>
        <w:pStyle w:val="Normal"/>
        <w:rPr>
          <w:szCs w:val="24"/>
        </w:rPr>
      </w:pPr>
      <w:r>
        <w:rPr>
          <w:szCs w:val="24"/>
        </w:rPr>
      </w:r>
      <w:r>
        <w:br w:type="page"/>
      </w:r>
    </w:p>
    <w:p>
      <w:pPr>
        <w:pStyle w:val="Heading1"/>
        <w:ind w:left="0" w:hanging="0"/>
        <w:rPr>
          <w:lang w:val="ru-RU"/>
        </w:rPr>
      </w:pPr>
      <w:bookmarkStart w:id="23" w:name="__RefHeading___Toc2726_857294569"/>
      <w:bookmarkStart w:id="24" w:name="_Toc204275065"/>
      <w:bookmarkStart w:id="25" w:name="_Toc51339693"/>
      <w:bookmarkEnd w:id="23"/>
      <w:r>
        <w:rPr/>
        <w:t>Требования к продукции</w:t>
      </w:r>
      <w:bookmarkEnd w:id="24"/>
      <w:bookmarkEnd w:id="25"/>
    </w:p>
    <w:p>
      <w:pPr>
        <w:pStyle w:val="Heading4"/>
        <w:numPr>
          <w:ilvl w:val="1"/>
          <w:numId w:val="34"/>
        </w:numPr>
        <w:ind w:left="432" w:firstLine="567"/>
        <w:jc w:val="both"/>
        <w:rPr>
          <w:lang w:val="ru-RU"/>
        </w:rPr>
      </w:pPr>
      <w:bookmarkStart w:id="26" w:name="__RefHeading___Toc2728_857294569"/>
      <w:bookmarkStart w:id="27" w:name="_Toc204275066"/>
      <w:bookmarkEnd w:id="26"/>
      <w:r>
        <w:rPr>
          <w:lang w:val="ru-RU"/>
        </w:rPr>
        <w:t>Общие требования к составу и объёму разрабатываемых разделов:</w:t>
      </w:r>
      <w:bookmarkEnd w:id="27"/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  <w:tab w:val="left" w:pos="890" w:leader="none"/>
        </w:tabs>
        <w:ind w:left="0" w:firstLine="851"/>
        <w:jc w:val="both"/>
        <w:rPr/>
      </w:pPr>
      <w:r>
        <w:rPr>
          <w:lang w:eastAsia="x-none"/>
        </w:rPr>
        <w:t>Для всего электротехнического оборудования должна быть предусмотрена возможность реализации системы мониторинга состояния оборудования по двум каналам (основной и резервный);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  <w:tab w:val="left" w:pos="890" w:leader="none"/>
        </w:tabs>
        <w:ind w:left="0" w:firstLine="851"/>
        <w:jc w:val="both"/>
        <w:rPr/>
      </w:pPr>
      <w:r>
        <w:rPr>
          <w:lang w:eastAsia="x-none"/>
        </w:rPr>
        <w:t>В рамках комплектов рабочей документации Субподрядчик разрабатывает и прикладывает технические требования/опросные листы на проектируемое оборудование.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5"/>
        </w:numPr>
        <w:ind w:left="432" w:firstLine="567"/>
        <w:jc w:val="both"/>
        <w:rPr>
          <w:i/>
          <w:i/>
          <w:lang w:val="ru-RU"/>
        </w:rPr>
      </w:pPr>
      <w:bookmarkStart w:id="28" w:name="__RefHeading___Toc2730_857294569"/>
      <w:bookmarkStart w:id="29" w:name="_Toc204275069"/>
      <w:bookmarkEnd w:id="28"/>
      <w:r>
        <w:rPr/>
        <w:t xml:space="preserve">Перечень нормативной документации, в соответствии с требованиями которых необходимо выполнить </w:t>
      </w:r>
      <w:r>
        <w:rPr>
          <w:lang w:val="ru-RU"/>
        </w:rPr>
        <w:t>разработку раздела рабочей документации</w:t>
      </w:r>
      <w:r>
        <w:rPr>
          <w:i/>
          <w:lang w:val="ru-RU"/>
        </w:rPr>
        <w:t xml:space="preserve"> </w:t>
      </w:r>
      <w:r>
        <w:rPr>
          <w:i/>
        </w:rPr>
        <w:t>Отопление, вентиляция и кондиционирование воздуха, тепловые сети</w:t>
      </w:r>
      <w:r>
        <w:rPr>
          <w:i/>
          <w:lang w:val="ru-RU"/>
        </w:rPr>
        <w:t>:</w:t>
      </w:r>
      <w:bookmarkEnd w:id="29"/>
    </w:p>
    <w:p>
      <w:pPr>
        <w:pStyle w:val="Normal"/>
        <w:ind w:left="432" w:firstLine="567"/>
        <w:jc w:val="both"/>
        <w:rPr>
          <w:i/>
          <w:i/>
          <w:lang w:val="ru-RU"/>
        </w:rPr>
      </w:pPr>
      <w:r>
        <w:rPr>
          <w:i/>
          <w:lang w:val="ru-RU"/>
        </w:rPr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  <w:tab w:val="left" w:pos="890" w:leader="none"/>
        </w:tabs>
        <w:ind w:left="0" w:firstLine="851"/>
        <w:jc w:val="both"/>
        <w:rPr/>
      </w:pPr>
      <w:r>
        <w:rPr/>
        <w:t xml:space="preserve">Градостроительный кодекс Российской Федерации. Кодекс РФ от 29.12.2004 № 190-ФЗ </w:t>
      </w:r>
      <w:hyperlink r:id="rId2">
        <w:r>
          <w:rPr/>
          <w:t>https://www.consultant.ru/document/cons_doc_LAW_51040/</w:t>
        </w:r>
      </w:hyperlink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  <w:tab w:val="left" w:pos="890" w:leader="none"/>
        </w:tabs>
        <w:ind w:left="0" w:firstLine="851"/>
        <w:jc w:val="both"/>
        <w:rPr/>
      </w:pPr>
      <w:r>
        <w:rPr/>
        <w:t xml:space="preserve">СП 90.13330.2012 Электростанции тепловые. Актуализированная редакция СНиП </w:t>
      </w:r>
      <w:r>
        <w:rPr>
          <w:lang w:val="en-US"/>
        </w:rPr>
        <w:t>II</w:t>
      </w:r>
      <w:r>
        <w:rPr/>
        <w:t xml:space="preserve">-58-75 </w:t>
      </w:r>
      <w:hyperlink r:id="rId3">
        <w:r>
          <w:rPr/>
          <w:t>https://meganorm.ru/Data2/1/4293788/4293788797.pdf</w:t>
        </w:r>
      </w:hyperlink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  <w:tab w:val="left" w:pos="890" w:leader="none"/>
        </w:tabs>
        <w:ind w:left="0" w:firstLine="851"/>
        <w:jc w:val="both"/>
        <w:rPr/>
      </w:pPr>
      <w:r>
        <w:rPr/>
        <w:t xml:space="preserve">Федеральный закон от 30.03.1999 № 52-ФЗ «О санитарно-эпидемиологическом благополучии населения» </w:t>
      </w:r>
      <w:hyperlink r:id="rId4">
        <w:r>
          <w:rPr/>
          <w:t>https://docs.cntd.ru/document/901729631</w:t>
        </w:r>
      </w:hyperlink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</w:tabs>
        <w:ind w:left="0" w:firstLine="851"/>
        <w:jc w:val="both"/>
        <w:rPr/>
      </w:pPr>
      <w:r>
        <w:rPr/>
        <w:t xml:space="preserve">ГОСТ Р 21.101-2026 Система рабочей документации для строительства. Основные требования к проектной и рабочей документации </w:t>
      </w:r>
      <w:hyperlink r:id="rId5">
        <w:r>
          <w:rPr/>
          <w:t>https://meganorm.ru/Data2/1/4293720/4293720404.htm</w:t>
        </w:r>
      </w:hyperlink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</w:tabs>
        <w:ind w:left="0" w:firstLine="851"/>
        <w:jc w:val="both"/>
        <w:rPr/>
      </w:pPr>
      <w:r>
        <w:rPr/>
        <w:t xml:space="preserve">ГОСТ 21.001-2021. Система рабочей документации для строительства (СПДС). Общие положения </w:t>
      </w:r>
      <w:hyperlink r:id="rId6">
        <w:r>
          <w:rPr/>
          <w:t>https://files.stroyinf.ru/Data/769/76902.pdf</w:t>
        </w:r>
      </w:hyperlink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</w:tabs>
        <w:ind w:left="0" w:firstLine="851"/>
        <w:jc w:val="both"/>
        <w:rPr/>
      </w:pPr>
      <w:r>
        <w:rPr/>
        <w:t xml:space="preserve">ГОСТ 21.110-2013. Система рабочей документации для строительства (СПДС). Спецификация оборудования, изделий и материалов </w:t>
      </w:r>
      <w:hyperlink r:id="rId7">
        <w:r>
          <w:rPr/>
          <w:t>https://files.stroyinf.ru/Data2/1/4293774/4293774399.pdf</w:t>
        </w:r>
      </w:hyperlink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</w:tabs>
        <w:ind w:left="0" w:firstLine="851"/>
        <w:jc w:val="both"/>
        <w:rPr/>
      </w:pPr>
      <w:r>
        <w:rPr/>
        <w:t xml:space="preserve">ГОСТ 12.1.003-2014. Система стандартов безопасности труда (ССБТ). Шум. Общие требования безопасности </w:t>
      </w:r>
      <w:hyperlink r:id="rId8">
        <w:r>
          <w:rPr/>
          <w:t>https://meganorm.ru/Data2/1/4293765/4293765641.pdf</w:t>
        </w:r>
      </w:hyperlink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</w:tabs>
        <w:ind w:left="0" w:firstLine="851"/>
        <w:jc w:val="both"/>
        <w:rPr/>
      </w:pPr>
      <w:r>
        <w:rPr/>
        <w:t xml:space="preserve">СП 14.13330.2018. Строительство в сейсмических районах. Актуализированная редакция СНиП II-7-81* </w:t>
      </w:r>
      <w:hyperlink r:id="rId9">
        <w:r>
          <w:rPr/>
          <w:t>https://meganorm.ru/Data2/1/4293736/4293736459.pdf</w:t>
        </w:r>
      </w:hyperlink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</w:tabs>
        <w:ind w:left="0" w:firstLine="851"/>
        <w:jc w:val="both"/>
        <w:rPr/>
      </w:pPr>
      <w:r>
        <w:rPr/>
        <w:t xml:space="preserve">СП 60.13330.2020. Отопление, вентиляция и кондиционирование воздуха. Актуализированная редакция СНиП 41-01-2003 </w:t>
      </w:r>
      <w:hyperlink r:id="rId10">
        <w:r>
          <w:rPr/>
          <w:t>https://www.minstroyrf.gov.ru/upload/iblock/404/SP-60.pdf</w:t>
        </w:r>
      </w:hyperlink>
    </w:p>
    <w:p>
      <w:pPr>
        <w:pStyle w:val="ListParagraph"/>
        <w:numPr>
          <w:ilvl w:val="0"/>
          <w:numId w:val="9"/>
        </w:numPr>
        <w:ind w:left="0" w:firstLine="851"/>
        <w:jc w:val="both"/>
        <w:rPr>
          <w:lang w:eastAsia="x-none"/>
        </w:rPr>
      </w:pPr>
      <w:r>
        <w:rPr>
          <w:lang w:eastAsia="x-none"/>
        </w:rPr>
        <w:t xml:space="preserve">СанПиН 1.2.3685-21 «Гигиенические нормативы и требования к обеспечению безопасности и (или) безвредности для человека факторов среды обитания» </w:t>
      </w:r>
      <w:hyperlink r:id="rId11">
        <w:r>
          <w:rPr>
            <w:lang w:eastAsia="x-none"/>
          </w:rPr>
          <w:t>https://docs.cntd.ru/document/573500115</w:t>
        </w:r>
      </w:hyperlink>
    </w:p>
    <w:p>
      <w:pPr>
        <w:pStyle w:val="ListParagraph"/>
        <w:numPr>
          <w:ilvl w:val="0"/>
          <w:numId w:val="10"/>
        </w:numPr>
        <w:ind w:left="0" w:firstLine="851"/>
        <w:jc w:val="both"/>
        <w:rPr/>
      </w:pPr>
      <w:r>
        <w:rPr/>
      </w:r>
    </w:p>
    <w:p>
      <w:pPr>
        <w:pStyle w:val="Heading4"/>
        <w:numPr>
          <w:ilvl w:val="1"/>
          <w:numId w:val="36"/>
        </w:numPr>
        <w:ind w:left="432" w:firstLine="567"/>
        <w:jc w:val="both"/>
        <w:rPr>
          <w:i/>
          <w:i/>
          <w:lang w:val="ru-RU"/>
        </w:rPr>
      </w:pPr>
      <w:bookmarkStart w:id="30" w:name="__RefHeading___Toc2732_857294569"/>
      <w:bookmarkStart w:id="31" w:name="_Toc204275070"/>
      <w:bookmarkEnd w:id="30"/>
      <w:r>
        <w:rPr/>
        <w:t xml:space="preserve">Перечень нормативной документации, в соответствии с требованиями которых необходимо выполнить </w:t>
      </w:r>
      <w:r>
        <w:rPr>
          <w:lang w:val="ru-RU"/>
        </w:rPr>
        <w:t>разработку раздела рабочей документации</w:t>
      </w:r>
      <w:r>
        <w:rPr>
          <w:i/>
          <w:lang w:val="ru-RU"/>
        </w:rPr>
        <w:t xml:space="preserve"> Сети связи:</w:t>
      </w:r>
      <w:bookmarkEnd w:id="31"/>
    </w:p>
    <w:p>
      <w:pPr>
        <w:pStyle w:val="Normal"/>
        <w:ind w:left="432" w:firstLine="567"/>
        <w:jc w:val="both"/>
        <w:rPr>
          <w:i/>
          <w:i/>
          <w:lang w:val="ru-RU"/>
        </w:rPr>
      </w:pPr>
      <w:r>
        <w:rPr>
          <w:i/>
          <w:lang w:val="ru-RU"/>
        </w:rPr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  <w:tab w:val="left" w:pos="890" w:leader="none"/>
        </w:tabs>
        <w:ind w:left="0" w:firstLine="851"/>
        <w:jc w:val="both"/>
        <w:rPr/>
      </w:pPr>
      <w:r>
        <w:rPr/>
        <w:t xml:space="preserve">Градостроительный кодекс Российской Федерации. Кодекс РФ от 29.12.2004 № 190-ФЗ </w:t>
      </w:r>
      <w:hyperlink r:id="rId12">
        <w:r>
          <w:rPr/>
          <w:t>https://www.consultant.ru/document/cons_doc_LAW_51040/</w:t>
        </w:r>
      </w:hyperlink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</w:tabs>
        <w:ind w:left="0" w:firstLine="851"/>
        <w:jc w:val="both"/>
        <w:rPr/>
      </w:pPr>
      <w:r>
        <w:rPr/>
        <w:t>ГОСТ Р 21.101-2026 Система рабочей документации для строительства. Основные требования к проектной и рабочей документации https://meganorm.ru/Data2/1/4293720/4293720404.htm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</w:tabs>
        <w:ind w:left="0" w:firstLine="851"/>
        <w:jc w:val="both"/>
        <w:rPr/>
      </w:pPr>
      <w:r>
        <w:rPr/>
        <w:t xml:space="preserve">ГОСТ 21.001-2021. Система рабочей документации для строительства (СПДС). Общие положения </w:t>
      </w:r>
      <w:hyperlink r:id="rId13">
        <w:r>
          <w:rPr/>
          <w:t>https://files.stroyinf.ru/Data/769/76902.pdf</w:t>
        </w:r>
      </w:hyperlink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</w:tabs>
        <w:ind w:left="0" w:firstLine="851"/>
        <w:jc w:val="both"/>
        <w:rPr/>
      </w:pPr>
      <w:r>
        <w:rPr/>
        <w:t xml:space="preserve">ГОСТ 21.110-2013. Система рабочей документации для строительства (СПДС). Спецификация оборудования, изделий и материалов </w:t>
      </w:r>
      <w:hyperlink r:id="rId14">
        <w:r>
          <w:rPr/>
          <w:t>https://files.stroyinf.ru/Data2/1/4293774/4293774399.pdf</w:t>
        </w:r>
      </w:hyperlink>
    </w:p>
    <w:p>
      <w:pPr>
        <w:pStyle w:val="ListParagraph"/>
        <w:numPr>
          <w:ilvl w:val="0"/>
          <w:numId w:val="9"/>
        </w:numPr>
        <w:tabs>
          <w:tab w:val="clear" w:pos="708"/>
          <w:tab w:val="left" w:pos="464" w:leader="none"/>
        </w:tabs>
        <w:ind w:left="0" w:firstLine="851"/>
        <w:jc w:val="both"/>
        <w:rPr/>
      </w:pPr>
      <w:r>
        <w:rPr/>
        <w:t xml:space="preserve">ГОСТ 12.1.003-2014. Система стандартов безопасности труда (ССБТ). Шум. Общие требования безопасности </w:t>
      </w:r>
      <w:hyperlink r:id="rId15">
        <w:r>
          <w:rPr/>
          <w:t>https://meganorm.ru/Data2/1/4293765/4293765641.pdf</w:t>
        </w:r>
      </w:hyperlink>
    </w:p>
    <w:p>
      <w:pPr>
        <w:pStyle w:val="Normal"/>
        <w:numPr>
          <w:ilvl w:val="0"/>
          <w:numId w:val="9"/>
        </w:numPr>
        <w:tabs>
          <w:tab w:val="clear" w:pos="708"/>
          <w:tab w:val="left" w:pos="464" w:leader="none"/>
        </w:tabs>
        <w:ind w:left="0" w:firstLine="851"/>
        <w:jc w:val="both"/>
        <w:rPr>
          <w:lang w:eastAsia="x-none"/>
        </w:rPr>
      </w:pPr>
      <w:r>
        <w:rPr>
          <w:lang w:eastAsia="x-none"/>
        </w:rPr>
        <w:t xml:space="preserve">СП 14.13330.2018. Строительство в сейсмических районах. Актуализированная редакция СНиП II-7-81* </w:t>
      </w:r>
      <w:hyperlink r:id="rId16">
        <w:r>
          <w:rPr>
            <w:lang w:eastAsia="x-none"/>
          </w:rPr>
          <w:t>https://www.minstroyrf.gov.ru/upload/iblock/b4f/SP-14.13330.2018-na-registr-Rosstandart_pages_deleted.pdf</w:t>
        </w:r>
      </w:hyperlink>
    </w:p>
    <w:p>
      <w:pPr>
        <w:pStyle w:val="Normal"/>
        <w:tabs>
          <w:tab w:val="clear" w:pos="708"/>
          <w:tab w:val="left" w:pos="464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left" w:pos="464" w:leader="none"/>
        </w:tabs>
        <w:jc w:val="both"/>
        <w:rPr/>
      </w:pPr>
      <w:r>
        <w:rPr/>
      </w:r>
    </w:p>
    <w:p>
      <w:pPr>
        <w:pStyle w:val="Heading4"/>
        <w:numPr>
          <w:ilvl w:val="1"/>
          <w:numId w:val="37"/>
        </w:numPr>
        <w:ind w:left="432" w:firstLine="567"/>
        <w:rPr>
          <w:lang w:val="ru-RU"/>
        </w:rPr>
      </w:pPr>
      <w:bookmarkStart w:id="32" w:name="__RefHeading___Toc2734_857294569"/>
      <w:bookmarkStart w:id="33" w:name="_Toc204275071"/>
      <w:bookmarkEnd w:id="32"/>
      <w:r>
        <w:rPr/>
        <w:t xml:space="preserve">Требования к объемам и срокам </w:t>
      </w:r>
      <w:r>
        <w:rPr>
          <w:lang w:val="ru-RU"/>
        </w:rPr>
        <w:t>выполнения работ</w:t>
      </w:r>
      <w:bookmarkEnd w:id="33"/>
    </w:p>
    <w:p>
      <w:pPr>
        <w:pStyle w:val="Heading3"/>
        <w:ind w:left="1224" w:firstLine="567"/>
        <w:rPr/>
      </w:pPr>
      <w:bookmarkStart w:id="34" w:name="__RefHeading___Toc2736_857294569"/>
      <w:bookmarkStart w:id="35" w:name="_Toc204275072"/>
      <w:bookmarkEnd w:id="34"/>
      <w:r>
        <w:rPr/>
        <w:t>Требования к видам и объемам работ</w:t>
      </w:r>
      <w:bookmarkEnd w:id="35"/>
    </w:p>
    <w:p>
      <w:pPr>
        <w:pStyle w:val="Normal"/>
        <w:rPr>
          <w:b/>
        </w:rPr>
      </w:pPr>
      <w:bookmarkStart w:id="36" w:name="_Toc51339695"/>
      <w:r>
        <w:rPr>
          <w:b/>
        </w:rPr>
        <w:t xml:space="preserve">Таблица 2. Перечень </w:t>
      </w:r>
      <w:bookmarkEnd w:id="36"/>
      <w:r>
        <w:rPr>
          <w:b/>
        </w:rPr>
        <w:t>и объем выполняемых работ</w:t>
      </w:r>
    </w:p>
    <w:tbl>
      <w:tblPr>
        <w:tblW w:w="981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23"/>
        <w:gridCol w:w="2021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работ / этапа работ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0" w:hanging="0"/>
              <w:rPr/>
            </w:pPr>
            <w:r>
              <w:rPr/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>Отопление, вентиляция и кондиционирование воздуха, тепловые сети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>Условная единица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0" w:hanging="0"/>
              <w:rPr/>
            </w:pPr>
            <w:r>
              <w:rPr/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>Сети связи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>Условная единица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567"/>
        <w:rPr>
          <w:bCs/>
          <w:i/>
          <w:i/>
          <w:szCs w:val="24"/>
          <w:shd w:fill="FFFF99" w:val="clear"/>
        </w:rPr>
      </w:pPr>
      <w:r>
        <w:rPr>
          <w:bCs/>
          <w:i/>
          <w:szCs w:val="24"/>
          <w:shd w:fill="FFFF99" w:val="clear"/>
        </w:rPr>
      </w:r>
    </w:p>
    <w:p>
      <w:pPr>
        <w:pStyle w:val="Heading3"/>
        <w:ind w:left="1224" w:firstLine="567"/>
        <w:rPr/>
      </w:pPr>
      <w:bookmarkStart w:id="37" w:name="__RefHeading___Toc2738_857294569"/>
      <w:bookmarkStart w:id="38" w:name="_Toc204275073"/>
      <w:bookmarkStart w:id="39" w:name="_Toc51339696"/>
      <w:bookmarkEnd w:id="37"/>
      <w:r>
        <w:rPr/>
        <w:t xml:space="preserve">Требования </w:t>
      </w:r>
      <w:bookmarkEnd w:id="39"/>
      <w:r>
        <w:rPr/>
        <w:t>к срокам выполнения работ</w:t>
      </w:r>
      <w:bookmarkEnd w:id="38"/>
    </w:p>
    <w:p>
      <w:pPr>
        <w:pStyle w:val="Normal"/>
        <w:rPr>
          <w:b/>
        </w:rPr>
      </w:pPr>
      <w:bookmarkStart w:id="40" w:name="_Toc50125127"/>
      <w:bookmarkStart w:id="41" w:name="_Toc51339697"/>
      <w:bookmarkStart w:id="42" w:name="_Toc50125126_Копия_1"/>
      <w:bookmarkEnd w:id="42"/>
      <w:r>
        <w:rPr>
          <w:b/>
        </w:rPr>
        <w:t xml:space="preserve">Таблица 3. </w:t>
      </w:r>
      <w:bookmarkStart w:id="43" w:name="_Hlk50465284"/>
      <w:r>
        <w:rPr>
          <w:b/>
        </w:rPr>
        <w:t xml:space="preserve">Требования по срокам </w:t>
      </w:r>
      <w:bookmarkEnd w:id="40"/>
      <w:bookmarkEnd w:id="41"/>
      <w:bookmarkEnd w:id="43"/>
      <w:r>
        <w:rPr>
          <w:b/>
        </w:rPr>
        <w:t>выполнения работ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</w:r>
    </w:p>
    <w:tbl>
      <w:tblPr>
        <w:tblW w:w="1003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48"/>
        <w:gridCol w:w="2990"/>
        <w:gridCol w:w="2977"/>
        <w:gridCol w:w="3115"/>
      </w:tblGrid>
      <w:tr>
        <w:trPr/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>
              <w:rPr>
                <w:szCs w:val="24"/>
              </w:rPr>
              <w:t>п/п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работ/ этапа работ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44" w:name="_Toc46743510"/>
            <w:r>
              <w:rPr>
                <w:b/>
                <w:sz w:val="24"/>
                <w:szCs w:val="24"/>
              </w:rPr>
              <w:t>4</w:t>
            </w:r>
            <w:bookmarkEnd w:id="44"/>
          </w:p>
        </w:tc>
      </w:tr>
      <w:tr>
        <w:trPr/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113" w:hanging="0"/>
              <w:rPr/>
            </w:pPr>
            <w:r>
              <w:rPr/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i/>
                <w:szCs w:val="24"/>
              </w:rPr>
              <w:t>Отопление, вентиляция и кондиционирование воздуха, тепловые сети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color w:val="000000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4"/>
                <w:shd w:fill="auto" w:val="clear"/>
              </w:rPr>
            </w:pPr>
            <w:r>
              <w:rPr>
                <w:szCs w:val="24"/>
                <w:shd w:fill="auto" w:val="clear"/>
              </w:rPr>
              <w:t>30.12.2026 г.</w:t>
            </w:r>
          </w:p>
        </w:tc>
      </w:tr>
      <w:tr>
        <w:trPr/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113" w:hanging="0"/>
              <w:rPr/>
            </w:pPr>
            <w:r>
              <w:rPr/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>Сети связи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color w:val="000000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4"/>
                <w:shd w:fill="auto" w:val="clear"/>
              </w:rPr>
            </w:pPr>
            <w:r>
              <w:rPr>
                <w:szCs w:val="24"/>
                <w:shd w:fill="auto" w:val="clear"/>
              </w:rPr>
              <w:t>30.12.2026 г.</w:t>
            </w:r>
          </w:p>
        </w:tc>
      </w:tr>
    </w:tbl>
    <w:p>
      <w:pPr>
        <w:sectPr>
          <w:headerReference w:type="default" r:id="rId17"/>
          <w:headerReference w:type="first" r:id="rId18"/>
          <w:type w:val="nextPage"/>
          <w:pgSz w:w="11906" w:h="16838"/>
          <w:pgMar w:left="1134" w:right="707" w:gutter="0" w:header="680" w:top="1134" w:footer="0" w:bottom="1135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8"/>
        </w:numPr>
        <w:ind w:left="432" w:firstLine="567"/>
        <w:rPr>
          <w:b/>
        </w:rPr>
      </w:pPr>
      <w:bookmarkStart w:id="45" w:name="__RefHeading___Toc2740_857294569"/>
      <w:bookmarkStart w:id="46" w:name="_Toc204275074"/>
      <w:bookmarkEnd w:id="45"/>
      <w:r>
        <w:rPr/>
        <w:t xml:space="preserve">Требования к </w:t>
      </w:r>
      <w:r>
        <w:rPr>
          <w:lang w:val="ru-RU"/>
        </w:rPr>
        <w:t>качеству работ</w:t>
      </w:r>
      <w:bookmarkEnd w:id="46"/>
    </w:p>
    <w:p>
      <w:pPr>
        <w:pStyle w:val="Normal"/>
        <w:rPr>
          <w:b/>
        </w:rPr>
      </w:pPr>
      <w:bookmarkStart w:id="47" w:name="_Toc51339698"/>
      <w:r>
        <w:rPr>
          <w:b/>
        </w:rPr>
        <w:t xml:space="preserve">Таблица 4. Требования к </w:t>
      </w:r>
      <w:bookmarkEnd w:id="47"/>
      <w:r>
        <w:rPr>
          <w:b/>
        </w:rPr>
        <w:t xml:space="preserve">качеству работ </w:t>
      </w:r>
    </w:p>
    <w:p>
      <w:pPr>
        <w:pStyle w:val="Normal"/>
        <w:widowControl w:val="false"/>
        <w:snapToGrid w:val="false"/>
        <w:spacing w:before="0" w:after="120"/>
        <w:ind w:firstLine="567"/>
        <w:rPr>
          <w:rStyle w:val="Style8"/>
          <w:b w:val="false"/>
          <w:iCs/>
          <w:szCs w:val="24"/>
        </w:rPr>
      </w:pPr>
      <w:r>
        <w:rPr>
          <w:b/>
          <w:bCs/>
          <w:szCs w:val="24"/>
        </w:rPr>
        <w:t xml:space="preserve">Наименование работ: </w:t>
      </w:r>
      <w:r>
        <w:rPr>
          <w:rFonts w:eastAsia="Calibri"/>
          <w:b/>
          <w:bCs/>
          <w:szCs w:val="24"/>
        </w:rPr>
        <w:t>Р</w:t>
      </w:r>
      <w:r>
        <w:rPr>
          <w:b/>
          <w:bCs/>
          <w:szCs w:val="24"/>
        </w:rPr>
        <w:t>азработка специализированных разделов рабочей документации (СС, ОВиК) по объекту: «Модернизация химводоочистки технологического оборудования Владивостокской ТЭЦ-2».</w:t>
      </w:r>
    </w:p>
    <w:tbl>
      <w:tblPr>
        <w:tblStyle w:val="affff3"/>
        <w:tblW w:w="1471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3"/>
        <w:gridCol w:w="2382"/>
        <w:gridCol w:w="7733"/>
      </w:tblGrid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7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4"/>
                <w:lang w:val="ru-RU" w:eastAsia="ru-RU" w:bidi="ar-SA"/>
              </w:rPr>
              <w:t>Требование Генподрядчика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1</w:t>
            </w:r>
          </w:p>
        </w:tc>
        <w:tc>
          <w:tcPr>
            <w:tcW w:w="23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2</w:t>
            </w:r>
          </w:p>
        </w:tc>
        <w:tc>
          <w:tcPr>
            <w:tcW w:w="77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Требования к выполнению работ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hanging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5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Отопление, вентиляция и кондиционирование воздуха, тепловые сети</w:t>
            </w:r>
          </w:p>
        </w:tc>
        <w:tc>
          <w:tcPr>
            <w:tcW w:w="7733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315" w:leader="none"/>
                <w:tab w:val="left" w:pos="890" w:leader="none"/>
              </w:tabs>
              <w:suppressAutoHyphens w:val="true"/>
              <w:spacing w:before="0" w:after="0"/>
              <w:ind w:left="0" w:firstLine="456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Предусмотреть модернизацию приточно-вытяжной вентиляции из коррозионностойких материалов в реагентном отделении, на складе реагентов;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315" w:leader="none"/>
                <w:tab w:val="left" w:pos="890" w:leader="none"/>
              </w:tabs>
              <w:suppressAutoHyphens w:val="true"/>
              <w:spacing w:before="0" w:after="0"/>
              <w:ind w:left="0" w:firstLine="456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Предусмотреть установку кондиционера в помещении обслуживающего персонала;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315" w:leader="none"/>
                <w:tab w:val="left" w:pos="890" w:leader="none"/>
              </w:tabs>
              <w:suppressAutoHyphens w:val="true"/>
              <w:spacing w:before="0" w:after="0"/>
              <w:ind w:left="0" w:firstLine="456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Предусмотреть в рабочей документации модернизацию приточно-вытяжной вентиляционной системы цеха и кондиционирования воздуха, помещения фильтровального зала и реагентного отделения;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315" w:leader="none"/>
                <w:tab w:val="left" w:pos="890" w:leader="none"/>
              </w:tabs>
              <w:suppressAutoHyphens w:val="true"/>
              <w:spacing w:before="0" w:after="0"/>
              <w:ind w:left="0" w:firstLine="456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Предусмотреть замену контура отопления фильтровального зала ХВО, с заменой регистров отопления;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315" w:leader="none"/>
                <w:tab w:val="left" w:pos="890" w:leader="none"/>
              </w:tabs>
              <w:suppressAutoHyphens w:val="true"/>
              <w:spacing w:before="0" w:after="0"/>
              <w:ind w:left="0" w:firstLine="456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Предусмотреть модернизацию приточно-вытяжной вентиляции из коррозионностойких материалов, модернизацию крышных вентиляторов в здании склада реагентов;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315" w:leader="none"/>
                <w:tab w:val="left" w:pos="890" w:leader="none"/>
              </w:tabs>
              <w:suppressAutoHyphens w:val="true"/>
              <w:spacing w:before="0" w:after="0"/>
              <w:ind w:left="0" w:firstLine="456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Предусмотреть замену контура отопления склада реагентов с установкой регистров, с врезкой продувочных и дренажных вентилей, с заменой арматуры на гребенке отопления;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64" w:leader="none"/>
                <w:tab w:val="left" w:pos="890" w:leader="none"/>
              </w:tabs>
              <w:suppressAutoHyphens w:val="true"/>
              <w:spacing w:before="0" w:after="0"/>
              <w:ind w:left="0" w:firstLine="456"/>
              <w:contextualSpacing/>
              <w:jc w:val="both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В рамках комплектов рабочей документации Субподрядчик разрабатывает и прикладывает технические требования/опросные листы на проектируемое оборудование.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5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Сети связи</w:t>
            </w:r>
          </w:p>
        </w:tc>
        <w:tc>
          <w:tcPr>
            <w:tcW w:w="7733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64" w:leader="none"/>
                <w:tab w:val="left" w:pos="890" w:leader="none"/>
              </w:tabs>
              <w:suppressAutoHyphens w:val="true"/>
              <w:spacing w:before="0" w:after="0"/>
              <w:ind w:left="0" w:firstLine="598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Разработать рабочую документацию по организации в помещении щита ХВО, фильтровальном зале, насосном отделении и реагентном отделении системы видеонаблюдения.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64" w:leader="none"/>
                <w:tab w:val="left" w:pos="890" w:leader="none"/>
              </w:tabs>
              <w:suppressAutoHyphens w:val="true"/>
              <w:spacing w:before="0" w:after="0"/>
              <w:ind w:left="0" w:firstLine="598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Оснастить рабочее место начальника смены ХЦ автоматизированным рабочим местом с монитором диагональю не менее 32” для отображения информации с видеокамер.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64" w:leader="none"/>
                <w:tab w:val="left" w:pos="890" w:leader="none"/>
              </w:tabs>
              <w:suppressAutoHyphens w:val="true"/>
              <w:spacing w:before="0" w:after="0"/>
              <w:ind w:left="0" w:firstLine="598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Для организации системы видеонаблюдения и связи в реагентном отделении от существующей аппаратной связи в здании ОВК смонтировать медные и оптические линии связи и установить телекоммуникационный шкаф 15U. В шкафе установить коммутатор 24 порта PoE, источник бесперебойного питания мощностью не менее 1500 ВА, SIP-шлюз 24 порта FXS. Электропитание шкафа связи организовать по резервируемой схеме (2 независимых ввода с АВР).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464" w:leader="none"/>
                <w:tab w:val="left" w:pos="890" w:leader="none"/>
              </w:tabs>
              <w:suppressAutoHyphens w:val="true"/>
              <w:spacing w:before="0" w:after="0"/>
              <w:ind w:left="0" w:firstLine="598"/>
              <w:contextualSpacing/>
              <w:jc w:val="both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В рамках комплектов рабочей документации Субподрядчик разрабатывает и прикладывает технические требования/опросные листы на проектируемое оборудование.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Требования к разрабатываемым комплектам рабочей документации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1.2.3.</w:t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Отопление, вентиляция и кондиционирование воздуха, тепловые сети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x-none" w:bidi="ar-SA"/>
              </w:rPr>
              <w:t>ГОСТ Р 21.101-2020 Система рабочей документации для строительства. Основные требования к проектной и рабочей документации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1.2.4.</w:t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Сети святи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x-none" w:bidi="ar-SA"/>
              </w:rPr>
              <w:t>ГОСТ Р 21.101-2020 Система рабочей документации для строительства. Основные требования к проектной и рабочей документации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Требования к контролю качества работ и материалов</w:t>
            </w:r>
          </w:p>
        </w:tc>
      </w:tr>
      <w:tr>
        <w:trPr/>
        <w:tc>
          <w:tcPr>
            <w:tcW w:w="99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Требования к обеспечению контроля качества при разработке разделов рабочей документации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ru-RU" w:eastAsia="ru-RU" w:bidi="ar-SA"/>
              </w:rPr>
              <w:t>Нормоконтроль осуществлять в соответствии с ГОСТ Р 21.1002-2008 нормоконтроль проектной и рабочей документации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Требования к персоналу субподрядчика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  <w:highlight w:val="yellow"/>
              </w:rPr>
            </w:pPr>
            <w:r>
              <w:rPr>
                <w:szCs w:val="24"/>
                <w:highlight w:val="yellow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Требования к безопасности работ и охране труда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7733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-2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4"/>
                <w:lang w:val="ru-RU" w:eastAsia="ru-RU" w:bidi="ar-SA"/>
              </w:rPr>
              <w:t>Требования к результатам работ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Общие требования к результатам работ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57" w:hanging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Отопление, вентиляция и кондиционирование воздуха, тепловые сети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Документация должна соответствовать требованиям ГОСТ 21.602-2016 «Система проектной документации для строительства. Правила выполнения рабочей документации систем отопления, вентиляции и кондиционирования»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Порядок представления - на бумажном носителе в 4 экз. и на электронном носителе (CD) в 2 экз. (формат pdf) с учетом требований Приказа Минстроя от 21 ноября 2014 г. N 728/пр.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Представить также исходные форматы материалов: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- графический материал –dwg;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left="72" w:hanging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- текстовый материал – doc, xls.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57" w:hanging="0"/>
              <w:jc w:val="both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Сети святи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Документация должна соответствовать требованиям ГОСТ Р 21.703-2020 «Система проектной документации для строительства. Правила выполнения рабочей документации проводных средств связи»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Порядок представления - на бумажном носителе в 4 экз. и на электронном носителе (CD) в 2 экз. (формат pdf) с учетом требований Приказа Минстроя от 21 ноября 2014 г. N 728/пр.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Cs w:val="24"/>
                <w:lang w:val="ru-RU" w:eastAsia="ru-RU" w:bidi="ar-SA"/>
              </w:rPr>
              <w:t>Требования к порядку приемки результатов работ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5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Порядок приемки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В соответствии с условиями договора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5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Оформление документации</w:t>
            </w:r>
          </w:p>
        </w:tc>
        <w:tc>
          <w:tcPr>
            <w:tcW w:w="77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Cs w:val="24"/>
                <w:u w:val="single"/>
                <w:lang w:val="ru-RU" w:eastAsia="ru-RU" w:bidi="ar-SA"/>
              </w:rPr>
              <w:t>ГОСТ Р 21.101-2020</w:t>
            </w: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 xml:space="preserve"> Система рабочей документации для строительства. Основные требования к проектной и рабочей документации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Субподрядчика документации, определяемой видами работ (помимо указанных в других разделах ТТ)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40" w:leader="none"/>
              </w:tabs>
              <w:suppressAutoHyphens w:val="true"/>
              <w:spacing w:before="0" w:after="0"/>
              <w:jc w:val="left"/>
              <w:rPr>
                <w:bCs/>
                <w:color w:val="4472C4" w:themeColor="accent1"/>
                <w:szCs w:val="24"/>
              </w:rPr>
            </w:pPr>
            <w:r>
              <w:rPr>
                <w:bCs/>
                <w:color w:val="4472C4" w:themeColor="accent1"/>
                <w:szCs w:val="24"/>
              </w:rPr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Требования к ответственности и гарантиям Субподрядчика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Ответственность и гарантии подрядчика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В соответствии с условиями договора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0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Экспертиза рабочей документации</w:t>
            </w:r>
          </w:p>
        </w:tc>
        <w:tc>
          <w:tcPr>
            <w:tcW w:w="773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Субподрядчик в рамках договорных обязательств выполняет сопровождение согласования рабочей документации заказчиком.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ind w:left="5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11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Cs w:val="24"/>
                <w:lang w:val="ru-RU" w:eastAsia="ru-RU" w:bidi="ar-SA"/>
              </w:rPr>
              <w:t>Прочие требования к выполняемым работам</w:t>
            </w:r>
          </w:p>
        </w:tc>
      </w:tr>
      <w:tr>
        <w:trPr/>
        <w:tc>
          <w:tcPr>
            <w:tcW w:w="993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hanging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3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rFonts w:eastAsia="Times New Roman" w:cs="Times New Roman"/>
                <w:kern w:val="0"/>
                <w:szCs w:val="24"/>
                <w:lang w:val="ru-RU" w:eastAsia="ru-RU" w:bidi="ar-SA"/>
              </w:rPr>
              <w:t>Не требуется</w:t>
            </w:r>
          </w:p>
        </w:tc>
        <w:tc>
          <w:tcPr>
            <w:tcW w:w="77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Cs w:val="24"/>
              </w:rPr>
            </w:pPr>
            <w:r>
              <w:rPr>
                <w:szCs w:val="24"/>
              </w:rPr>
            </w:r>
          </w:p>
        </w:tc>
      </w:tr>
    </w:tbl>
    <w:p>
      <w:pPr>
        <w:sectPr>
          <w:headerReference w:type="default" r:id="rId19"/>
          <w:headerReference w:type="first" r:id="rId20"/>
          <w:type w:val="nextPage"/>
          <w:pgSz w:orient="landscape" w:w="16838" w:h="11906"/>
          <w:pgMar w:left="993" w:right="707" w:gutter="0" w:header="680" w:top="850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0"/>
        </w:numPr>
        <w:tabs>
          <w:tab w:val="clear" w:pos="708"/>
          <w:tab w:val="left" w:pos="0" w:leader="none"/>
        </w:tabs>
        <w:spacing w:before="120" w:after="60"/>
        <w:ind w:left="1134" w:right="0" w:hanging="0"/>
        <w:jc w:val="center"/>
        <w:rPr>
          <w:b/>
          <w:i/>
          <w:i/>
          <w:szCs w:val="24"/>
        </w:rPr>
      </w:pPr>
      <w:r>
        <w:rPr>
          <w:iCs/>
        </w:rPr>
        <w:t xml:space="preserve">3. </w:t>
      </w:r>
      <w:bookmarkStart w:id="48" w:name="_Toc54646411"/>
      <w:bookmarkStart w:id="49" w:name="_Toc53393312"/>
      <w:r>
        <w:rPr>
          <w:iCs/>
        </w:rPr>
        <w:t>Требования к документации по ценообразованию</w:t>
      </w:r>
      <w:bookmarkEnd w:id="48"/>
      <w:bookmarkEnd w:id="49"/>
      <w:r>
        <w:rPr>
          <w:iCs/>
        </w:rPr>
        <w:t xml:space="preserve"> на этапе закупки</w:t>
      </w:r>
    </w:p>
    <w:p>
      <w:pPr>
        <w:pStyle w:val="Heading1"/>
        <w:numPr>
          <w:ilvl w:val="0"/>
          <w:numId w:val="0"/>
        </w:numPr>
        <w:ind w:left="1134" w:right="0" w:hanging="0"/>
        <w:jc w:val="center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widowControl/>
        <w:spacing w:lineRule="auto" w:line="276" w:before="0" w:after="0"/>
        <w:ind w:left="-57" w:right="0" w:hanging="0"/>
        <w:contextualSpacing/>
        <w:jc w:val="both"/>
        <w:rPr>
          <w:b/>
          <w:i/>
          <w:i/>
          <w:szCs w:val="24"/>
        </w:rPr>
      </w:pPr>
      <w:r>
        <w:rPr>
          <w:rFonts w:eastAsia="Calibri"/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 В стоимость выполнения работ должны быть включены все затраты и расходные материалы, необходимые для выполнения работ согласно Техническим требованиям, любые другие сопутствующие расходы Субподрядчика, все налоги, сборы и другие обязательные платежи.</w:t>
      </w:r>
    </w:p>
    <w:p>
      <w:pPr>
        <w:pStyle w:val="Normal"/>
        <w:widowControl/>
        <w:spacing w:lineRule="auto" w:line="276" w:before="0" w:after="0"/>
        <w:ind w:left="-57" w:right="0" w:hanging="0"/>
        <w:contextualSpacing/>
        <w:jc w:val="both"/>
        <w:rPr>
          <w:b/>
          <w:i/>
          <w:i/>
          <w:szCs w:val="24"/>
        </w:rPr>
      </w:pPr>
      <w:r>
        <w:rPr>
          <w:rFonts w:eastAsia="Calibri"/>
          <w:sz w:val="24"/>
          <w:szCs w:val="24"/>
        </w:rPr>
        <w:t>3.2. Дополнительные документы по ценообразованию (сметная документация) в состав заявки Участника не включается.</w:t>
      </w:r>
    </w:p>
    <w:p>
      <w:pPr>
        <w:pStyle w:val="Normal"/>
        <w:spacing w:lineRule="auto" w:line="276" w:before="0" w:after="0"/>
        <w:ind w:left="425" w:right="0" w:hanging="0"/>
        <w:contextualSpacing/>
        <w:jc w:val="both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Heading1"/>
        <w:numPr>
          <w:ilvl w:val="0"/>
          <w:numId w:val="0"/>
        </w:numPr>
        <w:ind w:left="1134" w:right="0" w:hanging="0"/>
        <w:jc w:val="center"/>
        <w:rPr>
          <w:b/>
          <w:i/>
          <w:i/>
          <w:szCs w:val="24"/>
        </w:rPr>
      </w:pPr>
      <w:bookmarkStart w:id="50" w:name="__RefHeading___Toc7349_984014236"/>
      <w:bookmarkEnd w:id="50"/>
      <w:r>
        <w:rPr/>
        <w:t xml:space="preserve">4. </w:t>
      </w:r>
      <w:bookmarkStart w:id="51" w:name="_Toc54646412"/>
      <w:bookmarkEnd w:id="51"/>
      <w:r>
        <w:rPr/>
        <w:t>Требования к документации по ценообразованию на этапе заключения (исполнения) договора</w:t>
      </w:r>
    </w:p>
    <w:p>
      <w:pPr>
        <w:pStyle w:val="Heading1"/>
        <w:numPr>
          <w:ilvl w:val="0"/>
          <w:numId w:val="0"/>
        </w:numPr>
        <w:ind w:left="1134" w:right="0" w:hanging="0"/>
        <w:jc w:val="center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widowControl/>
        <w:tabs>
          <w:tab w:val="clear" w:pos="708"/>
          <w:tab w:val="left" w:pos="1077" w:leader="none"/>
        </w:tabs>
        <w:spacing w:lineRule="auto" w:line="276" w:before="0" w:after="0"/>
        <w:ind w:left="-57" w:right="0" w:hanging="0"/>
        <w:contextualSpacing/>
        <w:jc w:val="both"/>
        <w:rPr>
          <w:b/>
          <w:i/>
          <w:i/>
          <w:szCs w:val="24"/>
        </w:rPr>
      </w:pPr>
      <w:r>
        <w:rPr>
          <w:rFonts w:eastAsia="Calibri"/>
          <w:b w:val="false"/>
          <w:bCs/>
          <w:iCs/>
          <w:sz w:val="24"/>
          <w:szCs w:val="24"/>
        </w:rPr>
        <w:t>4.1.</w:t>
        <w:tab/>
        <w:t>Требования к составлению сметной документации (при заключении договора):</w:t>
      </w:r>
    </w:p>
    <w:p>
      <w:pPr>
        <w:pStyle w:val="Normal"/>
        <w:widowControl/>
        <w:tabs>
          <w:tab w:val="clear" w:pos="708"/>
          <w:tab w:val="left" w:pos="1077" w:leader="none"/>
        </w:tabs>
        <w:spacing w:lineRule="auto" w:line="276" w:before="0" w:after="0"/>
        <w:ind w:left="-57" w:right="0" w:hanging="0"/>
        <w:contextualSpacing/>
        <w:jc w:val="both"/>
        <w:rPr>
          <w:b/>
          <w:i/>
          <w:i/>
          <w:szCs w:val="24"/>
        </w:rPr>
      </w:pPr>
      <w:r>
        <w:rPr>
          <w:rFonts w:eastAsia="Calibri"/>
          <w:b w:val="false"/>
          <w:bCs/>
          <w:iCs/>
          <w:sz w:val="24"/>
          <w:szCs w:val="24"/>
        </w:rPr>
        <w:t>4.1.1.</w:t>
        <w:tab/>
        <w:t>Сметная документация разработана заказчиком в рамках определения начальной (максимальной) цены договора в соответствии с требованиями, указанными в приложении № 3 к ТТ, и включается в состав договора с применением понижающего коэффициента, указанного в заявке Участника, с которым принято решение заключить договор. 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</w:t>
      </w:r>
    </w:p>
    <w:p>
      <w:pPr>
        <w:pStyle w:val="Normal"/>
        <w:rPr>
          <w:b/>
          <w:i/>
          <w:i/>
          <w:szCs w:val="24"/>
        </w:rPr>
      </w:pPr>
      <w:r>
        <w:rPr>
          <w:rFonts w:eastAsia="Calibri"/>
          <w:b w:val="false"/>
          <w:bCs/>
          <w:iCs/>
          <w:sz w:val="24"/>
          <w:szCs w:val="24"/>
        </w:rPr>
        <w:t>4.1.2.</w:t>
        <w:tab/>
        <w:t>Внесение изменений в сметную документацию заказчика, кроме применения понижающего коэффициента в соответствии с пунктом 4.1.1, не допускается.</w:t>
      </w:r>
    </w:p>
    <w:p>
      <w:pPr>
        <w:pStyle w:val="Normal"/>
        <w:widowControl w:val="false"/>
        <w:ind w:firstLine="567"/>
        <w:rPr>
          <w:iCs/>
        </w:rPr>
      </w:pPr>
      <w:r>
        <w:rPr>
          <w:iCs/>
        </w:rPr>
      </w:r>
    </w:p>
    <w:p>
      <w:pPr>
        <w:pStyle w:val="Heading1"/>
        <w:widowControl w:val="false"/>
        <w:numPr>
          <w:ilvl w:val="0"/>
          <w:numId w:val="0"/>
        </w:numPr>
        <w:tabs>
          <w:tab w:val="clear" w:pos="708"/>
          <w:tab w:val="left" w:pos="0" w:leader="none"/>
        </w:tabs>
        <w:suppressAutoHyphens w:val="true"/>
        <w:bidi w:val="0"/>
        <w:spacing w:before="120" w:after="120"/>
        <w:ind w:left="340" w:right="0" w:hanging="0"/>
        <w:jc w:val="center"/>
        <w:rPr>
          <w:b/>
          <w:i/>
          <w:i/>
          <w:szCs w:val="24"/>
        </w:rPr>
      </w:pPr>
      <w:bookmarkStart w:id="52" w:name="__RefHeading___Toc3318_1584390579"/>
      <w:bookmarkEnd w:id="52"/>
      <w:r>
        <w:rPr/>
        <w:t xml:space="preserve">5. </w:t>
      </w:r>
      <w:bookmarkStart w:id="53" w:name="_Toc222907821"/>
      <w:bookmarkStart w:id="54" w:name="_Toc198126865"/>
      <w:bookmarkStart w:id="55" w:name="_Toc196483562"/>
      <w:r>
        <w:rPr/>
        <w:t>Приложения</w:t>
      </w:r>
      <w:bookmarkEnd w:id="53"/>
      <w:bookmarkEnd w:id="54"/>
      <w:bookmarkEnd w:id="55"/>
    </w:p>
    <w:p>
      <w:pPr>
        <w:pStyle w:val="Normal"/>
        <w:widowControl w:val="false"/>
        <w:ind w:firstLine="567"/>
        <w:rPr>
          <w:iCs/>
        </w:rPr>
      </w:pPr>
      <w:r>
        <w:rPr>
          <w:iCs/>
        </w:rPr>
        <w:t>Приложение №1: Сметная документация, разработанная (согласованная) заказчиком.</w:t>
      </w:r>
    </w:p>
    <w:p>
      <w:pPr>
        <w:pStyle w:val="Normal"/>
        <w:widowControl w:val="false"/>
        <w:ind w:firstLine="567"/>
        <w:rPr>
          <w:iCs/>
        </w:rPr>
      </w:pPr>
      <w:r>
        <w:rPr>
          <w:iCs/>
        </w:rPr>
        <w:t>Приложение №2: Требования к оформлению и составлению документации по ценообразованию.</w:t>
      </w:r>
    </w:p>
    <w:p>
      <w:pPr>
        <w:pStyle w:val="Normal"/>
        <w:widowControl w:val="false"/>
        <w:numPr>
          <w:ilvl w:val="0"/>
          <w:numId w:val="0"/>
        </w:numPr>
        <w:ind w:left="0" w:firstLine="567"/>
        <w:rPr>
          <w:iCs/>
        </w:rPr>
      </w:pPr>
      <w:r>
        <w:rPr>
          <w:iCs/>
        </w:rPr>
      </w:r>
      <w:r>
        <w:br w:type="page"/>
      </w:r>
    </w:p>
    <w:p>
      <w:pPr>
        <w:pStyle w:val="Normal"/>
        <w:jc w:val="right"/>
        <w:rPr>
          <w:sz w:val="20"/>
          <w:szCs w:val="24"/>
        </w:rPr>
      </w:pPr>
      <w:r>
        <w:rPr>
          <w:sz w:val="20"/>
          <w:szCs w:val="24"/>
        </w:rPr>
        <w:t xml:space="preserve">Приложение №1 </w:t>
      </w:r>
    </w:p>
    <w:p>
      <w:pPr>
        <w:pStyle w:val="Normal"/>
        <w:jc w:val="right"/>
        <w:rPr>
          <w:sz w:val="20"/>
          <w:szCs w:val="24"/>
        </w:rPr>
      </w:pPr>
      <w:r>
        <w:rPr>
          <w:sz w:val="20"/>
          <w:szCs w:val="24"/>
        </w:rPr>
        <w:t xml:space="preserve">К Техническим требованиям </w:t>
      </w:r>
    </w:p>
    <w:p>
      <w:pPr>
        <w:pStyle w:val="Normal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jc w:val="center"/>
        <w:rPr>
          <w:b/>
          <w:szCs w:val="24"/>
        </w:rPr>
      </w:pPr>
      <w:r>
        <w:rPr>
          <w:b/>
          <w:szCs w:val="24"/>
        </w:rPr>
        <w:t>Сметная документация, разработанная (согласованная) заказчиком</w:t>
      </w:r>
    </w:p>
    <w:p>
      <w:pPr>
        <w:pStyle w:val="Normal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  <w:t>Приложение представлено отдельным файлом в составе документации о закупке.</w:t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ind w:firstLine="567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ind w:firstLine="567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rPr>
          <w:b/>
          <w:szCs w:val="24"/>
        </w:rPr>
      </w:pPr>
      <w:r>
        <w:rPr>
          <w:b/>
          <w:szCs w:val="24"/>
        </w:rPr>
      </w:r>
      <w:r>
        <w:br w:type="page"/>
      </w:r>
    </w:p>
    <w:p>
      <w:pPr>
        <w:pStyle w:val="Normal"/>
        <w:ind w:firstLine="567"/>
        <w:jc w:val="right"/>
        <w:rPr>
          <w:sz w:val="20"/>
          <w:szCs w:val="24"/>
        </w:rPr>
      </w:pPr>
      <w:r>
        <w:rPr>
          <w:sz w:val="20"/>
          <w:szCs w:val="24"/>
        </w:rPr>
        <w:t xml:space="preserve">Приложение №2  </w:t>
      </w:r>
    </w:p>
    <w:p>
      <w:pPr>
        <w:pStyle w:val="Normal"/>
        <w:ind w:firstLine="567"/>
        <w:jc w:val="right"/>
        <w:rPr>
          <w:sz w:val="20"/>
          <w:szCs w:val="24"/>
        </w:rPr>
      </w:pPr>
      <w:r>
        <w:rPr>
          <w:sz w:val="20"/>
          <w:szCs w:val="24"/>
        </w:rPr>
        <w:t xml:space="preserve">К Техническим требованиям </w:t>
      </w:r>
    </w:p>
    <w:p>
      <w:pPr>
        <w:pStyle w:val="Normal"/>
        <w:ind w:firstLine="567"/>
        <w:jc w:val="right"/>
        <w:rPr>
          <w:sz w:val="20"/>
          <w:szCs w:val="24"/>
        </w:rPr>
      </w:pPr>
      <w:r>
        <w:rPr>
          <w:sz w:val="20"/>
          <w:szCs w:val="24"/>
        </w:rPr>
      </w:r>
    </w:p>
    <w:p>
      <w:pPr>
        <w:pStyle w:val="Normal"/>
        <w:ind w:firstLine="567"/>
        <w:jc w:val="center"/>
        <w:rPr>
          <w:b/>
          <w:szCs w:val="24"/>
        </w:rPr>
      </w:pPr>
      <w:r>
        <w:rPr>
          <w:b/>
          <w:szCs w:val="24"/>
        </w:rPr>
        <w:t>Требования к оформлению и составлению</w:t>
      </w:r>
    </w:p>
    <w:p>
      <w:pPr>
        <w:pStyle w:val="Normal"/>
        <w:ind w:firstLine="567"/>
        <w:jc w:val="center"/>
        <w:rPr>
          <w:b/>
          <w:szCs w:val="24"/>
        </w:rPr>
      </w:pPr>
      <w:r>
        <w:rPr>
          <w:b/>
          <w:szCs w:val="24"/>
        </w:rPr>
        <w:t>сметной документации на выполнение проектных и изыскательских работ.</w:t>
      </w:r>
    </w:p>
    <w:p>
      <w:pPr>
        <w:pStyle w:val="ConsPlusNormal1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Настоящие требования разработаны для единого подхода к определению стоимости проектных и изыскательских работ (далее - ПИР).</w:t>
      </w:r>
    </w:p>
    <w:p>
      <w:pPr>
        <w:pStyle w:val="ConsPlusNormal1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Затраты на проведение инженерных изысканий, подготовку проектной и рабочей документации определяются расчетами на основании сметных нормативов, сведения о которых включены в ФРСН.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 xml:space="preserve">Сметы на ПИР составлять на основании технических требований (технического задания) заказчика, графиков производства работ, программы изысканий. 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>Сметный расчет стоимости изыскательских работ составляется в соответствии с прилагаемой к сметному расчету программой изысканий. Программа изысканий составляется Субподрядчиком на основе технического задания заказчика с учетом требований соответствующих нормативных документов, регламентирующих состав и объем изыскательских работ. По окончании изысканий составляется сметный расчет – исполнительная смета (необходимо предусмотреть условиями договора) на основе технического отчета по результатам изысканий в соответствии с составом и объемами фактически выполненных работ с учетом категории сложности их выполнения.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 xml:space="preserve">Стоимость проектных работ на строительство,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РФ от 29.12.2009 № 620 (далее-МУ) или иных актуальных методических указаний. 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 xml:space="preserve">Стоимость изыскательских работ определять на основе «Методического пособия по определению стоимости инженерных изысканий для строительства», утвержденного письмом Госстроя России от 31.03.2004 № НЗ-2078/10 и внесенного в ФРСН нормативов или иного актуального документа.  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 xml:space="preserve">При определении стоимости изыскательских работ </w:t>
      </w:r>
      <w:r>
        <w:rPr>
          <w:b/>
        </w:rPr>
        <w:t>по согласованию с Заказчиком</w:t>
      </w:r>
      <w:r>
        <w:rPr/>
        <w:t xml:space="preserve"> возможно применять следующие коэффициенты в соответствии с письмом ПАО «ПНИИИС» от 03.04.2014 №11/298: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567" w:leader="none"/>
        </w:tabs>
        <w:ind w:left="567" w:firstLine="567"/>
        <w:jc w:val="both"/>
        <w:rPr>
          <w:b/>
          <w:i/>
          <w:i/>
          <w:szCs w:val="24"/>
        </w:rPr>
      </w:pPr>
      <w:r>
        <w:rPr/>
        <w:t>1,75 – «выполнение картографических работ с составлением планов (продольных профилей) в двух видах: на магнитном и бумажном носителях» (п. 15 е Общих указаний) - при наличии в технических требованиях указания о необходимости составления инженерно-топографических планов (продольных профилей) в двух видах (в электронном виде и на планшете на жесткой основе), либо при выявлении данных требований в процессе выполнения изысканий;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567" w:leader="none"/>
        </w:tabs>
        <w:ind w:left="567" w:firstLine="567"/>
        <w:jc w:val="both"/>
        <w:rPr>
          <w:b/>
          <w:i/>
          <w:i/>
          <w:szCs w:val="24"/>
        </w:rPr>
      </w:pPr>
      <w:r>
        <w:rPr/>
        <w:t>1,2 – «выполнение камеральных и картографических работ с применением компьютерных технологий» (п. 15 д Общих указаний) – применяется при условии, что топографические планы выполняются только в электронном виде (распечатка является вариантом электронной версии);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567" w:leader="none"/>
        </w:tabs>
        <w:ind w:left="567" w:firstLine="567"/>
        <w:jc w:val="both"/>
        <w:rPr>
          <w:b/>
          <w:i/>
          <w:i/>
          <w:szCs w:val="24"/>
        </w:rPr>
      </w:pPr>
      <w:r>
        <w:rPr/>
        <w:t>1,25 – «при выполнении полевых работ на территориях гидроэлектростанций» (п. 8 в Общих указаний) – на станциях Северного Кавказа и Амурской области;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567" w:leader="none"/>
        </w:tabs>
        <w:ind w:left="567" w:firstLine="567"/>
        <w:jc w:val="both"/>
        <w:rPr>
          <w:b/>
          <w:i/>
          <w:i/>
          <w:szCs w:val="24"/>
        </w:rPr>
      </w:pPr>
      <w:r>
        <w:rPr/>
        <w:t>1,15 – «при выполнении полевых работ на территориях гидроэлектростанций» (п. 8 в Общих указаний) – на всех гидроэлектростанциях, кроме станций Северного Кавказа и Амурской области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>Применение расценки, предусмотренной § 4 таблицы 73 «Изготовление копии профиля на кальке с оригинала, вычерченного в карандаше» обоснованно, если такой вид работ в действительности выполнялся (был предусмотрен заданием и/или программой работ).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>При определении стоимости ПИР в сметных расчетах указывать полное наименование нормативного документа, на основании, которого составляется сметная документация с указанием всех реквизитов документа.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>Проектная документация отдельных этапов строительства, реконструкции и различных видов объектов капитального строительства должна быть выполнена в соответствии с «Положением о составе разделов проектной документации и требованиях к их содержанию», утвержденным Постановлением Правительства РФ от 16.02.2008 №87.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>Пересчет сметной стоимости проектных (изыскательских) работ по состоянию на 01.01.2001г, 01.01.1995г. (1991г.) следует производить согласно индексам на указанные (проектные или изыскательские)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  <w:tab w:val="left" w:pos="426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 xml:space="preserve">При определении стоимости проектных работ от стоимости строительства по сборникам базовых цен на проектные работы для строительства, разработанным в уровне цен 2001 года необходимо руководствоваться пунктом 2.2 раздела </w:t>
      </w:r>
      <w:r>
        <w:rPr>
          <w:lang w:val="en-US"/>
        </w:rPr>
        <w:t>II</w:t>
      </w:r>
      <w:r>
        <w:rPr/>
        <w:t xml:space="preserve"> МУ. При определении стоимости проектных работ от стоимости строительства по сборникам базовых цен на проектные работы для строительства (изд. 1994-1999 гг.) стоимость строительства следует приводить к уровню цен по состоянию на 01.01.1991. Для пересчета стоимости строительно-монтажных работ и прочих затрат из уровня цен по состоянию на 01.01.2000 в уровень цен по состоянию 01.01.1991 и обратно использовать соответствующее отношение индексов пересчета из уровня цен 1991-го и 2000 года в уровень цен I квартала 2010 года, опубликованных в последней официальной публикации индексов Министерства регионального развития Российской Федерации к уровню цен 1991 года (письмо от 20 января 2010 г. № 1289-СК/08). При отсутствии разделения стоимости строительства на «Строительно-монтажные работы», «Оборудование» и «Прочие затраты» применяется индекс на строительно-монтажные работы».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>Решение о стоимости работ принимать коллегиально на уровне Департамента закупок и Департамента капитального строительства (в лице Управления организации проектной деятельности) с учетом индивидуального подхода по каждому объекту.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>При определении стоимости ПИР, затраты проектной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b/>
          <w:i/>
          <w:i/>
          <w:szCs w:val="24"/>
        </w:rPr>
      </w:pPr>
      <w:r>
        <w:rPr/>
        <w:t>Стоимость разработки раздела «Оценка воздействия на окружающую среду» принимается в размере не более 4% от общей стоимости проектных работ.</w:t>
      </w:r>
    </w:p>
    <w:p>
      <w:pPr>
        <w:pStyle w:val="ConsPlusNormal1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отсутствия в сметных нормативах, сведения о которых включены в ФРСН, показателей и нормативов цены проектных работ, стоимость работ по подготовке проектной документации определяется в соответствии с положениями МУ, либо по нормативному акту, пришедшему на смену данному документу.</w:t>
      </w:r>
    </w:p>
    <w:p>
      <w:pPr>
        <w:pStyle w:val="ConsPlusNormal1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работ, цены на которые отсутствуют в СБЦ и СЦ, внесенных в </w:t>
      </w:r>
      <w:r>
        <w:rPr>
          <w:rFonts w:cs="Times New Roman" w:ascii="Times New Roman" w:hAnsi="Times New Roman"/>
          <w:sz w:val="24"/>
          <w:szCs w:val="24"/>
        </w:rPr>
        <w:t>ФРСН</w:t>
      </w:r>
      <w:r>
        <w:rPr>
          <w:rFonts w:ascii="Times New Roman" w:hAnsi="Times New Roman"/>
          <w:sz w:val="24"/>
          <w:szCs w:val="24"/>
        </w:rPr>
        <w:t xml:space="preserve">, возможно определять сметным расчетом по себестоимости и сложившемуся уровню рентабельности (форма </w:t>
      </w:r>
      <w:r>
        <w:fldChar w:fldCharType="begin"/>
      </w:r>
      <w:r>
        <w:rPr>
          <w:sz w:val="24"/>
          <w:szCs w:val="24"/>
          <w:rFonts w:ascii="Times New Roman" w:hAnsi="Times New Roman"/>
        </w:rPr>
        <w:instrText xml:space="preserve"> HYPERLINK "smb://srvfs02.vniig.ru/departments/200_УПРАВЛЕНИЕ_ПРОЕКТИРОВАНИЯ/ДмитриеваВД/H:/AppData/Local Settings/Temporary Internet Files/OLK7/Пособие по инженерным изысканиям_2004.htm" \l "_blank"</w:instrText>
      </w:r>
      <w:r>
        <w:rPr>
          <w:sz w:val="24"/>
          <w:szCs w:val="24"/>
          <w:rFonts w:ascii="Times New Roman" w:hAnsi="Times New Roman"/>
        </w:rPr>
        <w:fldChar w:fldCharType="separate"/>
      </w:r>
      <w:r>
        <w:rPr>
          <w:rFonts w:ascii="Times New Roman" w:hAnsi="Times New Roman"/>
          <w:sz w:val="24"/>
          <w:szCs w:val="24"/>
        </w:rPr>
        <w:t>3п</w:t>
      </w:r>
      <w:r>
        <w:rPr>
          <w:sz w:val="24"/>
          <w:szCs w:val="24"/>
          <w:rFonts w:ascii="Times New Roman" w:hAnsi="Times New Roman"/>
        </w:rPr>
        <w:fldChar w:fldCharType="end"/>
      </w:r>
      <w:r>
        <w:rPr>
          <w:rFonts w:ascii="Times New Roman" w:hAnsi="Times New Roman"/>
          <w:sz w:val="24"/>
          <w:szCs w:val="24"/>
        </w:rPr>
        <w:t>) по согласованию с Заказчиком.</w:t>
      </w:r>
    </w:p>
    <w:p>
      <w:pPr>
        <w:pStyle w:val="ConsPlusNormal1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проведения государственной экспертизы проектных работ определяется согласно Постановлению Правительства РФ от 5 марта 2007 г. № 145 «О порядке организации и проведения государственной экспертизы проектной документации и результатов инженерных изысканий».</w:t>
      </w:r>
    </w:p>
    <w:p>
      <w:pPr>
        <w:pStyle w:val="ConsPlusNormal1"/>
        <w:widowControl/>
        <w:numPr>
          <w:ilvl w:val="0"/>
          <w:numId w:val="12"/>
        </w:numPr>
        <w:tabs>
          <w:tab w:val="clear" w:pos="708"/>
          <w:tab w:val="left" w:pos="284" w:leader="none"/>
          <w:tab w:val="left" w:pos="993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Сметы на ПИР предоставляются в форматах: «Excel» и «</w:t>
      </w:r>
      <w:r>
        <w:rPr>
          <w:rFonts w:cs="Times New Roman" w:ascii="Times New Roman" w:hAnsi="Times New Roman"/>
          <w:sz w:val="24"/>
          <w:szCs w:val="24"/>
          <w:lang w:val="en-US"/>
        </w:rPr>
        <w:t>pdf</w:t>
      </w:r>
      <w:r>
        <w:rPr>
          <w:rFonts w:cs="Times New Roman" w:ascii="Times New Roman" w:hAnsi="Times New Roman"/>
          <w:sz w:val="24"/>
          <w:szCs w:val="24"/>
        </w:rPr>
        <w:t>» (с подписями и печатью). Сметная документация в формате «Exce</w:t>
      </w:r>
      <w:r>
        <w:rPr>
          <w:rFonts w:cs="Times New Roman" w:ascii="Times New Roman" w:hAnsi="Times New Roman"/>
          <w:sz w:val="24"/>
          <w:szCs w:val="24"/>
          <w:lang w:val="en-US"/>
        </w:rPr>
        <w:t>l</w:t>
      </w:r>
      <w:r>
        <w:rPr>
          <w:rFonts w:cs="Times New Roman" w:ascii="Times New Roman" w:hAnsi="Times New Roman"/>
          <w:sz w:val="24"/>
          <w:szCs w:val="24"/>
        </w:rPr>
        <w:t>» должна быть представлена в одном файле с внесением ССРСС, ЛСР и других расчетов на отдельные листы (вкладки) документа.</w:t>
      </w:r>
    </w:p>
    <w:p>
      <w:pPr>
        <w:pStyle w:val="ConsPlusNormal1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вычислений </w:t>
      </w:r>
      <w:r>
        <w:rPr>
          <w:rFonts w:cs="Times New Roman" w:ascii="Times New Roman" w:hAnsi="Times New Roman"/>
          <w:sz w:val="24"/>
          <w:szCs w:val="24"/>
        </w:rPr>
        <w:t xml:space="preserve">(построчные) </w:t>
      </w:r>
      <w:r>
        <w:rPr>
          <w:rFonts w:ascii="Times New Roman" w:hAnsi="Times New Roman"/>
          <w:sz w:val="24"/>
          <w:szCs w:val="24"/>
        </w:rPr>
        <w:t xml:space="preserve">и итоговые данные в </w:t>
      </w:r>
      <w:r>
        <w:rPr>
          <w:rFonts w:cs="Times New Roman" w:ascii="Times New Roman" w:hAnsi="Times New Roman"/>
          <w:sz w:val="24"/>
          <w:szCs w:val="24"/>
        </w:rPr>
        <w:t>ЛСР (ЛС), приводятся в рублях,</w:t>
      </w:r>
    </w:p>
    <w:p>
      <w:pPr>
        <w:pStyle w:val="ConsPlusNormal1"/>
        <w:numPr>
          <w:ilvl w:val="0"/>
          <w:numId w:val="13"/>
        </w:numPr>
        <w:tabs>
          <w:tab w:val="clear" w:pos="708"/>
          <w:tab w:val="left" w:pos="567" w:leader="none"/>
        </w:tabs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базисно-индексном методе, с округлением до двух знаков после запятой (до копеек);</w:t>
      </w:r>
    </w:p>
    <w:p>
      <w:pPr>
        <w:pStyle w:val="ConsPlusNormal1"/>
        <w:numPr>
          <w:ilvl w:val="0"/>
          <w:numId w:val="13"/>
        </w:numPr>
        <w:tabs>
          <w:tab w:val="clear" w:pos="708"/>
          <w:tab w:val="left" w:pos="567" w:leader="none"/>
        </w:tabs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ресурсно-индексном и ресурсным методах, а также сметных расчетах на отдельные виды затрат - с округлением до целых единиц;</w:t>
      </w:r>
    </w:p>
    <w:p>
      <w:pPr>
        <w:pStyle w:val="ConsPlusNormal1"/>
        <w:numPr>
          <w:ilvl w:val="0"/>
          <w:numId w:val="13"/>
        </w:numPr>
        <w:tabs>
          <w:tab w:val="clear" w:pos="708"/>
          <w:tab w:val="left" w:pos="567" w:leader="none"/>
        </w:tabs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сводной смете - в рублях с округлением до целых единиц. </w:t>
      </w:r>
    </w:p>
    <w:p>
      <w:pPr>
        <w:pStyle w:val="ConsPlusNormal1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Командировочные расходы, учтенные в смете, подтверждаются отдельным расчетом.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Лимиты командировочных расходов при производстве ПИР: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суточные - 700 руб./сутки;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проживание – 4000 руб./сутки;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проезд: поезд (купе) или самолет (класс–эконом с багажом до 20 (двадцати) кг, ручная кладь до 10 (десяти) кг).</w:t>
      </w:r>
    </w:p>
    <w:p>
      <w:pPr>
        <w:pStyle w:val="Normal"/>
        <w:ind w:firstLine="567"/>
        <w:rPr>
          <w:b/>
          <w:i/>
          <w:i/>
          <w:color w:val="000000"/>
          <w:szCs w:val="24"/>
        </w:rPr>
      </w:pPr>
      <w:r>
        <w:rPr>
          <w:szCs w:val="24"/>
        </w:rPr>
        <w:t xml:space="preserve">    </w:t>
      </w:r>
      <w:r>
        <w:rPr>
          <w:b/>
          <w:i/>
          <w:color w:val="000000" w:themeColor="text1"/>
          <w:szCs w:val="24"/>
        </w:rPr>
        <w:t>Данные лимиты могут быть пересмотрены на этапе согласования технических требований.</w:t>
      </w:r>
    </w:p>
    <w:p>
      <w:pPr>
        <w:pStyle w:val="ConsPlusNormal1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 одновременной разработке проектной и полной или частичной разработке рабочей </w:t>
      </w:r>
    </w:p>
    <w:p>
      <w:pPr>
        <w:pStyle w:val="Normal"/>
        <w:tabs>
          <w:tab w:val="clear" w:pos="708"/>
          <w:tab w:val="left" w:pos="284" w:leader="none"/>
        </w:tabs>
        <w:ind w:firstLine="567"/>
        <w:jc w:val="both"/>
        <w:rPr>
          <w:szCs w:val="24"/>
        </w:rPr>
      </w:pPr>
      <w:r>
        <w:rPr>
          <w:szCs w:val="24"/>
        </w:rPr>
        <w:t>документации, суммарный процент базовой цены определяется по согласованию между Заказчиком и Подрядчиком в зависимости от архитектурных, функционально-технологических, конструктивных и инженерно-технических решений, содержащихся в проектной документации и степени их детализации.</w:t>
      </w:r>
    </w:p>
    <w:p>
      <w:pPr>
        <w:pStyle w:val="ConsPlusNormal1"/>
        <w:numPr>
          <w:ilvl w:val="0"/>
          <w:numId w:val="12"/>
        </w:numPr>
        <w:tabs>
          <w:tab w:val="clear" w:pos="708"/>
          <w:tab w:val="left" w:pos="284" w:leader="none"/>
        </w:tabs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Выполнение обследований и обмерных работ на объектах, подлежащих реконструкции, </w:t>
      </w:r>
    </w:p>
    <w:p>
      <w:pPr>
        <w:pStyle w:val="Normal"/>
        <w:tabs>
          <w:tab w:val="clear" w:pos="708"/>
          <w:tab w:val="left" w:pos="284" w:leader="none"/>
          <w:tab w:val="left" w:pos="993" w:leader="none"/>
        </w:tabs>
        <w:ind w:firstLine="567"/>
        <w:jc w:val="both"/>
        <w:rPr>
          <w:szCs w:val="24"/>
        </w:rPr>
      </w:pPr>
      <w:r>
        <w:rPr>
          <w:szCs w:val="24"/>
        </w:rPr>
        <w:t xml:space="preserve">расширению и техническому перевооружению рассчитывается по соответствующим Справочникам и относится в </w:t>
      </w:r>
      <w:r>
        <w:rPr>
          <w:color w:val="000000"/>
          <w:szCs w:val="24"/>
        </w:rPr>
        <w:t>главу 1 ССРСС.</w:t>
      </w:r>
      <w:r>
        <w:rPr>
          <w:szCs w:val="24"/>
        </w:rPr>
        <w:t xml:space="preserve"> Стоимость данных работ не включается в расчет стоимости проведения государственной экспертизы.</w:t>
      </w:r>
    </w:p>
    <w:p>
      <w:pPr>
        <w:pStyle w:val="Normal"/>
        <w:ind w:firstLine="567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p>
      <w:pPr>
        <w:pStyle w:val="Normal"/>
        <w:ind w:left="5811" w:firstLine="567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>
      <w:pPr>
        <w:pStyle w:val="Normal"/>
        <w:ind w:left="5811" w:firstLine="567"/>
        <w:rPr>
          <w:sz w:val="20"/>
          <w:szCs w:val="20"/>
        </w:rPr>
      </w:pPr>
      <w:r>
        <w:rPr>
          <w:sz w:val="20"/>
          <w:szCs w:val="20"/>
        </w:rPr>
        <w:t>к Требованиям к оформлению и составлению сметной документации на выполнение проектных и изыскательских работ</w:t>
      </w:r>
    </w:p>
    <w:p>
      <w:pPr>
        <w:pStyle w:val="Normal"/>
        <w:ind w:left="5811" w:firstLine="567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ind w:firstLine="567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ПОЯСНИТЕЛЬНАЯ ЗАПИСКА </w:t>
      </w:r>
    </w:p>
    <w:p>
      <w:pPr>
        <w:pStyle w:val="Normal"/>
        <w:ind w:firstLine="567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по заполнению формы №3п</w:t>
      </w:r>
    </w:p>
    <w:p>
      <w:pPr>
        <w:pStyle w:val="Normal"/>
        <w:ind w:firstLine="567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при составлении смет на ПИР.</w:t>
      </w:r>
    </w:p>
    <w:p>
      <w:pPr>
        <w:pStyle w:val="Normal"/>
        <w:tabs>
          <w:tab w:val="clear" w:pos="708"/>
          <w:tab w:val="left" w:pos="1080" w:leader="none"/>
        </w:tabs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993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При составлении сметного расчета по трудозатратам (форма №3п), разработанным организацией, выполняющей ПИР, обоснование расчета трудозатрат представляется заказчику по его просьбе. Сметные расчеты составляются в ценах текущего периода.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993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993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Форма сметы для определения затрат по себестоимости и уровню рентабельности (форма 3п) приведена в образце 3П Приложения 2.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993" w:leader="none"/>
        </w:tabs>
        <w:ind w:left="0" w:firstLine="567"/>
        <w:jc w:val="both"/>
        <w:rPr>
          <w:b/>
          <w:i/>
          <w:i/>
          <w:szCs w:val="24"/>
        </w:rPr>
      </w:pPr>
      <w:r>
        <w:rPr/>
        <w:t xml:space="preserve">Результаты вычислений и итоговые данные по разделам расчета </w:t>
      </w:r>
      <w:r>
        <w:rPr>
          <w:u w:val="single"/>
        </w:rPr>
        <w:t>округлять до целых рублей.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Особенности заполнения формы №3п.</w:t>
      </w:r>
    </w:p>
    <w:p>
      <w:pPr>
        <w:pStyle w:val="Normal"/>
        <w:tabs>
          <w:tab w:val="clear" w:pos="708"/>
          <w:tab w:val="left" w:pos="993" w:leader="none"/>
        </w:tabs>
        <w:ind w:firstLine="567"/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Раздел 1. Расчет заработной платы: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1 приводится нумерация выполняемых работ;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2 приводится наименование выполняемых работ;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3 указывается количество привлекаемых работников;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временным нормам;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графе 7 указывается заработная плата в рублях (</w:t>
      </w:r>
      <w:r>
        <w:rPr>
          <w:b/>
          <w:color w:val="000000"/>
          <w:u w:val="single"/>
        </w:rPr>
        <w:t>результат перемножения граф 5 и 6</w:t>
      </w:r>
      <w:r>
        <w:rPr>
          <w:color w:val="000000"/>
        </w:rPr>
        <w:t>);</w:t>
      </w:r>
    </w:p>
    <w:p>
      <w:pPr>
        <w:pStyle w:val="ListParagraph"/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работ, выполненных главным инженером проекта, или на базе имеющихся в организации проработок, определяющих нормативы их трудоемкости.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567"/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Раздел 2. Расчет стоимости выполнения работ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пункте 2.1 указывается процент заработной платы производственного персонала в составе себестоимости (</w:t>
      </w:r>
      <w:r>
        <w:rPr>
          <w:b/>
          <w:color w:val="000000"/>
          <w:u w:val="single"/>
        </w:rPr>
        <w:t>без учета субподрядных работ</w:t>
      </w:r>
      <w:r>
        <w:rPr>
          <w:color w:val="000000"/>
        </w:rPr>
        <w:t>), находящийся в пределах не менее 30%–уточняется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документом организации.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пункте 2.2 производится расчет себестоимости работ на основании выполненного в разделе 1 расчета заработной платы и ее процента в составе себестоимости работ (отношение итога графы 7 раздела 1 к пункту 2.1);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уровень рентабельности по отношению к себестоимости может составлять до 15%.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К сметной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3П).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567"/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Раздел 3. Расчет командировочных расходов.</w:t>
      </w:r>
    </w:p>
    <w:p>
      <w:pPr>
        <w:pStyle w:val="Normal"/>
        <w:tabs>
          <w:tab w:val="clear" w:pos="708"/>
          <w:tab w:val="left" w:pos="993" w:leader="none"/>
        </w:tabs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Командировочные расходы включаются в сметный расчет отдельной строкой (пункт 3 формы 3П) по отдельно выполненному расчету с расшифровкой затрат на проезд, проживание, суточные расходы. 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Лимиты командировочных расходов при производстве ПИР: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суточные - 700 руб./сутки;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проживание – 4000 руб./сутки;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color w:val="000000"/>
        </w:rPr>
      </w:pPr>
      <w:r>
        <w:rPr>
          <w:color w:val="000000"/>
        </w:rPr>
        <w:t>проезд: поезд (купе) или самолет (класс–эконом с багажом до 20 (двадцати) кг, ручная кладь до 10 (десяти) кг).</w:t>
      </w:r>
    </w:p>
    <w:p>
      <w:pPr>
        <w:pStyle w:val="ListParagraph"/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b/>
          <w:i/>
          <w:i/>
          <w:color w:val="000000"/>
        </w:rPr>
      </w:pPr>
      <w:r>
        <w:rPr>
          <w:b/>
          <w:i/>
          <w:color w:val="000000" w:themeColor="text1"/>
        </w:rPr>
        <w:t>Данные лимиты могут быть пересмотрены на этапе согласования технических требований.</w:t>
      </w:r>
    </w:p>
    <w:p>
      <w:pPr>
        <w:pStyle w:val="ListParagraph"/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b/>
          <w:i/>
          <w:i/>
          <w:szCs w:val="24"/>
        </w:rPr>
      </w:pPr>
      <w:r>
        <w:rPr/>
        <w:t>При учете командировочных расходов стоимость проезда (авиа-, ж/д, …) определяется Методом анализа ТКП в соответствии с Методикой формирования плановой цены на закупаемую продукцию для организаций Группы РусГидро (далее – Методика ПЦ)</w:t>
      </w:r>
      <w:r>
        <w:rPr>
          <w:b/>
        </w:rPr>
        <w:t>, (Приложение №2 Обоснование расчета плановой цены)</w:t>
      </w:r>
      <w:r>
        <w:rPr/>
        <w:t>.</w:t>
      </w:r>
    </w:p>
    <w:p>
      <w:pPr>
        <w:pStyle w:val="ListParagraph"/>
        <w:tabs>
          <w:tab w:val="clear" w:pos="708"/>
          <w:tab w:val="left" w:pos="993" w:leader="none"/>
          <w:tab w:val="left" w:pos="1080" w:leader="none"/>
        </w:tabs>
        <w:ind w:left="0" w:firstLine="567"/>
        <w:jc w:val="both"/>
        <w:rPr>
          <w:b/>
          <w:i/>
          <w:i/>
          <w:szCs w:val="24"/>
        </w:rPr>
      </w:pPr>
      <w:r>
        <w:rPr/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ind w:firstLine="567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№1</w:t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>к пояснительной записке</w:t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по заполнению формы 3П</w:t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5811" w:firstLine="567"/>
        <w:jc w:val="center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ind w:firstLine="567"/>
        <w:jc w:val="center"/>
        <w:rPr>
          <w:b/>
          <w:szCs w:val="24"/>
        </w:rPr>
      </w:pPr>
      <w:r>
        <w:rPr>
          <w:b/>
          <w:szCs w:val="24"/>
        </w:rPr>
        <w:t>СПРАВКА от______________ (указать дату составления справки) (Образец)</w:t>
      </w:r>
    </w:p>
    <w:p>
      <w:pPr>
        <w:pStyle w:val="Normal"/>
        <w:ind w:firstLine="567"/>
        <w:rPr>
          <w:szCs w:val="24"/>
        </w:rPr>
      </w:pPr>
      <w:r>
        <w:rPr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>
      <w:pPr>
        <w:pStyle w:val="Normal"/>
        <w:ind w:firstLine="567"/>
        <w:rPr>
          <w:szCs w:val="24"/>
        </w:rPr>
      </w:pPr>
      <w:r>
        <w:rPr>
          <w:szCs w:val="24"/>
        </w:rPr>
      </w:r>
    </w:p>
    <w:tbl>
      <w:tblPr>
        <w:tblW w:w="879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47"/>
        <w:gridCol w:w="3942"/>
        <w:gridCol w:w="3104"/>
      </w:tblGrid>
      <w:tr>
        <w:trPr>
          <w:trHeight w:val="325" w:hRule="atLeast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№ </w:t>
            </w:r>
            <w:r>
              <w:rPr>
                <w:color w:val="000000"/>
                <w:szCs w:val="24"/>
              </w:rPr>
              <w:t>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szCs w:val="24"/>
              </w:rPr>
            </w:pPr>
            <w:r>
              <w:rPr>
                <w:szCs w:val="24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szCs w:val="24"/>
              </w:rPr>
            </w:pPr>
            <w:r>
              <w:rPr>
                <w:szCs w:val="24"/>
              </w:rPr>
              <w:t>Заработная плата в день, в руб.</w:t>
            </w:r>
          </w:p>
        </w:tc>
      </w:tr>
      <w:tr>
        <w:trPr>
          <w:trHeight w:val="630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szCs w:val="24"/>
              </w:rPr>
            </w:pPr>
            <w:r>
              <w:rPr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</w:p>
        </w:tc>
      </w:tr>
      <w:tr>
        <w:trPr>
          <w:trHeight w:val="581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szCs w:val="24"/>
              </w:rPr>
            </w:pPr>
            <w:r>
              <w:rPr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</w:p>
        </w:tc>
      </w:tr>
      <w:tr>
        <w:trPr>
          <w:trHeight w:val="634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szCs w:val="24"/>
              </w:rPr>
            </w:pPr>
            <w:r>
              <w:rPr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567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</w:p>
        </w:tc>
      </w:tr>
    </w:tbl>
    <w:p>
      <w:pPr>
        <w:pStyle w:val="Normal"/>
        <w:ind w:firstLine="567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  <w:t>Доля заработной платы в себестоимости работ, выполняемых собственными /силами___ (%)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b/>
          <w:szCs w:val="24"/>
        </w:rPr>
      </w:pPr>
      <w:r>
        <w:rPr>
          <w:szCs w:val="24"/>
        </w:rPr>
        <w:t>Рентабельность предприятия_______ (%)</w:t>
      </w:r>
    </w:p>
    <w:p>
      <w:pPr>
        <w:pStyle w:val="Normal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(Должность единоличного исполнительного органа контрагента/подрядчика)</w:t>
        <w:tab/>
        <w:tab/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(краткое/полное наименование организации) ________________ (ФИО)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м.п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(Главный бухгалтер)</w:t>
      </w:r>
      <w:r>
        <w:rPr>
          <w:rStyle w:val="FootnoteReference"/>
          <w:rFonts w:eastAsia="Arial"/>
        </w:rPr>
        <w:footnoteReference w:id="2"/>
      </w:r>
      <w:r>
        <w:rPr>
          <w:szCs w:val="24"/>
        </w:rPr>
        <w:tab/>
        <w:tab/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(краткое/полное наименование организации контрагента/подрядчика) ________________ (ФИО)</w:t>
      </w:r>
    </w:p>
    <w:p>
      <w:pPr>
        <w:pStyle w:val="Normal"/>
        <w:jc w:val="both"/>
        <w:rPr>
          <w:szCs w:val="24"/>
        </w:rPr>
      </w:pPr>
      <w:r>
        <w:rPr>
          <w:szCs w:val="24"/>
        </w:rPr>
        <w:t>м.п</w:t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ind w:firstLine="567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p>
      <w:pPr>
        <w:pStyle w:val="Normal"/>
        <w:ind w:left="5811" w:firstLine="1"/>
        <w:rPr>
          <w:sz w:val="20"/>
          <w:szCs w:val="20"/>
        </w:rPr>
      </w:pPr>
      <w:r>
        <w:rPr>
          <w:sz w:val="20"/>
          <w:szCs w:val="20"/>
        </w:rPr>
        <w:t>Приложение № 2</w:t>
      </w:r>
    </w:p>
    <w:p>
      <w:pPr>
        <w:pStyle w:val="Normal"/>
        <w:ind w:left="5811" w:firstLine="1"/>
        <w:rPr>
          <w:sz w:val="20"/>
          <w:szCs w:val="20"/>
        </w:rPr>
      </w:pPr>
      <w:r>
        <w:rPr>
          <w:sz w:val="20"/>
          <w:szCs w:val="20"/>
        </w:rPr>
        <w:t>к Требованиям к оформлению и составлению сметной документации на выполнение ПИР</w:t>
      </w:r>
    </w:p>
    <w:p>
      <w:pPr>
        <w:pStyle w:val="Normal"/>
        <w:shd w:val="clear" w:color="auto" w:fill="FFFFFF"/>
        <w:ind w:firstLine="567"/>
        <w:jc w:val="center"/>
        <w:rPr>
          <w:b/>
          <w:bCs/>
          <w:iCs/>
          <w:spacing w:val="-4"/>
          <w:szCs w:val="24"/>
        </w:rPr>
      </w:pPr>
      <w:r>
        <w:rPr>
          <w:b/>
          <w:bCs/>
          <w:iCs/>
          <w:spacing w:val="-4"/>
          <w:szCs w:val="24"/>
        </w:rPr>
      </w:r>
    </w:p>
    <w:p>
      <w:pPr>
        <w:pStyle w:val="Normal"/>
        <w:shd w:val="clear" w:color="auto" w:fill="FFFFFF"/>
        <w:ind w:firstLine="567"/>
        <w:jc w:val="center"/>
        <w:rPr>
          <w:b/>
          <w:spacing w:val="-4"/>
          <w:szCs w:val="24"/>
        </w:rPr>
      </w:pPr>
      <w:r>
        <w:rPr>
          <w:b/>
          <w:bCs/>
          <w:iCs/>
          <w:spacing w:val="-4"/>
          <w:szCs w:val="24"/>
        </w:rPr>
        <w:t>Образцы оформления сметной документации на проектные (изыскательские) работы</w:t>
      </w:r>
    </w:p>
    <w:p>
      <w:pPr>
        <w:pStyle w:val="Normal"/>
        <w:shd w:val="clear" w:color="auto" w:fill="FFFFFF"/>
        <w:ind w:right="565" w:firstLine="567"/>
        <w:jc w:val="center"/>
        <w:rPr>
          <w:b/>
          <w:szCs w:val="24"/>
        </w:rPr>
      </w:pPr>
      <w:r>
        <w:rPr>
          <w:b/>
          <w:szCs w:val="24"/>
        </w:rPr>
        <w:t>Образец 2П</w:t>
      </w:r>
    </w:p>
    <w:p>
      <w:pPr>
        <w:pStyle w:val="Normal"/>
        <w:shd w:val="clear" w:color="auto" w:fill="FFFFFF"/>
        <w:ind w:right="565" w:firstLine="567"/>
        <w:jc w:val="center"/>
        <w:rPr>
          <w:b/>
          <w:szCs w:val="24"/>
        </w:rPr>
      </w:pPr>
      <w:r>
        <w:rPr>
          <w:b/>
          <w:szCs w:val="24"/>
        </w:rPr>
      </w:r>
    </w:p>
    <w:tbl>
      <w:tblPr>
        <w:tblW w:w="982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23"/>
      </w:tblGrid>
      <w:tr>
        <w:trPr/>
        <w:tc>
          <w:tcPr>
            <w:tcW w:w="9823" w:type="dxa"/>
            <w:tcBorders/>
          </w:tcPr>
          <w:p>
            <w:pPr>
              <w:pStyle w:val="Normal"/>
              <w:widowControl w:val="false"/>
              <w:shd w:val="clear" w:color="auto" w:fill="FFFFFF"/>
              <w:ind w:left="5088" w:firstLine="1"/>
              <w:rPr>
                <w:szCs w:val="24"/>
              </w:rPr>
            </w:pPr>
            <w:r>
              <w:rPr>
                <w:szCs w:val="24"/>
              </w:rPr>
              <w:t>Приложение № ____к договору № _____</w:t>
            </w:r>
          </w:p>
          <w:p>
            <w:pPr>
              <w:pStyle w:val="Normal"/>
              <w:widowControl w:val="false"/>
              <w:shd w:val="clear" w:color="auto" w:fill="FFFFFF"/>
              <w:ind w:left="5088" w:firstLine="1"/>
              <w:rPr>
                <w:szCs w:val="24"/>
              </w:rPr>
            </w:pPr>
            <w:r>
              <w:rPr>
                <w:szCs w:val="24"/>
              </w:rPr>
              <w:t>от__________</w:t>
            </w:r>
          </w:p>
          <w:p>
            <w:pPr>
              <w:pStyle w:val="Normal"/>
              <w:widowControl w:val="false"/>
              <w:shd w:val="clear" w:color="auto" w:fill="FFFFFF"/>
              <w:ind w:left="3829" w:firstLine="1"/>
              <w:rPr>
                <w:szCs w:val="24"/>
              </w:rPr>
            </w:pPr>
            <w:r>
              <w:rPr>
                <w:szCs w:val="24"/>
              </w:rPr>
            </w:r>
          </w:p>
          <w:tbl>
            <w:tblPr>
              <w:tblW w:w="948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5284"/>
              <w:gridCol w:w="4197"/>
            </w:tblGrid>
            <w:tr>
              <w:trPr>
                <w:trHeight w:val="417" w:hRule="atLeast"/>
              </w:trPr>
              <w:tc>
                <w:tcPr>
                  <w:tcW w:w="5284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_________________(Подрядчик)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__________________ Ф.И.О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4197" w:type="dxa"/>
                  <w:tcBorders/>
                </w:tcPr>
                <w:p>
                  <w:pPr>
                    <w:pStyle w:val="Normal"/>
                    <w:widowControl w:val="false"/>
                    <w:ind w:firstLine="1"/>
                    <w:rPr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bCs/>
                      <w:szCs w:val="24"/>
                    </w:rPr>
                  </w:pPr>
                  <w:r>
                    <w:rPr>
                      <w:szCs w:val="24"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 Ф.И.О.</w:t>
                  </w:r>
                </w:p>
                <w:p>
                  <w:pPr>
                    <w:pStyle w:val="Normal"/>
                    <w:widowControl w:val="false"/>
                    <w:ind w:firstLine="1"/>
                    <w:rPr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ind w:firstLine="1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СМЕТА № </w:t>
              <w:br/>
              <w:t>на проектные (изыскательские) работы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Наименование предприятия, здания, сооружения, стадии проектирования, этапа, вида проектных или изыскательских работ__________________________________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Наименование проектной (изыскательской) организации__________________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pBdr>
                <w:bottom w:val="single" w:sz="12" w:space="1" w:color="000000"/>
              </w:pBdr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Наименование организации заказчика__________________________________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Составлена в текущих ценах, соответствующих периоду выполнения работ по договору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руб.</w:t>
            </w:r>
          </w:p>
          <w:tbl>
            <w:tblPr>
              <w:tblW w:w="9566" w:type="dxa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410"/>
              <w:gridCol w:w="2124"/>
              <w:gridCol w:w="3373"/>
              <w:gridCol w:w="1983"/>
              <w:gridCol w:w="1676"/>
            </w:tblGrid>
            <w:tr>
              <w:trPr>
                <w:tblHeader w:val="true"/>
              </w:trPr>
              <w:tc>
                <w:tcPr>
                  <w:tcW w:w="41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№ </w:t>
                  </w:r>
                  <w:r>
                    <w:rPr>
                      <w:szCs w:val="24"/>
                    </w:rPr>
                    <w:t>пп</w:t>
                  </w:r>
                </w:p>
              </w:tc>
              <w:tc>
                <w:tcPr>
                  <w:tcW w:w="2124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Характеристика предприятия, здания, сооружения или виды работ</w:t>
                  </w:r>
                </w:p>
              </w:tc>
              <w:tc>
                <w:tcPr>
                  <w:tcW w:w="3373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Номер частей, глав, таблиц, процентов, параграфов и пунктов указаний к разделу Справочника базовых цен на проектные и изыскательские работы для строительства</w:t>
                  </w:r>
                </w:p>
              </w:tc>
              <w:tc>
                <w:tcPr>
                  <w:tcW w:w="198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Расчет стоимости:</w:t>
                    <w:br/>
                    <w:t xml:space="preserve"> (a + bx) </w:t>
                  </w:r>
                  <w:r>
                    <w:rPr>
                      <w:rFonts w:eastAsia="Symbol" w:cs="Symbol" w:ascii="Symbol" w:hAnsi="Symbol"/>
                      <w:szCs w:val="24"/>
                    </w:rPr>
                    <w:t></w:t>
                  </w:r>
                  <w:r>
                    <w:rPr>
                      <w:szCs w:val="24"/>
                    </w:rPr>
                    <w:t xml:space="preserve"> K</w:t>
                  </w:r>
                  <w:r>
                    <w:rPr>
                      <w:szCs w:val="24"/>
                      <w:vertAlign w:val="subscript"/>
                    </w:rPr>
                    <w:t>i</w:t>
                  </w:r>
                  <w:r>
                    <w:rPr>
                      <w:szCs w:val="24"/>
                    </w:rPr>
                    <w:t xml:space="preserve">, или (объем строительно-монтажных работ) </w:t>
                  </w:r>
                  <w:r>
                    <w:rPr>
                      <w:rFonts w:eastAsia="Symbol" w:cs="Symbol" w:ascii="Symbol" w:hAnsi="Symbol"/>
                      <w:szCs w:val="24"/>
                    </w:rPr>
                    <w:t></w:t>
                  </w:r>
                  <w:r>
                    <w:rPr>
                      <w:szCs w:val="24"/>
                    </w:rPr>
                    <w:t xml:space="preserve"> проц.</w:t>
                  </w:r>
                </w:p>
              </w:tc>
              <w:tc>
                <w:tcPr>
                  <w:tcW w:w="1676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Стоимость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410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124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3373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8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100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или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количество </w:t>
                  </w:r>
                  <w:r>
                    <w:rPr>
                      <w:rFonts w:eastAsia="Symbol" w:cs="Symbol" w:ascii="Symbol" w:hAnsi="Symbol"/>
                      <w:szCs w:val="24"/>
                    </w:rPr>
                    <w:t></w:t>
                  </w:r>
                  <w:r>
                    <w:rPr>
                      <w:szCs w:val="24"/>
                    </w:rPr>
                    <w:t xml:space="preserve"> цена</w:t>
                  </w:r>
                </w:p>
              </w:tc>
              <w:tc>
                <w:tcPr>
                  <w:tcW w:w="1676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4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2124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337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98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6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5</w:t>
                  </w:r>
                </w:p>
              </w:tc>
            </w:tr>
            <w:tr>
              <w:trPr/>
              <w:tc>
                <w:tcPr>
                  <w:tcW w:w="410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12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337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8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676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41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12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337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8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67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ind w:firstLine="1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  <w:t>Составил:___________/должность, организация/____________/подпись/___________/расшифровка подписи/</w:t>
            </w:r>
          </w:p>
          <w:p>
            <w:pPr>
              <w:pStyle w:val="Normal"/>
              <w:widowControl w:val="false"/>
              <w:shd w:val="clear" w:color="auto" w:fill="FFFFFF"/>
              <w:ind w:firstLine="1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ind w:firstLine="1"/>
              <w:rPr>
                <w:szCs w:val="24"/>
              </w:rPr>
            </w:pPr>
            <w:r>
              <w:rPr>
                <w:szCs w:val="24"/>
              </w:rPr>
              <w:t>Проверил:___________/должность, организация/___________/подпись/________/расшифровка подписи/</w:t>
            </w:r>
          </w:p>
        </w:tc>
      </w:tr>
      <w:tr>
        <w:trPr/>
        <w:tc>
          <w:tcPr>
            <w:tcW w:w="9823" w:type="dxa"/>
            <w:tcBorders/>
          </w:tcPr>
          <w:p>
            <w:pPr>
              <w:pStyle w:val="Normal"/>
              <w:widowControl w:val="false"/>
              <w:ind w:firstLine="1"/>
              <w:rPr>
                <w:szCs w:val="24"/>
              </w:rPr>
            </w:pPr>
            <w:r>
              <w:rPr>
                <w:szCs w:val="24"/>
              </w:rPr>
            </w:r>
          </w:p>
        </w:tc>
      </w:tr>
    </w:tbl>
    <w:p>
      <w:pPr>
        <w:pStyle w:val="Normal"/>
        <w:widowControl w:val="false"/>
        <w:ind w:firstLine="1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ind w:firstLine="567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tbl>
      <w:tblPr>
        <w:tblW w:w="1028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281"/>
      </w:tblGrid>
      <w:tr>
        <w:trPr/>
        <w:tc>
          <w:tcPr>
            <w:tcW w:w="10281" w:type="dxa"/>
            <w:tcBorders/>
          </w:tcPr>
          <w:p>
            <w:pPr>
              <w:pStyle w:val="Normal"/>
              <w:pageBreakBefore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ind w:left="5811" w:hanging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Приложение к</w:t>
            </w:r>
          </w:p>
          <w:p>
            <w:pPr>
              <w:pStyle w:val="Normal"/>
              <w:widowControl w:val="false"/>
              <w:shd w:val="clear" w:color="auto" w:fill="FFFFFF"/>
              <w:ind w:left="5811" w:hanging="0"/>
              <w:rPr>
                <w:szCs w:val="24"/>
              </w:rPr>
            </w:pPr>
            <w:r>
              <w:rPr>
                <w:szCs w:val="24"/>
              </w:rPr>
              <w:t>_(договору, дополнительному соглашению)_________________________________________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</w:r>
          </w:p>
          <w:tbl>
            <w:tblPr>
              <w:tblW w:w="906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4858"/>
              <w:gridCol w:w="4201"/>
            </w:tblGrid>
            <w:tr>
              <w:trPr>
                <w:trHeight w:val="417" w:hRule="atLeast"/>
              </w:trPr>
              <w:tc>
                <w:tcPr>
                  <w:tcW w:w="4858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 (Подрядчик)</w:t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 Ф.И.О.</w:t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4201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rPr>
                      <w:bCs/>
                      <w:szCs w:val="24"/>
                    </w:rPr>
                  </w:pPr>
                  <w:r>
                    <w:rPr>
                      <w:szCs w:val="24"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rPr>
                      <w:bCs/>
                      <w:szCs w:val="24"/>
                    </w:rPr>
                  </w:pPr>
                  <w:r>
                    <w:rPr>
                      <w:bCs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_________________ Ф.И.О</w:t>
                  </w:r>
                </w:p>
                <w:p>
                  <w:pPr>
                    <w:pStyle w:val="Normal"/>
                    <w:widowControl w:val="false"/>
                    <w:rPr>
                      <w:b/>
                      <w:bCs/>
                      <w:szCs w:val="24"/>
                    </w:rPr>
                  </w:pPr>
                  <w:r>
                    <w:rPr>
                      <w:b/>
                      <w:bCs/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СМЕТА № </w:t>
              <w:br/>
              <w:t>на проектные (изыскательские) работы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Наименование предприятия, здания, сооружения, стадии проектирования, этапа, вида проектных или изыскательских работ__________________________________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Наименование проектной (изыскательской) организации__________________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pBdr>
                <w:bottom w:val="single" w:sz="12" w:space="1" w:color="000000"/>
              </w:pBdr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Наименование организации заказчика__________________________________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Составлена в текущих ценах, соответствующих периоду выполнения работ по договору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b/>
                <w:szCs w:val="24"/>
              </w:rPr>
              <w:t>1. Расчет заработной платы</w:t>
            </w:r>
            <w:r>
              <w:rPr>
                <w:szCs w:val="24"/>
              </w:rPr>
              <w:tab/>
              <w:tab/>
              <w:tab/>
              <w:tab/>
              <w:tab/>
              <w:tab/>
              <w:tab/>
              <w:tab/>
              <w:t>руб.</w:t>
            </w:r>
          </w:p>
          <w:tbl>
            <w:tblPr>
              <w:tblW w:w="5000" w:type="pct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581"/>
              <w:gridCol w:w="2339"/>
              <w:gridCol w:w="1266"/>
              <w:gridCol w:w="1180"/>
              <w:gridCol w:w="1381"/>
              <w:gridCol w:w="1383"/>
              <w:gridCol w:w="1934"/>
            </w:tblGrid>
            <w:tr>
              <w:trPr>
                <w:tblHeader w:val="true"/>
              </w:trPr>
              <w:tc>
                <w:tcPr>
                  <w:tcW w:w="581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№ </w:t>
                  </w:r>
                  <w:r>
                    <w:rPr>
                      <w:szCs w:val="24"/>
                    </w:rPr>
                    <w:t>п.п.</w:t>
                  </w:r>
                </w:p>
              </w:tc>
              <w:tc>
                <w:tcPr>
                  <w:tcW w:w="2339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Перечень выполняемых работ</w:t>
                  </w:r>
                </w:p>
              </w:tc>
              <w:tc>
                <w:tcPr>
                  <w:tcW w:w="2446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Исполнители</w:t>
                  </w:r>
                </w:p>
              </w:tc>
              <w:tc>
                <w:tcPr>
                  <w:tcW w:w="1381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Количество человеко-дней</w:t>
                  </w:r>
                </w:p>
              </w:tc>
              <w:tc>
                <w:tcPr>
                  <w:tcW w:w="138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Средняя оплата труда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>за 1 день</w:t>
                  </w:r>
                </w:p>
              </w:tc>
              <w:tc>
                <w:tcPr>
                  <w:tcW w:w="1934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Оплата труда (всего)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581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339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26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количество</w:t>
                  </w:r>
                </w:p>
              </w:tc>
              <w:tc>
                <w:tcPr>
                  <w:tcW w:w="118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должность</w:t>
                  </w:r>
                </w:p>
              </w:tc>
              <w:tc>
                <w:tcPr>
                  <w:tcW w:w="1381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83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34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2339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126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18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38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6</w:t>
                  </w:r>
                </w:p>
              </w:tc>
              <w:tc>
                <w:tcPr>
                  <w:tcW w:w="1934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7</w:t>
                  </w:r>
                </w:p>
              </w:tc>
            </w:tr>
            <w:tr>
              <w:trPr/>
              <w:tc>
                <w:tcPr>
                  <w:tcW w:w="581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339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26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18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81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83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3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81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33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26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18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8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383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93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Итого заработной платы, в руб.______________________________________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b/>
                <w:szCs w:val="24"/>
              </w:rPr>
            </w:pPr>
            <w:r>
              <w:rPr>
                <w:b/>
                <w:szCs w:val="24"/>
              </w:rPr>
              <w:t>2. Расчет стоимости выполнения работ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2.1 Процент заработной платы в составе себестоимости, %_______________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2.2 Себестоимость работ____________________________________________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2.3 Уровень рентабельности, %______________________________________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b/>
                <w:bCs/>
                <w:szCs w:val="24"/>
              </w:rPr>
              <w:t>Итого:</w:t>
            </w:r>
            <w:r>
              <w:rPr>
                <w:szCs w:val="24"/>
              </w:rPr>
              <w:t>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3 Командировочные расходы (по расчету)_____________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b/>
                <w:szCs w:val="24"/>
              </w:rPr>
              <w:t>Всего (руб.)</w:t>
            </w:r>
            <w:r>
              <w:rPr>
                <w:szCs w:val="24"/>
              </w:rPr>
              <w:t>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(сумма прописью)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Составил:______________/должность, организация/__________/подпись/_______/расшифровка подписи/</w:t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Проверил:___________/должность, организация/_____________/подпись/_______ /расшифровка подписи/</w:t>
            </w:r>
          </w:p>
        </w:tc>
      </w:tr>
      <w:tr>
        <w:trPr/>
        <w:tc>
          <w:tcPr>
            <w:tcW w:w="10281" w:type="dxa"/>
            <w:tcBorders/>
          </w:tcPr>
          <w:p>
            <w:pPr>
              <w:pStyle w:val="Normal"/>
              <w:widowControl w:val="false"/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</w:r>
          </w:p>
        </w:tc>
      </w:tr>
    </w:tbl>
    <w:p>
      <w:pPr>
        <w:pStyle w:val="Normal"/>
        <w:widowControl w:val="false"/>
        <w:ind w:firstLine="567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№2</w:t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>к пояснительной записке</w:t>
      </w:r>
    </w:p>
    <w:p>
      <w:pPr>
        <w:pStyle w:val="Normal"/>
        <w:ind w:left="5811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по заполнению формы 3П</w:t>
      </w:r>
    </w:p>
    <w:p>
      <w:pPr>
        <w:pStyle w:val="Normal"/>
        <w:ind w:left="6373" w:firstLine="567"/>
        <w:rPr>
          <w:szCs w:val="24"/>
        </w:rPr>
      </w:pPr>
      <w:r>
        <w:rPr>
          <w:szCs w:val="24"/>
        </w:rPr>
      </w:r>
    </w:p>
    <w:p>
      <w:pPr>
        <w:pStyle w:val="Normal"/>
        <w:ind w:firstLine="567"/>
        <w:rPr>
          <w:color w:val="FF0000"/>
          <w:szCs w:val="24"/>
        </w:rPr>
      </w:pPr>
      <w:r>
        <w:rPr>
          <w:color w:val="FF0000"/>
          <w:szCs w:val="24"/>
        </w:rPr>
      </w:r>
    </w:p>
    <w:p>
      <w:pPr>
        <w:pStyle w:val="Normal"/>
        <w:rPr>
          <w:b/>
          <w:szCs w:val="24"/>
        </w:rPr>
      </w:pPr>
      <w:r>
        <w:rPr>
          <w:b/>
          <w:szCs w:val="24"/>
        </w:rPr>
        <w:t xml:space="preserve">                                 </w:t>
      </w:r>
      <w:r>
        <w:rPr>
          <w:b/>
          <w:szCs w:val="24"/>
        </w:rPr>
        <w:t xml:space="preserve">Образец расчета командировочных расходов </w:t>
      </w:r>
    </w:p>
    <w:p>
      <w:pPr>
        <w:pStyle w:val="Normal"/>
        <w:ind w:firstLine="567"/>
        <w:jc w:val="right"/>
        <w:rPr>
          <w:szCs w:val="24"/>
        </w:rPr>
      </w:pPr>
      <w:r>
        <w:rPr>
          <w:szCs w:val="24"/>
        </w:rPr>
      </w:r>
    </w:p>
    <w:p>
      <w:pPr>
        <w:pStyle w:val="Normal"/>
        <w:ind w:firstLine="567"/>
        <w:jc w:val="right"/>
        <w:rPr>
          <w:szCs w:val="24"/>
        </w:rPr>
      </w:pPr>
      <w:r>
        <w:rPr>
          <w:szCs w:val="24"/>
        </w:rPr>
        <w:t>Приложение № __ к смете № __</w:t>
      </w:r>
    </w:p>
    <w:p>
      <w:pPr>
        <w:pStyle w:val="Normal"/>
        <w:ind w:firstLine="567"/>
        <w:jc w:val="center"/>
        <w:rPr>
          <w:b/>
          <w:szCs w:val="24"/>
        </w:rPr>
      </w:pPr>
      <w:r>
        <w:rPr>
          <w:b/>
          <w:szCs w:val="24"/>
        </w:rPr>
        <w:t>Расчет командировочных расходов</w:t>
      </w:r>
    </w:p>
    <w:tbl>
      <w:tblPr>
        <w:tblW w:w="975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707"/>
        <w:gridCol w:w="848"/>
        <w:gridCol w:w="884"/>
        <w:gridCol w:w="992"/>
        <w:gridCol w:w="849"/>
        <w:gridCol w:w="1277"/>
        <w:gridCol w:w="962"/>
        <w:gridCol w:w="856"/>
        <w:gridCol w:w="825"/>
        <w:gridCol w:w="983"/>
      </w:tblGrid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пп.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 назначения </w:t>
              <w:br/>
              <w:t>(туда / обратно)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транспорта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дней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суточных, руб./сут. </w:t>
              <w:br/>
              <w:t>(без НДС)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проживания руб./сут. </w:t>
              <w:br/>
              <w:t>(без НДС)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 командировок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  <w:p>
            <w:pPr>
              <w:pStyle w:val="Normal"/>
              <w:widowControl w:val="false"/>
              <w:ind w:left="-389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командированванных человек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Итого стоимость командировочных расходов, руб. </w:t>
              <w:br/>
              <w:t>(без НДС)</w:t>
            </w:r>
          </w:p>
        </w:tc>
      </w:tr>
      <w:tr>
        <w:trPr/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1 в пункт 5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1 в пункт 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2 в пункт 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4 в пункт 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1 в пункт 5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17" w:hRule="atLeast"/>
        </w:trPr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0816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10816" w:leader="none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5 в пункт 1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5 в пункт 4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4 в пункт 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пункта 2 в пункт 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стоимость командировочных расходов из пункта 5 в пункт 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стоимость командировочных расходов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left="5812" w:firstLine="567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rPr>
          <w:iCs/>
          <w:szCs w:val="24"/>
        </w:rPr>
      </w:pPr>
      <w:r>
        <w:rPr>
          <w:iCs/>
          <w:szCs w:val="24"/>
        </w:rPr>
      </w:r>
      <w:r>
        <w:br w:type="page"/>
      </w:r>
    </w:p>
    <w:p>
      <w:pPr>
        <w:pStyle w:val="Normal"/>
        <w:ind w:left="5811" w:firstLine="1"/>
        <w:rPr>
          <w:sz w:val="20"/>
          <w:szCs w:val="20"/>
        </w:rPr>
      </w:pPr>
      <w:r>
        <w:rPr>
          <w:sz w:val="20"/>
          <w:szCs w:val="20"/>
        </w:rPr>
        <w:t>Приложение № 3</w:t>
      </w:r>
    </w:p>
    <w:p>
      <w:pPr>
        <w:pStyle w:val="Normal"/>
        <w:ind w:left="5811" w:firstLine="1"/>
        <w:rPr>
          <w:sz w:val="20"/>
          <w:szCs w:val="20"/>
        </w:rPr>
      </w:pPr>
      <w:r>
        <w:rPr>
          <w:sz w:val="20"/>
          <w:szCs w:val="20"/>
        </w:rPr>
        <w:t>к Требованиям к оформлению и составлению сметной документации на выполнение ПИР</w:t>
      </w:r>
    </w:p>
    <w:tbl>
      <w:tblPr>
        <w:tblW w:w="14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14"/>
        <w:gridCol w:w="238"/>
        <w:gridCol w:w="2183"/>
        <w:gridCol w:w="1095"/>
        <w:gridCol w:w="306"/>
        <w:gridCol w:w="236"/>
        <w:gridCol w:w="1580"/>
      </w:tblGrid>
      <w:tr>
        <w:trPr>
          <w:trHeight w:val="20" w:hRule="atLeast"/>
        </w:trPr>
        <w:tc>
          <w:tcPr>
            <w:tcW w:w="9214" w:type="dxa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  <w:bookmarkStart w:id="56" w:name="RANGE!A1%2525252525252525252525252525252"/>
            <w:bookmarkStart w:id="57" w:name="RANGE!A1%2525252525252525252525252525252"/>
            <w:bookmarkEnd w:id="57"/>
          </w:p>
          <w:p>
            <w:pPr>
              <w:pStyle w:val="Normal"/>
              <w:widowControl w:val="false"/>
              <w:ind w:hanging="47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                                            </w:t>
            </w:r>
            <w:r>
              <w:rPr>
                <w:szCs w:val="24"/>
              </w:rPr>
              <w:t>к Договору</w:t>
            </w:r>
          </w:p>
          <w:p>
            <w:pPr>
              <w:pStyle w:val="Normal"/>
              <w:widowControl w:val="false"/>
              <w:ind w:hanging="47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                                                            </w:t>
            </w:r>
            <w:r>
              <w:rPr>
                <w:szCs w:val="24"/>
              </w:rPr>
              <w:t>от___ ______202___</w:t>
            </w:r>
          </w:p>
          <w:p>
            <w:pPr>
              <w:pStyle w:val="Normal"/>
              <w:widowControl w:val="false"/>
              <w:ind w:hanging="47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                                                № </w:t>
            </w:r>
            <w:r>
              <w:rPr>
                <w:szCs w:val="24"/>
              </w:rPr>
              <w:t>_________</w:t>
            </w:r>
          </w:p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  <w:t>СОГЛАСОВАНО:                                                                                   УТВЕРЖДЕНО:</w:t>
            </w:r>
          </w:p>
        </w:tc>
        <w:tc>
          <w:tcPr>
            <w:tcW w:w="238" w:type="dxa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183" w:type="dxa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401" w:type="dxa"/>
            <w:gridSpan w:val="2"/>
            <w:tcBorders/>
            <w:shd w:color="auto"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left" w:pos="627" w:leader="none"/>
              </w:tabs>
              <w:ind w:left="-526" w:firstLine="567"/>
              <w:jc w:val="right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rPr>
                <w:b/>
                <w:i/>
                <w:i/>
                <w:szCs w:val="24"/>
              </w:rPr>
            </w:pPr>
            <w:r>
              <w:rPr>
                <w:b/>
                <w:i/>
                <w:szCs w:val="24"/>
              </w:rPr>
            </w:r>
          </w:p>
        </w:tc>
        <w:tc>
          <w:tcPr>
            <w:tcW w:w="1580" w:type="dxa"/>
            <w:tcBorders/>
          </w:tcPr>
          <w:p>
            <w:pPr>
              <w:pStyle w:val="Normal"/>
              <w:widowControl w:val="false"/>
              <w:rPr>
                <w:b/>
                <w:i/>
                <w:i/>
                <w:szCs w:val="24"/>
              </w:rPr>
            </w:pPr>
            <w:r>
              <w:rPr>
                <w:b/>
                <w:i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9214" w:type="dxa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238" w:type="dxa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3278" w:type="dxa"/>
            <w:gridSpan w:val="2"/>
            <w:tcBorders/>
            <w:vAlign w:val="bottom"/>
          </w:tcPr>
          <w:p>
            <w:pPr>
              <w:pStyle w:val="Normal"/>
              <w:widowControl w:val="false"/>
              <w:ind w:hanging="47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542" w:type="dxa"/>
            <w:gridSpan w:val="2"/>
            <w:tcBorders/>
            <w:shd w:color="auto" w:fill="FFFFFF" w:val="clear"/>
          </w:tcPr>
          <w:p>
            <w:pPr>
              <w:pStyle w:val="Normal"/>
              <w:widowControl w:val="false"/>
              <w:ind w:firstLine="567"/>
              <w:jc w:val="right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1580" w:type="dxa"/>
            <w:tcBorders/>
          </w:tcPr>
          <w:p>
            <w:pPr>
              <w:pStyle w:val="Normal"/>
              <w:widowControl w:val="false"/>
              <w:rPr>
                <w:b/>
                <w:i/>
                <w:i/>
                <w:szCs w:val="24"/>
              </w:rPr>
            </w:pPr>
            <w:r>
              <w:rPr>
                <w:b/>
                <w:i/>
                <w:szCs w:val="24"/>
              </w:rPr>
            </w:r>
          </w:p>
        </w:tc>
      </w:tr>
      <w:tr>
        <w:trPr/>
        <w:tc>
          <w:tcPr>
            <w:tcW w:w="11635" w:type="dxa"/>
            <w:gridSpan w:val="3"/>
            <w:tcBorders/>
          </w:tcPr>
          <w:tbl>
            <w:tblPr>
              <w:tblW w:w="9969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noHBand="0" w:noVBand="0" w:firstColumn="0" w:lastRow="0" w:lastColumn="0" w:firstRow="0"/>
            </w:tblPr>
            <w:tblGrid>
              <w:gridCol w:w="565"/>
              <w:gridCol w:w="18"/>
              <w:gridCol w:w="578"/>
              <w:gridCol w:w="750"/>
              <w:gridCol w:w="143"/>
              <w:gridCol w:w="1394"/>
              <w:gridCol w:w="41"/>
              <w:gridCol w:w="296"/>
              <w:gridCol w:w="158"/>
              <w:gridCol w:w="1159"/>
              <w:gridCol w:w="70"/>
              <w:gridCol w:w="88"/>
              <w:gridCol w:w="752"/>
              <w:gridCol w:w="1392"/>
              <w:gridCol w:w="2001"/>
              <w:gridCol w:w="175"/>
              <w:gridCol w:w="245"/>
              <w:gridCol w:w="144"/>
            </w:tblGrid>
            <w:tr>
              <w:trPr/>
              <w:tc>
                <w:tcPr>
                  <w:tcW w:w="9580" w:type="dxa"/>
                  <w:gridSpan w:val="16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СВОДНАЯ СМЕТА №</w:t>
                  </w:r>
                </w:p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 проектные работы и инженерные изыскания</w:t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015" w:type="dxa"/>
                  <w:gridSpan w:val="15"/>
                  <w:tcBorders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015" w:type="dxa"/>
                  <w:gridSpan w:val="15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стройки)</w:t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346" w:type="dxa"/>
                  <w:gridSpan w:val="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Заказчик</w:t>
                  </w:r>
                </w:p>
              </w:tc>
              <w:tc>
                <w:tcPr>
                  <w:tcW w:w="7914" w:type="dxa"/>
                  <w:gridSpan w:val="13"/>
                  <w:tcBorders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346" w:type="dxa"/>
                  <w:gridSpan w:val="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7914" w:type="dxa"/>
                  <w:gridSpan w:val="13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организации)</w:t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3378" w:type="dxa"/>
                  <w:gridSpan w:val="8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Изыскательская организация</w:t>
                  </w:r>
                </w:p>
              </w:tc>
              <w:tc>
                <w:tcPr>
                  <w:tcW w:w="5882" w:type="dxa"/>
                  <w:gridSpan w:val="8"/>
                  <w:tcBorders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организации)</w:t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924" w:type="dxa"/>
                  <w:gridSpan w:val="6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Проектная организация</w:t>
                  </w:r>
                </w:p>
              </w:tc>
              <w:tc>
                <w:tcPr>
                  <w:tcW w:w="6336" w:type="dxa"/>
                  <w:gridSpan w:val="10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bottom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>
                <w:trHeight w:val="352" w:hRule="atLeast"/>
              </w:trPr>
              <w:tc>
                <w:tcPr>
                  <w:tcW w:w="565" w:type="dxa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260" w:type="dxa"/>
                  <w:gridSpan w:val="16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(наименование организации)</w:t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583" w:type="dxa"/>
                  <w:gridSpan w:val="2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8822" w:type="dxa"/>
                  <w:gridSpan w:val="1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Составлена в уровне цен на ________________ 20__ г.</w:t>
                  </w:r>
                </w:p>
              </w:tc>
              <w:tc>
                <w:tcPr>
                  <w:tcW w:w="175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  <w:tc>
                <w:tcPr>
                  <w:tcW w:w="245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  <w:tc>
                <w:tcPr>
                  <w:tcW w:w="144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i/>
                      <w:i/>
                      <w:szCs w:val="24"/>
                    </w:rPr>
                  </w:pPr>
                  <w:r>
                    <w:rPr>
                      <w:b/>
                      <w:i/>
                      <w:szCs w:val="24"/>
                    </w:rPr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w="1161" w:type="dxa"/>
                  <w:gridSpan w:val="3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2287" w:type="dxa"/>
                  <w:gridSpan w:val="3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Наименование смет на проектные работы и инженерные изыскания, затрат</w:t>
                  </w:r>
                </w:p>
              </w:tc>
              <w:tc>
                <w:tcPr>
                  <w:tcW w:w="1724" w:type="dxa"/>
                  <w:gridSpan w:val="5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4797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Сметная стоимость, руб.</w:t>
                  </w:r>
                </w:p>
              </w:tc>
            </w:tr>
            <w:tr>
              <w:trPr>
                <w:trHeight w:val="74" w:hRule="atLeast"/>
              </w:trPr>
              <w:tc>
                <w:tcPr>
                  <w:tcW w:w="1161" w:type="dxa"/>
                  <w:gridSpan w:val="3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ind w:hanging="47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ind w:hanging="47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1724" w:type="dxa"/>
                  <w:gridSpan w:val="5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widowControl w:val="false"/>
                    <w:ind w:hanging="47"/>
                    <w:rPr>
                      <w:szCs w:val="24"/>
                    </w:rPr>
                  </w:pPr>
                  <w:r>
                    <w:rPr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инженерных изысканий</w:t>
                  </w:r>
                </w:p>
              </w:tc>
              <w:tc>
                <w:tcPr>
                  <w:tcW w:w="256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проектных работ</w:t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2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56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I</w:t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Инженерные изыскания</w:t>
                  </w:r>
                </w:p>
              </w:tc>
              <w:tc>
                <w:tcPr>
                  <w:tcW w:w="172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56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32" w:hRule="atLeast"/>
              </w:trPr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Наименование сметы на инженерные изыскания</w:t>
                  </w:r>
                </w:p>
              </w:tc>
              <w:tc>
                <w:tcPr>
                  <w:tcW w:w="172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  <w:tc>
                <w:tcPr>
                  <w:tcW w:w="256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II</w:t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Проектная документация</w:t>
                  </w:r>
                </w:p>
              </w:tc>
              <w:tc>
                <w:tcPr>
                  <w:tcW w:w="172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56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2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56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</w:tr>
            <w:tr>
              <w:trPr>
                <w:trHeight w:val="323" w:hRule="atLeast"/>
              </w:trPr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III</w:t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Рабочая документация</w:t>
                  </w:r>
                </w:p>
              </w:tc>
              <w:tc>
                <w:tcPr>
                  <w:tcW w:w="172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56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2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56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Итого по видам работ</w:t>
                  </w:r>
                </w:p>
              </w:tc>
              <w:tc>
                <w:tcPr>
                  <w:tcW w:w="172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3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  <w:tc>
                <w:tcPr>
                  <w:tcW w:w="256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</w:tr>
            <w:tr>
              <w:trPr/>
              <w:tc>
                <w:tcPr>
                  <w:tcW w:w="1161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228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172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4797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&lt;X&gt;</w:t>
                  </w:r>
                </w:p>
              </w:tc>
            </w:tr>
            <w:tr>
              <w:trPr>
                <w:trHeight w:val="466" w:hRule="atLeast"/>
              </w:trPr>
              <w:tc>
                <w:tcPr>
                  <w:tcW w:w="3785" w:type="dxa"/>
                  <w:gridSpan w:val="8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Руководитель</w:t>
                  </w:r>
                </w:p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проектной организации</w:t>
                  </w:r>
                </w:p>
              </w:tc>
              <w:tc>
                <w:tcPr>
                  <w:tcW w:w="6184" w:type="dxa"/>
                  <w:gridSpan w:val="10"/>
                  <w:tcBorders>
                    <w:top w:val="single" w:sz="4" w:space="0" w:color="000000"/>
                  </w:tcBorders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______________________________________________</w:t>
                  </w:r>
                </w:p>
              </w:tc>
            </w:tr>
            <w:tr>
              <w:trPr/>
              <w:tc>
                <w:tcPr>
                  <w:tcW w:w="3785" w:type="dxa"/>
                  <w:gridSpan w:val="8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6184" w:type="dxa"/>
                  <w:gridSpan w:val="10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[подпись (инициалы, фамилия)]</w:t>
                  </w:r>
                </w:p>
              </w:tc>
            </w:tr>
            <w:tr>
              <w:trPr/>
              <w:tc>
                <w:tcPr>
                  <w:tcW w:w="3785" w:type="dxa"/>
                  <w:gridSpan w:val="8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Главный инженер проекта</w:t>
                  </w:r>
                </w:p>
              </w:tc>
              <w:tc>
                <w:tcPr>
                  <w:tcW w:w="6184" w:type="dxa"/>
                  <w:gridSpan w:val="10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________________________________________</w:t>
                  </w:r>
                </w:p>
              </w:tc>
            </w:tr>
            <w:tr>
              <w:trPr>
                <w:trHeight w:val="21" w:hRule="atLeast"/>
              </w:trPr>
              <w:tc>
                <w:tcPr>
                  <w:tcW w:w="3785" w:type="dxa"/>
                  <w:gridSpan w:val="8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6184" w:type="dxa"/>
                  <w:gridSpan w:val="10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[подпись (инициалы, фамилия)]</w:t>
                  </w:r>
                </w:p>
              </w:tc>
            </w:tr>
            <w:tr>
              <w:trPr/>
              <w:tc>
                <w:tcPr>
                  <w:tcW w:w="2054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Начальник отдела</w:t>
                  </w:r>
                </w:p>
              </w:tc>
              <w:tc>
                <w:tcPr>
                  <w:tcW w:w="3048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158" w:type="dxa"/>
                  <w:gridSpan w:val="2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4709" w:type="dxa"/>
                  <w:gridSpan w:val="6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____________________________________</w:t>
                  </w:r>
                </w:p>
              </w:tc>
            </w:tr>
            <w:tr>
              <w:trPr>
                <w:trHeight w:val="347" w:hRule="atLeast"/>
              </w:trPr>
              <w:tc>
                <w:tcPr>
                  <w:tcW w:w="2054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3048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910" w:type="dxa"/>
                  <w:gridSpan w:val="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</w:r>
                </w:p>
              </w:tc>
              <w:tc>
                <w:tcPr>
                  <w:tcW w:w="3957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[подпись (инициалы, фамилия)]</w:t>
                  </w:r>
                </w:p>
              </w:tc>
            </w:tr>
            <w:tr>
              <w:trPr/>
              <w:tc>
                <w:tcPr>
                  <w:tcW w:w="2054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  <w:t>Заказчик</w:t>
                  </w:r>
                </w:p>
              </w:tc>
              <w:tc>
                <w:tcPr>
                  <w:tcW w:w="7915" w:type="dxa"/>
                  <w:gridSpan w:val="1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2054" w:type="dxa"/>
                  <w:gridSpan w:val="5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Times New Roman" w:ascii="Times New Roman" w:hAnsi="Times New Roman"/>
                      <w:sz w:val="24"/>
                      <w:szCs w:val="24"/>
                    </w:rPr>
                  </w:r>
                </w:p>
              </w:tc>
              <w:tc>
                <w:tcPr>
                  <w:tcW w:w="7915" w:type="dxa"/>
                  <w:gridSpan w:val="13"/>
                  <w:tcBorders/>
                </w:tcPr>
                <w:p>
                  <w:pPr>
                    <w:pStyle w:val="ConsPlusNormal1"/>
                    <w:widowControl w:val="false"/>
                    <w:ind w:hanging="47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cs="Times New Roman" w:ascii="Times New Roman" w:hAnsi="Times New Roman"/>
                    </w:rPr>
                    <w:t>[должность, подпись (инициалы, фамилия)]</w:t>
                  </w:r>
                </w:p>
              </w:tc>
            </w:tr>
          </w:tbl>
          <w:p>
            <w:pPr>
              <w:pStyle w:val="ConsPlusNormal1"/>
              <w:widowControl w:val="false"/>
              <w:ind w:right="-5522" w:hanging="4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17" w:type="dxa"/>
            <w:gridSpan w:val="4"/>
            <w:tcBorders/>
          </w:tcPr>
          <w:p>
            <w:pPr>
              <w:pStyle w:val="ConsPlusNormal1"/>
              <w:widowControl w:val="false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ind w:left="0" w:firstLine="567"/>
        <w:rPr>
          <w:szCs w:val="24"/>
        </w:rPr>
      </w:pPr>
      <w:r>
        <w:rPr/>
      </w:r>
    </w:p>
    <w:sectPr>
      <w:headerReference w:type="default" r:id="rId21"/>
      <w:headerReference w:type="first" r:id="rId22"/>
      <w:footnotePr>
        <w:numFmt w:val="decimal"/>
      </w:footnotePr>
      <w:type w:val="nextPage"/>
      <w:pgSz w:w="11906" w:h="16838"/>
      <w:pgMar w:left="1134" w:right="707" w:gutter="0" w:header="680" w:top="1134" w:footer="0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mesNewRomanPSM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Если в организации функции главного бухгалтера выполняет генеральный директор–ставится только его виза.</w:t>
      </w:r>
    </w:p>
    <w:p>
      <w:pPr>
        <w:pStyle w:val="FootnoteText"/>
        <w:rPr/>
      </w:pPr>
      <w:r>
        <w:rPr/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pStyle w:val="Heading2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mallCaps w:val="false"/>
        <w:caps w:val="false"/>
        <w:dstrike w:val="false"/>
        <w:strike w:val="false"/>
        <w:spacing w:val="0"/>
        <w:i w:val="false"/>
        <w:u w:val="none"/>
        <w:b w:val="false"/>
        <w:iCs w:val="false"/>
        <w:bCs w:val="false"/>
        <w:color w:val="000000"/>
        <w:lang w:val="ru-RU" w:eastAsia="ru-RU" w:bidi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§"/>
      <w:lvlJc w:val="left"/>
      <w:pPr>
        <w:tabs>
          <w:tab w:val="num" w:pos="0"/>
        </w:tabs>
        <w:ind w:left="70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§"/>
      <w:lvlJc w:val="left"/>
      <w:pPr>
        <w:tabs>
          <w:tab w:val="num" w:pos="0"/>
        </w:tabs>
        <w:ind w:left="70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  <w:rPr/>
      </w:lvl>
    </w:lvlOverride>
  </w:num>
</w:numbering>
</file>

<file path=word/settings.xml><?xml version="1.0" encoding="utf-8"?>
<w:settings xmlns:w="http://schemas.openxmlformats.org/wordprocessingml/2006/main">
  <w:zoom w:percent="105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b3382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8"/>
      <w:lang w:val="ru-RU" w:eastAsia="ru-RU" w:bidi="ar-SA"/>
    </w:rPr>
  </w:style>
  <w:style w:type="paragraph" w:styleId="Heading1">
    <w:name w:val="Heading 1"/>
    <w:basedOn w:val="Heading3"/>
    <w:next w:val="Normal"/>
    <w:qFormat/>
    <w:rsid w:val="00ce66cb"/>
    <w:pPr>
      <w:numPr>
        <w:ilvl w:val="0"/>
        <w:numId w:val="1"/>
      </w:numPr>
      <w:ind w:left="0" w:hanging="0"/>
      <w:jc w:val="center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qFormat/>
    <w:rsid w:val="00ea61a8"/>
    <w:pPr>
      <w:numPr>
        <w:ilvl w:val="1"/>
        <w:numId w:val="1"/>
      </w:numPr>
      <w:outlineLvl w:val="1"/>
    </w:pPr>
    <w:rPr/>
  </w:style>
  <w:style w:type="paragraph" w:styleId="Heading3">
    <w:name w:val="Heading 3"/>
    <w:basedOn w:val="Normal"/>
    <w:next w:val="Normal"/>
    <w:autoRedefine/>
    <w:qFormat/>
    <w:rsid w:val="0027324c"/>
    <w:pPr>
      <w:widowControl w:val="false"/>
      <w:numPr>
        <w:ilvl w:val="2"/>
        <w:numId w:val="1"/>
      </w:numPr>
      <w:spacing w:before="120" w:after="120"/>
      <w:outlineLvl w:val="2"/>
    </w:pPr>
    <w:rPr>
      <w:rFonts w:eastAsia="Calibri"/>
      <w:b/>
      <w:szCs w:val="24"/>
      <w:lang w:val="x-none" w:eastAsia="x-none"/>
    </w:rPr>
  </w:style>
  <w:style w:type="paragraph" w:styleId="Heading4">
    <w:name w:val="Heading 4"/>
    <w:basedOn w:val="Heading3"/>
    <w:next w:val="Normal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 w:customStyle="1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ce66cb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27324c"/>
    <w:rPr>
      <w:rFonts w:eastAsia="Calibri"/>
      <w:sz w:val="26"/>
      <w:szCs w:val="28"/>
      <w:lang w:eastAsia="en-US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22" w:customStyle="1">
    <w:name w:val="Пункт2 Знак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qFormat/>
    <w:rsid w:val="00c36f30"/>
    <w:rPr>
      <w:sz w:val="16"/>
      <w:szCs w:val="16"/>
    </w:rPr>
  </w:style>
  <w:style w:type="character" w:styleId="ConsPlusNormal" w:customStyle="1">
    <w:name w:val="ConsPlusNormal Знак"/>
    <w:qFormat/>
    <w:rsid w:val="00ec3619"/>
    <w:rPr>
      <w:rFonts w:ascii="Arial" w:hAnsi="Arial" w:cs="Arial"/>
    </w:rPr>
  </w:style>
  <w:style w:type="character" w:styleId="Fontstyle01" w:customStyle="1">
    <w:name w:val="fontstyle01"/>
    <w:basedOn w:val="DefaultParagraphFont"/>
    <w:qFormat/>
    <w:rsid w:val="00fc526c"/>
    <w:rPr>
      <w:rFonts w:ascii="TimesNewRomanPSMT" w:hAnsi="TimesNewRomanPSMT"/>
      <w:b w:val="false"/>
      <w:bCs w:val="false"/>
      <w:i w:val="false"/>
      <w:iCs w:val="false"/>
      <w:color w:val="000000"/>
      <w:sz w:val="24"/>
      <w:szCs w:val="24"/>
    </w:rPr>
  </w:style>
  <w:style w:type="character" w:styleId="FollowedHyperlink" w:customStyle="1">
    <w:name w:val="FollowedHyperlink"/>
    <w:basedOn w:val="DefaultParagraphFont"/>
    <w:semiHidden/>
    <w:unhideWhenUsed/>
    <w:rsid w:val="003a6ae2"/>
    <w:rPr>
      <w:color w:val="954F72" w:themeColor="followedHyperlink"/>
      <w:u w:val="single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14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Indexheading1">
    <w:name w:val="index heading1"/>
    <w:basedOn w:val="14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styleId="Indexheading11" w:customStyle="1">
    <w:name w:val="index heading11"/>
    <w:basedOn w:val="14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tabs>
        <w:tab w:val="clear" w:pos="708"/>
        <w:tab w:val="left" w:pos="360" w:leader="none"/>
      </w:tabs>
      <w:spacing w:before="80" w:after="80"/>
      <w:ind w:left="360" w:hanging="360"/>
      <w:jc w:val="both"/>
    </w:pPr>
    <w:rPr/>
  </w:style>
  <w:style w:type="paragraph" w:styleId="FootnoteText">
    <w:name w:val="Footnote Text"/>
    <w:basedOn w:val="Normal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link w:val="21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Cs w:val="24"/>
    </w:rPr>
  </w:style>
  <w:style w:type="paragraph" w:styleId="16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Cs w:val="20"/>
    </w:rPr>
  </w:style>
  <w:style w:type="paragraph" w:styleId="111" w:customStyle="1">
    <w:name w:val="Заголовок 1 Знак1"/>
    <w:basedOn w:val="Normal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uiPriority w:val="1"/>
    <w:qFormat/>
    <w:rsid w:val="00d22f6d"/>
    <w:pPr>
      <w:spacing w:before="0" w:after="0"/>
      <w:ind w:left="720" w:hanging="0"/>
      <w:contextualSpacing/>
    </w:pPr>
    <w:rPr>
      <w:rFonts w:eastAsia="Calibri"/>
      <w:szCs w:val="24"/>
    </w:rPr>
  </w:style>
  <w:style w:type="paragraph" w:styleId="Quote">
    <w:name w:val="Quote"/>
    <w:basedOn w:val="Normal"/>
    <w:next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numPr>
        <w:ilvl w:val="0"/>
        <w:numId w:val="0"/>
      </w:numPr>
      <w:spacing w:before="480" w:after="120"/>
      <w:ind w:left="0" w:hanging="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rsid w:val="00d22f6d"/>
    <w:pPr/>
    <w:rPr>
      <w:rFonts w:eastAsia="Calibri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0"/>
        <w:numId w:val="3"/>
      </w:numPr>
      <w:jc w:val="both"/>
    </w:pPr>
    <w:rPr>
      <w:rFonts w:ascii="Garamond" w:hAnsi="Garamond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8" w:customStyle="1">
    <w:name w:val="Подподпункт"/>
    <w:basedOn w:val="111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kern w:val="2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Cs w:val="24"/>
    </w:rPr>
  </w:style>
  <w:style w:type="paragraph" w:styleId="110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 w:customStyle="1">
    <w:name w:val="Содержимое врезки"/>
    <w:basedOn w:val="Normal"/>
    <w:qFormat/>
    <w:pPr/>
    <w:rPr/>
  </w:style>
  <w:style w:type="paragraph" w:styleId="Style33">
    <w:name w:val="Содержимое таблицы"/>
    <w:basedOn w:val="Normal"/>
    <w:qFormat/>
    <w:pPr>
      <w:widowControl w:val="false"/>
      <w:suppressLineNumbers/>
    </w:pPr>
    <w:rPr/>
  </w:style>
  <w:style w:type="paragraph" w:styleId="Style34">
    <w:name w:val="Заголовок таблицы"/>
    <w:basedOn w:val="Style3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3">
    <w:name w:val="Table Grid"/>
    <w:basedOn w:val="a2"/>
    <w:uiPriority w:val="5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2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sultant.ru/document/cons_doc_LAW_51040/" TargetMode="External"/><Relationship Id="rId3" Type="http://schemas.openxmlformats.org/officeDocument/2006/relationships/hyperlink" Target="https://meganorm.ru/Data2/1/4293788/4293788797.pdf" TargetMode="External"/><Relationship Id="rId4" Type="http://schemas.openxmlformats.org/officeDocument/2006/relationships/hyperlink" Target="https://docs.cntd.ru/document/901729631" TargetMode="External"/><Relationship Id="rId5" Type="http://schemas.openxmlformats.org/officeDocument/2006/relationships/hyperlink" Target="https://meganorm.ru/Data2/1/4293720/4293720404.htm" TargetMode="External"/><Relationship Id="rId6" Type="http://schemas.openxmlformats.org/officeDocument/2006/relationships/hyperlink" Target="https://files.stroyinf.ru/Data/769/76902.pdf" TargetMode="External"/><Relationship Id="rId7" Type="http://schemas.openxmlformats.org/officeDocument/2006/relationships/hyperlink" Target="https://files.stroyinf.ru/Data2/1/4293774/4293774399.pdf" TargetMode="External"/><Relationship Id="rId8" Type="http://schemas.openxmlformats.org/officeDocument/2006/relationships/hyperlink" Target="https://meganorm.ru/Data2/1/4293765/4293765641.pdf" TargetMode="External"/><Relationship Id="rId9" Type="http://schemas.openxmlformats.org/officeDocument/2006/relationships/hyperlink" Target="https://meganorm.ru/Data2/1/4293736/4293736459.pdf" TargetMode="External"/><Relationship Id="rId10" Type="http://schemas.openxmlformats.org/officeDocument/2006/relationships/hyperlink" Target="https://www.minstroyrf.gov.ru/upload/iblock/404/SP-60.pdf" TargetMode="External"/><Relationship Id="rId11" Type="http://schemas.openxmlformats.org/officeDocument/2006/relationships/hyperlink" Target="https://docs.cntd.ru/document/573500115" TargetMode="External"/><Relationship Id="rId12" Type="http://schemas.openxmlformats.org/officeDocument/2006/relationships/hyperlink" Target="https://www.consultant.ru/document/cons_doc_LAW_51040/" TargetMode="External"/><Relationship Id="rId13" Type="http://schemas.openxmlformats.org/officeDocument/2006/relationships/hyperlink" Target="https://files.stroyinf.ru/Data/769/76902.pdf" TargetMode="External"/><Relationship Id="rId14" Type="http://schemas.openxmlformats.org/officeDocument/2006/relationships/hyperlink" Target="https://files.stroyinf.ru/Data2/1/4293774/4293774399.pdf" TargetMode="External"/><Relationship Id="rId15" Type="http://schemas.openxmlformats.org/officeDocument/2006/relationships/hyperlink" Target="https://meganorm.ru/Data2/1/4293765/4293765641.pdf" TargetMode="External"/><Relationship Id="rId16" Type="http://schemas.openxmlformats.org/officeDocument/2006/relationships/hyperlink" Target="https://www.minstroyrf.gov.ru/upload/iblock/b4f/SP-14.13330.2018-na-registr-Rosstandart_pages_deleted.pdf" TargetMode="External"/><Relationship Id="rId17" Type="http://schemas.openxmlformats.org/officeDocument/2006/relationships/header" Target="header1.xml"/><Relationship Id="rId18" Type="http://schemas.openxmlformats.org/officeDocument/2006/relationships/header" Target="header2.xml"/><Relationship Id="rId19" Type="http://schemas.openxmlformats.org/officeDocument/2006/relationships/header" Target="header3.xml"/><Relationship Id="rId20" Type="http://schemas.openxmlformats.org/officeDocument/2006/relationships/header" Target="header4.xml"/><Relationship Id="rId21" Type="http://schemas.openxmlformats.org/officeDocument/2006/relationships/header" Target="header5.xml"/><Relationship Id="rId22" Type="http://schemas.openxmlformats.org/officeDocument/2006/relationships/header" Target="header6.xml"/><Relationship Id="rId23" Type="http://schemas.openxmlformats.org/officeDocument/2006/relationships/footnotes" Target="footnotes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<Relationship Id="rId2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ECD55-5DBF-4638-96D1-11967BE5B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Application>AlterOffice/2025.3.1.0$Linux_X86_64 LibreOffice_project/431cd1b79110582f53535c95ed0a2449aadc8bf9</Application>
  <AppVersion>15.0000</AppVersion>
  <Pages>22</Pages>
  <Words>4273</Words>
  <Characters>31254</Characters>
  <CharactersWithSpaces>35367</CharactersWithSpaces>
  <Paragraphs>549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2026-08-17T13:54:00Z</dcterms:created>
  <dc:creator>Быстров Олег Геннадьевич</dc:creator>
  <dc:description/>
  <dc:language>ru-RU</dc:language>
  <cp:lastModifiedBy>melnikovaod</cp:lastModifiedBy>
  <cp:lastPrinted>2026-09-10T15:54:18Z</cp:lastPrinted>
  <dcterms:modified xsi:type="dcterms:W3CDTF">2026-10-13T17:10:22Z</dcterms:modified>
  <cp:revision>13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