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 xml:space="preserve">«Покупатель»), в лице в лице Директора Камчатского филиала АО «ТК РусГидро», Рудакова Андрея Сергеевича, действующего на основании доверенности №860 от 01.09.2026 г., с одной стороны, </w:t>
      </w:r>
      <w:r>
        <w:rPr>
          <w:spacing w:val="4"/>
          <w:sz w:val="24"/>
          <w:szCs w:val="24"/>
        </w:rP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pPr>
      <w:r>
        <w:rPr>
          <w:spacing w:val="10"/>
          <w:sz w:val="24"/>
          <w:szCs w:val="24"/>
        </w:rPr>
        <w:t xml:space="preserve">совместно в дальнейшем именуемые «Стороны», а по отдельности – «Сторона», </w:t>
        <w:br/>
      </w:r>
      <w:r>
        <w:rPr>
          <w:spacing w:val="10"/>
          <w:sz w:val="24"/>
          <w:szCs w:val="24"/>
          <w:lang w:eastAsia="en-US"/>
        </w:rPr>
        <w:t xml:space="preserve">по результатам проведенной Покупателем неконкурентной процедуры по лоту № №_________________, </w:t>
      </w:r>
      <w:r>
        <w:rPr>
          <w:spacing w:val="10"/>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w:t>
      </w:r>
      <w:r>
        <w:rPr>
          <w:sz w:val="24"/>
          <w:szCs w:val="24"/>
          <w:shd w:fill="auto" w:val="clear"/>
          <w:lang w:eastAsia="en-US"/>
        </w:rPr>
        <w:t xml:space="preserve">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firstLine="709" w:left="0"/>
        <w:jc w:val="both"/>
        <w:textAlignment w:val="baseline"/>
        <w:rPr>
          <w:highlight w:val="none"/>
          <w:shd w:fill="auto" w:val="clear"/>
        </w:rPr>
      </w:pPr>
      <w:r>
        <w:rPr>
          <w:b/>
          <w:sz w:val="24"/>
          <w:szCs w:val="24"/>
          <w:shd w:fill="auto" w:val="clear"/>
          <w:lang w:eastAsia="en-US"/>
        </w:rPr>
        <w:t>«Гарантийный срок»</w:t>
      </w:r>
      <w:r>
        <w:rPr>
          <w:sz w:val="24"/>
          <w:szCs w:val="24"/>
          <w:shd w:fill="auto" w:val="clear"/>
        </w:rPr>
        <w:t xml:space="preserve"> </w:t>
      </w:r>
      <w:r>
        <w:rPr>
          <w:sz w:val="24"/>
          <w:szCs w:val="24"/>
          <w:shd w:fill="auto" w:val="clear"/>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shd w:fill="auto" w:val="clear"/>
          <w:lang w:eastAsia="en-US"/>
        </w:rPr>
        <w:t>«Договор»</w:t>
      </w:r>
      <w:r>
        <w:rPr>
          <w:sz w:val="24"/>
          <w:szCs w:val="24"/>
          <w:shd w:fill="auto" w:val="clear"/>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w:t>
      </w:r>
      <w:r>
        <w:rPr>
          <w:sz w:val="24"/>
          <w:szCs w:val="24"/>
          <w:lang w:eastAsia="en-US"/>
        </w:rPr>
        <w:t>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tru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b/>
          <w:bCs/>
          <w:color w:val="auto"/>
          <w:sz w:val="24"/>
          <w:szCs w:val="24"/>
          <w:lang w:val="ru-RU" w:eastAsia="en-US"/>
        </w:rPr>
        <w:t>«Цена Договора»</w:t>
      </w:r>
      <w:r>
        <w:rPr>
          <w:rFonts w:ascii="Times New Roman" w:hAnsi="Times New Roman"/>
          <w:b w:val="false"/>
          <w:bCs/>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rFonts w:eastAsia="Calibri"/>
          <w:bCs/>
          <w:sz w:val="24"/>
          <w:szCs w:val="24"/>
          <w:lang w:eastAsia="en-US"/>
        </w:rPr>
        <w:t>редуктор</w:t>
      </w:r>
      <w:r>
        <w:rPr>
          <w:rFonts w:eastAsia="Calibri"/>
          <w:bCs/>
          <w:sz w:val="24"/>
          <w:szCs w:val="24"/>
          <w:lang w:eastAsia="en-US"/>
        </w:rPr>
        <w:t xml:space="preserve"> для нужд Камчатского филиала АО «ТК РусГидро»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Камчатского филиала АО «ТК РусГидро».</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bCs/>
          <w:sz w:val="24"/>
          <w:szCs w:val="24"/>
          <w:shd w:fill="FFFFFF" w:val="clear"/>
        </w:rPr>
        <w:t>Россия, Камчатский край, город Петропавловск-Камчатский, Северо-Восточное шоссе, 42/1</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shd w:fill="FFFFFF" w:val="clear"/>
        </w:rPr>
        <w:t xml:space="preserve"> </w:t>
      </w:r>
      <w:r>
        <w:rPr>
          <w:sz w:val="24"/>
          <w:szCs w:val="24"/>
          <w:shd w:fill="FFFFFF" w:val="clear"/>
        </w:rPr>
        <w:t>(да</w:t>
      </w:r>
      <w:r>
        <w:rPr>
          <w:sz w:val="24"/>
          <w:szCs w:val="24"/>
        </w:rPr>
        <w:t>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не более</w:t>
      </w:r>
      <w:r>
        <w:rPr>
          <w:bCs/>
          <w:sz w:val="24"/>
          <w:szCs w:val="24"/>
          <w:shd w:fill="FFFFFF" w:val="clear"/>
        </w:rPr>
        <w:t xml:space="preserve"> </w:t>
      </w:r>
      <w:r>
        <w:rPr>
          <w:bCs/>
          <w:sz w:val="24"/>
          <w:szCs w:val="24"/>
          <w:shd w:fill="FFFFFF" w:val="clear"/>
        </w:rPr>
        <w:t>15</w:t>
      </w:r>
      <w:r>
        <w:rPr>
          <w:bCs/>
          <w:sz w:val="24"/>
          <w:szCs w:val="24"/>
          <w:shd w:fill="FFFFFF" w:val="clear"/>
        </w:rPr>
        <w:t xml:space="preserve"> календарных </w:t>
      </w:r>
      <w:bookmarkStart w:id="0" w:name="_GoBack"/>
      <w:bookmarkEnd w:id="0"/>
      <w:r>
        <w:rPr>
          <w:bCs/>
          <w:sz w:val="24"/>
          <w:szCs w:val="24"/>
          <w:shd w:fill="FFFFFF" w:val="clear"/>
        </w:rPr>
        <w:t>д</w:t>
      </w:r>
      <w:r>
        <w:rPr>
          <w:bCs/>
          <w:sz w:val="24"/>
          <w:szCs w:val="24"/>
        </w:rPr>
        <w:t>ней с даты заключения договора.</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Цена Договора в соответствии со Спецификацией (Приложение № 1 к Договору) является твердой и составляет _______ (__________________) рублей ___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numPr>
          <w:ilvl w:val="2"/>
          <w:numId w:val="2"/>
        </w:numPr>
        <w:tabs>
          <w:tab w:val="clear" w:pos="709"/>
        </w:tabs>
        <w:ind w:firstLine="709" w:left="0"/>
        <w:jc w:val="both"/>
        <w:rPr>
          <w:sz w:val="24"/>
        </w:rPr>
      </w:pPr>
      <w:r>
        <w:rPr>
          <w:sz w:val="24"/>
        </w:rPr>
        <w:t xml:space="preserve">Оплата по договору осуществляется в течение </w:t>
      </w:r>
      <w:r>
        <w:rPr>
          <w:sz w:val="24"/>
          <w:szCs w:val="24"/>
          <w:highlight w:val="lightGray"/>
        </w:rPr>
        <w:t>20 (двадцати) календарных дней</w:t>
      </w:r>
      <w:r>
        <w:rPr>
          <w:rStyle w:val="FootnoteReference"/>
          <w:sz w:val="24"/>
          <w:szCs w:val="24"/>
          <w:highlight w:val="lightGray"/>
        </w:rPr>
        <w:footnoteReference w:id="2"/>
      </w:r>
      <w:r>
        <w:rPr>
          <w:sz w:val="24"/>
          <w:szCs w:val="24"/>
          <w:highlight w:val="lightGray"/>
        </w:rPr>
        <w:t xml:space="preserve"> / 7 (семи) рабочих дней</w:t>
      </w:r>
      <w:r>
        <w:rPr>
          <w:rStyle w:val="FootnoteReference"/>
          <w:sz w:val="24"/>
          <w:szCs w:val="24"/>
          <w:highlight w:val="lightGray"/>
        </w:rPr>
        <w:footnoteReference w:id="3"/>
      </w:r>
      <w:r>
        <w:rPr>
          <w:sz w:val="24"/>
        </w:rPr>
        <w:t xml:space="preserve"> с момента подписания Сторонами акта сдачи-приемки, товарной накладной унифицированной формы ТОРГ-12 или универсального передаточного документа (УПД) на поставленную Продукцию, на основании счета, выставленного Поставщиком, и с учетом пункта</w:t>
      </w:r>
      <w:r>
        <w:rPr>
          <w:sz w:val="24"/>
          <w:shd w:fill="auto" w:val="clear"/>
        </w:rPr>
        <w:t xml:space="preserve"> 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1" w:name="_Ref373242894"/>
      <w:r>
        <w:rPr>
          <w:bCs/>
          <w:sz w:val="24"/>
          <w:szCs w:val="24"/>
        </w:rPr>
        <w:t xml:space="preserve">Покупатель вправе расторгнуть Договор в одностороннем внесудебном порядке и предъявить требование 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1"/>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numPr>
          <w:ilvl w:val="0"/>
          <w:numId w:val="0"/>
        </w:numPr>
        <w:ind w:hanging="0" w:left="0"/>
        <w:jc w:val="both"/>
        <w:rPr>
          <w:sz w:val="24"/>
          <w:szCs w:val="24"/>
        </w:rPr>
      </w:pPr>
      <w:r>
        <w:rPr>
          <w:bCs/>
          <w:sz w:val="24"/>
          <w:szCs w:val="24"/>
        </w:rPr>
        <w:t xml:space="preserve">           </w:t>
      </w:r>
      <w:r>
        <w:rPr>
          <w:bCs/>
          <w:sz w:val="24"/>
          <w:szCs w:val="24"/>
        </w:rPr>
        <w:t>2.10. Покупатель направляет Поставщику уведомление о проведении сальдо взаимных обязательств Сторон по Договору.</w:t>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3" w:name="_Ref361396594"/>
      <w:r>
        <w:rPr>
          <w:sz w:val="24"/>
          <w:szCs w:val="24"/>
        </w:rPr>
        <w:t xml:space="preserve">Датой поставки Товара является дата подписания Сторонами накладной </w:t>
        <w:br/>
        <w:t>ТОРГ-12</w:t>
      </w:r>
      <w:bookmarkEnd w:id="3"/>
      <w:r>
        <w:rPr>
          <w:sz w:val="24"/>
          <w:szCs w:val="24"/>
        </w:rPr>
        <w:t xml:space="preserve"> либо 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shd w:fill="FFFFFF" w:val="clear"/>
        </w:rPr>
        <w:t xml:space="preserve">3 (трех)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highlight w:val="none"/>
          <w:shd w:fill="FFFFFF" w:val="clear"/>
        </w:rPr>
      </w:pPr>
      <w:bookmarkStart w:id="4" w:name="_Ref361408232"/>
      <w:r>
        <w:rPr>
          <w:sz w:val="24"/>
          <w:szCs w:val="24"/>
          <w:shd w:fill="FFFFFF" w:val="clear"/>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shd w:fill="FFFFFF" w:val="clear"/>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shd w:fill="FFFFFF" w:val="clear"/>
        </w:rPr>
        <w:t xml:space="preserve">Приемка Товара со вскрытием тары и упаковки производится Покупателем </w:t>
        <w:br/>
        <w:t xml:space="preserve">в присутствии представителя Поставщика в течение 10 (десяти) рабочих дней </w:t>
        <w:br/>
        <w:t>с даты подписания Покупателем транспортных документов. В случае отсутствия з</w:t>
      </w:r>
      <w:r>
        <w:rPr>
          <w:sz w:val="24"/>
          <w:szCs w:val="24"/>
        </w:rPr>
        <w:t>амечаний Покупатель подписывает накладную ТОРГ-12 либо 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либо 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highlight w:val="none"/>
          <w:shd w:fill="FFFFFF" w:val="clear"/>
        </w:rPr>
      </w:pPr>
      <w:r>
        <w:rPr>
          <w:b/>
          <w:sz w:val="24"/>
          <w:szCs w:val="24"/>
          <w:shd w:fill="FFFFFF" w:val="clear"/>
        </w:rPr>
        <w:t>Гарантийный срок</w:t>
      </w:r>
    </w:p>
    <w:p>
      <w:pPr>
        <w:pStyle w:val="ListParagraph"/>
        <w:numPr>
          <w:ilvl w:val="1"/>
          <w:numId w:val="2"/>
        </w:numPr>
        <w:tabs>
          <w:tab w:val="left" w:pos="709" w:leader="none"/>
          <w:tab w:val="left" w:pos="1134" w:leader="none"/>
        </w:tabs>
        <w:ind w:firstLine="709" w:left="0"/>
        <w:jc w:val="both"/>
        <w:rPr>
          <w:highlight w:val="none"/>
          <w:shd w:fill="FFFFFF" w:val="clear"/>
        </w:rPr>
      </w:pPr>
      <w:r>
        <w:rPr>
          <w:sz w:val="24"/>
          <w:szCs w:val="24"/>
          <w:shd w:fill="FFFFFF" w:val="clear"/>
        </w:rPr>
        <w:t>Гарантийный срок на Товар, поставленный по Договору, составляет не менее 6 (шести) месяцев, с даты продажи Покупателю, и начинает течь с даты подписания Сторонами накладной ТОРГ-12/УПД.</w:t>
      </w:r>
      <w:r>
        <w:rPr>
          <w:shd w:fill="FFFFFF" w:val="clear"/>
        </w:rPr>
        <w:t xml:space="preserve"> </w:t>
      </w:r>
      <w:r>
        <w:rPr>
          <w:sz w:val="24"/>
          <w:szCs w:val="24"/>
          <w:shd w:fill="FFFFFF" w:val="clear"/>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6"/>
      <w:bookmarkStart w:id="6" w:name="OLE_LINK5"/>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4"/>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w:t>
        <w:br/>
        <w:t xml:space="preserve">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Normal"/>
        <w:widowControl/>
        <w:numPr>
          <w:ilvl w:val="0"/>
          <w:numId w:val="0"/>
        </w:numPr>
        <w:tabs>
          <w:tab w:val="clear" w:pos="709"/>
          <w:tab w:val="left" w:pos="1276" w:leader="none"/>
        </w:tabs>
        <w:ind w:hanging="0" w:left="0"/>
        <w:jc w:val="both"/>
        <w:rPr>
          <w:sz w:val="24"/>
          <w:szCs w:val="24"/>
        </w:rPr>
      </w:pPr>
      <w:r>
        <w:rPr>
          <w:sz w:val="24"/>
          <w:szCs w:val="24"/>
        </w:rPr>
        <w:t xml:space="preserve">         </w:t>
      </w:r>
      <w:r>
        <w:rPr>
          <w:sz w:val="24"/>
          <w:szCs w:val="24"/>
        </w:rPr>
        <w:t xml:space="preserve">5.4.1. 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0"/>
          <w:numId w:val="0"/>
        </w:numPr>
        <w:ind w:hanging="0" w:left="0"/>
        <w:jc w:val="both"/>
        <w:rPr>
          <w:sz w:val="24"/>
          <w:szCs w:val="24"/>
        </w:rPr>
      </w:pPr>
      <w:r>
        <w:rPr>
          <w:sz w:val="24"/>
          <w:szCs w:val="24"/>
        </w:rPr>
        <w:t xml:space="preserve">         </w:t>
      </w:r>
      <w:r>
        <w:rPr>
          <w:sz w:val="24"/>
          <w:szCs w:val="24"/>
        </w:rPr>
        <w:t>5.4.2.Неустойки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0"/>
          <w:numId w:val="0"/>
        </w:numPr>
        <w:shd w:val="clear" w:color="auto" w:fill="FFFFFF"/>
        <w:tabs>
          <w:tab w:val="clear" w:pos="709"/>
          <w:tab w:val="left" w:pos="1276" w:leader="none"/>
        </w:tabs>
        <w:ind w:hanging="0" w:left="0"/>
        <w:jc w:val="both"/>
        <w:rPr>
          <w:bCs/>
          <w:sz w:val="24"/>
          <w:szCs w:val="24"/>
        </w:rPr>
      </w:pPr>
      <w:r>
        <w:rPr>
          <w:bCs/>
          <w:sz w:val="24"/>
          <w:szCs w:val="24"/>
        </w:rPr>
        <w:t xml:space="preserve">  </w:t>
      </w:r>
      <w:r>
        <w:rPr>
          <w:bCs/>
          <w:sz w:val="24"/>
          <w:szCs w:val="24"/>
        </w:rPr>
        <w:t xml:space="preserve">5.5.В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0"/>
          <w:numId w:val="0"/>
        </w:numPr>
        <w:shd w:val="clear" w:color="auto" w:fill="FFFFFF"/>
        <w:tabs>
          <w:tab w:val="clear" w:pos="709"/>
          <w:tab w:val="left" w:pos="1276" w:leader="none"/>
        </w:tabs>
        <w:ind w:hanging="0" w:left="0"/>
        <w:jc w:val="both"/>
        <w:rPr>
          <w:bCs/>
          <w:sz w:val="24"/>
          <w:szCs w:val="24"/>
        </w:rPr>
      </w:pPr>
      <w:r>
        <w:rPr>
          <w:bCs/>
          <w:sz w:val="24"/>
          <w:szCs w:val="24"/>
        </w:rPr>
        <w:t xml:space="preserve">        </w:t>
      </w:r>
      <w:r>
        <w:rPr>
          <w:bCs/>
          <w:sz w:val="24"/>
          <w:szCs w:val="24"/>
        </w:rPr>
        <w:t xml:space="preserve">5.6. 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5.7. 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5.8.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5.9.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5.10.Учитывая,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5.11.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0"/>
          <w:numId w:val="0"/>
        </w:numPr>
        <w:shd w:val="clear" w:color="auto" w:fill="FFFFFF"/>
        <w:ind w:hanging="0" w:left="0"/>
        <w:jc w:val="both"/>
        <w:rPr>
          <w:bCs/>
          <w:sz w:val="24"/>
          <w:szCs w:val="24"/>
        </w:rPr>
      </w:pPr>
      <w:r>
        <w:rPr>
          <w:bCs/>
          <w:sz w:val="24"/>
          <w:szCs w:val="24"/>
        </w:rPr>
        <w:t xml:space="preserve">    </w:t>
      </w:r>
      <w:r>
        <w:rPr>
          <w:bCs/>
          <w:sz w:val="24"/>
          <w:szCs w:val="24"/>
        </w:rPr>
        <w:t xml:space="preserve">5.12. 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5"/>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8"/>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9"/>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bCs/>
          <w:sz w:val="24"/>
          <w:szCs w:val="24"/>
        </w:rPr>
        <w:t xml:space="preserve">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6"/>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0"/>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7"/>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8"/>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1" w:name="sub_1"/>
      <w:bookmarkEnd w:id="1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ind w:firstLine="709"/>
        <w:jc w:val="both"/>
        <w:rPr>
          <w:bCs/>
          <w:sz w:val="24"/>
          <w:szCs w:val="24"/>
        </w:rPr>
      </w:pPr>
      <w:bookmarkStart w:id="12" w:name="sub_1_Копия_1"/>
      <w:bookmarkEnd w:id="12"/>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85"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2"/>
        <w:gridCol w:w="582"/>
        <w:gridCol w:w="4198"/>
        <w:gridCol w:w="323"/>
      </w:tblGrid>
      <w:tr>
        <w:trPr/>
        <w:tc>
          <w:tcPr>
            <w:tcW w:w="5364" w:type="dxa"/>
            <w:gridSpan w:val="2"/>
            <w:tcBorders/>
          </w:tcPr>
          <w:p>
            <w:pPr>
              <w:pStyle w:val="Normal"/>
              <w:widowControl w:val="false"/>
              <w:rPr>
                <w:sz w:val="24"/>
                <w:szCs w:val="24"/>
              </w:rPr>
            </w:pPr>
            <w:r>
              <w:rPr>
                <w:sz w:val="24"/>
                <w:szCs w:val="24"/>
              </w:rPr>
              <w:t>ПОКУПАТЕЛЬ:</w:t>
            </w:r>
          </w:p>
        </w:tc>
        <w:tc>
          <w:tcPr>
            <w:tcW w:w="4521" w:type="dxa"/>
            <w:gridSpan w:val="2"/>
            <w:tcBorders/>
          </w:tcPr>
          <w:p>
            <w:pPr>
              <w:pStyle w:val="Normal"/>
              <w:widowControl w:val="false"/>
              <w:rPr>
                <w:sz w:val="24"/>
                <w:szCs w:val="24"/>
              </w:rPr>
            </w:pPr>
            <w:r>
              <w:rPr>
                <w:sz w:val="24"/>
                <w:szCs w:val="24"/>
              </w:rPr>
              <w:t>ПОСТАВЩИК:</w:t>
            </w:r>
          </w:p>
        </w:tc>
      </w:tr>
      <w:tr>
        <w:trPr/>
        <w:tc>
          <w:tcPr>
            <w:tcW w:w="5364" w:type="dxa"/>
            <w:gridSpan w:val="2"/>
            <w:tcBorders/>
            <w:shd w:color="auto" w:fill="BFBFBF" w:val="clear"/>
          </w:tcPr>
          <w:p>
            <w:pPr>
              <w:pStyle w:val="Normal"/>
              <w:widowControl w:val="false"/>
              <w:rPr>
                <w:sz w:val="24"/>
                <w:szCs w:val="24"/>
              </w:rPr>
            </w:pPr>
            <w:r>
              <w:rPr>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9603"/>
              <w:gridCol w:w="286"/>
            </w:tblGrid>
            <w:tr>
              <w:trPr/>
              <w:tc>
                <w:tcPr>
                  <w:tcW w:w="9889" w:type="dxa"/>
                  <w:gridSpan w:val="2"/>
                  <w:tcBorders/>
                  <w:shd w:color="auto" w:fill="auto" w:val="clear"/>
                </w:tcPr>
                <w:p>
                  <w:pPr>
                    <w:pStyle w:val="Normal"/>
                    <w:widowControl w:val="false"/>
                    <w:rPr>
                      <w:sz w:val="24"/>
                      <w:szCs w:val="24"/>
                    </w:rPr>
                  </w:pPr>
                  <w:r>
                    <w:rPr>
                      <w:sz w:val="24"/>
                      <w:szCs w:val="24"/>
                    </w:rPr>
                  </w:r>
                </w:p>
              </w:tc>
            </w:tr>
            <w:tr>
              <w:trPr/>
              <w:tc>
                <w:tcPr>
                  <w:tcW w:w="9889" w:type="dxa"/>
                  <w:gridSpan w:val="2"/>
                  <w:tcBorders/>
                  <w:shd w:color="auto" w:fill="auto" w:val="clear"/>
                </w:tcPr>
                <w:p>
                  <w:pPr>
                    <w:pStyle w:val="Normal"/>
                    <w:widowControl w:val="false"/>
                    <w:rPr>
                      <w:b/>
                      <w:sz w:val="24"/>
                      <w:szCs w:val="24"/>
                    </w:rPr>
                  </w:pPr>
                  <w:r>
                    <w:rPr>
                      <w:b/>
                      <w:sz w:val="24"/>
                      <w:szCs w:val="24"/>
                    </w:rPr>
                    <w:t>Акционерное общество</w:t>
                  </w:r>
                </w:p>
                <w:p>
                  <w:pPr>
                    <w:pStyle w:val="Normal"/>
                    <w:widowControl w:val="false"/>
                    <w:rPr>
                      <w:b/>
                      <w:bCs/>
                      <w:sz w:val="24"/>
                      <w:szCs w:val="24"/>
                    </w:rPr>
                  </w:pPr>
                  <w:r>
                    <w:rPr>
                      <w:b/>
                      <w:bCs/>
                      <w:sz w:val="24"/>
                      <w:szCs w:val="24"/>
                    </w:rPr>
                    <w:t>«Транспортная компания РусГидро»</w:t>
                  </w:r>
                </w:p>
                <w:p>
                  <w:pPr>
                    <w:pStyle w:val="Normal"/>
                    <w:widowControl w:val="false"/>
                    <w:rPr>
                      <w:bCs/>
                      <w:sz w:val="24"/>
                      <w:szCs w:val="24"/>
                      <w:u w:val="single"/>
                    </w:rPr>
                  </w:pPr>
                  <w:r>
                    <w:rPr>
                      <w:b/>
                      <w:bCs/>
                      <w:sz w:val="24"/>
                      <w:szCs w:val="24"/>
                    </w:rPr>
                    <w:t>(</w:t>
                  </w:r>
                  <w:r>
                    <w:rPr>
                      <w:bCs/>
                      <w:sz w:val="24"/>
                      <w:szCs w:val="24"/>
                    </w:rPr>
                    <w:t>АО «ТК РусГидро»)</w:t>
                  </w:r>
                </w:p>
                <w:p>
                  <w:pPr>
                    <w:pStyle w:val="Normal"/>
                    <w:widowControl w:val="false"/>
                    <w:rPr>
                      <w:sz w:val="24"/>
                      <w:szCs w:val="24"/>
                    </w:rPr>
                  </w:pPr>
                  <w:r>
                    <w:rPr>
                      <w:sz w:val="24"/>
                      <w:szCs w:val="24"/>
                    </w:rPr>
                    <w:t xml:space="preserve">Юридический адрес: 655619, Республика </w:t>
                  </w:r>
                </w:p>
                <w:p>
                  <w:pPr>
                    <w:pStyle w:val="Normal"/>
                    <w:widowControl w:val="false"/>
                    <w:rPr>
                      <w:sz w:val="24"/>
                      <w:szCs w:val="24"/>
                    </w:rPr>
                  </w:pPr>
                  <w:r>
                    <w:rPr>
                      <w:sz w:val="24"/>
                      <w:szCs w:val="24"/>
                    </w:rPr>
                    <w:t>Хакасия, г. Саяногорск, рп. Черемушки, стр 101</w:t>
                  </w:r>
                </w:p>
                <w:p>
                  <w:pPr>
                    <w:pStyle w:val="Normal"/>
                    <w:widowControl w:val="false"/>
                    <w:rPr>
                      <w:sz w:val="24"/>
                      <w:szCs w:val="24"/>
                    </w:rPr>
                  </w:pPr>
                  <w:r>
                    <w:rPr>
                      <w:sz w:val="24"/>
                      <w:szCs w:val="24"/>
                    </w:rPr>
                    <w:t>ОГРН: 1031900676356;</w:t>
                  </w:r>
                </w:p>
                <w:p>
                  <w:pPr>
                    <w:pStyle w:val="Normal"/>
                    <w:widowControl w:val="false"/>
                    <w:rPr>
                      <w:sz w:val="24"/>
                      <w:szCs w:val="24"/>
                    </w:rPr>
                  </w:pPr>
                  <w:r>
                    <w:rPr>
                      <w:sz w:val="24"/>
                      <w:szCs w:val="24"/>
                    </w:rPr>
                    <w:t>ИНН: 1902018248; КПП: 190201001;</w:t>
                  </w:r>
                </w:p>
                <w:p>
                  <w:pPr>
                    <w:pStyle w:val="Normal"/>
                    <w:widowControl w:val="false"/>
                    <w:rPr>
                      <w:sz w:val="24"/>
                      <w:szCs w:val="24"/>
                    </w:rPr>
                  </w:pPr>
                  <w:r>
                    <w:rPr>
                      <w:sz w:val="24"/>
                      <w:szCs w:val="24"/>
                    </w:rPr>
                    <w:t>р/с 40702 810 7 9500 0000002</w:t>
                  </w:r>
                </w:p>
                <w:p>
                  <w:pPr>
                    <w:pStyle w:val="Normal"/>
                    <w:widowControl w:val="false"/>
                    <w:rPr>
                      <w:sz w:val="24"/>
                      <w:szCs w:val="24"/>
                    </w:rPr>
                  </w:pPr>
                  <w:r>
                    <w:rPr>
                      <w:sz w:val="24"/>
                      <w:szCs w:val="24"/>
                    </w:rPr>
                    <w:t xml:space="preserve">«Газпромбанк» (Акционерное общество) </w:t>
                  </w:r>
                </w:p>
                <w:p>
                  <w:pPr>
                    <w:pStyle w:val="Normal"/>
                    <w:widowControl w:val="false"/>
                    <w:rPr>
                      <w:sz w:val="24"/>
                      <w:szCs w:val="24"/>
                    </w:rPr>
                  </w:pPr>
                  <w:r>
                    <w:rPr>
                      <w:sz w:val="24"/>
                      <w:szCs w:val="24"/>
                    </w:rPr>
                    <w:t xml:space="preserve">ГПБ (АО) г. Москва </w:t>
                  </w:r>
                </w:p>
                <w:p>
                  <w:pPr>
                    <w:pStyle w:val="Normal"/>
                    <w:widowControl w:val="false"/>
                    <w:rPr>
                      <w:sz w:val="24"/>
                      <w:szCs w:val="24"/>
                    </w:rPr>
                  </w:pPr>
                  <w:r>
                    <w:rPr>
                      <w:sz w:val="24"/>
                      <w:szCs w:val="24"/>
                    </w:rPr>
                    <w:t xml:space="preserve">к/с 30101 810 2 0000 0000823 </w:t>
                  </w:r>
                </w:p>
                <w:p>
                  <w:pPr>
                    <w:pStyle w:val="Normal"/>
                    <w:widowControl w:val="false"/>
                    <w:rPr>
                      <w:sz w:val="24"/>
                      <w:szCs w:val="24"/>
                    </w:rPr>
                  </w:pPr>
                  <w:r>
                    <w:rPr>
                      <w:sz w:val="24"/>
                      <w:szCs w:val="24"/>
                    </w:rPr>
                    <w:t>БИК 044525823</w:t>
                  </w:r>
                </w:p>
                <w:p>
                  <w:pPr>
                    <w:pStyle w:val="Normal"/>
                    <w:widowControl w:val="false"/>
                    <w:rPr>
                      <w:bCs/>
                      <w:sz w:val="24"/>
                      <w:szCs w:val="24"/>
                    </w:rPr>
                  </w:pPr>
                  <w:r>
                    <w:rPr>
                      <w:bCs/>
                      <w:sz w:val="24"/>
                      <w:szCs w:val="24"/>
                    </w:rPr>
                  </w:r>
                </w:p>
                <w:p>
                  <w:pPr>
                    <w:pStyle w:val="Normal"/>
                    <w:widowControl w:val="false"/>
                    <w:rPr>
                      <w:b/>
                      <w:bCs/>
                      <w:sz w:val="24"/>
                      <w:szCs w:val="24"/>
                    </w:rPr>
                  </w:pPr>
                  <w:r>
                    <w:rPr>
                      <w:b/>
                      <w:bCs/>
                      <w:sz w:val="24"/>
                      <w:szCs w:val="24"/>
                    </w:rPr>
                    <w:t xml:space="preserve">Камчатский филиал </w:t>
                  </w:r>
                </w:p>
                <w:p>
                  <w:pPr>
                    <w:pStyle w:val="Normal"/>
                    <w:widowControl w:val="false"/>
                    <w:rPr>
                      <w:b/>
                      <w:bCs/>
                      <w:sz w:val="24"/>
                      <w:szCs w:val="24"/>
                      <w:u w:val="single"/>
                    </w:rPr>
                  </w:pPr>
                  <w:r>
                    <w:rPr>
                      <w:b/>
                      <w:bCs/>
                      <w:sz w:val="24"/>
                      <w:szCs w:val="24"/>
                    </w:rPr>
                    <w:t>АО «ТК РусГидро»</w:t>
                  </w:r>
                </w:p>
                <w:p>
                  <w:pPr>
                    <w:pStyle w:val="Normal"/>
                    <w:widowControl w:val="false"/>
                    <w:rPr>
                      <w:b w:val="false"/>
                      <w:bCs w:val="false"/>
                    </w:rPr>
                  </w:pPr>
                  <w:r>
                    <w:rPr>
                      <w:b w:val="false"/>
                      <w:bCs w:val="false"/>
                      <w:sz w:val="24"/>
                      <w:szCs w:val="24"/>
                      <w:lang w:val="en-GB"/>
                    </w:rPr>
                    <w:t xml:space="preserve">Почтовый адрес: 683032, Камчатский край, </w:t>
                  </w:r>
                </w:p>
                <w:p>
                  <w:pPr>
                    <w:pStyle w:val="Normal"/>
                    <w:widowControl w:val="false"/>
                    <w:rPr>
                      <w:b w:val="false"/>
                      <w:bCs w:val="false"/>
                    </w:rPr>
                  </w:pPr>
                  <w:r>
                    <w:rPr>
                      <w:b w:val="false"/>
                      <w:bCs w:val="false"/>
                      <w:sz w:val="24"/>
                      <w:szCs w:val="24"/>
                      <w:lang w:val="en-GB"/>
                    </w:rPr>
                    <w:t xml:space="preserve">г. Петропавловск-Камчатский, </w:t>
                  </w:r>
                </w:p>
                <w:p>
                  <w:pPr>
                    <w:pStyle w:val="Normal"/>
                    <w:widowControl w:val="false"/>
                    <w:rPr>
                      <w:b w:val="false"/>
                      <w:bCs w:val="false"/>
                    </w:rPr>
                  </w:pPr>
                  <w:r>
                    <w:rPr>
                      <w:b w:val="false"/>
                      <w:bCs w:val="false"/>
                      <w:sz w:val="24"/>
                      <w:szCs w:val="24"/>
                      <w:lang w:val="en-GB"/>
                    </w:rPr>
                    <w:t>ул. Пограничная, д. 14а</w:t>
                  </w:r>
                </w:p>
              </w:tc>
            </w:tr>
            <w:tr>
              <w:trPr/>
              <w:tc>
                <w:tcPr>
                  <w:tcW w:w="9603" w:type="dxa"/>
                  <w:tcBorders/>
                  <w:shd w:color="auto" w:fill="auto" w:val="clear"/>
                </w:tcPr>
                <w:p>
                  <w:pPr>
                    <w:pStyle w:val="Normal"/>
                    <w:widowControl w:val="false"/>
                    <w:rPr>
                      <w:sz w:val="24"/>
                      <w:szCs w:val="24"/>
                    </w:rPr>
                  </w:pPr>
                  <w:r>
                    <w:rPr>
                      <w:b/>
                      <w:lang w:val="en-GB"/>
                    </w:rPr>
                    <w:t>ИНН: 1902018248; КПП: 410143001</w:t>
                  </w:r>
                </w:p>
              </w:tc>
              <w:tc>
                <w:tcPr>
                  <w:tcW w:w="286" w:type="dxa"/>
                  <w:tcBorders/>
                  <w:shd w:color="auto" w:fill="auto" w:val="clear"/>
                </w:tcPr>
                <w:p>
                  <w:pPr>
                    <w:pStyle w:val="Normal"/>
                    <w:widowControl w:val="false"/>
                    <w:rPr/>
                  </w:pPr>
                  <w:r>
                    <w:rPr/>
                  </w:r>
                </w:p>
              </w:tc>
            </w:tr>
          </w:tbl>
          <w:p>
            <w:pPr>
              <w:pStyle w:val="Normal"/>
              <w:widowControl w:val="false"/>
              <w:rPr/>
            </w:pPr>
            <w:r>
              <w:rPr/>
            </w:r>
          </w:p>
        </w:tc>
        <w:tc>
          <w:tcPr>
            <w:tcW w:w="4521"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82"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0"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3"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6"/>
        <w:gridCol w:w="157"/>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9"/>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0"/>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1"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6"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rPr>
          <w:i/>
          <w:i/>
          <w:sz w:val="22"/>
          <w:szCs w:val="22"/>
          <w:highlight w:val="lightGray"/>
        </w:rPr>
      </w:pPr>
      <w:r>
        <w:rPr>
          <w:i/>
          <w:sz w:val="22"/>
          <w:szCs w:val="22"/>
          <w:highlight w:val="lightGray"/>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20</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3">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5">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6">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7">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8">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9">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0">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3" w:name="_GoBack_Копия_1_Копия_1_Копия_1_Копия_1_"/>
      <w:bookmarkEnd w:id="13"/>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426</TotalTime>
  <Application>AlterOffice/2026.2.0.0$Linux_X86_64 LibreOffice_project/bc4ef1adf80b36c7a6365f8ed6cbf29021361edd</Application>
  <AppVersion>15.0000</AppVersion>
  <Pages>20</Pages>
  <Words>7188</Words>
  <Characters>51524</Characters>
  <CharactersWithSpaces>58576</CharactersWithSpaces>
  <Paragraphs>336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oleinikovadv@corp.gidroogk.com</cp:lastModifiedBy>
  <cp:lastPrinted>2018-05-22T09:46:00Z</cp:lastPrinted>
  <dcterms:modified xsi:type="dcterms:W3CDTF">2026-10-14T10:31:47Z</dcterms:modified>
  <cp:revision>56</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