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25"/>
        <w:numPr>
          <w:ilvl w:val="0"/>
          <w:numId w:val="0"/>
        </w:numPr>
        <w:pBdr/>
        <w:spacing w:after="0" w:before="0"/>
        <w:ind w:firstLine="0" w:left="0"/>
        <w:jc w:val="right"/>
        <w:rPr>
          <w:sz w:val="24"/>
          <w:szCs w:val="24"/>
        </w:rPr>
      </w:pPr>
      <w:r>
        <w:t xml:space="preserve">«</w:t>
      </w:r>
      <w:r>
        <w:rPr>
          <w:sz w:val="24"/>
          <w:szCs w:val="24"/>
        </w:rPr>
        <w:t xml:space="preserve">Утверждаю»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4"/>
        <w:keepNext w:val="true"/>
        <w:keepLines w:val="true"/>
        <w:pBdr/>
        <w:spacing/>
        <w:ind/>
        <w:jc w:val="right"/>
        <w:rPr>
          <w:sz w:val="24"/>
          <w:szCs w:val="24"/>
        </w:rPr>
      </w:pPr>
      <w:r>
        <w:rPr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4"/>
        <w:pBdr/>
        <w:spacing/>
        <w:ind/>
        <w:jc w:val="lef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824"/>
        <w:pBdr/>
        <w:spacing/>
        <w:ind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_______________ /_______./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824"/>
        <w:pBdr/>
        <w:spacing/>
        <w:ind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824"/>
        <w:pBdr/>
        <w:spacing/>
        <w:ind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«_____» _____________ 2026 г.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824"/>
        <w:pBdr/>
        <w:spacing w:after="0" w:before="0" w:line="240" w:lineRule="auto"/>
        <w:ind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24"/>
        <w:pBdr/>
        <w:spacing/>
        <w:ind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bookmarkStart w:id="1" w:name="_GoBack"/>
      <w:r/>
      <w:bookmarkEnd w:id="1"/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824"/>
        <w:keepNext w:val="true"/>
        <w:keepLines w:val="true"/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4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24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24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24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24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24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24"/>
        <w:keepNext w:val="true"/>
        <w:keepLines w:val="true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24"/>
        <w:widowControl w:val="false"/>
        <w:pBdr/>
        <w:shd w:val="clear" w:color="auto" w:fill="auto"/>
        <w:tabs>
          <w:tab w:val="left" w:leader="none" w:pos="426"/>
          <w:tab w:val="clear" w:leader="none" w:pos="708"/>
        </w:tabs>
        <w:spacing w:after="120" w:before="120"/>
        <w:ind/>
        <w:jc w:val="center"/>
        <w:rPr/>
      </w:pPr>
      <w:r>
        <w:rPr>
          <w:sz w:val="24"/>
          <w:szCs w:val="24"/>
        </w:rPr>
        <w:t xml:space="preserve">Технические требования на</w:t>
      </w:r>
      <w:r/>
    </w:p>
    <w:p>
      <w:pPr>
        <w:pStyle w:val="824"/>
        <w:widowControl w:val="false"/>
        <w:pBdr/>
        <w:shd w:val="clear" w:color="auto" w:fill="auto"/>
        <w:tabs>
          <w:tab w:val="left" w:leader="none" w:pos="426"/>
          <w:tab w:val="clear" w:leader="none" w:pos="708"/>
        </w:tabs>
        <w:spacing w:after="120" w:before="120"/>
        <w:ind/>
        <w:jc w:val="center"/>
        <w:rPr>
          <w:sz w:val="24"/>
          <w:szCs w:val="24"/>
          <w:highlight w:val="none"/>
          <w:shd w:val="clear" w:color="auto" w:fill="ffff00"/>
          <w14:ligatures w14:val="none"/>
        </w:rPr>
      </w:pP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ОКПД2 - 71.20.19.190 Оказание услуг по комплексному обследованию здания ТЭЦ в п. Депутатский, Янских ЭС</w:t>
      </w:r>
      <w:r>
        <w:rPr>
          <w:sz w:val="24"/>
          <w:szCs w:val="24"/>
        </w:rPr>
        <w:t xml:space="preserve">»</w:t>
      </w:r>
      <w:r>
        <w:rPr>
          <w:sz w:val="24"/>
          <w:szCs w:val="24"/>
          <w:highlight w:val="none"/>
          <w:shd w:val="clear" w:color="auto" w:fill="ffff00"/>
          <w14:ligatures w14:val="none"/>
        </w:rPr>
      </w:r>
      <w:r>
        <w:rPr>
          <w:sz w:val="24"/>
          <w:szCs w:val="24"/>
          <w:highlight w:val="none"/>
          <w:shd w:val="clear" w:color="auto" w:fill="ffff00"/>
          <w14:ligatures w14:val="none"/>
        </w:rPr>
      </w:r>
    </w:p>
    <w:p>
      <w:pPr>
        <w:pStyle w:val="824"/>
        <w:keepNext w:val="true"/>
        <w:keepLines w:val="true"/>
        <w:pBdr/>
        <w:spacing/>
        <w:ind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24"/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br w:type="page" w:clear="all"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25"/>
        <w:keepLines w:val="true"/>
        <w:numPr>
          <w:ilvl w:val="0"/>
          <w:numId w:val="3"/>
        </w:numPr>
        <w:pBdr/>
        <w:spacing/>
        <w:ind w:hanging="357" w:left="357"/>
        <w:jc w:val="center"/>
        <w:rPr>
          <w:caps/>
          <w:lang w:val="ru-RU"/>
        </w:rPr>
      </w:pPr>
      <w:r/>
      <w:bookmarkStart w:id="2" w:name="_Toc54646395"/>
      <w:r/>
      <w:bookmarkStart w:id="3" w:name="_Toc51339692"/>
      <w:r>
        <w:rPr>
          <w:lang w:val="ru-RU"/>
        </w:rPr>
        <w:t xml:space="preserve">Общие сведения</w:t>
      </w:r>
      <w:bookmarkEnd w:id="2"/>
      <w:r/>
      <w:bookmarkEnd w:id="3"/>
      <w:r>
        <w:rPr>
          <w:caps/>
          <w:lang w:val="ru-RU"/>
        </w:rPr>
      </w:r>
      <w:r>
        <w:rPr>
          <w:caps/>
          <w:lang w:val="ru-RU"/>
        </w:rPr>
      </w:r>
    </w:p>
    <w:p>
      <w:pPr>
        <w:pStyle w:val="828"/>
        <w:numPr>
          <w:ilvl w:val="1"/>
          <w:numId w:val="3"/>
        </w:numPr>
        <w:pBdr/>
        <w:spacing/>
        <w:ind/>
        <w:rPr/>
      </w:pPr>
      <w:r/>
      <w:bookmarkStart w:id="4" w:name="_Toc54646396"/>
      <w:r/>
      <w:bookmarkStart w:id="5" w:name="_Toc46743505"/>
      <w:r>
        <w:t xml:space="preserve">Обозначения и сокращения</w:t>
      </w:r>
      <w:bookmarkEnd w:id="4"/>
      <w:r/>
      <w:bookmarkEnd w:id="5"/>
      <w:r/>
      <w:r/>
    </w:p>
    <w:p>
      <w:pPr>
        <w:pStyle w:val="824"/>
        <w:pBdr/>
        <w:spacing/>
        <w:ind/>
        <w:rPr/>
      </w:pPr>
      <w:r/>
      <w:r/>
    </w:p>
    <w:tbl>
      <w:tblPr>
        <w:tblW w:w="9783" w:type="dxa"/>
        <w:jc w:val="center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85"/>
        <w:gridCol w:w="7997"/>
      </w:tblGrid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rStyle w:val="884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/>
                <w:iCs/>
                <w:sz w:val="24"/>
                <w:szCs w:val="24"/>
              </w:rPr>
              <w:t xml:space="preserve">СТО</w:t>
            </w:r>
            <w:r>
              <w:rPr>
                <w:rStyle w:val="884"/>
                <w:b w:val="0"/>
                <w:iCs/>
                <w:sz w:val="24"/>
                <w:szCs w:val="24"/>
                <w:shd w:val="clear" w:color="auto" w:fill="auto"/>
              </w:rPr>
            </w:r>
            <w:r>
              <w:rPr>
                <w:rStyle w:val="884"/>
                <w:b w:val="0"/>
                <w:iCs/>
                <w:sz w:val="24"/>
                <w:szCs w:val="24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rStyle w:val="884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стандарт организации</w:t>
            </w:r>
            <w:r>
              <w:rPr>
                <w:rStyle w:val="884"/>
                <w:b w:val="0"/>
                <w:bCs/>
                <w:i w:val="0"/>
                <w:iCs/>
                <w:sz w:val="24"/>
                <w:szCs w:val="24"/>
              </w:rPr>
            </w:r>
            <w:r>
              <w:rPr>
                <w:rStyle w:val="884"/>
                <w:b w:val="0"/>
                <w:bCs/>
                <w:i w:val="0"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rStyle w:val="884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i/>
                <w:iCs/>
                <w:sz w:val="24"/>
                <w:szCs w:val="24"/>
              </w:rPr>
              <w:t xml:space="preserve">ТТ</w:t>
            </w:r>
            <w:r>
              <w:rPr>
                <w:rStyle w:val="884"/>
                <w:b w:val="0"/>
                <w:iCs/>
                <w:sz w:val="24"/>
                <w:szCs w:val="24"/>
                <w:shd w:val="clear" w:color="auto" w:fill="auto"/>
              </w:rPr>
            </w:r>
            <w:r>
              <w:rPr>
                <w:rStyle w:val="884"/>
                <w:b w:val="0"/>
                <w:iCs/>
                <w:sz w:val="24"/>
                <w:szCs w:val="24"/>
                <w:shd w:val="clear" w:color="auto" w:fill="au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rStyle w:val="884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технические требования</w:t>
            </w:r>
            <w:r>
              <w:rPr>
                <w:rStyle w:val="884"/>
                <w:b w:val="0"/>
                <w:bCs/>
                <w:i w:val="0"/>
                <w:iCs/>
                <w:sz w:val="24"/>
                <w:szCs w:val="24"/>
              </w:rPr>
            </w:r>
            <w:r>
              <w:rPr>
                <w:rStyle w:val="884"/>
                <w:b w:val="0"/>
                <w:bCs/>
                <w:i w:val="0"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РД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руководящие документы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СП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свод правил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ГОСТ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государственный стандарт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СНиП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строительные правила и нормы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ПУЭ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правила устройства электроустановок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ПТЭ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правила технической эксплуатации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МПОТ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межотраслевые правила по охране труда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СРО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саморегулируемые организации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СМР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строительно–монтажные работы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ГПМ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pStyle w:val="824"/>
              <w:keepNext w:val="true"/>
              <w:keepLines w:val="true"/>
              <w:widowControl w:val="false"/>
              <w:pBdr/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  <w:lang w:eastAsia="en-US"/>
              </w:rPr>
              <w:t xml:space="preserve">грузоподъемный механизм</w:t>
            </w:r>
            <w:r>
              <w:rPr>
                <w:i/>
                <w:iCs/>
                <w:sz w:val="24"/>
                <w:szCs w:val="24"/>
              </w:rPr>
            </w: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824"/>
        <w:keepNext w:val="true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4"/>
        <w:keepNext w:val="true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4"/>
        <w:keepNext w:val="true"/>
        <w:keepLines w:val="true"/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br w:type="page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8"/>
        <w:numPr>
          <w:ilvl w:val="1"/>
          <w:numId w:val="3"/>
        </w:numPr>
        <w:pBdr/>
        <w:spacing/>
        <w:ind/>
        <w:rPr/>
      </w:pPr>
      <w:r/>
      <w:bookmarkStart w:id="6" w:name="_Toc54646397"/>
      <w:r/>
      <w:bookmarkStart w:id="7" w:name="_Toc46743506"/>
      <w:r>
        <w:t xml:space="preserve">Наименование закупаемой продукции</w:t>
      </w:r>
      <w:bookmarkEnd w:id="6"/>
      <w:r/>
      <w:bookmarkEnd w:id="7"/>
      <w:r/>
      <w:r/>
    </w:p>
    <w:p>
      <w:pPr>
        <w:pStyle w:val="824"/>
        <w:pBdr/>
        <w:spacing/>
        <w:ind/>
        <w:rPr/>
      </w:pPr>
      <w:r>
        <w:rPr>
          <w:i/>
          <w:iCs/>
          <w:sz w:val="24"/>
          <w:szCs w:val="24"/>
          <w:highlight w:val="none"/>
          <w:u w:val="single"/>
        </w:rPr>
        <w:t xml:space="preserve">«</w:t>
      </w:r>
      <w:r>
        <w:rPr>
          <w:i/>
          <w:iCs/>
          <w:sz w:val="24"/>
          <w:szCs w:val="24"/>
          <w:highlight w:val="white"/>
          <w:u w:val="single"/>
        </w:rPr>
        <w:t xml:space="preserve">ОКПД2 - 71.20.19.190 Оказание услуг по комплексному обследованию здания ТЭЦ в п. Депутатский, Янских ЭС»</w:t>
      </w:r>
      <w:r>
        <w:rPr>
          <w:i/>
          <w:iCs/>
          <w:sz w:val="24"/>
          <w:szCs w:val="24"/>
          <w:highlight w:val="white"/>
          <w:u w:val="single"/>
        </w:rPr>
      </w:r>
      <w:r/>
    </w:p>
    <w:p>
      <w:pPr>
        <w:pStyle w:val="824"/>
        <w:pBdr/>
        <w:spacing/>
        <w:ind/>
        <w:rPr>
          <w:bCs/>
          <w:i/>
          <w:sz w:val="24"/>
          <w:szCs w:val="24"/>
          <w:highlight w:val="white"/>
          <w:u w:val="single"/>
          <w:shd w:val="clear" w:color="auto" w:fill="ffff00"/>
          <w14:ligatures w14:val="none"/>
        </w:rPr>
      </w:pPr>
      <w:r>
        <w:rPr>
          <w:i/>
          <w:iCs/>
          <w:sz w:val="24"/>
          <w:szCs w:val="24"/>
          <w:highlight w:val="white"/>
          <w:u w:val="single"/>
        </w:rPr>
      </w:r>
      <w:r>
        <w:rPr>
          <w:bCs/>
          <w:i/>
          <w:sz w:val="24"/>
          <w:szCs w:val="24"/>
          <w:highlight w:val="white"/>
          <w:u w:val="single"/>
          <w:shd w:val="clear" w:color="auto" w:fill="ffff00"/>
          <w14:ligatures w14:val="none"/>
        </w:rPr>
      </w:r>
      <w:r>
        <w:rPr>
          <w:bCs/>
          <w:i/>
          <w:sz w:val="24"/>
          <w:szCs w:val="24"/>
          <w:highlight w:val="white"/>
          <w:u w:val="single"/>
          <w:shd w:val="clear" w:color="auto" w:fill="ffff00"/>
          <w14:ligatures w14:val="none"/>
        </w:rPr>
      </w:r>
    </w:p>
    <w:p>
      <w:pPr>
        <w:pStyle w:val="828"/>
        <w:numPr>
          <w:ilvl w:val="1"/>
          <w:numId w:val="3"/>
        </w:numPr>
        <w:pBdr/>
        <w:spacing w:after="60" w:before="240"/>
        <w:ind w:hanging="431" w:left="431"/>
        <w:rPr>
          <w:highlight w:val="white"/>
          <w:u w:val="none"/>
        </w:rPr>
      </w:pPr>
      <w:r/>
      <w:bookmarkStart w:id="8" w:name="_Toc46743507"/>
      <w:r>
        <w:rPr>
          <w:highlight w:val="white"/>
          <w:u w:val="none"/>
        </w:rPr>
        <w:t xml:space="preserve">Цель </w:t>
      </w:r>
      <w:bookmarkEnd w:id="8"/>
      <w:r>
        <w:rPr>
          <w:highlight w:val="white"/>
          <w:u w:val="none"/>
          <w:lang w:val="ru-RU"/>
        </w:rPr>
        <w:t xml:space="preserve">выполнения </w:t>
      </w:r>
      <w:r>
        <w:rPr>
          <w:u w:val="none"/>
          <w:lang w:val="ru-RU"/>
        </w:rPr>
        <w:t xml:space="preserve">услуг</w:t>
      </w:r>
      <w:r>
        <w:rPr>
          <w:highlight w:val="white"/>
          <w:u w:val="none"/>
        </w:rPr>
      </w:r>
      <w:r>
        <w:rPr>
          <w:highlight w:val="white"/>
          <w:u w:val="none"/>
        </w:rPr>
      </w:r>
    </w:p>
    <w:p>
      <w:pPr>
        <w:pStyle w:val="824"/>
        <w:pBdr/>
        <w:spacing/>
        <w:ind/>
        <w:rPr>
          <w:i/>
          <w:sz w:val="24"/>
          <w:szCs w:val="24"/>
          <w:highlight w:val="white"/>
          <w:u w:val="single"/>
        </w:rPr>
      </w:pPr>
      <w:r>
        <w:rPr>
          <w:i/>
          <w:sz w:val="24"/>
          <w:szCs w:val="24"/>
          <w:highlight w:val="white"/>
          <w:u w:val="single"/>
        </w:rPr>
        <w:t xml:space="preserve">Проведение обследовательских работ</w:t>
      </w:r>
      <w:r>
        <w:rPr>
          <w:i/>
          <w:sz w:val="24"/>
          <w:szCs w:val="24"/>
          <w:highlight w:val="white"/>
          <w:u w:val="single"/>
        </w:rPr>
      </w:r>
      <w:r>
        <w:rPr>
          <w:i/>
          <w:sz w:val="24"/>
          <w:szCs w:val="24"/>
          <w:highlight w:val="white"/>
          <w:u w:val="single"/>
        </w:rPr>
      </w:r>
    </w:p>
    <w:p>
      <w:pPr>
        <w:pStyle w:val="828"/>
        <w:numPr>
          <w:ilvl w:val="1"/>
          <w:numId w:val="3"/>
        </w:numPr>
        <w:pBdr/>
        <w:spacing/>
        <w:ind/>
        <w:rPr>
          <w:highlight w:val="white"/>
        </w:rPr>
      </w:pPr>
      <w:r/>
      <w:bookmarkStart w:id="9" w:name="_Toc46743508"/>
      <w:r/>
      <w:bookmarkStart w:id="10" w:name="_Toc54646399"/>
      <w:r>
        <w:rPr>
          <w:highlight w:val="white"/>
        </w:rPr>
        <w:t xml:space="preserve">Существующее положение</w:t>
      </w:r>
      <w:bookmarkEnd w:id="9"/>
      <w:r/>
      <w:bookmarkEnd w:id="10"/>
      <w:r>
        <w:rPr>
          <w:highlight w:val="white"/>
        </w:rPr>
      </w:r>
      <w:r>
        <w:rPr>
          <w:highlight w:val="white"/>
        </w:rPr>
      </w:r>
    </w:p>
    <w:p>
      <w:pPr>
        <w:pStyle w:val="824"/>
        <w:pBdr/>
        <w:spacing/>
        <w:ind/>
        <w:rPr/>
      </w:pPr>
      <w:r>
        <w:rPr>
          <w:i/>
          <w:iCs/>
          <w:sz w:val="24"/>
          <w:szCs w:val="24"/>
          <w:highlight w:val="none"/>
          <w:u w:val="single"/>
        </w:rPr>
        <w:t xml:space="preserve">«</w:t>
      </w:r>
      <w:r>
        <w:rPr>
          <w:i/>
          <w:iCs/>
          <w:sz w:val="24"/>
          <w:szCs w:val="24"/>
          <w:highlight w:val="white"/>
          <w:u w:val="single"/>
        </w:rPr>
        <w:t xml:space="preserve">ОКПД2 - 71.20.19.190 Оказание услуг по комплексному обследованию здания ТЭЦ в п. Депутатский, Янских ЭС»</w:t>
      </w:r>
      <w:r>
        <w:rPr>
          <w:i/>
          <w:iCs/>
          <w:sz w:val="24"/>
          <w:szCs w:val="24"/>
          <w:highlight w:val="white"/>
          <w:u w:val="single"/>
        </w:rPr>
      </w:r>
      <w:r/>
    </w:p>
    <w:p>
      <w:pPr>
        <w:pStyle w:val="824"/>
        <w:pBdr/>
        <w:spacing/>
        <w:ind/>
        <w:rPr>
          <w:bCs/>
          <w:i/>
          <w:sz w:val="24"/>
          <w:szCs w:val="24"/>
          <w:highlight w:val="white"/>
          <w:u w:val="single"/>
          <w:shd w:val="clear" w:color="auto" w:fill="ffff00"/>
          <w14:ligatures w14:val="none"/>
        </w:rPr>
      </w:pPr>
      <w:r>
        <w:rPr>
          <w:i/>
          <w:iCs/>
          <w:sz w:val="24"/>
          <w:szCs w:val="24"/>
          <w:highlight w:val="white"/>
          <w:u w:val="single"/>
        </w:rPr>
      </w:r>
      <w:r>
        <w:rPr>
          <w:bCs/>
          <w:i/>
          <w:sz w:val="24"/>
          <w:szCs w:val="24"/>
          <w:highlight w:val="white"/>
          <w:u w:val="single"/>
          <w:shd w:val="clear" w:color="auto" w:fill="ffff00"/>
          <w14:ligatures w14:val="none"/>
        </w:rPr>
      </w:r>
      <w:r>
        <w:rPr>
          <w:bCs/>
          <w:i/>
          <w:sz w:val="24"/>
          <w:szCs w:val="24"/>
          <w:highlight w:val="white"/>
          <w:u w:val="single"/>
          <w:shd w:val="clear" w:color="auto" w:fill="ffff00"/>
          <w14:ligatures w14:val="none"/>
        </w:rPr>
      </w:r>
    </w:p>
    <w:p>
      <w:pPr>
        <w:pStyle w:val="825"/>
        <w:keepLines w:val="true"/>
        <w:numPr>
          <w:ilvl w:val="0"/>
          <w:numId w:val="0"/>
        </w:numPr>
        <w:pBdr/>
        <w:spacing w:after="60" w:before="240"/>
        <w:ind w:firstLine="0" w:left="0"/>
        <w:rPr>
          <w:sz w:val="24"/>
          <w:szCs w:val="24"/>
          <w:highlight w:val="white"/>
        </w:rPr>
      </w:pPr>
      <w:r/>
      <w:bookmarkStart w:id="11" w:name="_Toc54646400"/>
      <w:r>
        <w:rPr>
          <w:sz w:val="24"/>
          <w:szCs w:val="24"/>
          <w:highlight w:val="white"/>
        </w:rPr>
        <w:t xml:space="preserve">Таблица 1</w:t>
      </w:r>
      <w:r>
        <w:rPr>
          <w:sz w:val="24"/>
          <w:szCs w:val="24"/>
          <w:highlight w:val="white"/>
          <w:lang w:val="ru-RU"/>
        </w:rPr>
        <w:t xml:space="preserve">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  <w:lang w:val="ru-RU"/>
        </w:rPr>
        <w:t xml:space="preserve">Перечень объектов заказчика</w:t>
      </w:r>
      <w:bookmarkEnd w:id="11"/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10174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674"/>
        <w:gridCol w:w="2407"/>
        <w:gridCol w:w="2556"/>
        <w:gridCol w:w="2406"/>
        <w:gridCol w:w="2131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 w:type="textWrapping" w:clear="all"/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1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1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881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0"/>
                <w:numId w:val="7"/>
              </w:numPr>
              <w:pBdr/>
              <w:shd w:val="clear" w:color="ffffff" w:themeColor="background1" w:fill="ffffff" w:themeFill="background1"/>
              <w:spacing/>
              <w:ind/>
              <w:jc w:val="center"/>
              <w:rPr>
                <w:bCs w:val="0"/>
                <w:i w:val="0"/>
                <w:sz w:val="22"/>
                <w:szCs w:val="22"/>
                <w:highlight w:val="white"/>
              </w:rPr>
            </w:pPr>
            <w:r>
              <w:rPr>
                <w:bCs w:val="0"/>
                <w:i w:val="0"/>
                <w:sz w:val="22"/>
                <w:szCs w:val="22"/>
                <w:highlight w:val="white"/>
              </w:rPr>
            </w:r>
            <w:r>
              <w:rPr>
                <w:bCs w:val="0"/>
                <w:i w:val="0"/>
                <w:sz w:val="22"/>
                <w:szCs w:val="22"/>
                <w:highlight w:val="white"/>
              </w:rPr>
            </w:r>
            <w:r>
              <w:rPr>
                <w:bCs w:val="0"/>
                <w:i w:val="0"/>
                <w:sz w:val="22"/>
                <w:szCs w:val="22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hd w:val="clear" w:color="ffffff" w:themeColor="background1" w:fill="ffffff" w:themeFill="background1"/>
              <w:spacing/>
              <w:ind/>
              <w:rPr/>
            </w:pPr>
            <w:r>
              <w:rPr>
                <w:i w:val="0"/>
                <w:iCs w:val="0"/>
                <w:sz w:val="22"/>
                <w:szCs w:val="22"/>
                <w:highlight w:val="white"/>
                <w:lang w:eastAsia="en-US"/>
              </w:rPr>
              <w:t xml:space="preserve">ОКПД2 - 71.20.19.190 Оказание услуг по комплексному обследованию здания ТЭЦ в п. Депутатский, Янских ЭС</w:t>
            </w:r>
            <w:r>
              <w:rPr>
                <w:i w:val="0"/>
                <w:iCs w:val="0"/>
                <w:sz w:val="22"/>
                <w:szCs w:val="22"/>
                <w:highlight w:val="white"/>
                <w:lang w:eastAsia="en-US"/>
              </w:rPr>
            </w:r>
            <w:r/>
          </w:p>
          <w:p>
            <w:pPr>
              <w:pStyle w:val="824"/>
              <w:widowControl w:val="false"/>
              <w:pBdr/>
              <w:shd w:val="clear" w:color="ffffff" w:themeColor="background1" w:fill="ffffff" w:themeFill="background1"/>
              <w:spacing/>
              <w:ind/>
              <w:rPr>
                <w:bCs w:val="0"/>
                <w:i w:val="0"/>
                <w:sz w:val="22"/>
                <w:szCs w:val="22"/>
                <w:highlight w:val="white"/>
                <w:shd w:val="clear" w:color="auto" w:fill="ffff00"/>
                <w14:ligatures w14:val="none"/>
              </w:rPr>
            </w:pPr>
            <w:r>
              <w:rPr>
                <w:i w:val="0"/>
                <w:iCs w:val="0"/>
                <w:sz w:val="22"/>
                <w:szCs w:val="22"/>
                <w:highlight w:val="white"/>
                <w:lang w:eastAsia="en-US"/>
              </w:rPr>
            </w:r>
            <w:r>
              <w:rPr>
                <w:bCs w:val="0"/>
                <w:i w:val="0"/>
                <w:sz w:val="22"/>
                <w:szCs w:val="22"/>
                <w:highlight w:val="white"/>
                <w:shd w:val="clear" w:color="auto" w:fill="ffff00"/>
                <w14:ligatures w14:val="none"/>
              </w:rPr>
            </w:r>
            <w:r>
              <w:rPr>
                <w:bCs w:val="0"/>
                <w:i w:val="0"/>
                <w:sz w:val="22"/>
                <w:szCs w:val="22"/>
                <w:highlight w:val="white"/>
                <w:shd w:val="clear" w:color="auto" w:fill="ffff00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hd w:val="clear" w:color="ffffff" w:themeColor="background1" w:fill="ffffff" w:themeFill="background1"/>
              <w:spacing/>
              <w:ind/>
              <w:rPr>
                <w:bCs w:val="0"/>
                <w:i w:val="0"/>
                <w:sz w:val="22"/>
                <w:szCs w:val="22"/>
                <w:highlight w:val="none"/>
              </w:rPr>
            </w:pPr>
            <w:r>
              <w:rPr>
                <w:i w:val="0"/>
                <w:iCs w:val="0"/>
                <w:sz w:val="22"/>
                <w:szCs w:val="22"/>
                <w:highlight w:val="white"/>
              </w:rPr>
              <w:t xml:space="preserve">РФ, РС(Я), </w:t>
            </w:r>
            <w:r>
              <w:rPr>
                <w:i w:val="0"/>
                <w:iCs w:val="0"/>
                <w:sz w:val="22"/>
                <w:szCs w:val="22"/>
              </w:rPr>
              <w:t xml:space="preserve">Усть – Янский улус, п. Депутатский</w:t>
            </w:r>
            <w:r>
              <w:rPr>
                <w:bCs w:val="0"/>
                <w:i w:val="0"/>
                <w:sz w:val="22"/>
                <w:szCs w:val="22"/>
                <w:highlight w:val="none"/>
              </w:rPr>
            </w:r>
            <w:r>
              <w:rPr>
                <w:bCs w:val="0"/>
                <w:i w:val="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hd w:val="clear" w:color="ffffff" w:themeColor="background1" w:fill="ffffff" w:themeFill="background1"/>
              <w:spacing/>
              <w:ind/>
              <w:rPr>
                <w:bCs w:val="0"/>
                <w:i w:val="0"/>
                <w:sz w:val="22"/>
                <w:szCs w:val="22"/>
                <w:highlight w:val="none"/>
              </w:rPr>
            </w:pPr>
            <w:r>
              <w:rPr>
                <w:i w:val="0"/>
                <w:iCs w:val="0"/>
                <w:sz w:val="22"/>
                <w:szCs w:val="22"/>
              </w:rPr>
              <w:t xml:space="preserve">Здание Мини-ТЭЦ в п. Депутатский</w:t>
            </w:r>
            <w:r>
              <w:rPr>
                <w:bCs w:val="0"/>
                <w:i w:val="0"/>
                <w:sz w:val="22"/>
                <w:szCs w:val="22"/>
                <w:highlight w:val="none"/>
              </w:rPr>
            </w:r>
            <w:r>
              <w:rPr>
                <w:bCs w:val="0"/>
                <w:i w:val="0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1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hd w:val="clear" w:color="ffffff" w:themeColor="background1" w:fill="ffffff" w:themeFill="background1"/>
              <w:spacing/>
              <w:ind/>
              <w:rPr>
                <w:bCs w:val="0"/>
                <w:i w:val="0"/>
                <w:iCs/>
                <w:sz w:val="22"/>
                <w:szCs w:val="22"/>
                <w:highlight w:val="white"/>
              </w:rPr>
            </w:pPr>
            <w:r>
              <w:rPr>
                <w:i w:val="0"/>
                <w:iCs w:val="0"/>
                <w:sz w:val="22"/>
                <w:szCs w:val="22"/>
                <w:highlight w:val="white"/>
              </w:rPr>
              <w:t xml:space="preserve">Эксплуатирующая организация:</w:t>
            </w:r>
            <w:r>
              <w:rPr>
                <w:bCs w:val="0"/>
                <w:i w:val="0"/>
                <w:iCs/>
                <w:sz w:val="22"/>
                <w:szCs w:val="22"/>
                <w:highlight w:val="white"/>
              </w:rPr>
            </w:r>
            <w:r>
              <w:rPr>
                <w:bCs w:val="0"/>
                <w:i w:val="0"/>
                <w:iCs/>
                <w:sz w:val="22"/>
                <w:szCs w:val="22"/>
                <w:highlight w:val="white"/>
              </w:rPr>
            </w:r>
          </w:p>
          <w:p>
            <w:pPr>
              <w:pStyle w:val="824"/>
              <w:widowControl w:val="false"/>
              <w:pBdr/>
              <w:shd w:val="clear" w:color="ffffff" w:themeColor="background1" w:fill="ffffff" w:themeFill="background1"/>
              <w:spacing/>
              <w:ind/>
              <w:rPr>
                <w:bCs w:val="0"/>
                <w:i w:val="0"/>
                <w:sz w:val="22"/>
                <w:szCs w:val="22"/>
                <w:highlight w:val="white"/>
              </w:rPr>
            </w:pPr>
            <w:r>
              <w:rPr>
                <w:i w:val="0"/>
                <w:iCs w:val="0"/>
                <w:sz w:val="22"/>
                <w:szCs w:val="22"/>
                <w:highlight w:val="white"/>
              </w:rPr>
              <w:t xml:space="preserve">АО «Сахаэнерго»</w:t>
            </w:r>
            <w:r>
              <w:rPr>
                <w:bCs w:val="0"/>
                <w:i w:val="0"/>
                <w:sz w:val="22"/>
                <w:szCs w:val="22"/>
                <w:highlight w:val="white"/>
              </w:rPr>
            </w:r>
            <w:r>
              <w:rPr>
                <w:bCs w:val="0"/>
                <w:i w:val="0"/>
                <w:sz w:val="22"/>
                <w:szCs w:val="22"/>
                <w:highlight w:val="white"/>
              </w:rPr>
            </w:r>
          </w:p>
        </w:tc>
      </w:tr>
    </w:tbl>
    <w:p>
      <w:pPr>
        <w:pStyle w:val="825"/>
        <w:keepLines w:val="true"/>
        <w:numPr>
          <w:ilvl w:val="0"/>
          <w:numId w:val="0"/>
        </w:numPr>
        <w:pBdr/>
        <w:spacing/>
        <w:ind w:hanging="360" w:left="5038"/>
        <w:rPr>
          <w:iCs/>
          <w:caps/>
          <w:lang w:val="ru-RU"/>
        </w:rPr>
      </w:pPr>
      <w:r>
        <w:rPr>
          <w:iCs/>
          <w:caps/>
          <w:lang w:val="ru-RU"/>
        </w:rPr>
      </w:r>
      <w:r>
        <w:rPr>
          <w:iCs/>
          <w:caps/>
          <w:lang w:val="ru-RU"/>
        </w:rPr>
      </w:r>
      <w:r>
        <w:rPr>
          <w:iCs/>
          <w:caps/>
          <w:lang w:val="ru-RU"/>
        </w:rPr>
      </w:r>
    </w:p>
    <w:p>
      <w:pPr>
        <w:pStyle w:val="825"/>
        <w:keepLines w:val="true"/>
        <w:numPr>
          <w:ilvl w:val="0"/>
          <w:numId w:val="3"/>
        </w:numPr>
        <w:pBdr/>
        <w:spacing/>
        <w:ind w:hanging="357" w:left="357"/>
        <w:jc w:val="center"/>
        <w:rPr>
          <w:iCs/>
          <w:caps/>
          <w:lang w:val="ru-RU"/>
        </w:rPr>
      </w:pPr>
      <w:r>
        <w:rPr>
          <w:iCs/>
        </w:rPr>
        <w:t xml:space="preserve">Требования к продукции</w:t>
      </w:r>
      <w:r>
        <w:rPr>
          <w:iCs/>
          <w:caps/>
          <w:lang w:val="ru-RU"/>
        </w:rPr>
      </w:r>
      <w:r>
        <w:rPr>
          <w:iCs/>
          <w:caps/>
          <w:lang w:val="ru-RU"/>
        </w:rPr>
      </w:r>
    </w:p>
    <w:p>
      <w:pPr>
        <w:pStyle w:val="828"/>
        <w:numPr>
          <w:ilvl w:val="1"/>
          <w:numId w:val="3"/>
        </w:numPr>
        <w:pBdr/>
        <w:spacing/>
        <w:ind/>
        <w:rPr/>
      </w:pPr>
      <w:r>
        <w:t xml:space="preserve">Требования к объемам и срокам оказания услуг</w:t>
      </w:r>
      <w:r/>
    </w:p>
    <w:p>
      <w:pPr>
        <w:pStyle w:val="825"/>
        <w:keepLines w:val="true"/>
        <w:numPr>
          <w:ilvl w:val="0"/>
          <w:numId w:val="0"/>
        </w:numPr>
        <w:pBdr/>
        <w:spacing w:after="60" w:before="240"/>
        <w:ind w:firstLine="0" w:left="0"/>
        <w:rPr>
          <w:sz w:val="24"/>
          <w:szCs w:val="24"/>
          <w:lang w:val="ru-RU"/>
        </w:rPr>
      </w:pPr>
      <w:r/>
      <w:bookmarkStart w:id="12" w:name="_Toc54646406"/>
      <w:r/>
      <w:bookmarkStart w:id="1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 xml:space="preserve"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3"/>
      <w:r>
        <w:rPr>
          <w:sz w:val="24"/>
          <w:szCs w:val="24"/>
          <w:lang w:val="ru-RU"/>
        </w:rPr>
        <w:t xml:space="preserve">и объем оказания услуг</w:t>
      </w:r>
      <w:bookmarkEnd w:id="12"/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824"/>
        <w:pBdr/>
        <w:spacing/>
        <w:ind/>
        <w:rPr/>
      </w:pPr>
      <w:r/>
      <w:r/>
    </w:p>
    <w:tbl>
      <w:tblPr>
        <w:tblStyle w:val="1110"/>
        <w:tblW w:w="10749" w:type="dxa"/>
        <w:tblInd w:w="-31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2976"/>
        <w:gridCol w:w="7206"/>
      </w:tblGrid>
      <w:tr>
        <w:trPr/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b/>
                <w:sz w:val="22"/>
                <w:szCs w:val="22"/>
              </w:rPr>
            </w:pPr>
            <w:r>
              <w:rPr>
                <w:rFonts w:eastAsia="Geneva" w:cs="Times New Roman"/>
                <w:b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Geneva" w:cs="Times New Roman"/>
                <w:b/>
                <w:sz w:val="22"/>
                <w:szCs w:val="22"/>
                <w:lang w:val="ru-RU" w:eastAsia="en-US" w:bidi="ar-SA"/>
              </w:rPr>
              <w:t xml:space="preserve">п/п</w:t>
            </w:r>
            <w:r>
              <w:rPr>
                <w:rFonts w:ascii="Times New Roman" w:hAnsi="Times New Roman" w:eastAsia="Geneva"/>
                <w:b/>
                <w:sz w:val="22"/>
                <w:szCs w:val="22"/>
              </w:rPr>
            </w:r>
            <w:r>
              <w:rPr>
                <w:rFonts w:ascii="Times New Roman" w:hAnsi="Times New Roman" w:eastAsia="Geneva"/>
                <w:b/>
                <w:sz w:val="22"/>
                <w:szCs w:val="22"/>
              </w:rPr>
            </w:r>
          </w:p>
        </w:tc>
        <w:tc>
          <w:tcPr>
            <w:tcBorders/>
            <w:tcW w:w="2976" w:type="dxa"/>
            <w:vAlign w:val="center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b/>
                <w:sz w:val="22"/>
                <w:szCs w:val="22"/>
              </w:rPr>
            </w:pPr>
            <w:r>
              <w:rPr>
                <w:rFonts w:eastAsia="Geneva" w:cs="Times New Roman"/>
                <w:b/>
                <w:sz w:val="22"/>
                <w:szCs w:val="22"/>
                <w:lang w:val="ru-RU" w:eastAsia="en-US" w:bidi="ar-SA"/>
              </w:rPr>
              <w:t xml:space="preserve">Наименование данных</w:t>
            </w:r>
            <w:r>
              <w:rPr>
                <w:rFonts w:ascii="Times New Roman" w:hAnsi="Times New Roman" w:eastAsia="Geneva"/>
                <w:b/>
                <w:sz w:val="22"/>
                <w:szCs w:val="22"/>
              </w:rPr>
            </w:r>
            <w:r>
              <w:rPr>
                <w:rFonts w:ascii="Times New Roman" w:hAnsi="Times New Roman" w:eastAsia="Geneva"/>
                <w:b/>
                <w:sz w:val="22"/>
                <w:szCs w:val="22"/>
              </w:rPr>
            </w:r>
          </w:p>
        </w:tc>
        <w:tc>
          <w:tcPr>
            <w:tcBorders/>
            <w:tcW w:w="7206" w:type="dxa"/>
            <w:vAlign w:val="center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b/>
                <w:sz w:val="22"/>
                <w:szCs w:val="22"/>
              </w:rPr>
            </w:pPr>
            <w:r>
              <w:rPr>
                <w:rFonts w:eastAsia="Geneva" w:cs="Times New Roman"/>
                <w:b/>
                <w:sz w:val="22"/>
                <w:szCs w:val="22"/>
                <w:lang w:val="ru-RU" w:eastAsia="en-US" w:bidi="ar-SA"/>
              </w:rPr>
              <w:t xml:space="preserve">Содержание данных для обследования</w:t>
            </w:r>
            <w:r>
              <w:rPr>
                <w:rFonts w:ascii="Times New Roman" w:hAnsi="Times New Roman" w:eastAsia="Geneva"/>
                <w:b/>
                <w:sz w:val="22"/>
                <w:szCs w:val="22"/>
              </w:rPr>
            </w:r>
            <w:r>
              <w:rPr>
                <w:rFonts w:ascii="Times New Roman" w:hAnsi="Times New Roman" w:eastAsia="Geneva"/>
                <w:b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2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3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Наименование заказчика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АО «Сахаэнерго»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</w:tr>
      <w:tr>
        <w:trPr>
          <w:trHeight w:val="887"/>
        </w:trPr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2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Основание для технического обследования состояния зданий и сооружений.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pPr>
            <w:r>
              <w:rPr>
                <w:rFonts w:eastAsia="Geneva" w:cs="Times New Roman"/>
                <w:sz w:val="22"/>
                <w:szCs w:val="22"/>
                <w:highlight w:val="white"/>
                <w:lang w:val="ru-RU" w:eastAsia="en-US" w:bidi="ar-SA"/>
              </w:rPr>
              <w:t xml:space="preserve">Правила обследования и мониторинга технического состояния ГОСТ 31937-2024</w:t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</w:p>
        </w:tc>
      </w:tr>
      <w:tr>
        <w:trPr>
          <w:trHeight w:val="578"/>
        </w:trPr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3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Местоположение объекта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rFonts w:eastAsia="Geneva" w:cs="Times New Roman"/>
                <w:sz w:val="22"/>
                <w:szCs w:val="22"/>
                <w:highlight w:val="none"/>
              </w:rPr>
            </w:pPr>
            <w:r>
              <w:rPr>
                <w:rFonts w:eastAsia="Geneva" w:cs="Times New Roman"/>
                <w:sz w:val="22"/>
                <w:szCs w:val="22"/>
                <w:highlight w:val="white"/>
                <w:lang w:val="ru-RU" w:eastAsia="en-US" w:bidi="ar-SA"/>
              </w:rPr>
              <w:t xml:space="preserve">Республика Саха (Якутия), </w:t>
            </w:r>
            <w:r>
              <w:rPr>
                <w:i w:val="0"/>
                <w:iCs w:val="0"/>
                <w:sz w:val="22"/>
                <w:szCs w:val="22"/>
              </w:rPr>
              <w:t xml:space="preserve">Усть – Янский улус, п. Депутатский</w:t>
            </w:r>
            <w:r>
              <w:rPr>
                <w:rFonts w:eastAsia="Geneva" w:cs="Times New Roman"/>
                <w:sz w:val="22"/>
                <w:szCs w:val="22"/>
                <w:highlight w:val="none"/>
              </w:rPr>
            </w:r>
            <w:r>
              <w:rPr>
                <w:rFonts w:eastAsia="Geneva" w:cs="Times New Roman"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4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Состав работ по обследованию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 w:right="176" w:firstLine="0"/>
              <w:contextualSpacing w:val="true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highlight w:val="white"/>
                <w:shd w:val="clear" w:color="auto" w:fill="ffffff"/>
              </w:rPr>
            </w:pPr>
            <w:r>
              <w:rPr>
                <w:rFonts w:eastAsia="Times New Roman" w:cs="Times New Roman"/>
                <w:sz w:val="22"/>
                <w:szCs w:val="22"/>
                <w:highlight w:val="white"/>
                <w:lang w:val="ru-RU" w:eastAsia="en-US" w:bidi="ar-SA"/>
              </w:rPr>
              <w:t xml:space="preserve">Обследование зданий и сооружений выполнить согласно </w:t>
            </w:r>
            <w:r>
              <w:rPr>
                <w:rFonts w:eastAsia="Times New Roman" w:cs="Times New Roman"/>
                <w:bCs/>
                <w:sz w:val="22"/>
                <w:szCs w:val="22"/>
                <w:highlight w:val="white"/>
                <w:shd w:val="clear" w:color="auto" w:fill="ffffff"/>
                <w:lang w:val="ru-RU" w:eastAsia="en-US" w:bidi="ar-SA"/>
              </w:rPr>
              <w:t xml:space="preserve">ГОСТ 31937-2024: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highlight w:val="white"/>
                <w:shd w:val="clear" w:color="auto" w:fill="ffffff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  <w:highlight w:val="white"/>
                <w:shd w:val="clear" w:color="auto" w:fill="ffffff"/>
              </w:rPr>
              <w:t xml:space="preserve">измерение необходимых для выполнения целей обследования геометрических параметров зданий (сооружений), конструкций, их элементов и узлов;</w:t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pPr>
            <w:r>
              <w:rPr>
                <w:rFonts w:eastAsia="Geneva" w:cs="Times New Roman"/>
                <w:bCs/>
                <w:sz w:val="22"/>
                <w:szCs w:val="22"/>
                <w:highlight w:val="white"/>
                <w:shd w:val="clear" w:color="auto" w:fill="ffffff"/>
                <w:lang w:val="ru-RU" w:eastAsia="en-US" w:bidi="ar-SA"/>
              </w:rPr>
              <w:t xml:space="preserve">инструментальное определение параметров дефектов и повреждений, составление ведомостей дефектов и повреждений;</w:t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pPr>
            <w:r>
              <w:rPr>
                <w:rFonts w:eastAsia="Geneva" w:cs="Times New Roman"/>
                <w:bCs/>
                <w:sz w:val="22"/>
                <w:szCs w:val="22"/>
                <w:highlight w:val="white"/>
                <w:shd w:val="clear" w:color="auto" w:fill="ffffff"/>
                <w:lang w:val="ru-RU" w:eastAsia="en-US" w:bidi="ar-SA"/>
              </w:rPr>
              <w:t xml:space="preserve">определение фактических прочностных характеристик материалов основных несущих конструкций и их элементов;</w:t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  <w:highlight w:val="white"/>
                <w:shd w:val="clear" w:color="auto" w:fill="ffffff"/>
              </w:rPr>
              <w:t xml:space="preserve">измерение параметров эксплуатационной среды, присущей технологическому процессу в здании и сооружении;</w:t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pPr>
            <w:r>
              <w:rPr>
                <w:rFonts w:eastAsia="Geneva" w:cs="Times New Roman"/>
                <w:bCs/>
                <w:sz w:val="22"/>
                <w:szCs w:val="22"/>
                <w:highlight w:val="white"/>
                <w:shd w:val="clear" w:color="auto" w:fill="ffffff"/>
                <w:lang w:val="ru-RU" w:eastAsia="en-US" w:bidi="ar-SA"/>
              </w:rPr>
              <w:t xml:space="preserve">определение расчетных усилий в несущих конструкциях, воспринимающих эксплуатационные нагрузки;</w:t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определение реальных эксплуатационных нагрузок и воздействий, воспринимаемых обследуемыми конструкциями с учетом влияния деформаций грунтов основания;</w:t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определение реальной расчетной схемы здания или сооружения и его отдельных конструкций;</w:t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pPr>
            <w:r>
              <w:rPr>
                <w:rFonts w:eastAsia="Geneva" w:cs="Times New Roman"/>
                <w:bCs/>
                <w:sz w:val="22"/>
                <w:szCs w:val="22"/>
                <w:highlight w:val="white"/>
                <w:shd w:val="clear" w:color="auto" w:fill="ffffff"/>
                <w:lang w:val="ru-RU" w:eastAsia="en-US" w:bidi="ar-SA"/>
              </w:rPr>
              <w:t xml:space="preserve">расчет несущей способности конструкций по результатам обследования;</w:t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pPr>
            <w:r>
              <w:rPr>
                <w:rFonts w:eastAsia="Geneva" w:cs="Times New Roman"/>
                <w:bCs/>
                <w:sz w:val="22"/>
                <w:szCs w:val="22"/>
                <w:highlight w:val="white"/>
                <w:shd w:val="clear" w:color="auto" w:fill="ffffff"/>
                <w:lang w:val="ru-RU" w:eastAsia="en-US" w:bidi="ar-SA"/>
              </w:rPr>
              <w:t xml:space="preserve">камеральная обработка и анализ результатов обследования и проверочных расчетов;</w:t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pPr>
            <w:r>
              <w:rPr>
                <w:rFonts w:eastAsia="Geneva" w:cs="Times New Roman"/>
                <w:bCs/>
                <w:sz w:val="22"/>
                <w:szCs w:val="22"/>
                <w:highlight w:val="white"/>
                <w:shd w:val="clear" w:color="auto" w:fill="ffffff"/>
                <w:lang w:val="ru-RU" w:eastAsia="en-US" w:bidi="ar-SA"/>
              </w:rPr>
              <w:t xml:space="preserve">анализ причин появления дефектов и повреждений в конструкциях;</w:t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eastAsia="Geneva"/>
                <w:bCs/>
                <w:sz w:val="22"/>
                <w:szCs w:val="22"/>
                <w:highlight w:val="white"/>
                <w:shd w:val="clear" w:color="auto" w:fill="ffffff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contextualSpacing w:val="true"/>
              <w:jc w:val="both"/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поверочный расчет несущей способности конструкций по результатам обследования;</w:t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11"/>
              </w:numPr>
              <w:pBdr/>
              <w:spacing w:after="0" w:before="0"/>
              <w:ind w:right="176" w:hanging="283" w:left="283"/>
              <w:jc w:val="both"/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pPr>
            <w:r>
              <w:rPr>
                <w:rFonts w:eastAsia="Geneva" w:cs="Times New Roman"/>
                <w:bCs/>
                <w:sz w:val="22"/>
                <w:szCs w:val="22"/>
                <w:highlight w:val="white"/>
                <w:lang w:val="ru-RU" w:eastAsia="en-US" w:bidi="ar-SA"/>
              </w:rPr>
              <w:t xml:space="preserve">составление итогового документа - заключения о техническом состоянии обследованных сооружений и зданий с выводами по результатам обследования</w:t>
            </w:r>
            <w:r>
              <w:rPr>
                <w:rFonts w:eastAsia="Geneva" w:cs="Times New Roman"/>
                <w:bCs/>
                <w:sz w:val="22"/>
                <w:szCs w:val="22"/>
                <w:lang w:val="ru-RU" w:eastAsia="en-US" w:bidi="ar-SA"/>
              </w:rPr>
              <w:t xml:space="preserve">.</w:t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5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Указания по очередям  обследований.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 w:right="176" w:firstLine="0"/>
              <w:jc w:val="both"/>
              <w:rPr>
                <w:rFonts w:ascii="Times New Roman" w:hAnsi="Times New Roman" w:eastAsia="Geneva"/>
                <w:color w:val="ff0000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Техническое обследование: согласно договорным срокам</w:t>
            </w:r>
            <w:r>
              <w:rPr>
                <w:rFonts w:ascii="Times New Roman" w:hAnsi="Times New Roman" w:eastAsia="Geneva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eastAsia="Geneva"/>
                <w:color w:val="ff0000"/>
                <w:sz w:val="22"/>
                <w:szCs w:val="22"/>
              </w:rPr>
            </w:r>
          </w:p>
        </w:tc>
      </w:tr>
      <w:tr>
        <w:trPr>
          <w:trHeight w:val="1996"/>
        </w:trPr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6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Основные характеристики существующего объекта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rFonts w:eastAsia="Geneva" w:cs="Times New Roman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pPr>
            <w:r>
              <w:rPr>
                <w:rFonts w:eastAsia="Geneva" w:cs="Times New Roman"/>
                <w:b/>
                <w:sz w:val="24"/>
                <w:szCs w:val="24"/>
                <w:highlight w:val="white"/>
                <w:lang w:val="ru-RU" w:eastAsia="en-US" w:bidi="ar-SA"/>
              </w:rPr>
              <w:t xml:space="preserve">Здание мини-ТЭЦ в п. Депутатский:</w:t>
            </w:r>
            <w:r>
              <w:rPr>
                <w:rFonts w:eastAsia="Geneva" w:cs="Times New Roman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r>
            <w:r>
              <w:rPr>
                <w:rFonts w:eastAsia="Geneva" w:cs="Times New Roman"/>
                <w:b/>
                <w:bCs/>
                <w:sz w:val="24"/>
                <w:szCs w:val="24"/>
                <w:highlight w:val="none"/>
                <w:lang w:val="ru-RU" w:eastAsia="en-US" w:bidi="ar-SA"/>
              </w:rPr>
            </w:r>
          </w:p>
          <w:p>
            <w:pPr>
              <w:pStyle w:val="824"/>
              <w:widowControl w:val="false"/>
              <w:numPr>
                <w:ilvl w:val="0"/>
                <w:numId w:val="35"/>
              </w:numPr>
              <w:pBdr/>
              <w:spacing w:after="0" w:before="0" w:line="240" w:lineRule="auto"/>
              <w:ind w:hanging="284" w:left="464"/>
              <w:contextualSpacing w:val="true"/>
              <w:jc w:val="both"/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pP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  <w:t xml:space="preserve">Год постройки – 1980-1987 г;</w:t>
            </w:r>
            <w:r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36"/>
              </w:numPr>
              <w:pBdr/>
              <w:spacing w:after="0" w:before="0" w:line="240" w:lineRule="auto"/>
              <w:ind w:hanging="284" w:left="464"/>
              <w:contextualSpacing w:val="true"/>
              <w:jc w:val="both"/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pP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  <w:t xml:space="preserve">Площадь застройки - 5276,7м2;</w:t>
            </w:r>
            <w:r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37"/>
              </w:numPr>
              <w:pBdr/>
              <w:spacing w:after="0" w:before="0" w:line="240" w:lineRule="auto"/>
              <w:ind w:hanging="284" w:left="464"/>
              <w:contextualSpacing w:val="true"/>
              <w:jc w:val="both"/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pP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  <w:t xml:space="preserve">Фундамент – трубобетонные сваи</w:t>
            </w: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38"/>
              </w:numPr>
              <w:pBdr/>
              <w:spacing w:after="0" w:before="0" w:line="240" w:lineRule="auto"/>
              <w:ind w:hanging="284" w:left="464"/>
              <w:contextualSpacing w:val="true"/>
              <w:jc w:val="left"/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pP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  <w:t xml:space="preserve">Стены – металлич,бетонный</w:t>
            </w: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Geneva"/>
                <w:sz w:val="24"/>
                <w:szCs w:val="24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38"/>
              </w:numPr>
              <w:pBdr/>
              <w:spacing w:after="0" w:before="0" w:line="240" w:lineRule="auto"/>
              <w:ind w:hanging="284" w:left="464"/>
              <w:jc w:val="both"/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</w:pP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  <w:t xml:space="preserve">Кровля – </w:t>
            </w: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  <w:t xml:space="preserve">профлист;</w:t>
            </w: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</w:r>
            <w:r>
              <w:rPr>
                <w:rFonts w:eastAsia="Geneva" w:cs="Times New Roman"/>
                <w:sz w:val="24"/>
                <w:szCs w:val="24"/>
                <w:highlight w:val="white"/>
                <w:lang w:val="ru-RU" w:eastAsia="en-US" w:bidi="ar-SA"/>
              </w:rPr>
            </w:r>
          </w:p>
          <w:p>
            <w:pPr>
              <w:numPr>
                <w:ilvl w:val="0"/>
                <w:numId w:val="38"/>
              </w:numPr>
              <w:pBdr/>
              <w:spacing/>
              <w:ind w:hanging="284" w:left="4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 xml:space="preserve">Полы – дощ.бетонные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7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Основная цель оказания услуг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1. Разработка, согласование и утверждение программы по обследованию технического состояния несущих и ограждающих конструкций зданий и сооружений.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contextualSpacing w:val="true"/>
              <w:jc w:val="both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2. Выдача технического заключения по результатам технического обследования состояния несущих и ограждающих конструкций зданий и сооружений в соответствии ГОСТ 31937-2024 «Здание и сооружение. Правила обследования и мониторинга технического состояния».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8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Основные требования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Определить действительное техническое состояние зданий и сооружений, получить фактические показатели качества конструкций на дату обследования, дать рекомендации по устранению выявленных дефектов и повреждений.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9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Основные исходные данные для обследования технического состояния существующего здания и сооружения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pPr>
            <w:r>
              <w:rPr>
                <w:rFonts w:eastAsia="Geneva" w:cs="Times New Roman"/>
                <w:sz w:val="22"/>
                <w:szCs w:val="22"/>
                <w:highlight w:val="white"/>
                <w:lang w:val="ru-RU" w:eastAsia="en-US" w:bidi="ar-SA"/>
              </w:rPr>
              <w:t xml:space="preserve">Имеющаяся документация на здание:</w:t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</w:p>
          <w:p>
            <w:pPr>
              <w:pStyle w:val="824"/>
              <w:widowControl w:val="false"/>
              <w:numPr>
                <w:ilvl w:val="0"/>
                <w:numId w:val="17"/>
              </w:numPr>
              <w:pBdr/>
              <w:spacing w:after="0" w:before="0"/>
              <w:ind/>
              <w:contextualSpacing w:val="true"/>
              <w:jc w:val="both"/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Технический паспорт здания</w:t>
            </w:r>
            <w:r>
              <w:rPr>
                <w:rFonts w:eastAsia="Geneva" w:cs="Times New Roman"/>
                <w:sz w:val="22"/>
                <w:szCs w:val="22"/>
                <w:highlight w:val="white"/>
                <w:lang w:val="ru-RU" w:eastAsia="en-US" w:bidi="ar-SA"/>
              </w:rPr>
              <w:t xml:space="preserve">;</w:t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Geneva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10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eastAsia="Geneva" w:cs="Times New Roman"/>
                <w:sz w:val="22"/>
                <w:szCs w:val="22"/>
                <w:highlight w:val="none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Требования к Участнику</w:t>
            </w:r>
            <w:r>
              <w:rPr>
                <w:rFonts w:eastAsia="Geneva" w:cs="Times New Roman"/>
                <w:sz w:val="22"/>
                <w:szCs w:val="22"/>
                <w:highlight w:val="none"/>
              </w:rPr>
            </w:r>
            <w:r>
              <w:rPr>
                <w:rFonts w:eastAsia="Geneva" w:cs="Times New Roman"/>
                <w:sz w:val="22"/>
                <w:szCs w:val="22"/>
                <w:highlight w:val="none"/>
              </w:rPr>
            </w:r>
          </w:p>
        </w:tc>
        <w:tc>
          <w:tcPr>
            <w:shd w:val="clear" w:color="ffffff" w:themeColor="background1" w:fill="ffffff" w:themeFill="background1"/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sz w:val="22"/>
                <w:szCs w:val="22"/>
                <w:highlight w:val="none"/>
              </w:rPr>
            </w:pPr>
            <w:r>
              <w:rPr>
                <w:rFonts w:eastAsia="Geneva"/>
                <w:sz w:val="22"/>
                <w:szCs w:val="22"/>
              </w:rPr>
              <w:t xml:space="preserve">Участник закупки должен быть членом саморегулируемой организации, основанной на членстве лиц выполняющих инженерные изыскания. (согласно Постановления Правительства РФ от 19.01.2006 №20 (ред. от 15.09.2020).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sz w:val="22"/>
                <w:szCs w:val="22"/>
                <w:highlight w:val="none"/>
              </w:rPr>
            </w:pPr>
            <w:r>
              <w:rPr>
                <w:rFonts w:eastAsia="Geneva"/>
                <w:sz w:val="22"/>
                <w:szCs w:val="22"/>
              </w:rPr>
              <w:t xml:space="preserve">Оценки соответствия уровня ответственности участника осуществляется по общедоступному ресурсу «Единый реестр членов СРО» (http://nopriz.ru/nreesters/elektronnyy-reestr/).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11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Порядок оказания услуг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 w:right="0" w:firstLine="0" w:left="0"/>
              <w:contextualSpacing w:val="true"/>
              <w:jc w:val="both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Исполнитель предоставляет календарный график производства   работ, согласованный заказчиком.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12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Порядок сдачи и приемки результатов оказания услуг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 w:firstLine="0"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Результаты работ считаются принятыми после подписания всех необходимых актов: Акт об оказании услуг, счет, счет-фактура/УПД.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610"/>
        </w:trPr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13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Требования к оказанию услуг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 w:firstLine="0"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Исполнитель обязан контролировать соблюдение трудовой и производственной дисциплины своими сотрудниками исключающее их нахождение вне зоны, отведенной для оказания услуг.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824"/>
              <w:widowControl w:val="false"/>
              <w:pBdr/>
              <w:spacing w:after="0" w:before="0"/>
              <w:ind w:firstLine="0"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Исполнитель обязан предоставить приказ о назначении лиц ответственных за проведение услуг с приложением удостоверений для оформления наряд-допуска.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14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Требования к безопасности оказания услуг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Исполнитель обязан: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824"/>
              <w:widowControl w:val="false"/>
              <w:pBdr/>
              <w:spacing w:after="0" w:before="0"/>
              <w:ind w:firstLine="425" w:left="3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1. Соблюдать правила охраны труда и промышленной безопасности, техники безопасности ведения работ, противопожарной безопасности.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824"/>
              <w:widowControl w:val="false"/>
              <w:pBdr/>
              <w:spacing w:after="0" w:before="0"/>
              <w:ind w:firstLine="425" w:left="3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2. Выполнять указания контролирующих органов Заказчика об устранении выявленных нарушений в области охраны труда и промышленной безопасности.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824"/>
              <w:widowControl w:val="false"/>
              <w:pBdr/>
              <w:spacing w:after="0" w:before="0"/>
              <w:ind w:firstLine="425"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3. Обеспечить соблюдение требований нормативных актов РФ и субъектов РФ в области охраны труда и промышленной безопасности.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824"/>
              <w:widowControl w:val="false"/>
              <w:pBdr/>
              <w:spacing w:after="0" w:before="0"/>
              <w:ind w:firstLine="425" w:left="3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4. Все работы производить по нормативным документам. Персонал должен быть аттестован и иметь удостоверение.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419"/>
        </w:trPr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ascii="Times New Roman" w:hAnsi="Times New Roman" w:eastAsia="Geneva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15</w:t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  <w:r>
              <w:rPr>
                <w:rFonts w:ascii="Times New Roman" w:hAnsi="Times New Roman" w:eastAsia="Geneva"/>
                <w:sz w:val="22"/>
                <w:szCs w:val="22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val="ru-RU" w:eastAsia="en-US" w:bidi="ar-SA"/>
              </w:rPr>
              <w:t xml:space="preserve">Документация передаваемая после оказания услуг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 w:firstLine="425"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val="ru-RU" w:eastAsia="en-US" w:bidi="ar-SA"/>
              </w:rPr>
              <w:t xml:space="preserve">Документация о техническом состоян</w:t>
            </w:r>
            <w:r>
              <w:rPr>
                <w:rFonts w:eastAsia="Times New Roman" w:cs="Times New Roman"/>
                <w:sz w:val="22"/>
                <w:szCs w:val="22"/>
                <w:lang w:val="ru-RU" w:eastAsia="en-US" w:bidi="ar-SA"/>
              </w:rPr>
              <w:t xml:space="preserve">ии обследованных конструкций и здания в целом с выводами по результатам обследования оформляется на бумажном носителе в 2 (двух) экземплярах и один экземпляр в электронном виде в формате Acrobat Reader (PDF), при этом размер тома не должен превышать 50 Мб.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rFonts w:eastAsia="Geneva" w:cs="Times New Roman"/>
                <w:sz w:val="22"/>
                <w:szCs w:val="22"/>
                <w14:ligatures w14:val="none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16</w:t>
            </w:r>
            <w:r>
              <w:rPr>
                <w:rFonts w:eastAsia="Geneva" w:cs="Times New Roman"/>
                <w:sz w:val="22"/>
                <w:szCs w:val="22"/>
                <w14:ligatures w14:val="none"/>
              </w:rPr>
            </w:r>
            <w:r>
              <w:rPr>
                <w:rFonts w:eastAsia="Geneva" w:cs="Times New Roman"/>
                <w:sz w:val="22"/>
                <w:szCs w:val="22"/>
                <w14:ligatures w14:val="none"/>
              </w:rPr>
            </w:r>
          </w:p>
        </w:tc>
        <w:tc>
          <w:tcPr>
            <w:tcBorders/>
            <w:tcW w:w="297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Условия оплаты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/>
            <w:tcW w:w="72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 w:firstLine="425" w:left="3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Geneva" w:cs="Times New Roman"/>
                <w:sz w:val="22"/>
                <w:szCs w:val="22"/>
                <w:lang w:val="ru-RU" w:eastAsia="en-US" w:bidi="ar-SA"/>
              </w:rPr>
              <w:t xml:space="preserve">В соответствии с разделом 3 Проекта Договора.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>
      <w:pPr>
        <w:pStyle w:val="825"/>
        <w:keepLines w:val="true"/>
        <w:numPr>
          <w:ilvl w:val="0"/>
          <w:numId w:val="0"/>
        </w:numPr>
        <w:pBdr/>
        <w:spacing w:after="60" w:before="0"/>
        <w:ind w:firstLine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825"/>
        <w:keepLines w:val="true"/>
        <w:numPr>
          <w:ilvl w:val="0"/>
          <w:numId w:val="0"/>
        </w:numPr>
        <w:pBdr/>
        <w:spacing w:after="60" w:before="0"/>
        <w:ind w:firstLine="0" w:left="0"/>
        <w:rPr>
          <w:sz w:val="24"/>
          <w:szCs w:val="24"/>
          <w:highlight w:val="none"/>
          <w:lang w:val="ru-RU"/>
        </w:rPr>
      </w:pPr>
      <w:r/>
      <w:bookmarkStart w:id="14" w:name="_Toc50125127"/>
      <w:r/>
      <w:bookmarkStart w:id="15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 xml:space="preserve">3</w:t>
      </w:r>
      <w:r>
        <w:rPr>
          <w:sz w:val="24"/>
          <w:szCs w:val="24"/>
        </w:rPr>
        <w:t xml:space="preserve">. </w:t>
      </w:r>
      <w:bookmarkStart w:id="16" w:name="_Hlk50465284"/>
      <w:r>
        <w:rPr>
          <w:sz w:val="24"/>
          <w:szCs w:val="24"/>
        </w:rPr>
        <w:t xml:space="preserve">Требования по срокам </w:t>
      </w:r>
      <w:bookmarkEnd w:id="14"/>
      <w:r/>
      <w:bookmarkEnd w:id="15"/>
      <w:r/>
      <w:bookmarkEnd w:id="16"/>
      <w:r>
        <w:rPr>
          <w:sz w:val="24"/>
          <w:szCs w:val="24"/>
          <w:lang w:val="ru-RU"/>
        </w:rPr>
        <w:t xml:space="preserve">оказания услуг</w:t>
      </w:r>
      <w:r>
        <w:rPr>
          <w:sz w:val="24"/>
          <w:szCs w:val="24"/>
          <w:highlight w:val="none"/>
          <w:lang w:val="ru-RU"/>
        </w:rPr>
      </w:r>
      <w:r>
        <w:rPr>
          <w:sz w:val="24"/>
          <w:szCs w:val="24"/>
          <w:highlight w:val="none"/>
          <w:lang w:val="ru-RU"/>
        </w:rPr>
      </w:r>
    </w:p>
    <w:tbl>
      <w:tblPr>
        <w:tblW w:w="977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4"/>
        <w:gridCol w:w="3260"/>
        <w:gridCol w:w="2725"/>
        <w:gridCol w:w="3116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vAlign w:val="center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 xml:space="preserve">п/п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услуг/ этапа оказания услуг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5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началу срока оказания услуг/ этапа оказания услуг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6" w:type="dxa"/>
            <w:vAlign w:val="center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окончанию срока оказания услуг / этапа оказания услуг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2"/>
                <w:szCs w:val="22"/>
                <w:highlight w:val="white"/>
                <w14:ligatures w14:val="none"/>
              </w:rPr>
            </w:pPr>
            <w:r>
              <w:rPr>
                <w:sz w:val="22"/>
                <w:szCs w:val="22"/>
                <w:highlight w:val="white"/>
              </w:rPr>
              <w:t xml:space="preserve">2</w:t>
            </w:r>
            <w:r>
              <w:rPr>
                <w:sz w:val="22"/>
                <w:szCs w:val="22"/>
                <w:highlight w:val="white"/>
                <w14:ligatures w14:val="none"/>
              </w:rPr>
            </w:r>
            <w:r>
              <w:rPr>
                <w:sz w:val="22"/>
                <w:szCs w:val="22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5" w:type="dxa"/>
            <w:textDirection w:val="lrTb"/>
            <w:noWrap w:val="false"/>
          </w:tcPr>
          <w:p>
            <w:pPr>
              <w:pStyle w:val="956"/>
              <w:keepNext w:val="false"/>
              <w:widowControl w:val="false"/>
              <w:pBdr/>
              <w:spacing w:after="40" w:before="40"/>
              <w:ind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6" w:type="dxa"/>
            <w:textDirection w:val="lrTb"/>
            <w:noWrap w:val="false"/>
          </w:tcPr>
          <w:p>
            <w:pPr>
              <w:pStyle w:val="956"/>
              <w:keepNext w:val="false"/>
              <w:widowControl w:val="false"/>
              <w:pBdr/>
              <w:spacing w:after="40" w:before="40"/>
              <w:ind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170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4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0"/>
                <w:numId w:val="12"/>
              </w:num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hd w:val="clear" w:color="ffffff" w:themeColor="background1" w:fill="ffffff" w:themeFill="background1"/>
              <w:spacing/>
              <w:ind/>
              <w:rPr>
                <w:bCs w:val="0"/>
                <w:i w:val="0"/>
                <w:sz w:val="22"/>
                <w:szCs w:val="22"/>
                <w:highlight w:val="white"/>
                <w:shd w:val="clear" w:color="auto" w:fill="ffff00"/>
                <w14:ligatures w14:val="none"/>
              </w:rPr>
            </w:pPr>
            <w:r>
              <w:rPr>
                <w:i w:val="0"/>
                <w:iCs w:val="0"/>
                <w:sz w:val="22"/>
                <w:szCs w:val="22"/>
                <w:highlight w:val="white"/>
                <w:lang w:eastAsia="en-US"/>
              </w:rPr>
            </w:r>
            <w:r>
              <w:rPr>
                <w:i w:val="0"/>
                <w:iCs w:val="0"/>
                <w:sz w:val="22"/>
                <w:szCs w:val="22"/>
                <w:highlight w:val="white"/>
                <w:lang w:eastAsia="en-US"/>
              </w:rPr>
              <w:t xml:space="preserve">ОКПД2 - 71.20.19.190 Оказание услуг по комплексному обследованию здания ТЭЦ в п. Депутатский, Янских ЭС</w:t>
            </w:r>
            <w:r>
              <w:rPr>
                <w:bCs w:val="0"/>
                <w:i w:val="0"/>
                <w:sz w:val="22"/>
                <w:szCs w:val="22"/>
                <w:highlight w:val="white"/>
                <w:shd w:val="clear" w:color="auto" w:fill="ffff00"/>
                <w14:ligatures w14:val="none"/>
              </w:rPr>
            </w:r>
            <w:r>
              <w:rPr>
                <w:bCs w:val="0"/>
                <w:i w:val="0"/>
                <w:sz w:val="22"/>
                <w:szCs w:val="22"/>
                <w:highlight w:val="white"/>
                <w:shd w:val="clear" w:color="auto" w:fill="ffff0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5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С даты заключения договора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/>
              <w:ind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24"/>
              <w:widowControl w:val="false"/>
              <w:pBdr/>
              <w:spacing/>
              <w:ind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bCs/>
                <w:sz w:val="22"/>
                <w:szCs w:val="22"/>
              </w:rPr>
              <w:t xml:space="preserve">С даты заключения Договора 60 календарных дней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</w:tbl>
    <w:p>
      <w:pPr>
        <w:pBdr/>
        <w:spacing/>
        <w:ind/>
        <w:rPr/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h="16838" w:orient="portrait" w:w="11906"/>
          <w:pgMar w:top="1134" w:right="851" w:bottom="992" w:left="1134" w:header="709" w:footer="0" w:gutter="0"/>
          <w:cols w:num="1" w:sep="0" w:space="1701" w:equalWidth="1"/>
          <w:titlePg/>
        </w:sectPr>
      </w:pPr>
      <w:r/>
      <w:r/>
    </w:p>
    <w:p>
      <w:pPr>
        <w:pStyle w:val="828"/>
        <w:numPr>
          <w:ilvl w:val="0"/>
          <w:numId w:val="0"/>
        </w:numPr>
        <w:pBdr/>
        <w:spacing/>
        <w:ind w:firstLine="0" w:left="0"/>
        <w:rPr/>
      </w:pPr>
      <w:r>
        <w:t xml:space="preserve">2.2.</w:t>
      </w:r>
      <w:bookmarkStart w:id="17" w:name="_Toc51339698"/>
      <w:r>
        <w:t xml:space="preserve">Требования к </w:t>
      </w:r>
      <w:r>
        <w:rPr>
          <w:lang w:val="ru-RU"/>
        </w:rPr>
        <w:t xml:space="preserve">качеству оказания услуг</w:t>
      </w:r>
      <w:r/>
    </w:p>
    <w:p>
      <w:pPr>
        <w:pStyle w:val="825"/>
        <w:keepLines w:val="true"/>
        <w:numPr>
          <w:ilvl w:val="0"/>
          <w:numId w:val="0"/>
        </w:numPr>
        <w:pBdr/>
        <w:spacing w:after="60" w:before="240"/>
        <w:ind w:firstLine="0" w:left="0"/>
        <w:rPr>
          <w:rStyle w:val="884"/>
          <w:b/>
        </w:rPr>
      </w:pPr>
      <w:r>
        <w:rPr>
          <w:sz w:val="24"/>
          <w:szCs w:val="24"/>
        </w:rPr>
        <w:t xml:space="preserve">Таблица 4. Требования к </w:t>
      </w:r>
      <w:bookmarkEnd w:id="17"/>
      <w:r>
        <w:rPr>
          <w:sz w:val="24"/>
          <w:szCs w:val="24"/>
          <w:lang w:val="ru-RU"/>
        </w:rPr>
        <w:t xml:space="preserve">качеству оказания услуг</w:t>
      </w:r>
      <w:r>
        <w:rPr>
          <w:rStyle w:val="884"/>
          <w:b/>
        </w:rPr>
      </w:r>
      <w:r>
        <w:rPr>
          <w:rStyle w:val="884"/>
          <w:b/>
        </w:rPr>
      </w:r>
    </w:p>
    <w:p>
      <w:pPr>
        <w:pStyle w:val="824"/>
        <w:widowControl w:val="false"/>
        <w:pBdr/>
        <w:tabs>
          <w:tab w:val="left" w:leader="none" w:pos="426"/>
          <w:tab w:val="clear" w:leader="none" w:pos="708"/>
        </w:tabs>
        <w:spacing w:after="0" w:afterAutospacing="0" w:before="0" w:beforeAutospacing="0"/>
        <w:ind/>
        <w:jc w:val="left"/>
        <w:rPr>
          <w:b w:val="0"/>
          <w:bCs w:val="0"/>
          <w:i w:val="0"/>
          <w:highlight w:val="white"/>
          <w:u w:val="none"/>
          <w:shd w:val="clear" w:color="auto" w:fill="ffff00"/>
        </w:rPr>
      </w:pPr>
      <w:r>
        <w:rPr>
          <w:b/>
          <w:bCs/>
          <w:sz w:val="24"/>
          <w:szCs w:val="24"/>
        </w:rPr>
        <w:t xml:space="preserve">Наименование </w:t>
      </w:r>
      <w:r>
        <w:rPr>
          <w:b/>
          <w:sz w:val="24"/>
          <w:szCs w:val="24"/>
        </w:rPr>
        <w:t xml:space="preserve">услуг: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ОКПД2 - 71.20.19.190 Оказание услуг по комплексному обследованию здания ТЭЦ в п. Депутатский, Янских ЭС</w:t>
      </w:r>
      <w:r>
        <w:rPr>
          <w:b w:val="0"/>
          <w:bCs w:val="0"/>
          <w:i w:val="0"/>
          <w:highlight w:val="white"/>
          <w:u w:val="none"/>
          <w:shd w:val="clear" w:color="auto" w:fill="ffff00"/>
        </w:rPr>
      </w:r>
      <w:r>
        <w:rPr>
          <w:b w:val="0"/>
          <w:bCs w:val="0"/>
          <w:i w:val="0"/>
          <w:highlight w:val="white"/>
          <w:u w:val="none"/>
          <w:shd w:val="clear" w:color="auto" w:fill="ffff00"/>
        </w:rPr>
      </w:r>
    </w:p>
    <w:tbl>
      <w:tblPr>
        <w:tblStyle w:val="1108"/>
        <w:tblW w:w="15731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5"/>
        <w:gridCol w:w="2459"/>
        <w:gridCol w:w="4713"/>
        <w:gridCol w:w="2408"/>
        <w:gridCol w:w="2898"/>
        <w:gridCol w:w="2397"/>
      </w:tblGrid>
      <w:tr>
        <w:trPr/>
        <w:tc>
          <w:tcPr>
            <w:tcBorders/>
            <w:tcW w:w="855" w:type="dxa"/>
            <w:vMerge w:val="restart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п/п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459" w:type="dxa"/>
            <w:vMerge w:val="restart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Наименование параметра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4713" w:type="dxa"/>
            <w:vMerge w:val="restart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Требование заказчика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Borders/>
            <w:tcW w:w="5306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Способ подтверждения участником соответствия требованиям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397" w:type="dxa"/>
            <w:vMerge w:val="restart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Предложение участника по характеристикам и параметрам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1248"/>
        </w:trPr>
        <w:tc>
          <w:tcPr>
            <w:tcBorders/>
            <w:tcW w:w="855" w:type="dxa"/>
            <w:vMerge w:val="continue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459" w:type="dxa"/>
            <w:vMerge w:val="continue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4713" w:type="dxa"/>
            <w:vMerge w:val="continue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Согласие с требованием/ указание характеристик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Предоставление подтверждающего документа или иной способ подтверждения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397" w:type="dxa"/>
            <w:vMerge w:val="continue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lang w:val="ru-RU" w:eastAsia="ru-RU" w:bidi="ar-SA"/>
              </w:rPr>
            </w:r>
          </w:p>
        </w:tc>
        <w:tc>
          <w:tcPr>
            <w:tcBorders/>
            <w:tcW w:w="2459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4713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4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5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6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0"/>
                <w:numId w:val="6"/>
              </w:numPr>
              <w:pBdr/>
              <w:spacing w:after="60" w:before="60"/>
              <w:ind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gridSpan w:val="2"/>
            <w:tcBorders/>
            <w:tcW w:w="7172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оказанию услуг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</w:tc>
        <w:tc>
          <w:tcPr>
            <w:gridSpan w:val="2"/>
            <w:shd w:val="clear" w:color="ffffff" w:themeColor="background1" w:fill="ffffff" w:themeFill="background1"/>
            <w:tcBorders/>
            <w:tcW w:w="7172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afterAutospacing="0" w:before="0" w:beforeAutospacing="0"/>
              <w:ind/>
              <w:jc w:val="left"/>
              <w:rPr>
                <w:b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highlight w:val="white"/>
                <w:lang w:val="ru-RU" w:eastAsia="ru-RU" w:bidi="ar-SA"/>
              </w:rPr>
              <w:t xml:space="preserve">Общие требования</w:t>
            </w:r>
            <w:r>
              <w:rPr>
                <w:b/>
                <w:sz w:val="24"/>
                <w:szCs w:val="24"/>
                <w:highlight w:val="white"/>
              </w:rPr>
            </w:r>
            <w:r>
              <w:rPr>
                <w:b/>
                <w:sz w:val="24"/>
                <w:szCs w:val="24"/>
                <w:highlight w:val="white"/>
              </w:rPr>
            </w:r>
          </w:p>
          <w:p>
            <w:pPr>
              <w:pStyle w:val="824"/>
              <w:widowControl w:val="false"/>
              <w:pBdr/>
              <w:shd w:val="clear" w:color="ffffff" w:themeColor="background1" w:fill="ffffff" w:themeFill="background1"/>
              <w:spacing/>
              <w:ind/>
              <w:rPr>
                <w:bCs w:val="0"/>
                <w:i w:val="0"/>
                <w:sz w:val="24"/>
                <w:szCs w:val="24"/>
                <w:highlight w:val="white"/>
                <w:shd w:val="clear" w:color="auto" w:fill="ffff00"/>
                <w14:ligatures w14:val="none"/>
              </w:rPr>
            </w:pPr>
            <w:r>
              <w:rPr>
                <w:i w:val="0"/>
                <w:iCs w:val="0"/>
                <w:sz w:val="24"/>
                <w:szCs w:val="24"/>
                <w:highlight w:val="white"/>
                <w:lang w:eastAsia="en-US"/>
              </w:rPr>
            </w:r>
            <w:r>
              <w:rPr>
                <w:i w:val="0"/>
                <w:iCs w:val="0"/>
                <w:sz w:val="24"/>
                <w:szCs w:val="24"/>
                <w:highlight w:val="white"/>
                <w:lang w:eastAsia="en-US"/>
              </w:rPr>
              <w:t xml:space="preserve">ОКПД2 - 71.20.19.190 Оказание услуг по комплексному обследованию здания ТЭЦ в п. Депутатский, Янских ЭС</w:t>
            </w:r>
            <w:r>
              <w:rPr>
                <w:bCs w:val="0"/>
                <w:i w:val="0"/>
                <w:sz w:val="24"/>
                <w:szCs w:val="24"/>
                <w:highlight w:val="white"/>
                <w:shd w:val="clear" w:color="auto" w:fill="ffff00"/>
                <w14:ligatures w14:val="none"/>
              </w:rPr>
            </w:r>
            <w:r>
              <w:rPr>
                <w:bCs w:val="0"/>
                <w:i w:val="0"/>
                <w:sz w:val="24"/>
                <w:szCs w:val="24"/>
                <w:highlight w:val="white"/>
                <w:shd w:val="clear" w:color="auto" w:fill="ffff00"/>
                <w14:ligatures w14:val="none"/>
              </w:rPr>
            </w:r>
          </w:p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afterAutospacing="0" w:before="0" w:beforeAutospacing="0"/>
              <w:ind/>
              <w:rPr>
                <w:rStyle w:val="884"/>
                <w:b w:val="0"/>
                <w:bCs w:val="0"/>
                <w:i w:val="0"/>
                <w:sz w:val="24"/>
                <w:szCs w:val="24"/>
                <w:highlight w:val="white"/>
                <w:u w:val="none"/>
              </w:rPr>
            </w:pPr>
            <w:r>
              <w:rPr>
                <w:rFonts w:eastAsia="Times New Roman" w:cs="Times New Roman"/>
                <w:sz w:val="24"/>
                <w:szCs w:val="24"/>
                <w:highlight w:val="white"/>
                <w:lang w:val="ru-RU" w:eastAsia="ru-RU" w:bidi="ar-SA"/>
              </w:rPr>
              <w:t xml:space="preserve">Полная детализация оказываемых услуг указана в Таблице 2 ТТ</w:t>
            </w:r>
            <w:r>
              <w:rPr>
                <w:rStyle w:val="884"/>
                <w:b w:val="0"/>
                <w:bCs w:val="0"/>
                <w:i w:val="0"/>
                <w:sz w:val="24"/>
                <w:szCs w:val="24"/>
                <w:highlight w:val="white"/>
                <w:u w:val="none"/>
              </w:rPr>
            </w:r>
            <w:r>
              <w:rPr>
                <w:rStyle w:val="884"/>
                <w:b w:val="0"/>
                <w:bCs w:val="0"/>
                <w:i w:val="0"/>
                <w:sz w:val="24"/>
                <w:szCs w:val="24"/>
                <w:highlight w:val="white"/>
                <w:u w:val="none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6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6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6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60" w:before="60"/>
              <w:ind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u-RU" w:eastAsia="ru-RU" w:bidi="ar-SA"/>
              </w:rPr>
              <w:t xml:space="preserve">1.1.1.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Borders/>
            <w:tcW w:w="2459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Соблюдение при оказании услуг норм и правил нормативно-технических документов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6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4713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При оказании услуг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6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Действующий СНиП, РД, ПУЭ, ПТЭ, МПОТ, требование пожарной безопасности на все оказываемые услуги.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60" w:before="60"/>
              <w:ind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6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60" w:before="60"/>
              <w:ind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1.1.2.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459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Организационно-технические мероприятия по допуску персонала подрядчика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13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Допуск персонала подрядчика для оказания</w:t>
            </w: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 услуг должен осуществляться в соответствии с РГ-00-017.03-23 «Регламентом допуска подрядных организаций и командированного персонала на объекты АО «Сахаэнерго» (Приложение №1  к ТТ) с обязательным оформлением необходимых актов-допусков и нарядов-допусков.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Подготовку рабочих мест и допуск к оказанию услуг выполняет персонал заказчика.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955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 w:cs="Lohit Devanagari"/>
                <w:b w:val="0"/>
                <w:sz w:val="20"/>
                <w:szCs w:val="20"/>
                <w:lang w:val="ru-RU" w:eastAsia="ru-RU" w:bidi="ar-SA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gridSpan w:val="2"/>
            <w:shd w:val="clear" w:color="auto" w:fill="ffffff" w:themeFill="background1"/>
            <w:tcBorders/>
            <w:tcW w:w="7172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60"/>
              <w:ind/>
              <w:jc w:val="left"/>
              <w:rPr>
                <w:b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организации оказания услуг</w:t>
            </w:r>
            <w:r>
              <w:rPr>
                <w:b/>
                <w:sz w:val="24"/>
                <w:szCs w:val="24"/>
                <w:highlight w:val="none"/>
              </w:rPr>
            </w:r>
            <w:r>
              <w:rPr>
                <w:b/>
                <w:sz w:val="24"/>
                <w:szCs w:val="24"/>
                <w:highlight w:val="none"/>
              </w:rPr>
            </w:r>
          </w:p>
          <w:p>
            <w:pPr>
              <w:pStyle w:val="824"/>
              <w:widowControl w:val="false"/>
              <w:pBdr/>
              <w:spacing w:after="0" w:before="60"/>
              <w:ind/>
              <w:jc w:val="left"/>
              <w:rPr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Организационно-технические мероприятия по допуску персонала подрядчика;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both"/>
              <w:rPr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Geneva" w:cs="Times New Roman"/>
                <w:sz w:val="24"/>
                <w:szCs w:val="24"/>
                <w:lang w:val="ru-RU" w:eastAsia="en-US" w:bidi="ar-SA"/>
              </w:rPr>
              <w:t xml:space="preserve">Разработка, согласование и утверждение программы по обследованию технического состояния несущих и ограждающих конструкций зданий.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highlight w:val="white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  <w:highlight w:val="white"/>
              </w:rPr>
            </w:r>
            <w:r>
              <w:rPr>
                <w:b/>
                <w:sz w:val="24"/>
                <w:szCs w:val="24"/>
                <w:highlight w:val="white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</w:p>
        </w:tc>
        <w:tc>
          <w:tcPr>
            <w:shd w:val="clear" w:color="auto" w:fill="ffffff" w:themeFill="background1"/>
            <w:tcBorders/>
            <w:tcW w:w="2459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iCs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Квалификация персонала подрядчика, привлекаемого к оказанию услуг</w:t>
            </w:r>
            <w:r>
              <w:rPr>
                <w:iCs/>
                <w:sz w:val="24"/>
                <w:szCs w:val="24"/>
                <w:highlight w:val="none"/>
              </w:rPr>
            </w:r>
            <w:r>
              <w:rPr>
                <w:iCs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ffffff" w:themeFill="background1"/>
            <w:tcBorders/>
            <w:tcW w:w="4713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iCs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До начала оказания услуг в рамках исполнения договора после его заключения подрядчик предоставляет список персонала с указание</w:t>
            </w: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м сведений  о квалификации персонала, разряде и группе по электробезопасности  с приложением копий  удостоверений на производство специальных видов работ (огневых, грузоподъемных, работ с электро - и пневмоинструментом) (возможно совмещение специальностей)</w:t>
            </w:r>
            <w:r>
              <w:rPr>
                <w:iCs/>
                <w:sz w:val="24"/>
                <w:szCs w:val="24"/>
                <w:highlight w:val="none"/>
              </w:rPr>
            </w:r>
            <w:r>
              <w:rPr>
                <w:iCs/>
                <w:sz w:val="24"/>
                <w:szCs w:val="24"/>
                <w:highlight w:val="none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highlight w:val="white"/>
                <w:lang w:val="ru-RU" w:eastAsia="ru-RU" w:bidi="ar-SA"/>
              </w:rPr>
              <w:t xml:space="preserve">Согласие с требованием</w:t>
            </w:r>
            <w:r>
              <w:rPr>
                <w:b/>
                <w:sz w:val="24"/>
                <w:szCs w:val="24"/>
                <w:highlight w:val="white"/>
              </w:rPr>
            </w:r>
            <w:r>
              <w:rPr>
                <w:b/>
                <w:sz w:val="24"/>
                <w:szCs w:val="24"/>
                <w:highlight w:val="white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955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 w:cs="Lohit Devanagari"/>
                <w:b w:val="0"/>
                <w:sz w:val="20"/>
                <w:szCs w:val="20"/>
                <w:lang w:val="ru-RU" w:eastAsia="ru-RU" w:bidi="ar-SA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gridSpan w:val="2"/>
            <w:tcBorders/>
            <w:tcW w:w="7172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безопасности оказания услуг и охране труда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lang w:val="ru-RU" w:eastAsia="ru-RU" w:bidi="ar-SA"/>
              </w:rPr>
              <w:t xml:space="preserve">П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ри оказанию услуг Подрядчик должен руководствоваться: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СНиП 12-03-01 «Безопасность труда в строительстве. Часть 1. Общие требования»;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8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</w:t>
            </w:r>
            <w:hyperlink r:id="rId17" w:tooltip="http://stroy.dbases.ru/Data1/10/10690/index.htm" w:history="1">
              <w:r>
                <w:rPr>
                  <w:rFonts w:eastAsia="Times New Roman" w:cs="Times New Roman"/>
                  <w:sz w:val="24"/>
                  <w:szCs w:val="24"/>
                  <w:lang w:val="ru-RU" w:eastAsia="ru-RU" w:bidi="ar-SA"/>
                </w:rPr>
                <w:t xml:space="preserve">СНиП 12-04-2002</w:t>
              </w:r>
            </w:hyperlink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 «Безопасность труда в строительстве. Часть 2. Строительное производство»;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8"/>
              <w:widowControl w:val="false"/>
              <w:pBdr/>
              <w:spacing w:after="0" w:before="0"/>
              <w:ind w:right="128"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 СО 153-34.03.305-2003 «Инструкция о мерах пожарной безопасности при проведении огневых работ на энергетических предприятиях»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8"/>
              <w:widowControl w:val="false"/>
              <w:pBdr/>
              <w:spacing w:after="0" w:before="0"/>
              <w:ind w:right="128" w:firstLine="0"/>
              <w:jc w:val="left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Инструкцией РИ ПБ 00-016.01-16 «О мерах пожарной безопасности при проведении огневых работ»;</w:t>
            </w:r>
            <w:r>
              <w:rPr>
                <w:rFonts w:eastAsia="Arial Unicode MS"/>
                <w:sz w:val="24"/>
                <w:szCs w:val="24"/>
              </w:rPr>
            </w:r>
            <w:r>
              <w:rPr>
                <w:rFonts w:eastAsia="Arial Unicode MS"/>
                <w:sz w:val="24"/>
                <w:szCs w:val="24"/>
              </w:rPr>
            </w:r>
          </w:p>
          <w:p>
            <w:pPr>
              <w:pStyle w:val="898"/>
              <w:widowControl w:val="false"/>
              <w:pBdr/>
              <w:spacing w:after="0" w:before="0"/>
              <w:ind w:right="128"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Приказом от 28.03.2014г. № 155н «Об утверждении Правил по охране труда при работе на высоте»;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6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Подрядчик обязан принимать участие в Днях ТБ, проводимых Заказчиком в период проведения ремонтных работ на объекте.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tcBorders/>
            <w:tcW w:w="2459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Требования к безопасности оказания услуг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4713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Подрядчик должен: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pStyle w:val="940"/>
              <w:widowControl w:val="false"/>
              <w:pBdr/>
              <w:spacing w:after="0" w:before="0"/>
              <w:ind w:firstLine="0" w:left="0"/>
              <w:contextualSpacing w:val="true"/>
              <w:jc w:val="left"/>
              <w:rPr>
                <w:iCs/>
              </w:rPr>
            </w:pPr>
            <w:r>
              <w:rPr>
                <w:rFonts w:cs="Times New Roman"/>
                <w:iCs/>
                <w:lang w:val="ru-RU" w:eastAsia="ru-RU" w:bidi="ar-SA"/>
              </w:rPr>
              <w:t xml:space="preserve">- соблюдать требования действующего федерального законодательства Российской Федерации, нормативных правовых актов субъектов Российской Федерации в т.ч. законодательство о</w:t>
            </w:r>
            <w:r>
              <w:rPr>
                <w:rFonts w:cs="Times New Roman"/>
                <w:iCs/>
                <w:lang w:val="ru-RU" w:eastAsia="ru-RU" w:bidi="ar-SA"/>
              </w:rPr>
              <w:t xml:space="preserve">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  <w:r>
              <w:rPr>
                <w:iCs/>
              </w:rPr>
            </w:r>
            <w:r>
              <w:rPr>
                <w:iCs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- Подрядчик обязан</w:t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pStyle w:val="940"/>
              <w:widowControl w:val="false"/>
              <w:pBdr/>
              <w:spacing w:after="0" w:before="0"/>
              <w:ind w:firstLine="0" w:left="0"/>
              <w:contextualSpacing w:val="true"/>
              <w:jc w:val="left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lang w:val="ru-RU" w:eastAsia="ru-RU" w:bidi="ar-SA"/>
              </w:rPr>
              <w:t xml:space="preserve">направлять на объ</w:t>
            </w:r>
            <w:r>
              <w:rPr>
                <w:rFonts w:eastAsia="Times New Roman" w:cs="Times New Roman"/>
                <w:iCs/>
                <w:lang w:val="ru-RU" w:eastAsia="ru-RU" w:bidi="ar-SA"/>
              </w:rPr>
              <w:t xml:space="preserve">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  <w:r>
              <w:rPr>
                <w:rFonts w:eastAsia="Times New Roman"/>
                <w:iCs/>
              </w:rPr>
            </w:r>
            <w:r>
              <w:rPr>
                <w:rFonts w:eastAsia="Times New Roman"/>
                <w:iCs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955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 w:cs="Lohit Devanagari"/>
                <w:b w:val="0"/>
                <w:sz w:val="20"/>
                <w:szCs w:val="20"/>
                <w:lang w:val="ru-RU" w:eastAsia="ru-RU" w:bidi="ar-SA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0"/>
                <w:numId w:val="6"/>
              </w:numPr>
              <w:pBdr/>
              <w:spacing w:after="60" w:before="60"/>
              <w:ind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gridSpan w:val="2"/>
            <w:tcBorders/>
            <w:tcW w:w="7172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Требования к результатам услуг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gridSpan w:val="2"/>
            <w:tcBorders/>
            <w:tcW w:w="7172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Общие требования к результатам оказания услуг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0" w:line="100" w:lineRule="atLeast"/>
              <w:ind/>
              <w:jc w:val="left"/>
              <w:rPr>
                <w:rFonts w:eastAsia="Lucida Sans Unicode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-  Результат работ должен соответствовать:</w:t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eastAsia="Lucida Sans Unicode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1. Настоящим техническим требованиям и условиям договора;</w:t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</w:p>
          <w:p>
            <w:pPr>
              <w:pStyle w:val="824"/>
              <w:widowControl w:val="false"/>
              <w:pBdr/>
              <w:tabs>
                <w:tab w:val="left" w:leader="none" w:pos="427"/>
                <w:tab w:val="clear" w:leader="none" w:pos="708"/>
              </w:tabs>
              <w:spacing w:after="0" w:before="0"/>
              <w:ind/>
              <w:jc w:val="left"/>
              <w:rPr>
                <w:rFonts w:eastAsia="Lucida Sans Unicode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2. Требованиям, предъявляемым к такому виду работ действующей нормативно-технической документацией, законодательством РФ и подзаконными актами.</w:t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</w:p>
          <w:p>
            <w:pPr>
              <w:pStyle w:val="824"/>
              <w:widowControl w:val="false"/>
              <w:pBdr/>
              <w:spacing w:after="0" w:before="0" w:line="100" w:lineRule="atLeast"/>
              <w:ind/>
              <w:jc w:val="left"/>
              <w:rPr>
                <w:rFonts w:eastAsia="Lucida Sans Unicode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Качество выполненных подрядчиком услуг должно соответствовать требованиям, предъявляемым к работам соответствующего рода, если иное не предусмотрено законом, иными правовыми актами или договором подряда.</w:t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tcBorders/>
            <w:tcW w:w="2459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Результат оказания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13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eastAsia="Lucida Sans Unicode"/>
                <w:sz w:val="24"/>
                <w:szCs w:val="24"/>
                <w:lang w:eastAsia="hi-IN" w:bidi="hi-IN"/>
              </w:rPr>
            </w:pPr>
            <w:r>
              <w:rPr>
                <w:rFonts w:eastAsia="Geneva" w:cs="Times New Roman"/>
                <w:sz w:val="24"/>
                <w:szCs w:val="24"/>
                <w:lang w:val="ru-RU" w:eastAsia="en-US" w:bidi="ar-SA"/>
              </w:rPr>
              <w:t xml:space="preserve">Техническое заключение по результатам технического обследования состояния несущих и ограждающих конструкций зданий и сооружений в соответствии ГОСТ 31937-2024 «Здание и сооружение. Правила обследования и мониторинга технического состояния».</w:t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955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 w:cs="Lohit Devanagari"/>
                <w:b w:val="0"/>
                <w:sz w:val="20"/>
                <w:szCs w:val="20"/>
                <w:lang w:val="ru-RU" w:eastAsia="ru-RU" w:bidi="ar-SA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gridSpan w:val="2"/>
            <w:tcBorders/>
            <w:tcW w:w="7172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Требования к порядку приемки результатов оказания услуг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0" w:line="100" w:lineRule="atLeast"/>
              <w:ind w:right="0" w:firstLine="425" w:left="0"/>
              <w:jc w:val="left"/>
              <w:rPr>
                <w:rFonts w:eastAsia="Lucida Sans Unicode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1. Приемка оказания услуг осуществляется комиссией назначаемой Заказчиком с участием полномочных представителей Подрядчика, при необходимости с привлечением иных заинтересованных лиц и/или органов надзора.</w:t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</w:p>
          <w:p>
            <w:pPr>
              <w:pStyle w:val="824"/>
              <w:widowControl w:val="false"/>
              <w:pBdr/>
              <w:spacing w:after="0" w:before="0" w:line="100" w:lineRule="atLeast"/>
              <w:ind w:firstLine="459"/>
              <w:jc w:val="left"/>
              <w:rPr>
                <w:rFonts w:eastAsia="Lucida Sans Unicode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В целях приемки оказания услуг Подрядчик не менее чем за семь рабочих дней до даты приемки, направляет Заказчику письменное извещение об оказании услуг и готовности к сдаче результатов работ.</w:t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</w:p>
          <w:p>
            <w:pPr>
              <w:pStyle w:val="824"/>
              <w:widowControl w:val="false"/>
              <w:pBdr/>
              <w:spacing w:after="0" w:before="0"/>
              <w:ind w:firstLine="421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Подрядчик обязан безвозмездно исправить по требованию Заказчика все выявленные недостатки ухудшившее качество работы в согласованные сроки.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tcBorders/>
            <w:tcW w:w="2459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Приемка результатов оказания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13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34"/>
                <w:tab w:val="clear" w:leader="none" w:pos="708"/>
              </w:tabs>
              <w:spacing w:after="0" w:before="0"/>
              <w:ind w:right="0" w:firstLine="0" w:left="0"/>
              <w:jc w:val="left"/>
              <w:rPr>
                <w:rFonts w:eastAsia="Lucida Sans Unicode"/>
                <w:sz w:val="24"/>
                <w:szCs w:val="24"/>
                <w:lang w:eastAsia="hi-IN" w:bidi="hi-IN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Приемка работ должен содержать полный перечень работ согласно договору</w:t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  <w:r>
              <w:rPr>
                <w:rFonts w:eastAsia="Lucida Sans Unicode"/>
                <w:sz w:val="24"/>
                <w:szCs w:val="24"/>
                <w:lang w:eastAsia="hi-IN" w:bidi="hi-IN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426"/>
                <w:tab w:val="clear" w:leader="none" w:pos="708"/>
              </w:tabs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1"/>
                <w:numId w:val="6"/>
              </w:numPr>
              <w:pBdr/>
              <w:spacing w:after="60" w:before="60"/>
              <w:ind w:firstLine="142" w:left="-117"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gridSpan w:val="2"/>
            <w:tcBorders/>
            <w:tcW w:w="7172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60"/>
              <w:ind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оформлению документации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Содержание документов: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отчет по обследованию технического состояния в бумажном носителе;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отчет по обследованию технического состояния в электронном виде 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Acrobat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Reader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 (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PDF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).</w:t>
            </w:r>
            <w:r>
              <w:rPr>
                <w:rFonts w:ascii="Times New Roman" w:hAnsi="Times New Roman" w:eastAsia="Times New Roman" w:cs="Times New Roman"/>
                <w:lang w:eastAsia="ru-RU" w:bidi="ar-SA"/>
              </w:rPr>
            </w:r>
            <w:r>
              <w:rPr>
                <w:rFonts w:ascii="Times New Roman" w:hAnsi="Times New Roman" w:eastAsia="Times New Roman" w:cs="Times New Roman"/>
                <w:lang w:eastAsia="ru-RU" w:bidi="ar-SA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5" w:type="dxa"/>
            <w:textDirection w:val="lrTb"/>
            <w:noWrap w:val="false"/>
          </w:tcPr>
          <w:p>
            <w:pPr>
              <w:pStyle w:val="940"/>
              <w:widowControl w:val="false"/>
              <w:numPr>
                <w:ilvl w:val="2"/>
                <w:numId w:val="6"/>
              </w:numPr>
              <w:pBdr/>
              <w:spacing w:after="60" w:before="60"/>
              <w:ind w:hanging="1199" w:left="1224"/>
              <w:contextualSpacing w:val="true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lang w:val="ru-RU" w:eastAsia="ru-RU" w:bidi="ar-SA"/>
              </w:rPr>
            </w:r>
          </w:p>
        </w:tc>
        <w:tc>
          <w:tcPr>
            <w:tcBorders/>
            <w:tcW w:w="2459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Документы, передаваемые заказчику по результатам оказания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13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tabs>
                <w:tab w:val="left" w:leader="none" w:pos="50"/>
                <w:tab w:val="clear" w:leader="none" w:pos="708"/>
              </w:tabs>
              <w:spacing w:after="0" w:before="0"/>
              <w:ind w:firstLine="0" w:left="0"/>
              <w:jc w:val="left"/>
              <w:rPr>
                <w:rFonts w:eastAsia="Lucida Sans Unicode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Подрядчик обязан одновременно с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письменного извещения об оказании услуг и готовности к сдаче результатов оказания услуг передать:</w:t>
            </w:r>
            <w:r>
              <w:rPr>
                <w:rFonts w:eastAsia="Lucida Sans Unicode"/>
                <w:sz w:val="24"/>
                <w:szCs w:val="24"/>
              </w:rPr>
            </w:r>
            <w:r>
              <w:rPr>
                <w:rFonts w:eastAsia="Lucida Sans Unicode"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tabs>
                <w:tab w:val="left" w:leader="none" w:pos="175"/>
                <w:tab w:val="clear" w:leader="none" w:pos="708"/>
              </w:tabs>
              <w:spacing w:after="0" w:before="0"/>
              <w:ind w:firstLine="65" w:left="0"/>
              <w:jc w:val="left"/>
              <w:rPr>
                <w:rFonts w:eastAsia="Lucida Sans Unicode"/>
                <w:sz w:val="24"/>
                <w:szCs w:val="24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1.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Акт об оказании услуг</w:t>
            </w:r>
            <w:r>
              <w:rPr>
                <w:rFonts w:eastAsia="Lucida Sans Unicode"/>
                <w:sz w:val="24"/>
                <w:szCs w:val="24"/>
              </w:rPr>
            </w:r>
            <w:r>
              <w:rPr>
                <w:rFonts w:eastAsia="Lucida Sans Unicode"/>
                <w:sz w:val="24"/>
                <w:szCs w:val="24"/>
              </w:rPr>
            </w:r>
          </w:p>
          <w:p>
            <w:pPr>
              <w:pStyle w:val="824"/>
              <w:widowControl w:val="false"/>
              <w:pBdr/>
              <w:tabs>
                <w:tab w:val="left" w:leader="none" w:pos="175"/>
                <w:tab w:val="clear" w:leader="none" w:pos="708"/>
              </w:tabs>
              <w:spacing w:after="0" w:before="0"/>
              <w:ind w:firstLine="65" w:left="0"/>
              <w:jc w:val="left"/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2. Счет на оплату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</w:r>
          </w:p>
          <w:p>
            <w:pPr>
              <w:pStyle w:val="824"/>
              <w:widowControl w:val="false"/>
              <w:pBdr/>
              <w:tabs>
                <w:tab w:val="left" w:leader="none" w:pos="175"/>
                <w:tab w:val="clear" w:leader="none" w:pos="708"/>
              </w:tabs>
              <w:spacing w:after="0" w:before="0"/>
              <w:ind w:firstLine="65" w:left="0"/>
              <w:jc w:val="left"/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3. Счет-фактура/УПД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</w:r>
          </w:p>
        </w:tc>
        <w:tc>
          <w:tcPr>
            <w:tcBorders/>
            <w:tcW w:w="2408" w:type="dxa"/>
            <w:textDirection w:val="lrTb"/>
            <w:noWrap w:val="false"/>
          </w:tcPr>
          <w:p>
            <w:pPr>
              <w:pStyle w:val="824"/>
              <w:widowControl w:val="false"/>
              <w:pBdr/>
              <w:spacing w:after="0" w:before="0"/>
              <w:ind/>
              <w:jc w:val="center"/>
              <w:rPr>
                <w:b/>
                <w:bCs/>
              </w:rPr>
            </w:pPr>
            <w:r>
              <w:rPr>
                <w:rFonts w:eastAsia="Times New Roman" w:cs="Times New Roman"/>
                <w:iCs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898" w:type="dxa"/>
            <w:textDirection w:val="lrTb"/>
            <w:noWrap w:val="false"/>
          </w:tcPr>
          <w:p>
            <w:pPr>
              <w:pStyle w:val="955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b w:val="0"/>
                <w:lang w:val="ru-RU"/>
              </w:rPr>
            </w:pPr>
            <w:r>
              <w:rPr>
                <w:rFonts w:eastAsia="Tahoma" w:cs="Lohit Devanagari"/>
                <w:b w:val="0"/>
                <w:sz w:val="20"/>
                <w:szCs w:val="20"/>
                <w:lang w:val="ru-RU" w:eastAsia="ru-RU" w:bidi="ar-SA"/>
              </w:rPr>
            </w:r>
            <w:r>
              <w:rPr>
                <w:b w:val="0"/>
                <w:lang w:val="ru-RU"/>
              </w:rPr>
            </w:r>
            <w:r>
              <w:rPr>
                <w:b w:val="0"/>
                <w:lang w:val="ru-RU"/>
              </w:rPr>
            </w:r>
          </w:p>
        </w:tc>
        <w:tc>
          <w:tcPr>
            <w:tcBorders/>
            <w:tcW w:w="2397" w:type="dxa"/>
            <w:textDirection w:val="lrTb"/>
            <w:noWrap w:val="false"/>
          </w:tcPr>
          <w:p>
            <w:pPr>
              <w:pStyle w:val="955"/>
              <w:keepNext w:val="false"/>
              <w:widowControl w:val="false"/>
              <w:numPr>
                <w:ilvl w:val="0"/>
                <w:numId w:val="0"/>
              </w:numPr>
              <w:pBdr/>
              <w:spacing w:after="60" w:before="0"/>
              <w:ind w:firstLine="0" w:left="0"/>
              <w:jc w:val="left"/>
              <w:outlineLvl w:val="2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Bdr/>
        <w:spacing/>
        <w:ind/>
        <w:rPr/>
        <w:sectPr>
          <w:headerReference w:type="default" r:id="rId12"/>
          <w:headerReference w:type="first" r:id="rId13"/>
          <w:footnotePr/>
          <w:endnotePr/>
          <w:type w:val="nextPage"/>
          <w:pgSz w:h="11906" w:orient="landscape" w:w="16838"/>
          <w:pgMar w:top="851" w:right="567" w:bottom="851" w:left="992" w:header="680" w:footer="0" w:gutter="0"/>
          <w:cols w:num="1" w:sep="0" w:space="1701" w:equalWidth="1"/>
          <w:titlePg/>
        </w:sectPr>
      </w:pPr>
      <w:r/>
      <w:r/>
    </w:p>
    <w:p>
      <w:pPr>
        <w:pStyle w:val="825"/>
        <w:keepLines w:val="true"/>
        <w:numPr>
          <w:ilvl w:val="0"/>
          <w:numId w:val="0"/>
        </w:numPr>
        <w:pBdr/>
        <w:spacing w:after="0" w:afterAutospacing="0" w:before="0" w:beforeAutospacing="0"/>
        <w:ind w:firstLine="0" w:left="0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3. Требования к Участникам закупочных процедур в части ценообразования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4"/>
        <w:widowControl w:val="false"/>
        <w:pBdr/>
        <w:tabs>
          <w:tab w:val="left" w:leader="none" w:pos="426"/>
          <w:tab w:val="clear" w:leader="none" w:pos="708"/>
        </w:tabs>
        <w:spacing w:after="0" w:before="6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Требования к документации по ценообразованию на этапе закупки.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4"/>
        <w:widowControl w:val="false"/>
        <w:pBdr/>
        <w:tabs>
          <w:tab w:val="left" w:leader="none" w:pos="426"/>
          <w:tab w:val="clear" w:leader="none" w:pos="708"/>
        </w:tabs>
        <w:spacing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24"/>
        <w:widowControl w:val="false"/>
        <w:pBdr/>
        <w:tabs>
          <w:tab w:val="left" w:leader="none" w:pos="426"/>
          <w:tab w:val="clear" w:leader="none" w:pos="708"/>
        </w:tabs>
        <w:spacing/>
        <w:ind w:firstLine="426"/>
        <w:jc w:val="both"/>
        <w:rPr>
          <w:b/>
          <w:bCs/>
          <w:color w:val="000000"/>
          <w:sz w:val="24"/>
          <w:szCs w:val="24"/>
          <w:highlight w:val="none"/>
        </w:rPr>
      </w:pPr>
      <w:r>
        <w:rPr>
          <w:color w:val="000000"/>
          <w:sz w:val="24"/>
          <w:szCs w:val="24"/>
        </w:rPr>
        <w:t xml:space="preserve">3.1.2.</w:t>
      </w:r>
      <w:r>
        <w:rPr>
          <w:b/>
          <w:color w:val="000000"/>
          <w:sz w:val="24"/>
          <w:szCs w:val="24"/>
        </w:rPr>
        <w:t xml:space="preserve">  </w:t>
      </w:r>
      <w:r>
        <w:rPr>
          <w:color w:val="000000"/>
          <w:sz w:val="24"/>
          <w:szCs w:val="24"/>
        </w:rPr>
        <w:t xml:space="preserve">Дополнительные документы по ценообразованию в состав заявки Участника не включаются.</w:t>
      </w:r>
      <w:r>
        <w:rPr>
          <w:b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  <w:highlight w:val="none"/>
        </w:rPr>
      </w:r>
      <w:r>
        <w:rPr>
          <w:b/>
          <w:bCs/>
          <w:color w:val="000000"/>
          <w:sz w:val="24"/>
          <w:szCs w:val="24"/>
          <w:highlight w:val="none"/>
        </w:rPr>
      </w:r>
    </w:p>
    <w:p>
      <w:pPr>
        <w:pStyle w:val="824"/>
        <w:widowControl w:val="false"/>
        <w:pBdr/>
        <w:tabs>
          <w:tab w:val="left" w:leader="none" w:pos="426"/>
          <w:tab w:val="clear" w:leader="none" w:pos="708"/>
        </w:tabs>
        <w:spacing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24"/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4"/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Приложения: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0"/>
        <w:numPr>
          <w:ilvl w:val="0"/>
          <w:numId w:val="10"/>
        </w:numPr>
        <w:pBdr/>
        <w:spacing/>
        <w:ind/>
        <w:rPr/>
      </w:pPr>
      <w:r>
        <w:rPr>
          <w:b w:val="0"/>
          <w:iCs/>
          <w:sz w:val="24"/>
          <w:szCs w:val="24"/>
        </w:rPr>
        <w:t xml:space="preserve">РГ-00-017.03-23 «Регламент допуска подрядных организаций и командированного персонала на объекты АО «Сахаэнерго».</w:t>
      </w:r>
      <w:r/>
    </w:p>
    <w:p>
      <w:pPr>
        <w:pStyle w:val="824"/>
        <w:pBdr/>
        <w:spacing/>
        <w:ind/>
        <w:rPr/>
      </w:pPr>
      <w:r/>
      <w:r/>
    </w:p>
    <w:p>
      <w:pPr>
        <w:pStyle w:val="824"/>
        <w:pBdr/>
        <w:spacing/>
        <w:ind/>
        <w:rPr/>
      </w:pPr>
      <w:r/>
      <w:r/>
    </w:p>
    <w:p>
      <w:pPr>
        <w:pStyle w:val="824"/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14"/>
      <w:headerReference w:type="first" r:id="rId15"/>
      <w:footnotePr/>
      <w:endnotePr/>
      <w:type w:val="nextPage"/>
      <w:pgSz w:h="16838" w:orient="portrait" w:w="11906"/>
      <w:pgMar w:top="1134" w:right="851" w:bottom="992" w:left="1134" w:header="680" w:footer="0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3030804020204"/>
  </w:font>
  <w:font w:name="Symbol">
    <w:panose1 w:val="05010000000000000000"/>
  </w:font>
  <w:font w:name="Geneva CY">
    <w:panose1 w:val="05040102010807070707"/>
  </w:font>
  <w:font w:name="Garamond">
    <w:panose1 w:val="02020603050405020304"/>
  </w:font>
  <w:font w:name="Calibri Light (Заголовки)">
    <w:panose1 w:val="020F0502020204030204"/>
  </w:font>
  <w:font w:name="Verdana">
    <w:panose1 w:val="020B0604030504040204"/>
  </w:font>
  <w:font w:name="Liberation Sans">
    <w:panose1 w:val="020B0604020202020204"/>
  </w:font>
  <w:font w:name="Wingdings">
    <w:panose1 w:val="05010000000000000000"/>
  </w:font>
  <w:font w:name="Arial Unicode MS">
    <w:panose1 w:val="020B0604020202020204"/>
  </w:font>
  <w:font w:name="Arial">
    <w:panose1 w:val="020B0604020202020204"/>
  </w:font>
  <w:font w:name="Geneva">
    <w:panose1 w:val="05040102010807070707"/>
  </w:font>
  <w:font w:name="Cambria">
    <w:panose1 w:val="02040803050406030204"/>
  </w:font>
  <w:font w:name="Calibri">
    <w:panose1 w:val="020F0502020204030204"/>
  </w:font>
  <w:font w:name="Tahoma">
    <w:panose1 w:val="020B0604030504040204"/>
  </w:font>
  <w:font w:name="Lohit Devanagari">
    <w:panose1 w:val="020B0600000000000000"/>
  </w:font>
  <w:font w:name="Courier New">
    <w:panose1 w:val="020703090202050204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13"/>
                            <w:pBdr/>
                            <w:spacing/>
                            <w:ind/>
                            <w:rPr>
                              <w:rStyle w:val="855"/>
                            </w:rPr>
                          </w:pPr>
                          <w:r>
                            <w:rPr>
                              <w:rStyle w:val="85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85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85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855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85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855"/>
                            </w:rPr>
                          </w:r>
                          <w:r>
                            <w:rPr>
                              <w:rStyle w:val="855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13"/>
                      <w:pBdr/>
                      <w:spacing/>
                      <w:ind/>
                      <w:rPr>
                        <w:rStyle w:val="855"/>
                      </w:rPr>
                    </w:pPr>
                    <w:r>
                      <w:rPr>
                        <w:rStyle w:val="855"/>
                        <w:color w:val="000000"/>
                      </w:rPr>
                      <w:fldChar w:fldCharType="begin"/>
                    </w:r>
                    <w:r>
                      <w:rPr>
                        <w:rStyle w:val="85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855"/>
                        <w:color w:val="000000"/>
                      </w:rPr>
                      <w:fldChar w:fldCharType="separate"/>
                    </w:r>
                    <w:r>
                      <w:rPr>
                        <w:rStyle w:val="855"/>
                        <w:color w:val="000000"/>
                      </w:rPr>
                      <w:t xml:space="preserve">0</w:t>
                    </w:r>
                    <w:r>
                      <w:rPr>
                        <w:rStyle w:val="855"/>
                        <w:color w:val="000000"/>
                      </w:rPr>
                      <w:fldChar w:fldCharType="end"/>
                    </w:r>
                    <w:r>
                      <w:rPr>
                        <w:rStyle w:val="855"/>
                      </w:rPr>
                    </w:r>
                    <w:r>
                      <w:rPr>
                        <w:rStyle w:val="855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pBdr/>
      <w:spacing/>
      <w:ind/>
      <w:jc w:val="center"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pBdr/>
      <w:spacing/>
      <w:ind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pBdr/>
      <w:spacing/>
      <w:ind/>
      <w:jc w:val="center"/>
      <w:rPr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pBdr/>
      <w:spacing/>
      <w:ind/>
      <w:rPr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05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357"/>
        </w:tabs>
        <w:spacing/>
        <w:ind w:firstLine="0" w:left="0"/>
      </w:pPr>
      <w:pStyle w:val="906"/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firstLine="0" w:left="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-207"/>
      </w:pPr>
      <w:pStyle w:val="948"/>
      <w:rPr>
        <w:rFonts w:hint="default" w:ascii="Times New Roman" w:hAnsi="Times New Roman" w:cs="Times New Roman"/>
      </w:rPr>
      <w:start w:val="4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513"/>
        </w:tabs>
        <w:spacing/>
        <w:ind w:hanging="360" w:left="513"/>
      </w:pPr>
      <w:pStyle w:val="949"/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233"/>
        </w:tabs>
        <w:spacing/>
        <w:ind w:hanging="360" w:left="1233"/>
      </w:pPr>
      <w:pStyle w:val="947"/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953"/>
        </w:tabs>
        <w:spacing/>
        <w:ind w:hanging="360" w:left="1953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2673"/>
        </w:tabs>
        <w:spacing/>
        <w:ind w:hanging="360" w:left="267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3393"/>
        </w:tabs>
        <w:spacing/>
        <w:ind w:hanging="360" w:left="3393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113"/>
        </w:tabs>
        <w:spacing/>
        <w:ind w:hanging="360" w:left="4113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4833"/>
        </w:tabs>
        <w:spacing/>
        <w:ind w:hanging="360" w:left="483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5553"/>
        </w:tabs>
        <w:spacing/>
        <w:ind w:hanging="360" w:left="5553"/>
      </w:pPr>
      <w:rPr>
        <w:rFonts w:hint="default" w:ascii="Wingdings" w:hAnsi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038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432"/>
      </w:pPr>
      <w:rPr>
        <w:b/>
        <w:bCs/>
        <w:i w:val="0"/>
        <w:i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pStyle w:val="827"/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1134" w:left="1134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1134" w:left="1134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1134" w:left="1134"/>
      </w:pPr>
      <w:rPr/>
      <w:start w:val="1"/>
      <w:suff w:val="tab"/>
    </w:lvl>
    <w:lvl w:ilvl="3">
      <w:isLgl w:val="false"/>
      <w:lvlJc w:val="left"/>
      <w:lvlText w:val="(%4)"/>
      <w:numFmt w:val="russianLower"/>
      <w:pPr>
        <w:pBdr/>
        <w:tabs>
          <w:tab w:val="num" w:leader="none" w:pos="0"/>
        </w:tabs>
        <w:spacing/>
        <w:ind w:hanging="567" w:left="1985"/>
      </w:pPr>
      <w:pStyle w:val="958"/>
      <w:rPr/>
      <w:start w:val="1"/>
      <w:suff w:val="tab"/>
    </w:lvl>
    <w:lvl w:ilvl="4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567" w:left="2268"/>
      </w:pPr>
      <w:pStyle w:val="959"/>
      <w:rPr>
        <w:rFonts w:hint="default" w:ascii="Times New Roman" w:hAnsi="Times New Roman" w:cs="Times New Roman"/>
      </w:rPr>
      <w:start w:val="1"/>
      <w:suff w:val="tab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1134"/>
      </w:pPr>
      <w:pStyle w:val="962"/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1701"/>
      </w:pPr>
      <w:pStyle w:val="960"/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pStyle w:val="961"/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1134"/>
      </w:pPr>
      <w:rPr/>
      <w:start w:val="1"/>
      <w:suff w:val="nothing"/>
    </w:lvl>
  </w:abstractNum>
  <w:abstractNum w:abstractNumId="4">
    <w:lvl w:ilvl="0">
      <w:isLgl w:val="false"/>
      <w:lvlJc w:val="left"/>
      <w:lvlText w:val="1.%1"/>
      <w:numFmt w:val="decimal"/>
      <w:pPr>
        <w:pBdr/>
        <w:tabs>
          <w:tab w:val="num" w:leader="none" w:pos="0"/>
        </w:tabs>
        <w:spacing/>
        <w:ind w:hanging="360" w:left="1429"/>
      </w:pPr>
      <w:pStyle w:val="965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7189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 w:val="0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1142"/>
      </w:pPr>
      <w:rPr>
        <w:b w:val="0"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73"/>
      <w:rPr>
        <w:rFonts w:cs="Times New Roman"/>
        <w:b/>
        <w:sz w:val="28"/>
        <w:szCs w:val="28"/>
      </w:rPr>
      <w:start w:val="1"/>
      <w:suff w:val="tab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0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0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0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0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0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0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0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0"/>
      <w:suff w:val="nothing"/>
    </w:lvl>
  </w:abstractNum>
  <w:abstractNum w:abstractNumId="8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74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792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144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180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288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60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96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4680"/>
        </w:tabs>
        <w:spacing/>
        <w:ind w:hanging="1440" w:left="432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173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89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13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333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05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773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493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1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933"/>
      </w:pPr>
      <w:rPr>
        <w:rFonts w:hint="default" w:ascii="Wingdings" w:hAnsi="Wingdings" w:cs="Wingdings"/>
      </w:rPr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00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0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0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00"/>
      </w:pPr>
      <w:rPr/>
      <w:start w:val="1"/>
      <w:suff w:val="tab"/>
    </w:lvl>
  </w:abstractNum>
  <w:abstractNum w:abstractNumId="16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00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00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00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00"/>
      </w:pPr>
      <w:rPr/>
      <w:start w:val="1"/>
      <w:suff w:val="tab"/>
    </w:lvl>
  </w:abstractNum>
  <w:abstractNum w:abstractNumId="21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0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12"/>
    <w:lvlOverride w:ilvl="0">
      <w:startOverride w:val="1"/>
    </w:lvlOverride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7"/>
    <w:lvlOverride w:ilvl="0">
      <w:startOverride w:val="1"/>
    </w:lvlOverride>
  </w:num>
  <w:num w:numId="30">
    <w:abstractNumId w:val="17"/>
  </w:num>
  <w:num w:numId="31">
    <w:abstractNumId w:val="17"/>
  </w:num>
  <w:num w:numId="32">
    <w:abstractNumId w:val="17"/>
  </w:num>
  <w:num w:numId="33">
    <w:abstractNumId w:val="17"/>
  </w:num>
  <w:num w:numId="34">
    <w:abstractNumId w:val="17"/>
  </w:num>
  <w:num w:numId="35">
    <w:abstractNumId w:val="22"/>
    <w:lvlOverride w:ilvl="0">
      <w:startOverride w:val="1"/>
    </w:lvlOverride>
  </w:num>
  <w:num w:numId="36">
    <w:abstractNumId w:val="22"/>
  </w:num>
  <w:num w:numId="37">
    <w:abstractNumId w:val="22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Lohit Devanagari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24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8"/>
      <w:szCs w:val="28"/>
      <w:lang w:val="ru-RU" w:eastAsia="ru-RU" w:bidi="ar-SA"/>
    </w:rPr>
  </w:style>
  <w:style w:type="paragraph" w:styleId="825">
    <w:name w:val="Heading 1"/>
    <w:basedOn w:val="827"/>
    <w:next w:val="824"/>
    <w:link w:val="862"/>
    <w:uiPriority w:val="9"/>
    <w:qFormat/>
    <w:pPr>
      <w:numPr>
        <w:ilvl w:val="0"/>
      </w:numPr>
      <w:pBdr/>
      <w:spacing/>
      <w:ind/>
      <w:outlineLvl w:val="0"/>
    </w:pPr>
    <w:rPr>
      <w:sz w:val="28"/>
      <w:szCs w:val="28"/>
    </w:rPr>
  </w:style>
  <w:style w:type="paragraph" w:styleId="826">
    <w:name w:val="Heading 2"/>
    <w:basedOn w:val="828"/>
    <w:next w:val="824"/>
    <w:link w:val="863"/>
    <w:uiPriority w:val="9"/>
    <w:qFormat/>
    <w:pPr>
      <w:pBdr/>
      <w:spacing/>
      <w:ind/>
      <w:outlineLvl w:val="1"/>
    </w:pPr>
  </w:style>
  <w:style w:type="paragraph" w:styleId="827">
    <w:name w:val="Heading 3"/>
    <w:basedOn w:val="824"/>
    <w:next w:val="824"/>
    <w:link w:val="864"/>
    <w:qFormat/>
    <w:pPr>
      <w:keepNext w:val="true"/>
      <w:numPr>
        <w:ilvl w:val="2"/>
        <w:numId w:val="3"/>
      </w:numPr>
      <w:pBdr/>
      <w:spacing w:after="60" w:before="120"/>
      <w:ind/>
      <w:outlineLvl w:val="2"/>
    </w:pPr>
    <w:rPr>
      <w:rFonts w:eastAsia="Calibri"/>
      <w:b/>
      <w:sz w:val="24"/>
      <w:szCs w:val="24"/>
    </w:rPr>
  </w:style>
  <w:style w:type="paragraph" w:styleId="828">
    <w:name w:val="Heading 4"/>
    <w:basedOn w:val="827"/>
    <w:next w:val="824"/>
    <w:link w:val="865"/>
    <w:qFormat/>
    <w:pPr>
      <w:numPr>
        <w:ilvl w:val="1"/>
      </w:numPr>
      <w:pBdr/>
      <w:spacing/>
      <w:ind/>
      <w:outlineLvl w:val="3"/>
    </w:pPr>
    <w:rPr>
      <w:bCs/>
    </w:rPr>
  </w:style>
  <w:style w:type="paragraph" w:styleId="829">
    <w:name w:val="Heading 5"/>
    <w:basedOn w:val="824"/>
    <w:next w:val="824"/>
    <w:link w:val="866"/>
    <w:uiPriority w:val="9"/>
    <w:qFormat/>
    <w:pPr>
      <w:pBdr/>
      <w:spacing w:after="60" w:before="240"/>
      <w:ind/>
      <w:outlineLvl w:val="4"/>
    </w:pPr>
    <w:rPr>
      <w:b/>
      <w:bCs/>
      <w:i/>
      <w:iCs/>
      <w:sz w:val="26"/>
      <w:szCs w:val="26"/>
    </w:rPr>
  </w:style>
  <w:style w:type="paragraph" w:styleId="830">
    <w:name w:val="Heading 6"/>
    <w:basedOn w:val="824"/>
    <w:next w:val="824"/>
    <w:link w:val="859"/>
    <w:uiPriority w:val="9"/>
    <w:qFormat/>
    <w:pPr>
      <w:keepNext w:val="true"/>
      <w:keepLines w:val="true"/>
      <w:pBdr/>
      <w:spacing w:after="0" w:before="200"/>
      <w:ind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831">
    <w:name w:val="Heading 7"/>
    <w:basedOn w:val="824"/>
    <w:next w:val="824"/>
    <w:link w:val="860"/>
    <w:uiPriority w:val="9"/>
    <w:qFormat/>
    <w:pPr>
      <w:keepNext w:val="true"/>
      <w:keepLines w:val="true"/>
      <w:pBdr/>
      <w:spacing w:after="0" w:before="200"/>
      <w:ind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32">
    <w:name w:val="Heading 8"/>
    <w:basedOn w:val="824"/>
    <w:next w:val="824"/>
    <w:link w:val="861"/>
    <w:uiPriority w:val="9"/>
    <w:qFormat/>
    <w:pPr>
      <w:keepNext w:val="true"/>
      <w:keepLines w:val="true"/>
      <w:pBdr/>
      <w:spacing w:after="0" w:before="200"/>
      <w:ind/>
      <w:outlineLvl w:val="7"/>
    </w:pPr>
    <w:rPr>
      <w:rFonts w:ascii="Cambria" w:hAnsi="Cambria"/>
      <w:color w:val="4f81bd"/>
      <w:sz w:val="20"/>
      <w:szCs w:val="20"/>
    </w:rPr>
  </w:style>
  <w:style w:type="paragraph" w:styleId="833">
    <w:name w:val="Heading 9"/>
    <w:basedOn w:val="824"/>
    <w:next w:val="824"/>
    <w:link w:val="867"/>
    <w:uiPriority w:val="9"/>
    <w:qFormat/>
    <w:pPr>
      <w:pBdr/>
      <w:spacing w:after="60" w:before="240"/>
      <w:ind/>
      <w:outlineLvl w:val="8"/>
    </w:pPr>
    <w:rPr>
      <w:rFonts w:ascii="Arial" w:hAnsi="Arial"/>
      <w:sz w:val="22"/>
      <w:szCs w:val="22"/>
    </w:rPr>
  </w:style>
  <w:style w:type="character" w:styleId="834">
    <w:name w:val="Heading 1 Char"/>
    <w:basedOn w:val="852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5">
    <w:name w:val="Heading 2 Char"/>
    <w:basedOn w:val="852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6">
    <w:name w:val="Heading 3 Char"/>
    <w:basedOn w:val="852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7">
    <w:name w:val="Heading 4 Char"/>
    <w:basedOn w:val="852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8">
    <w:name w:val="Heading 5 Char"/>
    <w:basedOn w:val="852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9">
    <w:name w:val="Heading 6 Char"/>
    <w:basedOn w:val="852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>
    <w:name w:val="Heading 7 Char"/>
    <w:basedOn w:val="852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>
    <w:name w:val="Heading 8 Char"/>
    <w:basedOn w:val="852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9 Char"/>
    <w:basedOn w:val="852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Title Char"/>
    <w:basedOn w:val="852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44">
    <w:name w:val="Subtitle Char"/>
    <w:basedOn w:val="852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Quote Char"/>
    <w:basedOn w:val="852"/>
    <w:link w:val="941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846">
    <w:name w:val="Intense Quote Char"/>
    <w:basedOn w:val="852"/>
    <w:link w:val="942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847">
    <w:name w:val="Header Char"/>
    <w:basedOn w:val="852"/>
    <w:uiPriority w:val="99"/>
    <w:qFormat/>
    <w:pPr>
      <w:pBdr/>
      <w:spacing/>
      <w:ind/>
    </w:pPr>
  </w:style>
  <w:style w:type="character" w:styleId="848">
    <w:name w:val="Footer Char"/>
    <w:basedOn w:val="852"/>
    <w:uiPriority w:val="99"/>
    <w:qFormat/>
    <w:pPr>
      <w:pBdr/>
      <w:spacing/>
      <w:ind/>
    </w:pPr>
  </w:style>
  <w:style w:type="character" w:styleId="849">
    <w:name w:val="Footnote Text Char"/>
    <w:basedOn w:val="852"/>
    <w:uiPriority w:val="99"/>
    <w:semiHidden/>
    <w:qFormat/>
    <w:pPr>
      <w:pBdr/>
      <w:spacing/>
      <w:ind/>
    </w:pPr>
    <w:rPr>
      <w:sz w:val="20"/>
      <w:szCs w:val="20"/>
    </w:rPr>
  </w:style>
  <w:style w:type="character" w:styleId="850">
    <w:name w:val="Endnote Text Char"/>
    <w:basedOn w:val="852"/>
    <w:uiPriority w:val="99"/>
    <w:semiHidden/>
    <w:qFormat/>
    <w:pPr>
      <w:pBdr/>
      <w:spacing/>
      <w:ind/>
    </w:pPr>
    <w:rPr>
      <w:sz w:val="20"/>
      <w:szCs w:val="20"/>
    </w:rPr>
  </w:style>
  <w:style w:type="character" w:styleId="851">
    <w:name w:val="FollowedHyperlink"/>
    <w:basedOn w:val="85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52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853">
    <w:name w:val="Символ сноски"/>
    <w:qFormat/>
    <w:pPr>
      <w:pBdr/>
      <w:spacing/>
      <w:ind/>
    </w:pPr>
    <w:rPr>
      <w:vertAlign w:val="superscript"/>
    </w:rPr>
  </w:style>
  <w:style w:type="character" w:styleId="854">
    <w:name w:val="footnote reference"/>
    <w:pPr>
      <w:pBdr/>
      <w:spacing/>
      <w:ind/>
    </w:pPr>
    <w:rPr>
      <w:vertAlign w:val="superscript"/>
    </w:rPr>
  </w:style>
  <w:style w:type="character" w:styleId="855">
    <w:name w:val="page number"/>
    <w:basedOn w:val="852"/>
    <w:qFormat/>
    <w:pPr>
      <w:pBdr/>
      <w:spacing/>
      <w:ind/>
    </w:pPr>
  </w:style>
  <w:style w:type="character" w:styleId="856">
    <w:name w:val="Hyperlink"/>
    <w:uiPriority w:val="99"/>
    <w:pPr>
      <w:pBdr/>
      <w:spacing/>
      <w:ind/>
    </w:pPr>
    <w:rPr>
      <w:color w:val="0000ff"/>
      <w:u w:val="single"/>
    </w:rPr>
  </w:style>
  <w:style w:type="character" w:styleId="857">
    <w:name w:val="annotation reference"/>
    <w:uiPriority w:val="99"/>
    <w:semiHidden/>
    <w:qFormat/>
    <w:pPr>
      <w:pBdr/>
      <w:spacing/>
      <w:ind/>
    </w:pPr>
    <w:rPr>
      <w:sz w:val="16"/>
      <w:szCs w:val="16"/>
    </w:rPr>
  </w:style>
  <w:style w:type="character" w:styleId="858">
    <w:name w:val="Strong"/>
    <w:qFormat/>
    <w:pPr>
      <w:pBdr/>
      <w:spacing/>
      <w:ind/>
    </w:pPr>
    <w:rPr>
      <w:b/>
      <w:bCs/>
    </w:rPr>
  </w:style>
  <w:style w:type="character" w:styleId="859" w:customStyle="1">
    <w:name w:val="Заголовок 6 Знак"/>
    <w:uiPriority w:val="9"/>
    <w:qFormat/>
    <w:pPr>
      <w:pBdr/>
      <w:spacing/>
      <w:ind/>
    </w:pPr>
    <w:rPr>
      <w:rFonts w:ascii="Cambria" w:hAnsi="Cambria"/>
      <w:i/>
      <w:iCs/>
      <w:color w:val="243f60"/>
    </w:rPr>
  </w:style>
  <w:style w:type="character" w:styleId="860" w:customStyle="1">
    <w:name w:val="Заголовок 7 Знак"/>
    <w:uiPriority w:val="9"/>
    <w:qFormat/>
    <w:pPr>
      <w:pBdr/>
      <w:spacing/>
      <w:ind/>
    </w:pPr>
    <w:rPr>
      <w:rFonts w:ascii="Cambria" w:hAnsi="Cambria"/>
      <w:i/>
      <w:iCs/>
      <w:color w:val="404040"/>
    </w:rPr>
  </w:style>
  <w:style w:type="character" w:styleId="861" w:customStyle="1">
    <w:name w:val="Заголовок 8 Знак"/>
    <w:uiPriority w:val="9"/>
    <w:qFormat/>
    <w:pPr>
      <w:pBdr/>
      <w:spacing/>
      <w:ind/>
    </w:pPr>
    <w:rPr>
      <w:rFonts w:ascii="Cambria" w:hAnsi="Cambria"/>
      <w:color w:val="4f81bd"/>
    </w:rPr>
  </w:style>
  <w:style w:type="character" w:styleId="862" w:customStyle="1">
    <w:name w:val="Заголовок 1 Знак"/>
    <w:uiPriority w:val="9"/>
    <w:qFormat/>
    <w:pPr>
      <w:pBdr/>
      <w:spacing/>
      <w:ind/>
    </w:pPr>
    <w:rPr>
      <w:rFonts w:eastAsia="Calibri"/>
      <w:b/>
      <w:sz w:val="28"/>
      <w:szCs w:val="28"/>
    </w:rPr>
  </w:style>
  <w:style w:type="character" w:styleId="863" w:customStyle="1">
    <w:name w:val="Заголовок 2 Знак"/>
    <w:uiPriority w:val="9"/>
    <w:qFormat/>
    <w:pPr>
      <w:pBdr/>
      <w:spacing/>
      <w:ind/>
    </w:pPr>
    <w:rPr>
      <w:rFonts w:eastAsia="Calibri"/>
      <w:b/>
      <w:bCs/>
      <w:sz w:val="24"/>
      <w:szCs w:val="24"/>
    </w:rPr>
  </w:style>
  <w:style w:type="character" w:styleId="864" w:customStyle="1">
    <w:name w:val="Заголовок 3 Знак"/>
    <w:qFormat/>
    <w:pPr>
      <w:pBdr/>
      <w:spacing/>
      <w:ind/>
    </w:pPr>
    <w:rPr>
      <w:rFonts w:eastAsia="Calibri"/>
      <w:b/>
      <w:sz w:val="24"/>
      <w:szCs w:val="24"/>
    </w:rPr>
  </w:style>
  <w:style w:type="character" w:styleId="865" w:customStyle="1">
    <w:name w:val="Заголовок 4 Знак"/>
    <w:qFormat/>
    <w:pPr>
      <w:pBdr/>
      <w:spacing/>
      <w:ind/>
    </w:pPr>
    <w:rPr>
      <w:rFonts w:eastAsia="Calibri"/>
      <w:b/>
      <w:bCs/>
      <w:sz w:val="24"/>
      <w:szCs w:val="24"/>
    </w:rPr>
  </w:style>
  <w:style w:type="character" w:styleId="866" w:customStyle="1">
    <w:name w:val="Заголовок 5 Знак"/>
    <w:uiPriority w:val="9"/>
    <w:qFormat/>
    <w:pPr>
      <w:pBdr/>
      <w:spacing/>
      <w:ind/>
    </w:pPr>
    <w:rPr>
      <w:b/>
      <w:bCs/>
      <w:i/>
      <w:iCs/>
      <w:sz w:val="26"/>
      <w:szCs w:val="26"/>
    </w:rPr>
  </w:style>
  <w:style w:type="character" w:styleId="867" w:customStyle="1">
    <w:name w:val="Заголовок 9 Знак"/>
    <w:uiPriority w:val="9"/>
    <w:qFormat/>
    <w:pPr>
      <w:pBdr/>
      <w:spacing/>
      <w:ind/>
    </w:pPr>
    <w:rPr>
      <w:rFonts w:ascii="Arial" w:hAnsi="Arial" w:cs="Arial"/>
      <w:sz w:val="22"/>
      <w:szCs w:val="22"/>
    </w:rPr>
  </w:style>
  <w:style w:type="character" w:styleId="868" w:customStyle="1">
    <w:name w:val="Название Знак"/>
    <w:link w:val="911"/>
    <w:uiPriority w:val="10"/>
    <w:qFormat/>
    <w:pPr>
      <w:pBdr/>
      <w:spacing/>
      <w:ind/>
    </w:pPr>
    <w:rPr>
      <w:sz w:val="28"/>
    </w:rPr>
  </w:style>
  <w:style w:type="character" w:styleId="869" w:customStyle="1">
    <w:name w:val="Подзаголовок Знак"/>
    <w:uiPriority w:val="11"/>
    <w:qFormat/>
    <w:pPr>
      <w:pBdr/>
      <w:spacing/>
      <w:ind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styleId="870">
    <w:name w:val="Emphasis"/>
    <w:uiPriority w:val="20"/>
    <w:qFormat/>
    <w:pPr>
      <w:pBdr/>
      <w:spacing/>
      <w:ind/>
    </w:pPr>
    <w:rPr>
      <w:i/>
      <w:iCs/>
    </w:rPr>
  </w:style>
  <w:style w:type="character" w:styleId="871" w:customStyle="1">
    <w:name w:val="Цитата 2 Знак"/>
    <w:link w:val="941"/>
    <w:uiPriority w:val="29"/>
    <w:qFormat/>
    <w:pPr>
      <w:pBdr/>
      <w:spacing/>
      <w:ind/>
    </w:pPr>
    <w:rPr>
      <w:rFonts w:ascii="Calibri" w:hAnsi="Calibri" w:eastAsia="Calibri"/>
      <w:i/>
      <w:iCs/>
      <w:color w:val="000000"/>
    </w:rPr>
  </w:style>
  <w:style w:type="character" w:styleId="872" w:customStyle="1">
    <w:name w:val="Выделенная цитата Знак"/>
    <w:link w:val="942"/>
    <w:uiPriority w:val="30"/>
    <w:qFormat/>
    <w:pPr>
      <w:pBdr/>
      <w:spacing/>
      <w:ind/>
    </w:pPr>
    <w:rPr>
      <w:rFonts w:ascii="Calibri" w:hAnsi="Calibri" w:eastAsia="Calibri"/>
      <w:b/>
      <w:bCs/>
      <w:i/>
      <w:iCs/>
      <w:color w:val="4f81bd"/>
    </w:rPr>
  </w:style>
  <w:style w:type="character" w:styleId="873">
    <w:name w:val="Subtle Emphasis"/>
    <w:uiPriority w:val="19"/>
    <w:qFormat/>
    <w:pPr>
      <w:pBdr/>
      <w:spacing/>
      <w:ind/>
    </w:pPr>
    <w:rPr>
      <w:i/>
      <w:iCs/>
      <w:color w:val="808080"/>
    </w:rPr>
  </w:style>
  <w:style w:type="character" w:styleId="874">
    <w:name w:val="Intense Emphasis"/>
    <w:uiPriority w:val="21"/>
    <w:qFormat/>
    <w:pPr>
      <w:pBdr/>
      <w:spacing/>
      <w:ind/>
    </w:pPr>
    <w:rPr>
      <w:b/>
      <w:bCs/>
      <w:i/>
      <w:iCs/>
      <w:color w:val="4f81bd"/>
    </w:rPr>
  </w:style>
  <w:style w:type="character" w:styleId="875">
    <w:name w:val="Subtle Reference"/>
    <w:uiPriority w:val="31"/>
    <w:qFormat/>
    <w:pPr>
      <w:pBdr/>
      <w:spacing/>
      <w:ind/>
    </w:pPr>
    <w:rPr>
      <w:smallCaps/>
      <w:color w:val="c0504d"/>
      <w:u w:val="single"/>
    </w:rPr>
  </w:style>
  <w:style w:type="character" w:styleId="876">
    <w:name w:val="Intense Reference"/>
    <w:uiPriority w:val="32"/>
    <w:qFormat/>
    <w:pPr>
      <w:pBdr/>
      <w:spacing/>
      <w:ind/>
    </w:pPr>
    <w:rPr>
      <w:b/>
      <w:bCs/>
      <w:smallCaps/>
      <w:color w:val="c0504d"/>
      <w:spacing w:val="5"/>
      <w:u w:val="single"/>
    </w:rPr>
  </w:style>
  <w:style w:type="character" w:styleId="877">
    <w:name w:val="Book Title"/>
    <w:uiPriority w:val="33"/>
    <w:qFormat/>
    <w:pPr>
      <w:pBdr/>
      <w:spacing/>
      <w:ind/>
    </w:pPr>
    <w:rPr>
      <w:b/>
      <w:bCs/>
      <w:smallCaps/>
      <w:spacing w:val="5"/>
    </w:rPr>
  </w:style>
  <w:style w:type="character" w:styleId="878" w:customStyle="1">
    <w:name w:val="Электронная подпись Знак"/>
    <w:link w:val="945"/>
    <w:uiPriority w:val="99"/>
    <w:qFormat/>
    <w:pPr>
      <w:pBdr/>
      <w:spacing/>
      <w:ind/>
    </w:pPr>
    <w:rPr>
      <w:rFonts w:eastAsia="Calibri"/>
      <w:sz w:val="24"/>
      <w:szCs w:val="24"/>
    </w:rPr>
  </w:style>
  <w:style w:type="character" w:styleId="879" w:customStyle="1">
    <w:name w:val="Подпункт Знак1"/>
    <w:link w:val="921"/>
    <w:qFormat/>
    <w:pPr>
      <w:pBdr/>
      <w:spacing/>
      <w:ind/>
    </w:pPr>
    <w:rPr>
      <w:sz w:val="28"/>
    </w:rPr>
  </w:style>
  <w:style w:type="character" w:styleId="880" w:customStyle="1">
    <w:name w:val="Текст сноски Знак"/>
    <w:uiPriority w:val="99"/>
    <w:qFormat/>
    <w:pPr>
      <w:pBdr/>
      <w:spacing/>
      <w:ind/>
    </w:pPr>
  </w:style>
  <w:style w:type="character" w:styleId="881" w:customStyle="1">
    <w:name w:val="Основной текст Знак"/>
    <w:qFormat/>
    <w:pPr>
      <w:pBdr/>
      <w:spacing/>
      <w:ind/>
    </w:pPr>
    <w:rPr>
      <w:sz w:val="28"/>
      <w:szCs w:val="28"/>
    </w:rPr>
  </w:style>
  <w:style w:type="character" w:styleId="882" w:customStyle="1">
    <w:name w:val="blk"/>
    <w:qFormat/>
    <w:pPr>
      <w:pBdr/>
      <w:spacing/>
      <w:ind/>
    </w:pPr>
  </w:style>
  <w:style w:type="character" w:styleId="883" w:customStyle="1">
    <w:name w:val="Абзац списка Знак"/>
    <w:link w:val="940"/>
    <w:uiPriority w:val="34"/>
    <w:qFormat/>
    <w:pPr>
      <w:pBdr/>
      <w:spacing/>
      <w:ind/>
    </w:pPr>
    <w:rPr>
      <w:rFonts w:eastAsia="Calibri"/>
      <w:sz w:val="24"/>
      <w:szCs w:val="24"/>
    </w:rPr>
  </w:style>
  <w:style w:type="character" w:styleId="884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character" w:styleId="885" w:customStyle="1">
    <w:name w:val="Подподпункт Знак"/>
    <w:link w:val="957"/>
    <w:qFormat/>
    <w:pPr>
      <w:pBdr/>
      <w:spacing/>
      <w:ind/>
    </w:pPr>
    <w:rPr>
      <w:sz w:val="26"/>
      <w:szCs w:val="26"/>
    </w:rPr>
  </w:style>
  <w:style w:type="character" w:styleId="886" w:customStyle="1">
    <w:name w:val="УРОВЕНЬ_Абзац_тип3 Знак"/>
    <w:link w:val="961"/>
    <w:qFormat/>
    <w:pPr>
      <w:pBdr/>
      <w:spacing/>
      <w:ind/>
    </w:pPr>
    <w:rPr>
      <w:rFonts w:eastAsia="Calibri"/>
      <w:sz w:val="26"/>
      <w:szCs w:val="28"/>
      <w:lang w:eastAsia="en-US"/>
    </w:rPr>
  </w:style>
  <w:style w:type="character" w:styleId="887" w:customStyle="1">
    <w:name w:val="Верхний колонтитул Знак"/>
    <w:uiPriority w:val="99"/>
    <w:qFormat/>
    <w:pPr>
      <w:pBdr/>
      <w:spacing/>
      <w:ind/>
    </w:pPr>
    <w:rPr>
      <w:sz w:val="24"/>
      <w:szCs w:val="24"/>
    </w:rPr>
  </w:style>
  <w:style w:type="character" w:styleId="888" w:customStyle="1">
    <w:name w:val="Текст примечания Знак"/>
    <w:link w:val="929"/>
    <w:semiHidden/>
    <w:qFormat/>
    <w:pPr>
      <w:pBdr/>
      <w:spacing/>
      <w:ind/>
    </w:pPr>
  </w:style>
  <w:style w:type="character" w:styleId="889" w:customStyle="1">
    <w:name w:val="Текст концевой сноски Знак"/>
    <w:basedOn w:val="852"/>
    <w:qFormat/>
    <w:pPr>
      <w:pBdr/>
      <w:spacing/>
      <w:ind/>
    </w:pPr>
  </w:style>
  <w:style w:type="character" w:styleId="890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891">
    <w:name w:val="endnote reference"/>
    <w:pPr>
      <w:pBdr/>
      <w:spacing/>
      <w:ind/>
    </w:pPr>
    <w:rPr>
      <w:vertAlign w:val="superscript"/>
    </w:rPr>
  </w:style>
  <w:style w:type="character" w:styleId="892" w:customStyle="1">
    <w:name w:val="Пункт2 Знак"/>
    <w:link w:val="922"/>
    <w:qFormat/>
    <w:pPr>
      <w:pBdr/>
      <w:spacing/>
      <w:ind/>
    </w:pPr>
    <w:rPr>
      <w:b/>
      <w:sz w:val="28"/>
    </w:rPr>
  </w:style>
  <w:style w:type="character" w:styleId="893" w:customStyle="1">
    <w:name w:val="УРОВЕНЬ_1. Знак"/>
    <w:link w:val="968"/>
    <w:qFormat/>
    <w:pPr>
      <w:pBdr/>
      <w:spacing/>
      <w:ind/>
    </w:pPr>
    <w:rPr>
      <w:rFonts w:eastAsia="Calibri"/>
      <w:caps/>
      <w:sz w:val="28"/>
      <w:szCs w:val="28"/>
      <w:lang w:eastAsia="en-US"/>
    </w:rPr>
  </w:style>
  <w:style w:type="character" w:styleId="894" w:customStyle="1">
    <w:name w:val="Неразрешенное упоминание1"/>
    <w:basedOn w:val="852"/>
    <w:uiPriority w:val="99"/>
    <w:semiHidden/>
    <w:unhideWhenUsed/>
    <w:qFormat/>
    <w:pPr>
      <w:pBdr/>
      <w:spacing/>
      <w:ind/>
    </w:pPr>
    <w:rPr>
      <w:color w:val="605e5c"/>
      <w:shd w:val="clear" w:color="auto" w:fill="e1dfdd"/>
    </w:rPr>
  </w:style>
  <w:style w:type="character" w:styleId="895" w:customStyle="1">
    <w:name w:val="Основной текст с отступом 3 Знак"/>
    <w:link w:val="918"/>
    <w:qFormat/>
    <w:pPr>
      <w:pBdr/>
      <w:spacing/>
      <w:ind/>
    </w:pPr>
    <w:rPr>
      <w:sz w:val="16"/>
      <w:szCs w:val="16"/>
    </w:rPr>
  </w:style>
  <w:style w:type="character" w:styleId="896" w:customStyle="1">
    <w:name w:val="Текст выноски Знак"/>
    <w:basedOn w:val="852"/>
    <w:link w:val="928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897">
    <w:name w:val="Заголовок"/>
    <w:basedOn w:val="824"/>
    <w:next w:val="898"/>
    <w:qFormat/>
    <w:pPr>
      <w:keepNext w:val="true"/>
      <w:pBdr/>
      <w:spacing w:after="120" w:before="240"/>
      <w:ind/>
    </w:pPr>
    <w:rPr>
      <w:rFonts w:ascii="Liberation Sans" w:hAnsi="Liberation Sans" w:eastAsia="Tahoma" w:cs="Lohit Devanagari"/>
      <w:sz w:val="28"/>
      <w:szCs w:val="28"/>
    </w:rPr>
  </w:style>
  <w:style w:type="paragraph" w:styleId="898">
    <w:name w:val="Body Text"/>
    <w:basedOn w:val="824"/>
    <w:link w:val="881"/>
    <w:pPr>
      <w:pBdr/>
      <w:spacing w:after="120" w:before="0"/>
      <w:ind/>
    </w:pPr>
  </w:style>
  <w:style w:type="paragraph" w:styleId="899">
    <w:name w:val="List"/>
    <w:basedOn w:val="898"/>
    <w:pPr>
      <w:pBdr/>
      <w:spacing/>
      <w:ind/>
    </w:pPr>
    <w:rPr>
      <w:rFonts w:cs="Lohit Devanagari"/>
    </w:rPr>
  </w:style>
  <w:style w:type="paragraph" w:styleId="900">
    <w:name w:val="Caption"/>
    <w:basedOn w:val="824"/>
    <w:qFormat/>
    <w:pPr>
      <w:suppressLineNumbers w:val="true"/>
      <w:pBdr/>
      <w:spacing w:after="120" w:before="120"/>
      <w:ind/>
    </w:pPr>
    <w:rPr>
      <w:rFonts w:cs="Lohit Devanagari"/>
      <w:i/>
      <w:iCs/>
      <w:sz w:val="24"/>
      <w:szCs w:val="24"/>
    </w:rPr>
  </w:style>
  <w:style w:type="paragraph" w:styleId="901">
    <w:name w:val="Указатель"/>
    <w:basedOn w:val="824"/>
    <w:qFormat/>
    <w:pPr>
      <w:suppressLineNumbers w:val="true"/>
      <w:pBdr/>
      <w:spacing/>
      <w:ind/>
    </w:pPr>
    <w:rPr>
      <w:rFonts w:cs="Lohit Devanagari"/>
    </w:rPr>
  </w:style>
  <w:style w:type="paragraph" w:styleId="902">
    <w:name w:val="Title"/>
    <w:basedOn w:val="824"/>
    <w:next w:val="824"/>
    <w:link w:val="843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903">
    <w:name w:val="table of figures"/>
    <w:basedOn w:val="824"/>
    <w:next w:val="824"/>
    <w:uiPriority w:val="99"/>
    <w:unhideWhenUsed/>
    <w:qFormat/>
    <w:pPr>
      <w:pBdr/>
      <w:spacing w:after="0" w:afterAutospacing="0" w:before="0"/>
      <w:ind/>
    </w:pPr>
  </w:style>
  <w:style w:type="paragraph" w:styleId="904" w:customStyle="1">
    <w:name w:val="Название раздела инструкции"/>
    <w:basedOn w:val="824"/>
    <w:qFormat/>
    <w:pPr>
      <w:pBdr/>
      <w:spacing/>
      <w:ind/>
      <w:jc w:val="center"/>
    </w:pPr>
    <w:rPr>
      <w:b/>
    </w:rPr>
  </w:style>
  <w:style w:type="paragraph" w:styleId="905" w:customStyle="1">
    <w:name w:val="Раздел положения"/>
    <w:basedOn w:val="824"/>
    <w:qFormat/>
    <w:pPr>
      <w:numPr>
        <w:ilvl w:val="0"/>
        <w:numId w:val="1"/>
      </w:numPr>
      <w:pBdr/>
      <w:spacing w:after="80" w:before="80"/>
      <w:ind/>
      <w:jc w:val="center"/>
    </w:pPr>
    <w:rPr>
      <w:b/>
      <w:sz w:val="32"/>
      <w:szCs w:val="32"/>
    </w:rPr>
  </w:style>
  <w:style w:type="paragraph" w:styleId="906" w:customStyle="1">
    <w:name w:val="Подраздел раздела положения"/>
    <w:basedOn w:val="824"/>
    <w:qFormat/>
    <w:pPr>
      <w:numPr>
        <w:ilvl w:val="1"/>
        <w:numId w:val="1"/>
      </w:numPr>
      <w:pBdr/>
      <w:spacing w:after="80" w:before="80"/>
      <w:ind/>
      <w:jc w:val="both"/>
    </w:pPr>
  </w:style>
  <w:style w:type="paragraph" w:styleId="907">
    <w:name w:val="footnote text"/>
    <w:basedOn w:val="824"/>
    <w:link w:val="880"/>
    <w:uiPriority w:val="99"/>
    <w:pPr>
      <w:pBdr/>
      <w:spacing/>
      <w:ind/>
    </w:pPr>
    <w:rPr>
      <w:sz w:val="20"/>
      <w:szCs w:val="20"/>
    </w:rPr>
  </w:style>
  <w:style w:type="paragraph" w:styleId="908" w:customStyle="1">
    <w:name w:val="Шапка 1"/>
    <w:basedOn w:val="824"/>
    <w:qFormat/>
    <w:pPr>
      <w:pBdr>
        <w:bottom w:val="single" w:color="000000" w:sz="24" w:space="1"/>
      </w:pBdr>
      <w:spacing w:after="240" w:before="0"/>
      <w:ind/>
      <w:jc w:val="center"/>
    </w:pPr>
    <w:rPr>
      <w:sz w:val="22"/>
      <w:szCs w:val="22"/>
    </w:rPr>
  </w:style>
  <w:style w:type="paragraph" w:styleId="909" w:customStyle="1">
    <w:name w:val="Шапка 2"/>
    <w:basedOn w:val="824"/>
    <w:qFormat/>
    <w:pPr>
      <w:pBdr>
        <w:bottom w:val="single" w:color="000000" w:sz="24" w:space="1"/>
      </w:pBdr>
      <w:spacing w:after="120" w:before="0"/>
      <w:ind/>
      <w:jc w:val="center"/>
    </w:pPr>
    <w:rPr>
      <w:b/>
      <w:sz w:val="22"/>
      <w:szCs w:val="22"/>
    </w:rPr>
  </w:style>
  <w:style w:type="paragraph" w:styleId="910" w:customStyle="1">
    <w:name w:val="Шапка 3"/>
    <w:basedOn w:val="824"/>
    <w:qFormat/>
    <w:pPr>
      <w:pBdr>
        <w:bottom w:val="single" w:color="000000" w:sz="24" w:space="1"/>
      </w:pBdr>
      <w:spacing w:after="360" w:before="240"/>
      <w:ind/>
      <w:jc w:val="center"/>
    </w:pPr>
    <w:rPr>
      <w:b/>
      <w:sz w:val="24"/>
      <w:szCs w:val="24"/>
    </w:rPr>
  </w:style>
  <w:style w:type="paragraph" w:styleId="911" w:customStyle="1">
    <w:name w:val="Название1"/>
    <w:basedOn w:val="824"/>
    <w:link w:val="868"/>
    <w:uiPriority w:val="10"/>
    <w:qFormat/>
    <w:pPr>
      <w:pBdr/>
      <w:spacing/>
      <w:ind/>
      <w:jc w:val="center"/>
    </w:pPr>
    <w:rPr>
      <w:szCs w:val="20"/>
    </w:rPr>
  </w:style>
  <w:style w:type="paragraph" w:styleId="912">
    <w:name w:val="Колонтитул"/>
    <w:basedOn w:val="824"/>
    <w:qFormat/>
    <w:pPr>
      <w:pBdr/>
      <w:spacing/>
      <w:ind/>
    </w:pPr>
  </w:style>
  <w:style w:type="paragraph" w:styleId="913">
    <w:name w:val="Header"/>
    <w:basedOn w:val="824"/>
    <w:link w:val="887"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  <w:rPr>
      <w:sz w:val="24"/>
      <w:szCs w:val="24"/>
    </w:rPr>
  </w:style>
  <w:style w:type="paragraph" w:styleId="914">
    <w:name w:val="Body Text Indent"/>
    <w:basedOn w:val="824"/>
    <w:pPr>
      <w:pBdr/>
      <w:spacing/>
      <w:ind w:firstLine="0" w:left="360"/>
    </w:pPr>
    <w:rPr>
      <w:sz w:val="24"/>
      <w:szCs w:val="24"/>
    </w:rPr>
  </w:style>
  <w:style w:type="paragraph" w:styleId="915">
    <w:name w:val="Footer"/>
    <w:basedOn w:val="824"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916">
    <w:name w:val="Body Text Indent 2"/>
    <w:basedOn w:val="824"/>
    <w:qFormat/>
    <w:pPr>
      <w:pBdr/>
      <w:spacing w:after="120" w:before="0" w:line="480" w:lineRule="auto"/>
      <w:ind w:firstLine="0" w:left="283"/>
    </w:pPr>
  </w:style>
  <w:style w:type="paragraph" w:styleId="917">
    <w:name w:val="Body Text 3"/>
    <w:basedOn w:val="824"/>
    <w:qFormat/>
    <w:pPr>
      <w:pBdr/>
      <w:spacing w:after="120" w:before="0"/>
      <w:ind/>
    </w:pPr>
    <w:rPr>
      <w:sz w:val="16"/>
      <w:szCs w:val="16"/>
    </w:rPr>
  </w:style>
  <w:style w:type="paragraph" w:styleId="918">
    <w:name w:val="Body Text Indent 3"/>
    <w:basedOn w:val="824"/>
    <w:link w:val="895"/>
    <w:qFormat/>
    <w:pPr>
      <w:pBdr/>
      <w:spacing w:after="120" w:before="0"/>
      <w:ind w:firstLine="0" w:left="283"/>
    </w:pPr>
    <w:rPr>
      <w:sz w:val="16"/>
      <w:szCs w:val="16"/>
    </w:rPr>
  </w:style>
  <w:style w:type="paragraph" w:styleId="919">
    <w:name w:val="Body Text 2"/>
    <w:basedOn w:val="824"/>
    <w:qFormat/>
    <w:pPr>
      <w:pBdr/>
      <w:spacing w:after="120" w:before="0" w:line="480" w:lineRule="auto"/>
      <w:ind/>
    </w:pPr>
  </w:style>
  <w:style w:type="paragraph" w:styleId="920">
    <w:name w:val="Block Text"/>
    <w:basedOn w:val="824"/>
    <w:qFormat/>
    <w:pPr>
      <w:pBdr/>
      <w:spacing/>
      <w:ind w:right="-766" w:firstLine="0" w:left="-567"/>
      <w:jc w:val="center"/>
    </w:pPr>
    <w:rPr>
      <w:b/>
      <w:bCs/>
      <w:sz w:val="24"/>
      <w:szCs w:val="20"/>
    </w:rPr>
  </w:style>
  <w:style w:type="paragraph" w:styleId="921" w:customStyle="1">
    <w:name w:val="Подпункт"/>
    <w:basedOn w:val="824"/>
    <w:link w:val="879"/>
    <w:qFormat/>
    <w:pPr>
      <w:pBdr/>
      <w:tabs>
        <w:tab w:val="clear" w:leader="none" w:pos="708"/>
        <w:tab w:val="left" w:leader="none" w:pos="1134"/>
      </w:tabs>
      <w:spacing w:line="360" w:lineRule="auto"/>
      <w:ind w:hanging="1134" w:left="1134"/>
      <w:jc w:val="both"/>
    </w:pPr>
    <w:rPr>
      <w:szCs w:val="20"/>
    </w:rPr>
  </w:style>
  <w:style w:type="paragraph" w:styleId="922" w:customStyle="1">
    <w:name w:val="Пункт2"/>
    <w:basedOn w:val="824"/>
    <w:link w:val="892"/>
    <w:qFormat/>
    <w:pPr>
      <w:keepNext w:val="true"/>
      <w:pBdr/>
      <w:tabs>
        <w:tab w:val="clear" w:leader="none" w:pos="708"/>
        <w:tab w:val="left" w:leader="none" w:pos="1134"/>
      </w:tabs>
      <w:spacing w:after="120" w:before="240"/>
      <w:ind w:hanging="1134" w:left="1134"/>
      <w:outlineLvl w:val="2"/>
    </w:pPr>
    <w:rPr>
      <w:b/>
      <w:szCs w:val="20"/>
    </w:rPr>
  </w:style>
  <w:style w:type="paragraph" w:styleId="923">
    <w:name w:val="TOC 1"/>
    <w:basedOn w:val="824"/>
    <w:next w:val="824"/>
    <w:uiPriority w:val="39"/>
    <w:pPr>
      <w:pBdr/>
      <w:spacing w:after="0" w:before="120"/>
      <w:ind/>
    </w:pPr>
    <w:rPr>
      <w:rFonts w:cs="Calibri Light (Заголовки)"/>
      <w:b/>
      <w:bCs/>
      <w:sz w:val="24"/>
      <w:szCs w:val="24"/>
    </w:rPr>
  </w:style>
  <w:style w:type="paragraph" w:styleId="924">
    <w:name w:val="TOC 3"/>
    <w:basedOn w:val="824"/>
    <w:next w:val="824"/>
    <w:uiPriority w:val="39"/>
    <w:pPr>
      <w:pBdr/>
      <w:spacing/>
      <w:ind w:firstLine="0" w:left="280"/>
    </w:pPr>
    <w:rPr>
      <w:rFonts w:cs="Calibri" w:cstheme="minorHAnsi"/>
      <w:sz w:val="20"/>
      <w:szCs w:val="20"/>
    </w:rPr>
  </w:style>
  <w:style w:type="paragraph" w:styleId="925" w:customStyle="1">
    <w:name w:val="Раздел регламента"/>
    <w:basedOn w:val="824"/>
    <w:qFormat/>
    <w:pPr>
      <w:pBdr/>
      <w:spacing/>
      <w:ind/>
    </w:pPr>
  </w:style>
  <w:style w:type="paragraph" w:styleId="926" w:customStyle="1">
    <w:name w:val="Приложение к регламенту"/>
    <w:basedOn w:val="824"/>
    <w:qFormat/>
    <w:pPr>
      <w:pBdr/>
      <w:spacing/>
      <w:ind/>
      <w:jc w:val="right"/>
    </w:pPr>
  </w:style>
  <w:style w:type="paragraph" w:styleId="927">
    <w:name w:val="TOC 2"/>
    <w:basedOn w:val="824"/>
    <w:next w:val="824"/>
    <w:uiPriority w:val="39"/>
    <w:pPr>
      <w:pBdr/>
      <w:spacing w:after="0" w:before="240"/>
      <w:ind/>
    </w:pPr>
    <w:rPr>
      <w:rFonts w:cs="Calibri" w:cstheme="minorHAnsi"/>
      <w:b/>
      <w:bCs/>
      <w:sz w:val="20"/>
      <w:szCs w:val="20"/>
    </w:rPr>
  </w:style>
  <w:style w:type="paragraph" w:styleId="928">
    <w:name w:val="Balloon Text"/>
    <w:basedOn w:val="824"/>
    <w:link w:val="896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929">
    <w:name w:val="annotation text"/>
    <w:basedOn w:val="824"/>
    <w:link w:val="888"/>
    <w:semiHidden/>
    <w:qFormat/>
    <w:pPr>
      <w:pBdr/>
      <w:spacing/>
      <w:ind/>
    </w:pPr>
    <w:rPr>
      <w:sz w:val="20"/>
      <w:szCs w:val="20"/>
    </w:rPr>
  </w:style>
  <w:style w:type="paragraph" w:styleId="930">
    <w:name w:val="annotation subject"/>
    <w:basedOn w:val="929"/>
    <w:next w:val="929"/>
    <w:semiHidden/>
    <w:qFormat/>
    <w:pPr>
      <w:pBdr/>
      <w:spacing/>
      <w:ind/>
    </w:pPr>
    <w:rPr>
      <w:b/>
      <w:bCs/>
    </w:rPr>
  </w:style>
  <w:style w:type="paragraph" w:styleId="931" w:customStyle="1">
    <w:name w:val="Обычный (веб)1"/>
    <w:basedOn w:val="824"/>
    <w:uiPriority w:val="99"/>
    <w:qFormat/>
    <w:pPr>
      <w:pBdr/>
      <w:spacing w:afterAutospacing="1" w:beforeAutospacing="1"/>
      <w:ind/>
    </w:pPr>
    <w:rPr>
      <w:rFonts w:ascii="Arial Unicode MS" w:hAnsi="Arial Unicode MS" w:eastAsia="Arial Unicode MS" w:cs="Arial Unicode MS"/>
      <w:sz w:val="24"/>
      <w:szCs w:val="24"/>
    </w:rPr>
  </w:style>
  <w:style w:type="paragraph" w:styleId="932">
    <w:name w:val="TOC 9"/>
    <w:basedOn w:val="824"/>
    <w:next w:val="824"/>
    <w:semiHidden/>
    <w:pPr>
      <w:pBdr/>
      <w:spacing/>
      <w:ind w:firstLine="0" w:left="196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933">
    <w:name w:val="TOC 5"/>
    <w:basedOn w:val="824"/>
    <w:next w:val="824"/>
    <w:semiHidden/>
    <w:pPr>
      <w:pBdr/>
      <w:spacing/>
      <w:ind w:firstLine="0" w:left="84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934">
    <w:name w:val="TOC 4"/>
    <w:basedOn w:val="824"/>
    <w:next w:val="824"/>
    <w:uiPriority w:val="39"/>
    <w:pPr>
      <w:pBdr/>
      <w:spacing/>
      <w:ind w:firstLine="0" w:left="560"/>
    </w:pPr>
    <w:rPr>
      <w:rFonts w:cs="Calibri" w:cstheme="minorHAnsi"/>
      <w:sz w:val="20"/>
      <w:szCs w:val="20"/>
    </w:rPr>
  </w:style>
  <w:style w:type="paragraph" w:styleId="935" w:customStyle="1">
    <w:name w:val="Раздел положения 2"/>
    <w:basedOn w:val="824"/>
    <w:qFormat/>
    <w:pPr>
      <w:pageBreakBefore w:val="true"/>
      <w:pBdr/>
      <w:spacing/>
      <w:ind/>
      <w:jc w:val="both"/>
      <w:outlineLvl w:val="0"/>
    </w:pPr>
    <w:rPr>
      <w:b/>
    </w:rPr>
  </w:style>
  <w:style w:type="paragraph" w:styleId="936" w:customStyle="1">
    <w:name w:val="Знак Знак Знак Знак Знак Знак Знак Знак Знак"/>
    <w:basedOn w:val="824"/>
    <w:qFormat/>
    <w:pPr>
      <w:pBdr/>
      <w:spacing w:after="160" w:before="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937">
    <w:name w:val="No Spacing"/>
    <w:basedOn w:val="824"/>
    <w:uiPriority w:val="1"/>
    <w:qFormat/>
    <w:pPr>
      <w:pBdr/>
      <w:spacing w:line="360" w:lineRule="auto"/>
      <w:ind/>
    </w:pPr>
    <w:rPr>
      <w:rFonts w:eastAsia="Calibri"/>
      <w:sz w:val="24"/>
      <w:szCs w:val="24"/>
    </w:rPr>
  </w:style>
  <w:style w:type="paragraph" w:styleId="938">
    <w:name w:val="caption1"/>
    <w:basedOn w:val="824"/>
    <w:next w:val="824"/>
    <w:uiPriority w:val="35"/>
    <w:qFormat/>
    <w:pPr>
      <w:pBdr/>
      <w:spacing/>
      <w:ind/>
    </w:pPr>
    <w:rPr>
      <w:rFonts w:eastAsia="Calibri"/>
      <w:b/>
      <w:bCs/>
      <w:color w:val="4f81bd"/>
      <w:sz w:val="18"/>
      <w:szCs w:val="18"/>
    </w:rPr>
  </w:style>
  <w:style w:type="paragraph" w:styleId="939">
    <w:name w:val="Subtitle"/>
    <w:basedOn w:val="824"/>
    <w:next w:val="824"/>
    <w:link w:val="869"/>
    <w:uiPriority w:val="11"/>
    <w:qFormat/>
    <w:pPr>
      <w:numPr>
        <w:ilvl w:val="1"/>
      </w:numPr>
      <w:pBdr/>
      <w:spacing/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940">
    <w:name w:val="List Paragraph"/>
    <w:basedOn w:val="824"/>
    <w:link w:val="883"/>
    <w:uiPriority w:val="34"/>
    <w:qFormat/>
    <w:pPr>
      <w:pBdr/>
      <w:spacing w:after="0" w:before="0"/>
      <w:ind w:firstLine="0" w:left="720"/>
      <w:contextualSpacing w:val="true"/>
    </w:pPr>
    <w:rPr>
      <w:rFonts w:eastAsia="Calibri"/>
      <w:sz w:val="24"/>
      <w:szCs w:val="24"/>
    </w:rPr>
  </w:style>
  <w:style w:type="paragraph" w:styleId="941">
    <w:name w:val="Quote"/>
    <w:basedOn w:val="824"/>
    <w:next w:val="824"/>
    <w:link w:val="871"/>
    <w:uiPriority w:val="29"/>
    <w:qFormat/>
    <w:pPr>
      <w:pBdr/>
      <w:spacing/>
      <w:ind/>
    </w:pPr>
    <w:rPr>
      <w:rFonts w:ascii="Calibri" w:hAnsi="Calibri" w:eastAsia="Calibri"/>
      <w:i/>
      <w:iCs/>
      <w:color w:val="000000"/>
      <w:sz w:val="20"/>
      <w:szCs w:val="20"/>
    </w:rPr>
  </w:style>
  <w:style w:type="paragraph" w:styleId="942">
    <w:name w:val="Intense Quote"/>
    <w:basedOn w:val="824"/>
    <w:next w:val="824"/>
    <w:link w:val="872"/>
    <w:uiPriority w:val="30"/>
    <w:qFormat/>
    <w:pPr>
      <w:pBdr>
        <w:bottom w:val="single" w:color="4f81bd" w:sz="4" w:space="4"/>
      </w:pBdr>
      <w:spacing w:after="280" w:before="200"/>
      <w:ind w:right="936" w:firstLine="0" w:lef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943">
    <w:name w:val="Index Heading"/>
    <w:basedOn w:val="897"/>
    <w:pPr>
      <w:pBdr/>
      <w:spacing/>
      <w:ind/>
    </w:pPr>
  </w:style>
  <w:style w:type="paragraph" w:styleId="944">
    <w:name w:val="TOC Heading"/>
    <w:basedOn w:val="825"/>
    <w:next w:val="824"/>
    <w:uiPriority w:val="39"/>
    <w:qFormat/>
    <w:pPr>
      <w:keepLines w:val="true"/>
      <w:pBdr/>
      <w:spacing w:after="60" w:before="480"/>
      <w:ind/>
      <w:outlineLvl w:val="9"/>
    </w:pPr>
    <w:rPr>
      <w:rFonts w:ascii="Cambria" w:hAnsi="Cambria"/>
      <w:bCs/>
      <w:color w:val="365f91"/>
    </w:rPr>
  </w:style>
  <w:style w:type="paragraph" w:styleId="945">
    <w:name w:val="E-mail Signature"/>
    <w:basedOn w:val="824"/>
    <w:link w:val="878"/>
    <w:uiPriority w:val="99"/>
    <w:unhideWhenUsed/>
    <w:qFormat/>
    <w:pPr>
      <w:pBdr/>
      <w:spacing/>
      <w:ind/>
    </w:pPr>
    <w:rPr>
      <w:rFonts w:eastAsia="Calibri"/>
      <w:sz w:val="24"/>
      <w:szCs w:val="24"/>
    </w:rPr>
  </w:style>
  <w:style w:type="paragraph" w:styleId="946" w:customStyle="1">
    <w:name w:val="Знак"/>
    <w:basedOn w:val="824"/>
    <w:qFormat/>
    <w:pPr>
      <w:pBdr/>
      <w:spacing w:after="160" w:before="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947" w:customStyle="1">
    <w:name w:val="Нумерованный список ур3"/>
    <w:basedOn w:val="824"/>
    <w:qFormat/>
    <w:pPr>
      <w:numPr>
        <w:ilvl w:val="2"/>
        <w:numId w:val="2"/>
      </w:numPr>
      <w:pBdr/>
      <w:spacing/>
      <w:ind/>
      <w:jc w:val="both"/>
    </w:pPr>
    <w:rPr>
      <w:rFonts w:ascii="Garamond" w:hAnsi="Garamond"/>
      <w:sz w:val="24"/>
      <w:szCs w:val="20"/>
    </w:rPr>
  </w:style>
  <w:style w:type="paragraph" w:styleId="948" w:customStyle="1">
    <w:name w:val="List Bullet 4"/>
    <w:basedOn w:val="824"/>
    <w:qFormat/>
    <w:pPr>
      <w:numPr>
        <w:ilvl w:val="0"/>
        <w:numId w:val="2"/>
      </w:numPr>
      <w:pBdr/>
      <w:spacing w:after="0" w:before="120"/>
      <w:ind/>
      <w:jc w:val="both"/>
    </w:pPr>
    <w:rPr>
      <w:rFonts w:ascii="Garamond" w:hAnsi="Garamond"/>
      <w:sz w:val="24"/>
      <w:szCs w:val="20"/>
    </w:rPr>
  </w:style>
  <w:style w:type="paragraph" w:styleId="949" w:customStyle="1">
    <w:name w:val="Нумерованный список ур2"/>
    <w:basedOn w:val="824"/>
    <w:qFormat/>
    <w:pPr>
      <w:numPr>
        <w:ilvl w:val="1"/>
        <w:numId w:val="2"/>
      </w:numPr>
      <w:pBdr/>
      <w:spacing w:after="0" w:before="120"/>
      <w:ind/>
      <w:jc w:val="both"/>
    </w:pPr>
    <w:rPr>
      <w:rFonts w:ascii="Garamond" w:hAnsi="Garamond"/>
      <w:sz w:val="24"/>
      <w:szCs w:val="20"/>
    </w:rPr>
  </w:style>
  <w:style w:type="paragraph" w:styleId="950">
    <w:name w:val="Revision"/>
    <w:uiPriority w:val="99"/>
    <w:semiHidden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Calibri" w:cs="Times New Roman"/>
      <w:color w:val="auto"/>
      <w:sz w:val="24"/>
      <w:szCs w:val="24"/>
      <w:lang w:val="ru-RU" w:eastAsia="ru-RU" w:bidi="ar-SA"/>
    </w:rPr>
  </w:style>
  <w:style w:type="paragraph" w:styleId="951" w:customStyle="1">
    <w:name w:val="ConsPlusNormal"/>
    <w:qFormat/>
    <w:pPr>
      <w:widowControl w:val="false"/>
      <w:pBdr/>
      <w:bidi w:val="false"/>
      <w:spacing w:after="0" w:before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952" w:customStyle="1">
    <w:name w:val="Знак Знак3 Знак Знак"/>
    <w:basedOn w:val="824"/>
    <w:qFormat/>
    <w:pPr>
      <w:pBdr/>
      <w:spacing w:after="160" w:before="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953" w:customStyle="1">
    <w:name w:val="Пункт"/>
    <w:basedOn w:val="824"/>
    <w:qFormat/>
    <w:pPr>
      <w:widowControl w:val="false"/>
      <w:pBdr/>
      <w:tabs>
        <w:tab w:val="clear" w:leader="none" w:pos="708"/>
        <w:tab w:val="left" w:leader="none" w:pos="1134"/>
      </w:tabs>
      <w:spacing w:after="0" w:before="120" w:line="360" w:lineRule="auto"/>
      <w:ind w:right="800" w:hanging="1134" w:left="1134"/>
      <w:jc w:val="both"/>
    </w:pPr>
    <w:rPr>
      <w:rFonts w:ascii="Arial" w:hAnsi="Arial"/>
      <w:b/>
      <w:i/>
      <w:szCs w:val="20"/>
    </w:rPr>
  </w:style>
  <w:style w:type="paragraph" w:styleId="954" w:customStyle="1">
    <w:name w:val="Абзац списка1"/>
    <w:basedOn w:val="824"/>
    <w:qFormat/>
    <w:pPr>
      <w:pBdr/>
      <w:spacing w:after="200" w:before="0" w:line="276" w:lineRule="auto"/>
      <w:ind w:firstLine="0" w:left="720"/>
      <w:contextualSpacing w:val="true"/>
    </w:pPr>
    <w:rPr>
      <w:rFonts w:ascii="Calibri" w:hAnsi="Calibri"/>
      <w:sz w:val="22"/>
      <w:szCs w:val="22"/>
      <w:lang w:eastAsia="en-US"/>
    </w:rPr>
  </w:style>
  <w:style w:type="paragraph" w:styleId="955" w:customStyle="1">
    <w:name w:val="Таблица"/>
    <w:basedOn w:val="824"/>
    <w:qFormat/>
    <w:pPr>
      <w:keepNext w:val="true"/>
      <w:pBdr/>
      <w:spacing w:after="60" w:before="60"/>
      <w:ind/>
      <w:jc w:val="center"/>
    </w:pPr>
    <w:rPr>
      <w:rFonts w:eastAsia="Calibri"/>
      <w:b/>
      <w:sz w:val="24"/>
      <w:szCs w:val="24"/>
    </w:rPr>
  </w:style>
  <w:style w:type="paragraph" w:styleId="956" w:customStyle="1">
    <w:name w:val="Таблица шапка"/>
    <w:basedOn w:val="824"/>
    <w:qFormat/>
    <w:pPr>
      <w:keepNext w:val="true"/>
      <w:pBdr/>
      <w:spacing w:after="40" w:before="40"/>
      <w:ind w:right="57" w:firstLine="0" w:left="57"/>
    </w:pPr>
    <w:rPr>
      <w:sz w:val="22"/>
      <w:szCs w:val="26"/>
    </w:rPr>
  </w:style>
  <w:style w:type="paragraph" w:styleId="957" w:customStyle="1">
    <w:name w:val="Подподпункт"/>
    <w:basedOn w:val="921"/>
    <w:link w:val="885"/>
    <w:qFormat/>
    <w:pPr>
      <w:pBdr/>
      <w:tabs>
        <w:tab w:val="clear" w:leader="none" w:pos="1134"/>
        <w:tab w:val="left" w:leader="none" w:pos="5104"/>
      </w:tabs>
      <w:spacing w:after="0" w:before="120" w:line="240" w:lineRule="auto"/>
      <w:ind w:hanging="567" w:left="5104"/>
    </w:pPr>
    <w:rPr>
      <w:sz w:val="26"/>
      <w:szCs w:val="26"/>
      <w:lang w:val="ru-RU" w:eastAsia="ru-RU"/>
    </w:rPr>
  </w:style>
  <w:style w:type="paragraph" w:styleId="958" w:customStyle="1">
    <w:name w:val="УРОВЕНЬ_(а)"/>
    <w:basedOn w:val="940"/>
    <w:qFormat/>
    <w:pPr>
      <w:numPr>
        <w:ilvl w:val="3"/>
        <w:numId w:val="4"/>
      </w:numPr>
      <w:pBdr/>
      <w:spacing w:after="0" w:before="120" w:line="360" w:lineRule="exact"/>
      <w:ind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959" w:customStyle="1">
    <w:name w:val="УРОВЕНЬ_-"/>
    <w:basedOn w:val="940"/>
    <w:qFormat/>
    <w:pPr>
      <w:numPr>
        <w:ilvl w:val="4"/>
        <w:numId w:val="4"/>
      </w:numPr>
      <w:pBdr/>
      <w:spacing w:after="0" w:before="120" w:line="360" w:lineRule="exact"/>
      <w:ind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960" w:customStyle="1">
    <w:name w:val="УРОВЕНЬ_Абзац_тип2"/>
    <w:basedOn w:val="940"/>
    <w:qFormat/>
    <w:pPr>
      <w:numPr>
        <w:ilvl w:val="6"/>
        <w:numId w:val="4"/>
      </w:numPr>
      <w:pBdr/>
      <w:spacing w:after="0"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961" w:customStyle="1">
    <w:name w:val="УРОВЕНЬ_Абзац_тип3"/>
    <w:basedOn w:val="940"/>
    <w:link w:val="886"/>
    <w:qFormat/>
    <w:pPr>
      <w:numPr>
        <w:ilvl w:val="7"/>
        <w:numId w:val="4"/>
      </w:numPr>
      <w:pBdr/>
      <w:spacing w:after="0"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962" w:customStyle="1">
    <w:name w:val="УРОВЕНЬ_Подпись"/>
    <w:basedOn w:val="940"/>
    <w:qFormat/>
    <w:pPr>
      <w:keepNext w:val="true"/>
      <w:numPr>
        <w:ilvl w:val="5"/>
        <w:numId w:val="4"/>
      </w:numPr>
      <w:pBdr/>
      <w:spacing w:after="120" w:before="120" w:line="360" w:lineRule="exact"/>
      <w:ind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963" w:customStyle="1">
    <w:name w:val="Стиль Заголовок 1 + по ширине"/>
    <w:basedOn w:val="825"/>
    <w:qFormat/>
    <w:pPr>
      <w:keepLines w:val="true"/>
      <w:numPr>
        <w:ilvl w:val="0"/>
        <w:numId w:val="0"/>
      </w:numPr>
      <w:pBdr/>
      <w:tabs>
        <w:tab w:val="left" w:leader="none" w:pos="567"/>
        <w:tab w:val="clear" w:leader="none" w:pos="708"/>
      </w:tabs>
      <w:spacing w:after="240" w:before="48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964">
    <w:name w:val="endnote text"/>
    <w:basedOn w:val="824"/>
    <w:link w:val="889"/>
    <w:pPr>
      <w:pBdr/>
      <w:spacing/>
      <w:ind/>
    </w:pPr>
    <w:rPr>
      <w:sz w:val="20"/>
      <w:szCs w:val="20"/>
    </w:rPr>
  </w:style>
  <w:style w:type="paragraph" w:styleId="965" w:customStyle="1">
    <w:name w:val="Заголовок 2 КВВ"/>
    <w:basedOn w:val="824"/>
    <w:qFormat/>
    <w:pPr>
      <w:keepNext w:val="true"/>
      <w:numPr>
        <w:ilvl w:val="0"/>
        <w:numId w:val="5"/>
      </w:numPr>
      <w:pBdr/>
      <w:spacing w:after="120" w:before="120"/>
      <w:ind/>
      <w:jc w:val="both"/>
      <w:outlineLvl w:val="0"/>
    </w:pPr>
    <w:rPr>
      <w:b/>
      <w:sz w:val="24"/>
      <w:szCs w:val="20"/>
    </w:rPr>
  </w:style>
  <w:style w:type="paragraph" w:styleId="966" w:customStyle="1">
    <w:name w:val="Таблица текст"/>
    <w:basedOn w:val="824"/>
    <w:qFormat/>
    <w:pPr>
      <w:pBdr/>
      <w:spacing w:after="40" w:before="40"/>
      <w:ind w:right="57" w:firstLine="0" w:left="57"/>
    </w:pPr>
    <w:rPr>
      <w:sz w:val="24"/>
      <w:szCs w:val="26"/>
    </w:rPr>
  </w:style>
  <w:style w:type="paragraph" w:styleId="967">
    <w:name w:val="Normal (Web)"/>
    <w:basedOn w:val="824"/>
    <w:uiPriority w:val="99"/>
    <w:unhideWhenUsed/>
    <w:qFormat/>
    <w:pPr>
      <w:pBdr/>
      <w:spacing w:afterAutospacing="1" w:beforeAutospacing="1"/>
      <w:ind/>
    </w:pPr>
    <w:rPr>
      <w:sz w:val="24"/>
      <w:szCs w:val="24"/>
    </w:rPr>
  </w:style>
  <w:style w:type="paragraph" w:styleId="968" w:customStyle="1">
    <w:name w:val="УРОВЕНЬ_1."/>
    <w:basedOn w:val="940"/>
    <w:link w:val="893"/>
    <w:qFormat/>
    <w:pPr>
      <w:keepNext w:val="true"/>
      <w:keepLines w:val="true"/>
      <w:pBdr/>
      <w:spacing w:after="120" w:before="240" w:line="276" w:lineRule="auto"/>
      <w:ind w:firstLine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969">
    <w:name w:val="TOC 6"/>
    <w:basedOn w:val="824"/>
    <w:next w:val="824"/>
    <w:unhideWhenUsed/>
    <w:pPr>
      <w:pBdr/>
      <w:spacing/>
      <w:ind w:firstLine="0" w:left="112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970">
    <w:name w:val="TOC 7"/>
    <w:basedOn w:val="824"/>
    <w:next w:val="824"/>
    <w:unhideWhenUsed/>
    <w:pPr>
      <w:pBdr/>
      <w:spacing/>
      <w:ind w:firstLine="0" w:left="140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971">
    <w:name w:val="TOC 8"/>
    <w:basedOn w:val="824"/>
    <w:next w:val="824"/>
    <w:unhideWhenUsed/>
    <w:pPr>
      <w:pBdr/>
      <w:spacing/>
      <w:ind w:firstLine="0" w:left="1680"/>
    </w:pPr>
    <w:rPr>
      <w:rFonts w:ascii="Calibri" w:hAnsi="Calibri" w:cs="Calibri" w:asciiTheme="minorHAnsi" w:hAnsiTheme="minorHAnsi" w:cstheme="minorHAnsi"/>
      <w:sz w:val="20"/>
      <w:szCs w:val="20"/>
    </w:rPr>
  </w:style>
  <w:style w:type="paragraph" w:styleId="972" w:customStyle="1">
    <w:name w:val="ConsPlusNonformat"/>
    <w:uiPriority w:val="99"/>
    <w:qFormat/>
    <w:pPr>
      <w:widowControl w:val="false"/>
      <w:pBdr/>
      <w:bidi w:val="false"/>
      <w:spacing w:after="0" w:before="0"/>
      <w:ind/>
      <w:jc w:val="left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973" w:customStyle="1">
    <w:name w:val="ListNum"/>
    <w:basedOn w:val="824"/>
    <w:qFormat/>
    <w:pPr>
      <w:numPr>
        <w:ilvl w:val="0"/>
        <w:numId w:val="8"/>
      </w:numPr>
      <w:pBdr/>
      <w:tabs>
        <w:tab w:val="left" w:leader="none" w:pos="284"/>
        <w:tab w:val="clear" w:leader="none" w:pos="708"/>
      </w:tabs>
      <w:spacing w:after="0" w:before="60"/>
      <w:ind/>
      <w:jc w:val="both"/>
    </w:pPr>
    <w:rPr>
      <w:sz w:val="22"/>
      <w:szCs w:val="24"/>
    </w:rPr>
  </w:style>
  <w:style w:type="paragraph" w:styleId="974">
    <w:name w:val="List Number"/>
    <w:basedOn w:val="824"/>
    <w:qFormat/>
    <w:pPr>
      <w:numPr>
        <w:ilvl w:val="0"/>
        <w:numId w:val="9"/>
      </w:numPr>
      <w:pBdr/>
      <w:spacing/>
      <w:ind/>
    </w:pPr>
    <w:rPr>
      <w:rFonts w:ascii="Geneva CY" w:hAnsi="Geneva CY" w:eastAsia="Geneva"/>
      <w:sz w:val="24"/>
      <w:szCs w:val="20"/>
      <w:lang w:eastAsia="en-US"/>
    </w:rPr>
  </w:style>
  <w:style w:type="paragraph" w:styleId="975">
    <w:name w:val="Содержимое врезки"/>
    <w:basedOn w:val="824"/>
    <w:qFormat/>
    <w:pPr>
      <w:pBdr/>
      <w:spacing/>
      <w:ind/>
    </w:pPr>
  </w:style>
  <w:style w:type="paragraph" w:styleId="976" w:customStyle="1">
    <w:name w:val="Standard"/>
    <w:qFormat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0" w:left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8"/>
      <w:u w:val="none"/>
      <w:shd w:val="clear" w:color="auto" w:fill="auto"/>
      <w:vertAlign w:val="baseline"/>
      <w:lang w:val="ru-RU" w:eastAsia="ru-RU" w:bidi="ar-SA"/>
      <w14:ligatures w14:val="none"/>
    </w:rPr>
  </w:style>
  <w:style w:type="paragraph" w:styleId="977" w:customStyle="1">
    <w:name w:val="Абзац списка"/>
    <w:basedOn w:val="976"/>
    <w:qFormat/>
    <w:pPr>
      <w:keepNext w:val="false"/>
      <w:keepLines w:val="false"/>
      <w:pageBreakBefore w:val="false"/>
      <w:widowControl w:val="true"/>
      <w:pBdr/>
      <w:shd w:val="nil"/>
      <w:bidi w:val="false"/>
      <w:spacing w:after="0" w:afterAutospacing="0" w:before="0" w:beforeAutospacing="0" w:line="240" w:lineRule="auto"/>
      <w:ind w:right="0" w:firstLine="0" w:left="720"/>
      <w:jc w:val="left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u w:val="none"/>
      <w:shd w:val="clear" w:color="auto" w:fill="auto"/>
      <w:vertAlign w:val="baseline"/>
      <w:lang w:val="ru-RU" w:eastAsia="ru-RU" w:bidi="ar-SA"/>
      <w14:ligatures w14:val="none"/>
    </w:rPr>
  </w:style>
  <w:style w:type="numbering" w:styleId="978" w:default="1">
    <w:name w:val="No List"/>
    <w:uiPriority w:val="99"/>
    <w:semiHidden/>
    <w:unhideWhenUsed/>
    <w:qFormat/>
    <w:pPr>
      <w:pBdr/>
      <w:spacing/>
      <w:ind/>
    </w:pPr>
  </w:style>
  <w:style w:type="numbering" w:styleId="979" w:customStyle="1">
    <w:name w:val="Стиль1"/>
    <w:uiPriority w:val="99"/>
    <w:qFormat/>
    <w:pPr>
      <w:pBdr/>
      <w:spacing/>
      <w:ind/>
    </w:pPr>
  </w:style>
  <w:style w:type="numbering" w:styleId="980" w:customStyle="1">
    <w:name w:val="Стиль2"/>
    <w:uiPriority w:val="99"/>
    <w:qFormat/>
    <w:pPr>
      <w:pBdr/>
      <w:spacing/>
      <w:ind/>
    </w:pPr>
  </w:style>
  <w:style w:type="numbering" w:styleId="981" w:customStyle="1">
    <w:name w:val="Нет списка1"/>
    <w:uiPriority w:val="99"/>
    <w:semiHidden/>
    <w:unhideWhenUsed/>
    <w:qFormat/>
    <w:pPr>
      <w:pBdr/>
      <w:spacing/>
      <w:ind/>
    </w:pPr>
  </w:style>
  <w:style w:type="table" w:styleId="982">
    <w:name w:val="Table Grid Light"/>
    <w:basedOn w:val="1107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Plain Table 1"/>
    <w:basedOn w:val="1107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Plain Table 2"/>
    <w:basedOn w:val="1107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Plain Table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Plain Table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Plain Table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Grid Table 1 Light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Grid Table 1 Light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Grid Table 1 Light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Grid Table 1 Light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Grid Table 1 Light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Grid Table 1 Light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1 Light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Grid Table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Grid Table 2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2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2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2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2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2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3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3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3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3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3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3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4"/>
    <w:basedOn w:val="110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4 - Accent 1"/>
    <w:basedOn w:val="110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4 - Accent 2"/>
    <w:basedOn w:val="110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4 - Accent 3"/>
    <w:basedOn w:val="110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4 - Accent 4"/>
    <w:basedOn w:val="110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4 - Accent 5"/>
    <w:basedOn w:val="110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4 - Accent 6"/>
    <w:basedOn w:val="110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5 Dark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5 Dark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5 Dark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5 Dark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5 Dark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5 Dark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5 Dark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6 Colorful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6 Colorful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6 Colorful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Grid Table 6 Colorful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6 Colorful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6 Colorful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Grid Table 6 Colorful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Grid Table 7 Colorful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Grid Table 7 Colorful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e2f3" w:themeFill="accent1" w:themeFillTint="34"/>
        <w:tcBorders/>
      </w:tcPr>
    </w:tblStylePr>
    <w:tblStylePr w:type="band2Horz">
      <w:rPr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Grid Table 7 Colorful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Grid Table 7 Colorful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Horz">
      <w:rPr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Grid Table 7 Colorful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7 Colorful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Horz">
      <w:rPr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Grid Table 7 Colorful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Horz">
      <w:rPr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List Table 1 Light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List Table 1 Light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List Table 1 Light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List Table 1 Light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List Table 1 Light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List Table 1 Light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1 Light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2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2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2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2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2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2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3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3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3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3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3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3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4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4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4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4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4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4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5 Dark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5 Dark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5 Dark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5 Dark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5 Dark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5 Dark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cc3e6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5 Dark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a9d1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6 Colorful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6 Colorful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6 Colorful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6 Colorful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6 Colorful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6 Colorful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6 Colorful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List Table 7 Colorful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7 Colorful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cf0" w:themeFill="accent1" w:themeFillTint="40"/>
        <w:tcBorders/>
      </w:tcPr>
    </w:tblStylePr>
    <w:tblStylePr w:type="band2Horz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1">
    <w:name w:val="List Table 7 Colorful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decb" w:themeFill="accent2" w:themeFillTint="40"/>
        <w:tcBorders/>
      </w:tcPr>
    </w:tblStylePr>
    <w:tblStylePr w:type="band2Horz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List Table 7 Colorful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8e8e8" w:themeFill="accent3" w:themeFillTint="40"/>
        <w:tcBorders/>
      </w:tcPr>
    </w:tblStylePr>
    <w:tblStylePr w:type="band2Horz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List Table 7 Colorful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fefbf" w:themeFill="accent4" w:themeFillTint="40"/>
        <w:tcBorders/>
      </w:tcPr>
    </w:tblStylePr>
    <w:tblStylePr w:type="band2Horz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7 Colorful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6e6f4" w:themeFill="accent5" w:themeFillTint="40"/>
        <w:tcBorders/>
      </w:tcPr>
    </w:tblStylePr>
    <w:tblStylePr w:type="band2Horz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st Table 7 Colorful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cd0" w:themeFill="accent6" w:themeFillTint="40"/>
        <w:tcBorders/>
      </w:tcPr>
    </w:tblStylePr>
    <w:tblStylePr w:type="band2Horz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Lined - Accent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Lined - Accent 1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Lined - Accent 2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>
    <w:name w:val="Lined - Accent 3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Lined - Accent 4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Lined - Accent 5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>
    <w:name w:val="Lined - Accent 6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>
    <w:name w:val="Bordered &amp; Lined - Accent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>
    <w:name w:val="Bordered &amp; Lined - Accent 1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4d3ec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>
    <w:name w:val="Bordered &amp; Lined - Accent 2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be6d7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>
    <w:name w:val="Bordered &amp; Lined - Accent 3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deded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>
    <w:name w:val="Bordered &amp; Lined - Accent 4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>
    <w:name w:val="Bordered &amp; Lined - Accent 5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eebf6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>
    <w:name w:val="Bordered &amp; Lined - Accent 6"/>
    <w:basedOn w:val="11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2efd9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>
    <w:name w:val="Bordered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>
    <w:name w:val="Bordered - Accent 1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>
    <w:name w:val="Bordered - Accent 2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>
    <w:name w:val="Bordered - Accent 3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>
    <w:name w:val="Bordered - Accent 4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>
    <w:name w:val="Bordered - Accent 5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>
    <w:name w:val="Bordered - Accent 6"/>
    <w:basedOn w:val="110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>
    <w:name w:val="Table Grid"/>
    <w:basedOn w:val="1107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Сетка таблицы1"/>
    <w:basedOn w:val="1107"/>
    <w:uiPriority w:val="39"/>
    <w:pPr>
      <w:pBdr/>
      <w:spacing/>
      <w:ind/>
    </w:pPr>
    <w:rPr>
      <w:rFonts w:asciiTheme="minorHAnsi" w:hAnsiTheme="minorHAnsi" w:eastAsiaTheme="minorHAnsi" w:cstheme="minorBidi"/>
      <w:sz w:val="24"/>
      <w:szCs w:val="24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Сетка таблицы7"/>
    <w:basedOn w:val="1107"/>
    <w:uiPriority w:val="59"/>
    <w:pPr>
      <w:pBdr/>
      <w:spacing/>
      <w:ind/>
    </w:pPr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customXml" Target="../customXml/item1.xml" /><Relationship Id="rId17" Type="http://schemas.openxmlformats.org/officeDocument/2006/relationships/hyperlink" Target="http://stroy.dbases.ru/Data1/10/10690/index.ht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03D5B-4A47-4B38-B604-68C1817F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Microsoft</Company>
  <DocSecurity>4</DocSecurit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dc:language>ru-RU</dc:language>
  <cp:revision>53</cp:revision>
  <dcterms:created xsi:type="dcterms:W3CDTF">2024-04-26T04:00:00Z</dcterms:created>
  <dcterms:modified xsi:type="dcterms:W3CDTF">2026-10-14T07:37:14Z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