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1.xml" ContentType="application/vnd.openxmlformats-officedocument.wordprocessingml.header+xml"/>
  <Override PartName="/word/header8.xml" ContentType="application/vnd.openxmlformats-officedocument.wordprocessingml.header+xml"/>
  <Override PartName="/word/header10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9.xml" ContentType="application/vnd.openxmlformats-officedocument.wordprocessingml.header+xml"/>
  <Override PartName="/word/header18.xml" ContentType="application/vnd.openxmlformats-officedocument.wordprocessingml.header+xml"/>
  <Override PartName="/word/header17.xml" ContentType="application/vnd.openxmlformats-officedocument.wordprocessingml.header+xml"/>
  <Override PartName="/word/header16.xml" ContentType="application/vnd.openxmlformats-officedocument.wordprocessingml.header+xml"/>
  <Override PartName="/word/header13.xml" ContentType="application/vnd.openxmlformats-officedocument.wordprocessingml.header+xml"/>
  <Override PartName="/word/media/image1.png" ContentType="image/png"/>
  <Override PartName="/word/media/image2.png" ContentType="image/png"/>
  <Override PartName="/word/header15.xml" ContentType="application/vnd.openxmlformats-officedocument.wordprocessingml.header+xml"/>
  <Override PartName="/word/header14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before="4535" w:after="0"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ТЕХНИЧЕСКИЕ ТРЕБОВАНИЯ</w:t>
        <w:br/>
        <w:t>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>ОКПД2 62.02.30.000. Оказание услуг по организации сопровождения</w:t>
        <w:br/>
        <w:t>информационной системы календарно-сетевого планирования (ИС КСП)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sz w:val="28"/>
          <w:szCs w:val="28"/>
        </w:rPr>
      </w:pPr>
      <w:r>
        <w:rPr>
          <w:rFonts w:eastAsia="Calibri"/>
          <w:b/>
          <w:i w:val="false"/>
          <w:iCs w:val="false"/>
          <w:sz w:val="28"/>
          <w:szCs w:val="28"/>
        </w:rPr>
        <w:t>ЛОТ № 12100128-ЭКСП ДИТ-2027-ИА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60"/>
        <w:gridCol w:w="4961"/>
      </w:tblGrid>
      <w:tr>
        <w:trPr/>
        <w:tc>
          <w:tcPr>
            <w:tcW w:w="4960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val="ru-RU"/>
              </w:rPr>
              <w:t>Заказчик: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val="ru-RU"/>
              </w:rPr>
              <w:t>Исполнитель:</w:t>
            </w:r>
          </w:p>
        </w:tc>
      </w:tr>
      <w:tr>
        <w:trPr/>
        <w:tc>
          <w:tcPr>
            <w:tcW w:w="4960" w:type="dxa"/>
            <w:tcBorders/>
          </w:tcPr>
          <w:p>
            <w:pPr>
              <w:pStyle w:val="Style36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Заместитель директора Департамента информационных технологий и цифрового развития</w:t>
            </w:r>
          </w:p>
          <w:p>
            <w:pPr>
              <w:pStyle w:val="Style36"/>
              <w:bidi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  <w:p>
            <w:pPr>
              <w:pStyle w:val="Style36"/>
              <w:bidi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  <w:p>
            <w:pPr>
              <w:pStyle w:val="Style36"/>
              <w:bidi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  <w:p>
            <w:pPr>
              <w:pStyle w:val="Style36"/>
              <w:bidi w:val="0"/>
              <w:rPr>
                <w:sz w:val="28"/>
                <w:szCs w:val="28"/>
              </w:rPr>
            </w:pPr>
            <w:r>
              <w:rPr>
                <w:b w:val="false"/>
                <w:bCs w:val="false"/>
                <w:color w:val="auto"/>
                <w:sz w:val="28"/>
                <w:szCs w:val="28"/>
                <w:lang w:val="ru-RU"/>
              </w:rPr>
              <w:t>__________________</w:t>
            </w:r>
            <w:r>
              <w:rPr>
                <w:color w:val="auto"/>
                <w:sz w:val="28"/>
                <w:szCs w:val="28"/>
                <w:lang w:val="ru-RU"/>
              </w:rPr>
              <w:t xml:space="preserve"> /  М. Г. Данилов /</w:t>
            </w:r>
          </w:p>
        </w:tc>
        <w:tc>
          <w:tcPr>
            <w:tcW w:w="4961" w:type="dxa"/>
            <w:tcBorders/>
          </w:tcPr>
          <w:p>
            <w:pPr>
              <w:pStyle w:val="Normal"/>
              <w:widowControl w:val="false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Индивидуальный предприниматель </w:t>
              <w:br/>
              <w:t>Балтабаев Дамир Маратович</w:t>
            </w:r>
          </w:p>
          <w:p>
            <w:pPr>
              <w:pStyle w:val="Normal"/>
              <w:widowControl w:val="false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  <w:p>
            <w:pPr>
              <w:pStyle w:val="Normal"/>
              <w:widowControl w:val="false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  <w:p>
            <w:pPr>
              <w:pStyle w:val="Normal"/>
              <w:widowControl w:val="false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  <w:p>
            <w:pPr>
              <w:pStyle w:val="Normal"/>
              <w:widowControl w:val="false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  <w:p>
            <w:pPr>
              <w:pStyle w:val="Normal"/>
              <w:widowControl w:val="false"/>
              <w:jc w:val="left"/>
              <w:rPr>
                <w:sz w:val="28"/>
                <w:szCs w:val="28"/>
                <w:lang w:val="ru-RU"/>
              </w:rPr>
            </w:pPr>
            <w:r>
              <w:rPr>
                <w:b w:val="false"/>
                <w:bCs w:val="false"/>
                <w:color w:val="auto"/>
                <w:sz w:val="28"/>
                <w:szCs w:val="28"/>
                <w:lang w:val="ru-RU"/>
              </w:rPr>
              <w:t>__________________ / Д. М. Балтабаев /</w:t>
            </w:r>
          </w:p>
        </w:tc>
      </w:tr>
    </w:tbl>
    <w:p>
      <w:pPr>
        <w:sectPr>
          <w:type w:val="nextPage"/>
          <w:pgSz w:w="11906" w:h="16838"/>
          <w:pgMar w:left="1134" w:right="850" w:gutter="0" w:header="0" w:top="850" w:footer="0" w:bottom="85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b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62227_3104815314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62229_3104815314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62231_3104815314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62233_3104815314">
            <w:r>
              <w:rPr>
                <w:webHidden/>
                <w:rStyle w:val="Style14"/>
                <w:vanish w:val="false"/>
              </w:rPr>
              <w:t>1.3. Цель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62235_3104815314">
            <w:r>
              <w:rPr>
                <w:webHidden/>
                <w:rStyle w:val="Style14"/>
                <w:vanish w:val="false"/>
              </w:rPr>
              <w:t>1.4.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2237_3104815314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6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62239_3104815314">
            <w:r>
              <w:rPr>
                <w:webHidden/>
                <w:rStyle w:val="Style14"/>
                <w:vanish w:val="false"/>
              </w:rPr>
              <w:t>1.5. Иные требования и сведения общего характера</w:t>
              <w:tab/>
              <w:t>6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2241_3104815314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услугам</w:t>
            </w:r>
            <w:r>
              <w:rPr>
                <w:rStyle w:val="Style14"/>
              </w:rPr>
              <w:tab/>
              <w:t>7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62243_3104815314">
            <w:r>
              <w:rPr>
                <w:webHidden/>
                <w:rStyle w:val="Style14"/>
                <w:vanish w:val="false"/>
              </w:rPr>
              <w:t>2.1. Требования к объемам и срокам оказания услуг</w:t>
              <w:tab/>
              <w:t>7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2245_3104815314">
            <w:r>
              <w:rPr>
                <w:webHidden/>
                <w:rStyle w:val="Style14"/>
                <w:vanish w:val="false"/>
              </w:rPr>
              <w:t>Таблица 2. Перечень оказываемых услуг</w:t>
              <w:tab/>
              <w:t>7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62247_3104815314">
            <w:r>
              <w:rPr>
                <w:webHidden/>
                <w:rStyle w:val="Style14"/>
                <w:vanish w:val="false"/>
              </w:rPr>
              <w:t>2.2. Требования к срокам оказания услуг</w:t>
              <w:tab/>
              <w:t>9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2249_3104815314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9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62251_3104815314">
            <w:r>
              <w:rPr>
                <w:webHidden/>
                <w:rStyle w:val="Style14"/>
                <w:vanish w:val="false"/>
              </w:rPr>
              <w:t>2.3. Требования к качеству услуги</w:t>
              <w:tab/>
              <w:t>10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2253_3104815314">
            <w:r>
              <w:rPr>
                <w:webHidden/>
                <w:rStyle w:val="Style14"/>
                <w:vanish w:val="false"/>
              </w:rPr>
              <w:t>Таблица 4. Требования к качеству услуги</w:t>
              <w:tab/>
              <w:t>10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62259_3104815314">
            <w:r>
              <w:rPr>
                <w:webHidden/>
                <w:rStyle w:val="Style14"/>
                <w:vanish w:val="false"/>
              </w:rPr>
              <w:t>2.4. Соглашение об уровне предоставления услуги (SLA)</w:t>
              <w:tab/>
              <w:t>16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2263_3104815314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заключения (исполнения) договора</w:t>
              <w:tab/>
              <w:t>17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2275_3104815314">
            <w:r>
              <w:rPr>
                <w:webHidden/>
                <w:rStyle w:val="Style14"/>
                <w:vanish w:val="false"/>
              </w:rPr>
              <w:t xml:space="preserve">4. </w:t>
            </w:r>
            <w:r>
              <w:rPr>
                <w:rStyle w:val="Style14"/>
                <w:i w:val="false"/>
                <w:iCs w:val="false"/>
              </w:rPr>
              <w:t>Обязанности Заказчика для обеспечения технической поддержки Системы</w:t>
            </w:r>
            <w:r>
              <w:rPr>
                <w:rStyle w:val="Style14"/>
              </w:rPr>
              <w:tab/>
              <w:t>17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2265_3104815314">
            <w:r>
              <w:rPr>
                <w:webHidden/>
                <w:rStyle w:val="Style14"/>
                <w:vanish w:val="false"/>
              </w:rPr>
              <w:t xml:space="preserve">5.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18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2267_3104815314">
            <w:r>
              <w:rPr>
                <w:webHidden/>
                <w:rStyle w:val="Style14"/>
                <w:vanish w:val="false"/>
              </w:rPr>
              <w:t>ПРИЛОЖЕНИЕ № 1</w:t>
              <w:tab/>
              <w:t>19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2269_3104815314">
            <w:r>
              <w:rPr>
                <w:webHidden/>
                <w:rStyle w:val="Style14"/>
                <w:vanish w:val="false"/>
              </w:rPr>
              <w:t>ПРИЛОЖЕНИЕ № 2</w:t>
              <w:tab/>
              <w:t>29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62271_3104815314">
            <w:r>
              <w:rPr>
                <w:webHidden/>
                <w:rStyle w:val="Style14"/>
                <w:vanish w:val="false"/>
              </w:rPr>
              <w:t>ПРИЛОЖЕНИЕ № 3</w:t>
              <w:tab/>
              <w:t>31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_RefHeading___Toc62227_3104815314"/>
      <w:bookmarkEnd w:id="0"/>
      <w:r>
        <w:rPr>
          <w:lang w:val="ru-RU"/>
        </w:rPr>
        <w:t>Общие сведения</w:t>
      </w:r>
    </w:p>
    <w:p>
      <w:pPr>
        <w:pStyle w:val="Heading4"/>
        <w:numPr>
          <w:ilvl w:val="1"/>
          <w:numId w:val="3"/>
        </w:numPr>
        <w:rPr/>
      </w:pPr>
      <w:bookmarkStart w:id="1" w:name="__RefHeading___Toc62229_3104815314"/>
      <w:bookmarkEnd w:id="1"/>
      <w:r>
        <w:rPr/>
        <w:t>Обозначения и сокращения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472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Термин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Определение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Обходное решение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Процедура, позволяющая пользователю продолжить получение информационных услуг в случае возникновения инцидентов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КСА СПП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Комплекс средств автоматизации службы поддержки пользователей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Информация, поступающая от пользователя ИТ-услуги в службу поддержки пользователей. После регистрации в КСА СПП каждое обращение классифицируется и принадлежит к одной из категорий: инцидент, запрос на обслуживание (ЗНО), запрос на изменение функциональности (ЗНИФ), запрос на информацию, отзыв о работе СПП, жалоба.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Инцидент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Любое событие, которое не является частью стандартного функционирования ИТ-услуги и которое приводит или может привести к прерыванию, ухудшению её качества.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/>
            </w:pPr>
            <w:r>
              <w:rPr>
                <w:sz w:val="24"/>
                <w:szCs w:val="24"/>
              </w:rPr>
              <w:t>КСП (Система)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/>
            </w:pPr>
            <w:r>
              <w:rPr>
                <w:sz w:val="24"/>
                <w:szCs w:val="24"/>
              </w:rPr>
              <w:t>ИС Календарно-сетевого планирования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Программный комплекс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ККУ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качества услуг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ПКПУ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качества предоставления услуг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СПКУ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Сводный показатель качества Услуги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Исполнитель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Организация, заключившая договор с Заказчиком на предоставление услуги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Соглашение об уровне услуги (Service Level Agreement)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Технические требования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spacing w:before="0" w:after="227"/>
        <w:ind w:hanging="0" w:left="0"/>
        <w:rPr/>
      </w:pPr>
      <w:bookmarkStart w:id="2" w:name="__RefHeading___Toc62231_3104815314"/>
      <w:bookmarkEnd w:id="2"/>
      <w:r>
        <w:rPr/>
        <w:t>Наименование закупаемой продукции</w:t>
      </w:r>
    </w:p>
    <w:p>
      <w:pPr>
        <w:pStyle w:val="Normal"/>
        <w:keepNext w:val="true"/>
        <w:keepLines/>
        <w:widowControl/>
        <w:suppressAutoHyphens w:val="true"/>
        <w:bidi w:val="0"/>
        <w:spacing w:before="113" w:after="113"/>
        <w:ind w:firstLine="709" w:left="0" w:right="0"/>
        <w:jc w:val="both"/>
        <w:rPr/>
      </w:pPr>
      <w:r>
        <w:rPr>
          <w:rStyle w:val="Style8"/>
          <w:rFonts w:eastAsia="Calibri"/>
          <w:b w:val="false"/>
          <w:i w:val="false"/>
          <w:spacing w:val="-2"/>
          <w:sz w:val="24"/>
          <w:szCs w:val="26"/>
          <w:shd w:fill="auto" w:val="clear"/>
        </w:rPr>
        <w:t xml:space="preserve">ОКПД2 62.02.30.000. Оказание услуг по организации сопровождения информационной системы календарно-сетевого планирования (ИС КСП) </w:t>
      </w:r>
    </w:p>
    <w:p>
      <w:pPr>
        <w:pStyle w:val="Heading4"/>
        <w:numPr>
          <w:ilvl w:val="1"/>
          <w:numId w:val="3"/>
        </w:numPr>
        <w:spacing w:before="227" w:after="227"/>
        <w:ind w:hanging="0" w:left="0"/>
        <w:rPr/>
      </w:pPr>
      <w:bookmarkStart w:id="3" w:name="__RefHeading___Toc62233_3104815314"/>
      <w:bookmarkEnd w:id="3"/>
      <w:r>
        <w:rPr/>
        <w:t xml:space="preserve">Цель </w:t>
      </w:r>
      <w:r>
        <w:rPr>
          <w:lang w:val="ru-RU"/>
        </w:rPr>
        <w:t>оказания услуг</w:t>
      </w:r>
      <w:r>
        <w:rPr/>
        <w:t xml:space="preserve"> 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</w:rPr>
        <w:t>Целью оказания услуг по поддержке Системы является обеспечение её функционирования в соответствии с заданными показателями качества (п 2.3).</w:t>
      </w:r>
    </w:p>
    <w:p>
      <w:pPr>
        <w:pStyle w:val="Heading4"/>
        <w:numPr>
          <w:ilvl w:val="1"/>
          <w:numId w:val="3"/>
        </w:numPr>
        <w:spacing w:before="227" w:after="227"/>
        <w:ind w:hanging="0" w:left="0"/>
        <w:rPr/>
      </w:pPr>
      <w:bookmarkStart w:id="4" w:name="__RefHeading___Toc62235_3104815314"/>
      <w:bookmarkEnd w:id="4"/>
      <w:r>
        <w:rPr/>
        <w:t>Существующее положение</w:t>
      </w:r>
    </w:p>
    <w:p>
      <w:pPr>
        <w:pStyle w:val="Normal"/>
        <w:spacing w:before="113" w:after="113"/>
        <w:ind w:firstLine="709" w:left="0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Пользователи системы — </w:t>
      </w:r>
      <w:r>
        <w:rPr>
          <w:b w:val="false"/>
          <w:bCs w:val="false"/>
          <w:sz w:val="22"/>
          <w:szCs w:val="22"/>
        </w:rPr>
        <w:t>Группа «РусГидро».</w:t>
      </w:r>
    </w:p>
    <w:p>
      <w:pPr>
        <w:pStyle w:val="Normal"/>
        <w:widowControl w:val="false"/>
        <w:tabs>
          <w:tab w:val="clear" w:pos="708"/>
          <w:tab w:val="left" w:pos="1276" w:leader="none"/>
        </w:tabs>
        <w:spacing w:lineRule="auto" w:line="276" w:before="113" w:after="113"/>
        <w:ind w:firstLine="709"/>
        <w:jc w:val="left"/>
        <w:rPr>
          <w:color w:val="auto"/>
        </w:rPr>
      </w:pPr>
      <w:r>
        <w:rPr>
          <w:color w:val="auto"/>
          <w:sz w:val="24"/>
          <w:szCs w:val="24"/>
          <w:lang w:eastAsia="x-none"/>
        </w:rPr>
        <w:t>Ориентировочное количество пользователей — 355.</w:t>
      </w:r>
    </w:p>
    <w:p>
      <w:pPr>
        <w:pStyle w:val="Normal"/>
        <w:spacing w:before="227" w:after="227"/>
        <w:jc w:val="both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  <w:t>Состав программно-технических средств ИС КСП*:</w:t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5"/>
        <w:gridCol w:w="3798"/>
        <w:gridCol w:w="5555"/>
      </w:tblGrid>
      <w:tr>
        <w:trPr>
          <w:trHeight w:val="6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2"/>
                <w:szCs w:val="22"/>
              </w:rPr>
              <w:t>Класс ИТ-актива/элемент Системы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2"/>
                <w:szCs w:val="22"/>
              </w:rPr>
              <w:t>Программная платформа</w:t>
            </w:r>
          </w:p>
        </w:tc>
      </w:tr>
      <w:tr>
        <w:trPr>
          <w:trHeight w:val="6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Front-End РусГидро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Windows Server, SharePoint Server, Project Server + WSP</w:t>
            </w:r>
          </w:p>
        </w:tc>
      </w:tr>
      <w:tr>
        <w:trPr>
          <w:trHeight w:val="6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Application Server РусГидро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Windows Server, SharePoint Server, Project Server + WSP</w:t>
            </w:r>
          </w:p>
        </w:tc>
      </w:tr>
      <w:tr>
        <w:trPr>
          <w:trHeight w:val="6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Application Server РусГидро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Windows Server, SharePoint Server, Project Server + WSP</w:t>
            </w:r>
          </w:p>
        </w:tc>
      </w:tr>
      <w:tr>
        <w:trPr>
          <w:trHeight w:val="9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Remote Desktop Server РусГидро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Windows Server, Office, Project Professional + VSTO, </w:t>
            </w:r>
            <w:r>
              <w:rPr>
                <w:color w:val="000000"/>
                <w:sz w:val="24"/>
                <w:szCs w:val="24"/>
              </w:rPr>
              <w:t>Агрегатор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отчетности</w:t>
            </w:r>
          </w:p>
        </w:tc>
      </w:tr>
      <w:tr>
        <w:trPr>
          <w:trHeight w:val="3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Database Server РусГидро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Windows Server, SQL Server</w:t>
            </w:r>
          </w:p>
        </w:tc>
      </w:tr>
      <w:tr>
        <w:trPr>
          <w:trHeight w:val="3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Report Server </w:t>
            </w:r>
            <w:r>
              <w:rPr>
                <w:color w:val="000000"/>
                <w:sz w:val="24"/>
                <w:szCs w:val="24"/>
              </w:rPr>
              <w:t>РусГидро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ПО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ДФО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Windows Server, SSRS</w:t>
            </w:r>
          </w:p>
        </w:tc>
      </w:tr>
      <w:tr>
        <w:trPr>
          <w:trHeight w:val="6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Front-End ПО ДФО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Windows Server, SharePoint Server, Project Server + WSP</w:t>
            </w:r>
          </w:p>
        </w:tc>
      </w:tr>
      <w:tr>
        <w:trPr>
          <w:trHeight w:val="6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Application Server ПО ДФО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Windows Server, SharePoint Server, Project Server + WSP</w:t>
            </w:r>
          </w:p>
        </w:tc>
      </w:tr>
      <w:tr>
        <w:trPr>
          <w:trHeight w:val="6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Application Server ПО ДФО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Windows Server, SharePoint Server, Project Server + WSP</w:t>
            </w:r>
          </w:p>
        </w:tc>
      </w:tr>
      <w:tr>
        <w:trPr>
          <w:trHeight w:val="9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Remote Desktop Server </w:t>
            </w:r>
            <w:r>
              <w:rPr>
                <w:color w:val="000000"/>
                <w:sz w:val="24"/>
                <w:szCs w:val="24"/>
              </w:rPr>
              <w:t>ПО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ДФО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Windows Server, Office, Project Professional + VSTO, </w:t>
            </w:r>
            <w:r>
              <w:rPr>
                <w:color w:val="000000"/>
                <w:sz w:val="24"/>
                <w:szCs w:val="24"/>
              </w:rPr>
              <w:t>Агрегатор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отчетности</w:t>
            </w:r>
          </w:p>
        </w:tc>
      </w:tr>
      <w:tr>
        <w:trPr>
          <w:trHeight w:val="900" w:hRule="atLeast"/>
          <w:cantSplit w:val="true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Remote Desktop Server </w:t>
            </w:r>
            <w:r>
              <w:rPr>
                <w:color w:val="auto"/>
                <w:sz w:val="24"/>
                <w:szCs w:val="24"/>
              </w:rPr>
              <w:t>ПО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ДФО 2</w:t>
            </w:r>
          </w:p>
        </w:tc>
        <w:tc>
          <w:tcPr>
            <w:tcW w:w="5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Windows Server, Office, Project Professional + VSTO, </w:t>
            </w:r>
            <w:r>
              <w:rPr>
                <w:color w:val="auto"/>
                <w:sz w:val="24"/>
                <w:szCs w:val="24"/>
              </w:rPr>
              <w:t>Агрегатор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отчетности</w:t>
            </w:r>
          </w:p>
        </w:tc>
      </w:tr>
      <w:tr>
        <w:trPr>
          <w:trHeight w:val="3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Database Server ПО ДФО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Windows Server, SQL Server</w:t>
            </w:r>
          </w:p>
        </w:tc>
      </w:tr>
      <w:tr>
        <w:trPr>
          <w:trHeight w:val="6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Тестовый сервер РусГидро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Windows Server, Office, Visual Studio</w:t>
            </w:r>
          </w:p>
        </w:tc>
      </w:tr>
      <w:tr>
        <w:trPr>
          <w:trHeight w:val="900" w:hRule="atLeast"/>
          <w:cantSplit w:val="true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Тестовый сервер РусГидро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Windows Server, SharePoint Server, Project Server + WSP, SQL Server, Visual Studio</w:t>
            </w:r>
          </w:p>
        </w:tc>
      </w:tr>
    </w:tbl>
    <w:p>
      <w:pPr>
        <w:pStyle w:val="Normal"/>
        <w:shd w:val="clear" w:color="auto" w:fill="FFFFFF"/>
        <w:tabs>
          <w:tab w:val="clear" w:pos="708"/>
          <w:tab w:val="left" w:pos="426" w:leader="none"/>
          <w:tab w:val="left" w:pos="993" w:leader="none"/>
        </w:tabs>
        <w:spacing w:lineRule="auto" w:line="276"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* информация в таблице указана справочно на момент подготовки Технических требований и может быть изменена в период действия договора.</w:t>
      </w:r>
    </w:p>
    <w:p>
      <w:pPr>
        <w:pStyle w:val="Normal"/>
        <w:shd w:val="clear" w:color="auto" w:fill="FFFFFF"/>
        <w:tabs>
          <w:tab w:val="clear" w:pos="708"/>
          <w:tab w:val="left" w:pos="426" w:leader="none"/>
          <w:tab w:val="left" w:pos="851" w:leader="none"/>
        </w:tabs>
        <w:spacing w:lineRule="auto" w:line="276" w:before="113" w:after="113"/>
        <w:jc w:val="both"/>
        <w:rPr/>
      </w:pPr>
      <w:r>
        <w:rPr>
          <w:b/>
          <w:sz w:val="24"/>
          <w:szCs w:val="24"/>
        </w:rPr>
        <w:t>Интеграция с другими Системами: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ИС КСП через файл обмена получает данные из учетных систем.</w:t>
      </w:r>
    </w:p>
    <w:p>
      <w:pPr>
        <w:pStyle w:val="Normal"/>
        <w:shd w:val="clear" w:color="auto" w:fill="FFFFFF"/>
        <w:tabs>
          <w:tab w:val="clear" w:pos="708"/>
          <w:tab w:val="left" w:pos="426" w:leader="none"/>
          <w:tab w:val="left" w:pos="851" w:leader="none"/>
        </w:tabs>
        <w:spacing w:lineRule="auto" w:line="276" w:before="113" w:after="113"/>
        <w:jc w:val="both"/>
        <w:rPr/>
      </w:pPr>
      <w:r>
        <w:rPr>
          <w:b/>
          <w:sz w:val="24"/>
          <w:szCs w:val="24"/>
        </w:rPr>
        <w:t>Использование Системой существующих информационных сервисов: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Служба</w:t>
      </w:r>
      <w:r>
        <w:rPr>
          <w:lang w:val="en-US" w:eastAsia="x-none"/>
        </w:rPr>
        <w:t xml:space="preserve"> </w:t>
      </w:r>
      <w:r>
        <w:rPr>
          <w:lang w:eastAsia="x-none"/>
        </w:rPr>
        <w:t>каталогов;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val="en-US" w:eastAsia="x-none"/>
        </w:rPr>
        <w:t>Mail Server (VK WorkSpace);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Citrix;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Корпоративная система резервного копирования;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Система мониторинга Zabbix.</w:t>
      </w:r>
    </w:p>
    <w:p>
      <w:pPr>
        <w:pStyle w:val="Normal"/>
        <w:shd w:val="clear" w:color="auto" w:fill="FFFFFF"/>
        <w:tabs>
          <w:tab w:val="clear" w:pos="708"/>
          <w:tab w:val="left" w:pos="426" w:leader="none"/>
          <w:tab w:val="left" w:pos="851" w:leader="none"/>
        </w:tabs>
        <w:spacing w:lineRule="auto" w:line="276" w:before="113" w:after="113"/>
        <w:jc w:val="both"/>
        <w:rPr/>
      </w:pPr>
      <w:r>
        <w:rPr>
          <w:b/>
          <w:sz w:val="24"/>
          <w:szCs w:val="24"/>
        </w:rPr>
        <w:t>Особенности реализации Системы:</w:t>
      </w:r>
    </w:p>
    <w:p>
      <w:pPr>
        <w:pStyle w:val="Normal"/>
        <w:widowControl/>
        <w:shd w:val="clear" w:color="auto" w:fill="FFFFFF"/>
        <w:tabs>
          <w:tab w:val="clear" w:pos="708"/>
          <w:tab w:val="left" w:pos="426" w:leader="none"/>
          <w:tab w:val="left" w:pos="993" w:leader="none"/>
        </w:tabs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</w:rPr>
        <w:t>В инфраструктуре Заказчика настроено 2 фермы: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для ПАО «РусГидро»;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для подконтрольных организаций ПАО «РусГидро» Дальневосточного ФО.</w:t>
      </w:r>
    </w:p>
    <w:p>
      <w:pPr>
        <w:pStyle w:val="Normal"/>
        <w:widowControl/>
        <w:shd w:val="clear" w:color="auto" w:fill="FFFFFF"/>
        <w:tabs>
          <w:tab w:val="clear" w:pos="708"/>
          <w:tab w:val="left" w:pos="426" w:leader="none"/>
          <w:tab w:val="left" w:pos="993" w:leader="none"/>
        </w:tabs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</w:rPr>
        <w:t>Также настроены тестовые сервера, на которых разработчики выполняют тестирование</w:t>
        <w:br/>
        <w:t>и отладку приложений (</w:t>
      </w:r>
      <w:r>
        <w:rPr>
          <w:sz w:val="24"/>
          <w:szCs w:val="24"/>
          <w:lang w:val="en-US"/>
        </w:rPr>
        <w:t>VSTO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WSP</w:t>
      </w:r>
      <w:r>
        <w:rPr>
          <w:sz w:val="24"/>
          <w:szCs w:val="24"/>
        </w:rPr>
        <w:t xml:space="preserve">). </w:t>
      </w:r>
    </w:p>
    <w:p>
      <w:pPr>
        <w:pStyle w:val="Normal"/>
        <w:widowControl/>
        <w:shd w:val="clear" w:color="auto" w:fill="FFFFFF"/>
        <w:tabs>
          <w:tab w:val="clear" w:pos="708"/>
          <w:tab w:val="left" w:pos="426" w:leader="none"/>
          <w:tab w:val="left" w:pos="993" w:leader="none"/>
        </w:tabs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b/>
          <w:bCs/>
          <w:sz w:val="24"/>
          <w:szCs w:val="24"/>
        </w:rPr>
        <w:t xml:space="preserve">Полный набор исходного кода </w:t>
      </w:r>
      <w:r>
        <w:rPr>
          <w:b/>
          <w:bCs/>
          <w:sz w:val="24"/>
          <w:szCs w:val="24"/>
          <w:lang w:val="en-US"/>
        </w:rPr>
        <w:t>VSTO</w:t>
      </w:r>
      <w:r>
        <w:rPr>
          <w:b/>
          <w:bCs/>
          <w:sz w:val="24"/>
          <w:szCs w:val="24"/>
        </w:rPr>
        <w:t xml:space="preserve"> и </w:t>
      </w:r>
      <w:r>
        <w:rPr>
          <w:b/>
          <w:bCs/>
          <w:sz w:val="24"/>
          <w:szCs w:val="24"/>
          <w:lang w:val="en-US"/>
        </w:rPr>
        <w:t>WSP</w:t>
      </w:r>
      <w:r>
        <w:rPr>
          <w:b/>
          <w:bCs/>
          <w:sz w:val="24"/>
          <w:szCs w:val="24"/>
        </w:rPr>
        <w:t xml:space="preserve"> отсутствует у Заказчика, отсутствует возможность декомпиляции</w:t>
      </w:r>
      <w:r>
        <w:rPr>
          <w:sz w:val="24"/>
          <w:szCs w:val="24"/>
        </w:rPr>
        <w:t>, ПАО «РусГидро» не является правообладателем.</w:t>
      </w:r>
    </w:p>
    <w:p>
      <w:pPr>
        <w:pStyle w:val="Normal"/>
        <w:widowControl/>
        <w:shd w:val="clear" w:color="auto" w:fill="FFFFFF"/>
        <w:tabs>
          <w:tab w:val="clear" w:pos="708"/>
          <w:tab w:val="left" w:pos="426" w:leader="none"/>
          <w:tab w:val="left" w:pos="993" w:leader="none"/>
        </w:tabs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</w:rPr>
        <w:t>Каждая ферма ИС КСП включает следующие компоненты: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Database Server (Сервер баз данных) – обеспечивает хранение, запись, обновление, удаление и обработку данных.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Front-End (Сервер приложений) – обеспечивает интерфейс пользователя для взаимодействия с ИС КСП.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Application Server (Сервер приложений) – обеспечивает среду выполнения задач ИС КСП. Может быть несколько серверов приложений, разделяющих нагрузку между собой.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Remote Desktop Server (Сервер организации удаленного доступа) – организует удаленное рабочее место пользователя в сети РусГидро под управлением операционной системы Windows. Может быть несколько серверов удаленного доступа, разделяющих нагрузку между собой.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993" w:leader="none"/>
        </w:tabs>
        <w:spacing w:lineRule="auto" w:line="276" w:before="0" w:after="0"/>
        <w:contextualSpacing w:val="false"/>
        <w:jc w:val="both"/>
        <w:rPr/>
      </w:pPr>
      <w:r>
        <w:rPr>
          <w:lang w:eastAsia="x-none"/>
        </w:rPr>
        <w:t>Report Server (Сервер баз данных) – предоставляет интерфейс для настройки и просмотра пользовательской отчетности. Может быть объединен с сервером баз данных, либо настроен отдельно для увеличения производительности.</w:t>
      </w:r>
    </w:p>
    <w:p>
      <w:pPr>
        <w:pStyle w:val="Heading1"/>
        <w:keepLines/>
        <w:numPr>
          <w:ilvl w:val="0"/>
          <w:numId w:val="0"/>
        </w:numPr>
        <w:spacing w:before="113" w:after="113"/>
        <w:ind w:hanging="0" w:left="0"/>
        <w:rPr/>
      </w:pPr>
      <w:bookmarkStart w:id="5" w:name="__RefHeading___Toc62237_3104815314"/>
      <w:bookmarkEnd w:id="5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</w:p>
    <w:tbl>
      <w:tblPr>
        <w:tblW w:w="99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6"/>
        <w:gridCol w:w="1733"/>
        <w:gridCol w:w="2659"/>
        <w:gridCol w:w="3178"/>
        <w:gridCol w:w="1528"/>
      </w:tblGrid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lineRule="auto" w:line="276" w:before="113" w:after="113"/>
              <w:ind w:hanging="0" w:left="0"/>
              <w:contextualSpacing w:val="false"/>
              <w:jc w:val="center"/>
              <w:rPr/>
            </w:pPr>
            <w:r>
              <w:rPr/>
              <w:t>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ИС КСП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ind w:hanging="0" w:left="0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г. Красноярск,</w:t>
              <w:br/>
              <w:t>ул. Перенсона, д. 2А</w:t>
              <w:br/>
              <w:t>(услуга оказывается</w:t>
              <w:br/>
              <w:t>дистанционно)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ИС КСП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13" w:after="113"/>
              <w:ind w:hanging="0" w:left="0"/>
              <w:jc w:val="center"/>
              <w:rPr/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Heading4"/>
        <w:numPr>
          <w:ilvl w:val="1"/>
          <w:numId w:val="3"/>
        </w:numPr>
        <w:spacing w:lineRule="auto" w:line="276" w:before="227" w:after="227"/>
        <w:rPr/>
      </w:pPr>
      <w:bookmarkStart w:id="6" w:name="__RefHeading___Toc62239_3104815314"/>
      <w:bookmarkEnd w:id="6"/>
      <w:r>
        <w:rPr/>
        <w:t>Иные требования и сведения общего характера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  <w:lang w:eastAsia="x-none"/>
        </w:rPr>
        <w:t>Сотрудники Исполнителя должны осуществлять свою деятельность в рамках утвержденных положений Заказчика.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>
          <w:b/>
          <w:bCs/>
          <w:color w:val="auto"/>
        </w:rPr>
      </w:pPr>
      <w:r>
        <w:rPr>
          <w:b/>
          <w:bCs/>
          <w:color w:val="auto"/>
          <w:sz w:val="24"/>
          <w:szCs w:val="24"/>
          <w:lang w:eastAsia="x-none"/>
        </w:rPr>
        <w:t>Состав и содержание мероприятий по обеспечению сопровождения Систем: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>
          <w:color w:val="auto"/>
        </w:rPr>
      </w:pPr>
      <w:r>
        <w:rPr>
          <w:color w:val="auto"/>
          <w:sz w:val="24"/>
          <w:szCs w:val="24"/>
          <w:lang w:eastAsia="x-none"/>
        </w:rPr>
        <w:t>Для создания условий, при которых гарантируется соответствие оказываемых услуг по сопровождению Систем настоящим Техническому заданию, Заказчиком должен быть проведен комплекс технических и организационных мероприятий, включающий, как минимум:</w:t>
      </w:r>
    </w:p>
    <w:p>
      <w:pPr>
        <w:pStyle w:val="Normal"/>
        <w:widowControl/>
        <w:numPr>
          <w:ilvl w:val="0"/>
          <w:numId w:val="13"/>
        </w:numPr>
        <w:suppressAutoHyphens w:val="true"/>
        <w:bidi w:val="0"/>
        <w:spacing w:lineRule="auto" w:line="276" w:before="113" w:after="113"/>
        <w:jc w:val="both"/>
        <w:rPr>
          <w:color w:val="auto"/>
        </w:rPr>
      </w:pPr>
      <w:r>
        <w:rPr>
          <w:color w:val="auto"/>
          <w:sz w:val="24"/>
          <w:szCs w:val="24"/>
          <w:lang w:eastAsia="x-none"/>
        </w:rPr>
        <w:t>Организацию рабочего места Исполнителя через удаленный доступ соответствующих специалистов Исполнителя в корпоративную сеть Заказчика по действующим в Обществе процедурам предоставления доступа и на срок действия Договора по данному проекту.</w:t>
      </w:r>
    </w:p>
    <w:p>
      <w:pPr>
        <w:pStyle w:val="Normal"/>
        <w:widowControl/>
        <w:numPr>
          <w:ilvl w:val="0"/>
          <w:numId w:val="13"/>
        </w:numPr>
        <w:suppressAutoHyphens w:val="true"/>
        <w:bidi w:val="0"/>
        <w:spacing w:lineRule="auto" w:line="276" w:before="113" w:after="113"/>
        <w:jc w:val="both"/>
        <w:rPr>
          <w:color w:val="auto"/>
        </w:rPr>
      </w:pPr>
      <w:r>
        <w:rPr>
          <w:color w:val="auto"/>
          <w:sz w:val="24"/>
          <w:szCs w:val="24"/>
          <w:lang w:eastAsia="x-none"/>
        </w:rPr>
        <w:t>Организацию на базе инфраструктуры Заказчика тестовой среды для функционального тестирования в случае необходимости.</w:t>
      </w:r>
    </w:p>
    <w:p>
      <w:pPr>
        <w:pStyle w:val="Normal"/>
        <w:widowControl/>
        <w:numPr>
          <w:ilvl w:val="0"/>
          <w:numId w:val="13"/>
        </w:numPr>
        <w:suppressAutoHyphens w:val="true"/>
        <w:bidi w:val="0"/>
        <w:spacing w:lineRule="auto" w:line="276" w:before="113" w:after="113"/>
        <w:jc w:val="both"/>
        <w:rPr>
          <w:color w:val="auto"/>
        </w:rPr>
      </w:pPr>
      <w:r>
        <w:rPr>
          <w:color w:val="auto"/>
          <w:sz w:val="24"/>
          <w:szCs w:val="24"/>
          <w:lang w:eastAsia="x-none"/>
        </w:rPr>
        <w:t>Организацию доступа ключевых пользователей к тестовой среде на этапе функционального тестирования, в случае необходимости.</w:t>
      </w:r>
    </w:p>
    <w:p>
      <w:pPr>
        <w:pStyle w:val="Normal"/>
        <w:widowControl/>
        <w:numPr>
          <w:ilvl w:val="0"/>
          <w:numId w:val="13"/>
        </w:numPr>
        <w:suppressAutoHyphens w:val="true"/>
        <w:bidi w:val="0"/>
        <w:spacing w:lineRule="auto" w:line="276" w:before="113" w:after="113"/>
        <w:jc w:val="both"/>
        <w:rPr>
          <w:color w:val="auto"/>
        </w:rPr>
      </w:pPr>
      <w:r>
        <w:rPr>
          <w:color w:val="auto"/>
          <w:sz w:val="24"/>
          <w:szCs w:val="24"/>
          <w:lang w:eastAsia="x-none"/>
        </w:rPr>
        <w:t>Организацию установки и обновления Систем в тестовой и рабочей среде в соответствии с регламентами управления изменениями, действующими у Заказчика.</w:t>
      </w:r>
    </w:p>
    <w:p>
      <w:pPr>
        <w:pStyle w:val="Normal"/>
        <w:widowControl/>
        <w:numPr>
          <w:ilvl w:val="0"/>
          <w:numId w:val="13"/>
        </w:numPr>
        <w:suppressAutoHyphens w:val="true"/>
        <w:bidi w:val="0"/>
        <w:spacing w:lineRule="auto" w:line="276" w:before="113" w:after="113"/>
        <w:jc w:val="both"/>
        <w:rPr>
          <w:color w:val="auto"/>
        </w:rPr>
      </w:pPr>
      <w:r>
        <w:rPr>
          <w:color w:val="auto"/>
          <w:sz w:val="24"/>
          <w:szCs w:val="24"/>
          <w:lang w:eastAsia="x-none"/>
        </w:rPr>
        <w:t>Согласование передаваемой эксплуатационной документации.</w:t>
      </w:r>
    </w:p>
    <w:p>
      <w:pPr>
        <w:pStyle w:val="Normal"/>
        <w:widowControl/>
        <w:numPr>
          <w:ilvl w:val="0"/>
          <w:numId w:val="13"/>
        </w:numPr>
        <w:suppressAutoHyphens w:val="true"/>
        <w:bidi w:val="0"/>
        <w:spacing w:lineRule="auto" w:line="276" w:before="113" w:after="113"/>
        <w:jc w:val="both"/>
        <w:rPr>
          <w:color w:val="auto"/>
        </w:rPr>
      </w:pPr>
      <w:r>
        <w:rPr>
          <w:color w:val="auto"/>
          <w:sz w:val="24"/>
          <w:szCs w:val="24"/>
          <w:lang w:eastAsia="x-none"/>
        </w:rPr>
        <w:t>Назначение ответственных за эксплуатацию Систем со стороны Заказчика, передачу Исполнителем Заказчику всех системных учетных записей и паролей.</w:t>
      </w:r>
    </w:p>
    <w:p>
      <w:pPr>
        <w:pStyle w:val="Normal"/>
        <w:widowControl/>
        <w:numPr>
          <w:ilvl w:val="0"/>
          <w:numId w:val="13"/>
        </w:numPr>
        <w:suppressAutoHyphens w:val="true"/>
        <w:bidi w:val="0"/>
        <w:spacing w:lineRule="auto" w:line="276" w:before="113" w:after="113"/>
        <w:jc w:val="both"/>
        <w:rPr>
          <w:color w:val="auto"/>
        </w:rPr>
      </w:pPr>
      <w:r>
        <w:rPr>
          <w:color w:val="auto"/>
          <w:sz w:val="24"/>
          <w:szCs w:val="24"/>
          <w:lang w:eastAsia="x-none"/>
        </w:rPr>
        <w:t>Иные организационные мероприятия для обеспечения эксплуатации и незначительных доработок систем.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rPr/>
      </w:pPr>
      <w:r>
        <w:rPr>
          <w:b/>
          <w:bCs/>
          <w:sz w:val="24"/>
          <w:szCs w:val="24"/>
          <w:lang w:val="x-none" w:eastAsia="x-none"/>
        </w:rPr>
        <w:t>Требования к информационной безопасности: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  <w:lang w:val="x-none" w:eastAsia="x-none"/>
        </w:rPr>
        <w:t xml:space="preserve">Требования к информационной безопасности должны обеспечиваться на всех стадиях жизненного цикла систем, с учетом всех сторон, вовлеченных в процессы жизненного цикла (разработчиков заказчиков, поставщиков продуктов и услуг, эксплуатирующих и надзорных подразделений Общества) и в соответствии с действующими политиками, регламентами и ОРД Заказчика. 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rPr/>
      </w:pPr>
      <w:r>
        <w:rPr>
          <w:b/>
          <w:bCs/>
          <w:sz w:val="24"/>
          <w:szCs w:val="24"/>
          <w:lang w:val="x-none" w:eastAsia="x-none"/>
        </w:rPr>
        <w:t>Требования к формированию команды Исполнителя: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  <w:lang w:val="x-none" w:eastAsia="x-none"/>
        </w:rPr>
        <w:t>Состав команды Исполнителя, выполняющей обслуживание, должен быть согласован с Заказчиком (с учетом требования п. 1.7. Таблицы 4 ТТ). Любой специалист команды Исполнителя должен быть выведен из команды при наличии мотивированного требования Заказчика.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rPr/>
      </w:pPr>
      <w:r>
        <w:rPr>
          <w:b/>
          <w:bCs/>
          <w:sz w:val="24"/>
          <w:szCs w:val="24"/>
          <w:lang w:val="x-none" w:eastAsia="x-none"/>
        </w:rPr>
        <w:t>Мониторинг состояния Систем: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  <w:lang w:val="x-none" w:eastAsia="x-none"/>
        </w:rPr>
        <w:t>Мониторинг работоспособности Системы осуществляется с помощью системы мониторинга Заказчика 24 часа в сутки. В случае фиксации отклонений от заданных параметров системой мониторинга, Исполнителю направляется почтовое сообщение на предварительно настроенный, например, при сдаче в промышленную эксплуатацию Системы почтовый ящик для оценки состояния Системы и принятия Исполнителем мер упреждающих отказ, прекращение функционирования Системы.</w:t>
      </w:r>
    </w:p>
    <w:p>
      <w:pPr>
        <w:pStyle w:val="Heading1"/>
        <w:keepLines/>
        <w:numPr>
          <w:ilvl w:val="0"/>
          <w:numId w:val="3"/>
        </w:numPr>
        <w:spacing w:before="227" w:after="227"/>
        <w:ind w:hanging="0" w:left="0"/>
        <w:jc w:val="center"/>
        <w:rPr/>
      </w:pPr>
      <w:bookmarkStart w:id="7" w:name="__RefHeading___Toc62241_3104815314"/>
      <w:bookmarkEnd w:id="7"/>
      <w:r>
        <w:rPr>
          <w:iCs/>
          <w:lang w:val="ru-RU"/>
        </w:rPr>
        <w:t>Требования</w:t>
      </w:r>
      <w:r>
        <w:rPr>
          <w:iCs/>
        </w:rPr>
        <w:t xml:space="preserve"> к услугам</w:t>
      </w:r>
    </w:p>
    <w:p>
      <w:pPr>
        <w:pStyle w:val="Heading4"/>
        <w:numPr>
          <w:ilvl w:val="1"/>
          <w:numId w:val="3"/>
        </w:numPr>
        <w:spacing w:lineRule="auto" w:line="276" w:before="113" w:after="113"/>
        <w:ind w:hanging="431" w:left="431"/>
        <w:rPr/>
      </w:pPr>
      <w:bookmarkStart w:id="8" w:name="__RefHeading___Toc62243_3104815314"/>
      <w:bookmarkEnd w:id="8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567" w:left="0" w:right="0"/>
        <w:jc w:val="both"/>
        <w:rPr/>
      </w:pPr>
      <w:r>
        <w:rPr>
          <w:sz w:val="24"/>
          <w:szCs w:val="24"/>
        </w:rPr>
        <w:t>Объем выполнения услуг определяется в соответствии с требованиями по качеству оказания услуг и соглашению об уровне предоставления услуг (SLA).</w:t>
      </w:r>
    </w:p>
    <w:p>
      <w:pPr>
        <w:pStyle w:val="Heading1"/>
        <w:keepLines/>
        <w:numPr>
          <w:ilvl w:val="0"/>
          <w:numId w:val="0"/>
        </w:numPr>
        <w:spacing w:lineRule="auto" w:line="276" w:before="113" w:after="113"/>
        <w:ind w:hanging="0" w:left="0"/>
        <w:rPr/>
      </w:pPr>
      <w:bookmarkStart w:id="9" w:name="__RefHeading___Toc62245_3104815314"/>
      <w:bookmarkEnd w:id="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оказываемых услуг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28"/>
        <w:gridCol w:w="8892"/>
      </w:tblGrid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76" w:before="85" w:after="85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№</w:t>
            </w:r>
            <w:r>
              <w:rPr>
                <w:b/>
                <w:bCs/>
                <w:sz w:val="24"/>
                <w:szCs w:val="24"/>
              </w:rPr>
              <w:br/>
              <w:t>п/п</w:t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76" w:before="85" w:after="85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Наименование услуг / этапа услуг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85" w:after="85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85" w:after="85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rPr/>
            </w:pPr>
            <w:r>
              <w:rPr>
                <w:b/>
                <w:bCs/>
                <w:sz w:val="24"/>
                <w:szCs w:val="24"/>
                <w:lang w:eastAsia="x-none"/>
              </w:rPr>
              <w:t>Сопровождение проектов системы управления проектами на восемь предприятий Группы РусГидро, располагающихся на территории Дальневосточного Федерального Округа (ПО ДФО), включая: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Запросы на обновление и исправление ошибок ИС КСП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 xml:space="preserve">Исправление ошибок при работе с </w:t>
            </w:r>
            <w:r>
              <w:rPr>
                <w:sz w:val="24"/>
                <w:szCs w:val="24"/>
                <w:lang w:val="en-US"/>
              </w:rPr>
              <w:t>MS</w:t>
            </w:r>
            <w:r>
              <w:rPr>
                <w:sz w:val="24"/>
                <w:szCs w:val="24"/>
              </w:rPr>
              <w:t xml:space="preserve"> Project и ИС КСП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 xml:space="preserve">Решение проблем с настройкой </w:t>
            </w:r>
            <w:r>
              <w:rPr>
                <w:sz w:val="24"/>
                <w:szCs w:val="24"/>
                <w:lang w:val="en-US"/>
              </w:rPr>
              <w:t>MS</w:t>
            </w:r>
            <w:r>
              <w:rPr>
                <w:sz w:val="24"/>
                <w:szCs w:val="24"/>
              </w:rPr>
              <w:t xml:space="preserve"> Project и ИС КСП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rFonts w:eastAsia="Calibri"/>
                <w:b/>
                <w:bCs/>
                <w:sz w:val="24"/>
                <w:szCs w:val="24"/>
              </w:rPr>
              <w:t>Перечень задач в рамках обеспечения работоспособности и производительности Комплекса: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Выполнение процедур штатного обслуживания (включая регламентно-профилактические работы) согласно Регламенту штатного обслуживания Систем с ведением журнала выполненных работ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Осуществление контроля и анализа состояния Систем с помощью системы мониторинга Заказчика с последующей выдачей рекомендаций по повышению производительности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Проведение восстановительных работ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Накопление и анализ данных об ошибках, сбоях и отказах Систем в процессе эксплуатации с последующим предоставлением отчетности Заказчику с указанием выполненного комплекса мероприятий для устранения и предотвращения повторного возникновения ошибок, сбоев и отказов Систем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Обеспечение требуемого уровня предоставления услуги в соответствие с SLA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Устранение отказов и сбоев в работе Систем, выявленных в процессе эксплуатации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Исправление ошибок в работе Систем, настройки без программирования, выявленных в результате мониторинга системы, анализа Обращений пользователей, проблем и нештатных ситуаций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Обновление эксплуатационной документации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Выполнение незначительных доработок в Системах, не затрагивающих основные технические решения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Обеспечение работоспособности интеграционных решений систем, входящих в состав Систем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b/>
                <w:bCs/>
                <w:sz w:val="24"/>
                <w:szCs w:val="24"/>
                <w:lang w:eastAsia="x-none"/>
              </w:rPr>
              <w:t>Перечень задач в рамках обеспечения поддержки пользователей Систем: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Консультационная поддержка Заказчика (в т.ч. пользователей Систем Заказчика) по вопросам эксплуатации и сопровождения Систем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Выполнение запросов на обслуживание пользователей Систем (в том числе регистрация пользователей, управление правами и привилегиями пользователей Систем, предоставление сервисов Систем, управление компонентами Комплекса)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Функциональное администрирование Систем (в том числе оказание методологической поддержки пользователям Комплекса)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Модификация системы (запросы на изменение функционала) по запросу функционального заказчика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b/>
                <w:bCs/>
                <w:sz w:val="24"/>
                <w:szCs w:val="24"/>
                <w:lang w:eastAsia="x-none"/>
              </w:rPr>
              <w:t>Перечень задач в рамках осуществления настройки Систем по заявкам Заказчика: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Выполнение доработок Систем без изменения основной функциональности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Проведение анализа необходимости внесения изменений в Системы с последующей выдачей рекомендаций Заказчику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Формирование и согласование с Заказчиком частных технических заданий (далее – ЧТЗ) в случае необходимости внесения изменений/незначительных доработок в Системах. В ЧТЗ Исполнителем описывается: обоснование изменения, суть изменения, предлагаемое решение с оценкой трудоемкости и рисков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</w:rPr>
              <w:t>Обязательное документирование в случае выхода релиза (обновления Систем) Исполнителем должно быть представлено описание исправленных ошибок, выполненных изменений/незначительных доработок, вошедших в релиз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b/>
                <w:sz w:val="24"/>
                <w:szCs w:val="24"/>
              </w:rPr>
              <w:t>Перечень автоматизируемых процессов: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  <w:lang w:eastAsia="x-none"/>
              </w:rPr>
              <w:t>Инициирование проекта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  <w:lang w:eastAsia="x-none"/>
              </w:rPr>
              <w:t>Планирование проекта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  <w:lang w:eastAsia="x-none"/>
              </w:rPr>
              <w:t>Оперативное планирование проекта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  <w:lang w:eastAsia="x-none"/>
              </w:rPr>
              <w:t>Мониторинг и контроль проекта, производственной и инвестиционной программ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  <w:lang w:eastAsia="x-none"/>
              </w:rPr>
              <w:t>Управление изменениями</w:t>
            </w:r>
          </w:p>
        </w:tc>
      </w:tr>
      <w:tr>
        <w:trPr>
          <w:cantSplit w:val="true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lineRule="auto" w:line="276" w:before="85" w:after="85"/>
              <w:contextualSpacing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auto" w:line="276" w:before="85" w:after="85"/>
              <w:ind w:left="3"/>
              <w:rPr/>
            </w:pPr>
            <w:r>
              <w:rPr>
                <w:sz w:val="24"/>
                <w:szCs w:val="24"/>
                <w:lang w:eastAsia="x-none"/>
              </w:rPr>
              <w:t>Управление рисками</w:t>
            </w:r>
          </w:p>
        </w:tc>
      </w:tr>
    </w:tbl>
    <w:p>
      <w:pPr>
        <w:pStyle w:val="Heading4"/>
        <w:widowControl/>
        <w:numPr>
          <w:ilvl w:val="0"/>
          <w:numId w:val="0"/>
        </w:numPr>
        <w:suppressAutoHyphens w:val="true"/>
        <w:spacing w:lineRule="auto" w:line="276" w:before="113" w:after="113"/>
        <w:ind w:hanging="431" w:left="431"/>
        <w:jc w:val="left"/>
        <w:rPr>
          <w:lang w:val="ru-RU"/>
        </w:rPr>
      </w:pPr>
      <w:r>
        <w:rPr>
          <w:lang w:val="ru-RU"/>
        </w:rPr>
      </w:r>
      <w:r>
        <w:br w:type="page"/>
      </w:r>
    </w:p>
    <w:p>
      <w:pPr>
        <w:pStyle w:val="Heading4"/>
        <w:numPr>
          <w:ilvl w:val="1"/>
          <w:numId w:val="3"/>
        </w:numPr>
        <w:spacing w:lineRule="auto" w:line="276" w:before="113" w:after="113"/>
        <w:ind w:hanging="431" w:left="431"/>
        <w:rPr/>
      </w:pPr>
      <w:bookmarkStart w:id="10" w:name="__RefHeading___Toc62247_3104815314"/>
      <w:bookmarkEnd w:id="10"/>
      <w:r>
        <w:rPr>
          <w:lang w:val="ru-RU"/>
        </w:rPr>
        <w:t>Требования к срокам оказания услуг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rPr/>
      </w:pPr>
      <w:r>
        <w:rPr>
          <w:sz w:val="24"/>
          <w:szCs w:val="24"/>
        </w:rPr>
        <w:t>Услуги оказываются Исполнителем в следующие сроки: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993" w:leader="none"/>
        </w:tabs>
        <w:spacing w:lineRule="auto" w:line="276" w:before="113" w:after="113"/>
        <w:contextualSpacing w:val="false"/>
        <w:jc w:val="both"/>
        <w:rPr/>
      </w:pPr>
      <w:r>
        <w:rPr>
          <w:lang w:eastAsia="x-none"/>
        </w:rPr>
        <w:t>Начало оказания услуг: 01.04.2027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993" w:leader="none"/>
        </w:tabs>
        <w:spacing w:lineRule="auto" w:line="276" w:before="113" w:after="113"/>
        <w:contextualSpacing w:val="false"/>
        <w:jc w:val="both"/>
        <w:rPr/>
      </w:pPr>
      <w:r>
        <w:rPr>
          <w:lang w:eastAsia="x-none"/>
        </w:rPr>
        <w:t>Окончание оказания услуг: 31.03.2028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</w:rPr>
        <w:t>В</w:t>
      </w:r>
      <w:r>
        <w:rPr>
          <w:color w:val="auto"/>
          <w:sz w:val="24"/>
          <w:szCs w:val="24"/>
        </w:rPr>
        <w:t>се услуги из Таблицы 2 объединены в единую «Услуга по организации сопровождения информационной системы (ИС Календарно-сетевого планирования (ИС КСП)»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4"/>
          <w:szCs w:val="24"/>
        </w:rPr>
        <w:t>и должны осуществляться в соответствии с этапами, приведенными в Таблице 3, а также сопровождаться в конце каждого этапа отчетными документами: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993" w:leader="none"/>
        </w:tabs>
        <w:spacing w:lineRule="auto" w:line="276" w:before="113" w:after="113"/>
        <w:contextualSpacing w:val="false"/>
        <w:jc w:val="both"/>
        <w:rPr/>
      </w:pPr>
      <w:r>
        <w:rPr>
          <w:lang w:eastAsia="x-none"/>
        </w:rPr>
        <w:t>Отчет по качеству предоставления услуг (Приложение № 2);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993" w:leader="none"/>
        </w:tabs>
        <w:spacing w:lineRule="auto" w:line="276" w:before="113" w:after="113"/>
        <w:contextualSpacing w:val="false"/>
        <w:jc w:val="both"/>
        <w:rPr/>
      </w:pPr>
      <w:r>
        <w:rPr>
          <w:lang w:eastAsia="en-US"/>
        </w:rPr>
        <w:t>Универсальный передаточный документ (УПД)</w:t>
      </w:r>
    </w:p>
    <w:p>
      <w:pPr>
        <w:pStyle w:val="Heading1"/>
        <w:numPr>
          <w:ilvl w:val="0"/>
          <w:numId w:val="0"/>
        </w:numPr>
        <w:spacing w:lineRule="auto" w:line="276" w:before="113" w:after="113"/>
        <w:ind w:hanging="0" w:left="0"/>
        <w:rPr/>
      </w:pPr>
      <w:bookmarkStart w:id="11" w:name="__RefHeading___Toc62249_3104815314"/>
      <w:bookmarkEnd w:id="1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r>
        <w:rPr>
          <w:sz w:val="24"/>
          <w:szCs w:val="24"/>
          <w:lang w:val="ru-RU"/>
        </w:rPr>
        <w:t>оказания услуг</w:t>
      </w:r>
    </w:p>
    <w:tbl>
      <w:tblPr>
        <w:tblW w:w="9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4988"/>
        <w:gridCol w:w="1760"/>
        <w:gridCol w:w="1753"/>
      </w:tblGrid>
      <w:tr>
        <w:trPr>
          <w:trHeight w:val="1396" w:hRule="atLeast"/>
          <w:cantSplit w:val="true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№</w:t>
            </w:r>
            <w:r>
              <w:rPr>
                <w:color w:val="auto"/>
                <w:sz w:val="20"/>
                <w:szCs w:val="20"/>
              </w:rPr>
              <w:br/>
              <w:t>этапа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Наименование услуг / этапа услуг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Требования к началу срока оказания услуг / этапа услуг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Требования к окончанию срока оказания услуг / этапа услуг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2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4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 этап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01.04.2027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30.04.2027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 этап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01.05.2027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31.05.2027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 этап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01.06.2027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30.06.2027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 этап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01.07.2027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31.07.2027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 этап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01.08.2027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31.08.2027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 этап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01.09.2027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30.09.2027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7 этап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01.10.2027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31.10.2027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 этап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01.11.2027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30.11.2027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9 этап</w:t>
            </w:r>
          </w:p>
        </w:tc>
        <w:tc>
          <w:tcPr>
            <w:tcW w:w="4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01.12.2027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31.12.2027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 этап</w:t>
            </w:r>
          </w:p>
        </w:tc>
        <w:tc>
          <w:tcPr>
            <w:tcW w:w="4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01.01.2028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31.01.2028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11 этап</w:t>
            </w:r>
          </w:p>
        </w:tc>
        <w:tc>
          <w:tcPr>
            <w:tcW w:w="4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01.02.2028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29.02.2028</w:t>
            </w:r>
          </w:p>
        </w:tc>
      </w:tr>
      <w:tr>
        <w:trPr>
          <w:cantSplit w:val="true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12 этап</w:t>
            </w:r>
          </w:p>
        </w:tc>
        <w:tc>
          <w:tcPr>
            <w:tcW w:w="4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Услуга по организации сопровождения информационной системы</w:t>
              <w:br/>
              <w:t>(ИС Календарно-сетевого планирования (ИС КСП)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01.03.2028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31.03.2028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spacing w:lineRule="auto" w:line="276" w:before="0" w:after="113"/>
        <w:ind w:hanging="431" w:left="431"/>
        <w:jc w:val="both"/>
        <w:rPr>
          <w:color w:val="auto"/>
          <w:spacing w:val="0"/>
        </w:rPr>
      </w:pPr>
      <w:bookmarkStart w:id="12" w:name="__RefHeading___Toc62251_3104815314"/>
      <w:bookmarkEnd w:id="12"/>
      <w:r>
        <w:rPr>
          <w:color w:val="auto"/>
          <w:spacing w:val="0"/>
        </w:rPr>
        <w:t xml:space="preserve">Требования к </w:t>
      </w:r>
      <w:r>
        <w:rPr>
          <w:color w:val="auto"/>
          <w:spacing w:val="0"/>
          <w:lang w:val="ru-RU"/>
        </w:rPr>
        <w:t>качеству услуги</w:t>
      </w:r>
    </w:p>
    <w:p>
      <w:pPr>
        <w:pStyle w:val="Normal"/>
        <w:keepNext w:val="true"/>
        <w:keepLines/>
        <w:spacing w:before="113" w:after="113"/>
        <w:jc w:val="both"/>
        <w:rPr>
          <w:color w:val="auto"/>
          <w:spacing w:val="0"/>
        </w:rPr>
      </w:pPr>
      <w:r>
        <w:rPr>
          <w:color w:val="auto"/>
          <w:spacing w:val="0"/>
          <w:sz w:val="24"/>
          <w:szCs w:val="24"/>
        </w:rPr>
        <w:t>Все услуги из Таблицы 2 объединены в единую «</w:t>
      </w:r>
      <w:r>
        <w:rPr>
          <w:rFonts w:eastAsia="Calibri"/>
          <w:color w:val="auto"/>
          <w:spacing w:val="0"/>
          <w:sz w:val="24"/>
          <w:szCs w:val="24"/>
        </w:rPr>
        <w:t>Услугу по сопровождению информационной системы календарно-сетевого планирования (ИС КСП)</w:t>
      </w:r>
      <w:r>
        <w:rPr>
          <w:color w:val="auto"/>
          <w:spacing w:val="0"/>
          <w:sz w:val="24"/>
          <w:szCs w:val="24"/>
        </w:rPr>
        <w:t>» и должны осуществляться в соответствии с требованиями, приведенными в таблице:</w:t>
      </w:r>
    </w:p>
    <w:p>
      <w:pPr>
        <w:pStyle w:val="Heading1"/>
        <w:numPr>
          <w:ilvl w:val="0"/>
          <w:numId w:val="0"/>
        </w:numPr>
        <w:spacing w:before="113" w:after="113"/>
        <w:ind w:hanging="0" w:left="0"/>
        <w:jc w:val="both"/>
        <w:rPr>
          <w:color w:val="auto"/>
          <w:spacing w:val="0"/>
        </w:rPr>
      </w:pPr>
      <w:bookmarkStart w:id="13" w:name="__RefHeading___Toc62253_3104815314"/>
      <w:bookmarkEnd w:id="13"/>
      <w:r>
        <w:rPr>
          <w:color w:val="auto"/>
          <w:spacing w:val="0"/>
          <w:sz w:val="24"/>
          <w:szCs w:val="24"/>
        </w:rPr>
        <w:t>Таблица </w:t>
      </w:r>
      <w:r>
        <w:rPr>
          <w:color w:val="auto"/>
          <w:spacing w:val="0"/>
          <w:sz w:val="24"/>
          <w:szCs w:val="24"/>
          <w:lang w:val="ru-RU"/>
        </w:rPr>
        <w:t>4</w:t>
      </w:r>
      <w:r>
        <w:rPr>
          <w:color w:val="auto"/>
          <w:spacing w:val="0"/>
          <w:sz w:val="24"/>
          <w:szCs w:val="24"/>
        </w:rPr>
        <w:t xml:space="preserve">. Требования к </w:t>
      </w:r>
      <w:r>
        <w:rPr>
          <w:color w:val="auto"/>
          <w:spacing w:val="0"/>
          <w:sz w:val="24"/>
          <w:szCs w:val="24"/>
          <w:lang w:val="ru-RU"/>
        </w:rPr>
        <w:t>качеству услуги</w:t>
      </w:r>
      <w:r>
        <w:rPr>
          <w:color w:val="auto"/>
          <w:spacing w:val="0"/>
          <w:sz w:val="24"/>
          <w:szCs w:val="24"/>
        </w:rPr>
        <w:t xml:space="preserve"> </w:t>
      </w:r>
    </w:p>
    <w:p>
      <w:pPr>
        <w:pStyle w:val="Normal"/>
        <w:spacing w:before="113" w:after="113"/>
        <w:jc w:val="both"/>
        <w:rPr>
          <w:color w:val="auto"/>
          <w:spacing w:val="0"/>
        </w:rPr>
      </w:pPr>
      <w:r>
        <w:rPr>
          <w:b/>
          <w:bCs/>
          <w:color w:val="auto"/>
          <w:spacing w:val="0"/>
          <w:sz w:val="24"/>
          <w:szCs w:val="24"/>
        </w:rPr>
        <w:t>Наименование услуг/этапа услуг:</w:t>
      </w:r>
      <w:r>
        <w:rPr>
          <w:b w:val="false"/>
          <w:bCs w:val="false"/>
          <w:color w:val="auto"/>
          <w:spacing w:val="0"/>
          <w:sz w:val="24"/>
          <w:szCs w:val="24"/>
        </w:rPr>
        <w:t xml:space="preserve"> Услугу по сопровождению информационной системы календарно-сетевого планирования (ИС КСП).</w:t>
      </w:r>
    </w:p>
    <w:tbl>
      <w:tblPr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1862"/>
        <w:gridCol w:w="6176"/>
        <w:gridCol w:w="1938"/>
        <w:gridCol w:w="2316"/>
        <w:gridCol w:w="1741"/>
      </w:tblGrid>
      <w:tr>
        <w:trPr/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6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1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6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bookmarkStart w:id="14" w:name="_Toc53499667_Копия_4"/>
            <w:r>
              <w:rPr>
                <w:b/>
                <w:bCs/>
                <w:sz w:val="22"/>
                <w:szCs w:val="22"/>
              </w:rPr>
              <w:t>1</w:t>
            </w:r>
            <w:bookmarkEnd w:id="14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4"/>
              </w:numPr>
              <w:spacing w:before="57" w:after="57"/>
              <w:ind w:hanging="0" w:left="0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оказанию услуг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spacing w:before="57" w:after="57"/>
              <w:ind w:hanging="0" w:left="0"/>
              <w:contextualSpacing w:val="false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Общие требования к оказанию услуг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spacing w:before="57" w:after="57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 требования к контролю качества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x-none"/>
              </w:rPr>
              <w:t>Заказчик контролирует качество оказания услуг</w:t>
              <w:br/>
              <w:t xml:space="preserve">в соответствии с показателями, </w:t>
            </w:r>
            <w:r>
              <w:rPr>
                <w:color w:val="000000"/>
                <w:sz w:val="22"/>
                <w:szCs w:val="22"/>
                <w:lang w:eastAsia="x-none"/>
              </w:rPr>
              <w:t>приведенными в п. 2.4.</w:t>
            </w:r>
          </w:p>
          <w:p>
            <w:pPr>
              <w:pStyle w:val="Normal"/>
              <w:widowControl w:val="false"/>
              <w:spacing w:lineRule="auto" w:line="276"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x-none" w:eastAsia="x-none"/>
              </w:rPr>
              <w:t>Контроль качества осуществляется посредством предоставления Исполнителем отчетов по качеству предоставления услуг, определенной в Приложении № 2.</w:t>
            </w:r>
          </w:p>
          <w:p>
            <w:pPr>
              <w:pStyle w:val="Normal"/>
              <w:widowControl w:val="false"/>
              <w:spacing w:lineRule="auto" w:line="276" w:before="57" w:after="57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x-none" w:eastAsia="x-none"/>
              </w:rPr>
              <w:t xml:space="preserve">Контроль исполнения требований субподрядчиками Исполнителя (при их наличии) осуществляется посредством предоставления Исполнителем отчетов по исполнению требований </w:t>
            </w:r>
            <w:r>
              <w:rPr>
                <w:color w:val="000000"/>
                <w:sz w:val="22"/>
                <w:szCs w:val="22"/>
                <w:lang w:eastAsia="x-none"/>
              </w:rPr>
              <w:t xml:space="preserve">соответствующего </w:t>
            </w:r>
            <w:r>
              <w:rPr>
                <w:color w:val="000000"/>
                <w:sz w:val="22"/>
                <w:szCs w:val="22"/>
                <w:lang w:val="x-none" w:eastAsia="x-none"/>
              </w:rPr>
              <w:t>договора субподряда</w:t>
              <w:br/>
              <w:t>по запросу Заказчика.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 w:before="57" w:after="57"/>
              <w:jc w:val="left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spacing w:before="57" w:after="57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взаимодействию сторон в процессе оказания Услуги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lef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Взаимодействие представителей Заказчика и Исполнителя осуществляется через КСА СПП Заказчика по форме, согласованной в Обществе, а также помимо этого может осуществляться лично, по телефону, либо посредством электронной почты.</w:t>
            </w:r>
          </w:p>
          <w:p>
            <w:pPr>
              <w:pStyle w:val="Normal"/>
              <w:widowControl w:val="false"/>
              <w:spacing w:lineRule="auto" w:line="276" w:before="57" w:after="57"/>
              <w:jc w:val="lef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Заявка подается пользователями в произвольной форме,</w:t>
              <w:br/>
              <w:t>и должна содержать следующую информацию: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pacing w:lineRule="auto" w:line="276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Ф.И.О., номер телефона, местоположения пользователя, адрес электронной почты пользователя Заказчика;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pacing w:lineRule="auto" w:line="276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Полное описание возникшей ситуации, при необходимости содержащее копии экранных форм, сообщения об ошибках и т.п.</w:t>
            </w:r>
          </w:p>
          <w:p>
            <w:pPr>
              <w:pStyle w:val="Normal"/>
              <w:widowControl w:val="false"/>
              <w:spacing w:lineRule="auto" w:line="276" w:before="28" w:after="28"/>
              <w:jc w:val="lef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 возникновении у Заказчика и/или пользователей Заказчика инцидента, проблемы, аварии, вопроса или предложения при эксплуатации Системы, Заказчик уведомляет об этом Исполнителя путем направления обращения (здесь</w:t>
              <w:br/>
              <w:t xml:space="preserve">и далее под Обращением понимается заявка пользователя Заказчика, зафиксированная в КСА СПП). </w:t>
            </w:r>
          </w:p>
          <w:p>
            <w:pPr>
              <w:pStyle w:val="Normal"/>
              <w:widowControl w:val="false"/>
              <w:spacing w:lineRule="auto" w:line="276" w:before="28" w:after="28"/>
              <w:jc w:val="lef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 факту выяснения причины, вызвавшей Обращение (совместно с контактным лицом Заказчика и пользователем Заказчика) Исполнитель незамедлительно фиксирует данную информацию в обрабатываемом Обращении.</w:t>
            </w:r>
          </w:p>
          <w:p>
            <w:pPr>
              <w:pStyle w:val="Normal"/>
              <w:widowControl w:val="false"/>
              <w:spacing w:lineRule="auto" w:line="276" w:before="28" w:after="28"/>
              <w:jc w:val="lef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Решение о необходимых действиях для устранения Инцидента, выполнения ЗНО принимается специалистами Исполнителя на основании Обращения. Исполнитель</w:t>
              <w:br/>
              <w:t>в обязательном порядке фиксирует выполненные действия</w:t>
              <w:br/>
              <w:t>в обрабатываемом Обращении. При этом рекомендуется указывать суммарные трудозатраты на решение Обращения.</w:t>
            </w:r>
          </w:p>
          <w:p>
            <w:pPr>
              <w:pStyle w:val="Normal"/>
              <w:widowControl w:val="false"/>
              <w:spacing w:lineRule="auto" w:line="276" w:before="28" w:after="28"/>
              <w:jc w:val="left"/>
              <w:rPr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>В суммарные трудозатраты входит время на изучение проблемы, формирование решения, выполнение необходимых действий.</w:t>
            </w:r>
          </w:p>
          <w:p>
            <w:pPr>
              <w:pStyle w:val="Normal"/>
              <w:widowControl w:val="false"/>
              <w:spacing w:lineRule="auto" w:line="276" w:before="28" w:after="28"/>
              <w:jc w:val="lef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Обращение считается закрытым с момента выполнения заявки, подтвержденного реакцией Заказчика/пользователя Заказчика на запрос закрытия Обращения при условии восстановления работоспособности Системы. </w:t>
            </w:r>
          </w:p>
          <w:p>
            <w:pPr>
              <w:pStyle w:val="Normal"/>
              <w:widowControl w:val="false"/>
              <w:spacing w:lineRule="auto" w:line="276" w:before="28" w:after="28"/>
              <w:jc w:val="lef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 случае, если в ходе процесса по устранению технической проблемы по обращению было выявлено, что проблема связана с другими сервисами, не входящими в зону ответственности по данному сервису, сроки и процесс устранения могут быть изменены.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spacing w:before="57" w:after="57"/>
              <w:ind w:hanging="0" w:left="0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способам оказания услуг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spacing w:before="57" w:after="57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способам оказания Услуг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76" w:before="57" w:after="57"/>
              <w:jc w:val="lef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Услуга оказывается всеми необходимыми и имеющимися средствами и способами взаимодействия между Исполнителем и Заказчиком.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spacing w:before="57" w:after="57"/>
              <w:ind w:hanging="0" w:left="0"/>
              <w:contextualSpacing w:val="false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процедурам оказания услуг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spacing w:before="57" w:after="57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составу и содержанию мероприятий по обеспечению сопровождения Системы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создания условий, при которых гарантируется соответствие оказываемых услуг по сопровождению Системы настоящему Техническому заданию, Заказчиком должен быть проведен комплекс технических и организационных мероприятий, включающий, как минимум: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Организацию рабочего места Исполнителя через удаленный доступ соответствующих специалистов Исполнителя в корпоративную сеть Заказчика</w:t>
              <w:br/>
              <w:t>по действующим в Обществе процедурам предоставления доступа и на срок действия Договора по данному проекту. Заказчик предоставляет удаленный доступ к Системе.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Организацию на базе инфраструктуры Заказчика тестовой среды для функционального тестирования, в случае необходимости.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Организацию доступа ключевых пользователей</w:t>
              <w:br/>
              <w:t>к тестовой среде на этапе функционального тестирования,</w:t>
              <w:br/>
              <w:t>в случае необходимости.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Организацию установки и обновления Системы</w:t>
              <w:br/>
              <w:t>в тестовой и рабочей среде в соответствии с регламентами управления изменениями, действующими в организации Заказчика.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 передаваемой эксплуатационной документации.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Назначение ответственных за эксплуатацию Системы</w:t>
              <w:br/>
              <w:t>со стороны Заказчика, передачу Исполнителем Заказчику всех системных учетных записей и паролей.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организационные мероприятия для обеспечения эксплуатации и незначительных доработок систем.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spacing w:before="57" w:after="57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SLA (соглашению об уровне предоставления услуги) и контролю качества предоставления услуги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 качества предоставления услуги (ПКПУ) определяется в соответствии с Методикой оценки качества предоставления услуг и параметрами SLA.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Методика оценки качества предоставления услуг приведена</w:t>
              <w:br/>
              <w:t>в Приложении №3.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spacing w:before="57" w:after="57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по аварийному восстановлению работоспособности Системы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возникновения НШС, срок восстановления штатной работы Системы определяется в соответствии с Соглашением об уровне предоставления услуги.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восстановления системы должен быть проведен анализ причин НШС и оценка исполнения процедур восстановления, вся информацию должна быть занесена в КСА СПП.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обнаружения Исполнителем НШС 1 уровня, сотрудники Центральной диспетчерской Заказчика, Центра мониторинга Заказчика должны быть оповещены ответственным специалистом Исполнителя о прекращении услуги в связи с аварией по электронной почте или с помощью других средств связи.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spacing w:before="57" w:after="57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проведению регламентно-профилактических работ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Регламентные профилактические работы проводятся</w:t>
              <w:br/>
              <w:t>на оборудовании и программном обеспечении Заказчика</w:t>
              <w:br/>
              <w:t>по эксплуатационно-технологическим картам (ЭТК) Системы с целью поддержки работоспособности, оптимизации настроек конфигураций и программного обеспечения систем, а также устранение выявленных проблем.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проводит регламентные профилактические работы в соответствии с Планом-графиком проведения регламентных профилактических работ. План-график проведения работ составляется Исполнителем и согласуется</w:t>
              <w:br/>
              <w:t>с Заказчиком в течение 20 дней после подписания Договора.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регламентно-профилактических работ фиксируется Исполнителем в КСА СПП Заказчика</w:t>
              <w:br/>
              <w:t>с указанием содержания работ, даты их выполнения и перечня ИТ-активов, на которых проводятся работы.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проводит работы с учетом рекомендаций, указанных в технической и эксплуатационной документации обслуживаемых ИТ-активов. Состав регламентных профилактических работ представляется, но не ограничивается работами, указанными в ТТ.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обслуживании Системы перечень регламентно-профилактических работ включает в себя, но не ограничивается: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резервного копирования;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состояния сервера баз данных;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интеграции систем;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актуальности данных системы оповещения;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обновлений;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Обновление внешних справочников;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возможности доступа, включая удаленный;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системных сообщений.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Допускается проведение плановых регламентных работ (влияющих на доступность услуги) в период с 20:00 до 2:00</w:t>
              <w:br/>
              <w:t>по московскому времени. По возможности такие работы следует проводить в выходные или праздничные дни.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проведении регламентных и профилактических работ максимальное время простоя и период снижения объёма</w:t>
              <w:br/>
              <w:t>и качества предоставления услуг должно составлять не более</w:t>
              <w:br/>
              <w:t>6 часов в нерабочее время ПАО «РусГидро». Регламентные работы должны проводиться во время технологического окна.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услуги обязан согласовывать все плановые регламентные работы с Заказчиком за 3 рабочих дня</w:t>
              <w:br/>
              <w:t>до проведения работ. Исполнитель обязан предупредить Заказчика по электронной почте и согласовать недоступность по телефону. Исполнитель обязуется предупреждать уполномоченных сотрудников Заказчика, не менее чем за 24 часа до проведения соответствующих работ. Оповещение уполномоченных сотрудников Заказчика производится</w:t>
              <w:br/>
              <w:t>по электронной почте.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необходимости проведения экстренных сервисных работ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обязан согласовать их с Заказчиком не менее чем за 4 часа.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обязан предупредить Заказчика по электронной почте и согласовать недоступность по телефону. Заказчик оповестит всех пользователей данной услуги, на которых окажут влияние данные работы, не менее чем за 4 часа</w:t>
              <w:br/>
              <w:t>до проведения соответствующих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Оповещение пользователей производится по электронной почте.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регламентных работ определяется документом «Регламент штатного обслуживания» поддерживаемой ИС.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spacing w:before="57" w:after="57"/>
              <w:ind w:hanging="0" w:left="0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spacing w:before="57" w:after="57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для выполнения возложенных на Исполнителя задач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выполнения возложенных на Исполнителя задач</w:t>
              <w:br/>
              <w:t>и функций он должен быть обеспечен необходимыми ресурсами, в том числе экономически обоснованными</w:t>
              <w:br/>
              <w:t>и квалифицированными трудовыми ресурсами, материально-техническими средствами, материалами, методической литературой.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4"/>
              </w:numPr>
              <w:spacing w:before="57" w:after="57"/>
              <w:ind w:hanging="0" w:left="0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результатам у</w:t>
            </w:r>
            <w:r>
              <w:rPr>
                <w:b/>
                <w:sz w:val="22"/>
                <w:szCs w:val="22"/>
              </w:rPr>
              <w:t>слуг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spacing w:before="57" w:after="57"/>
              <w:ind w:hanging="0" w:left="0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Общие требования к результатам услуг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spacing w:before="57" w:after="57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объему оказываемых услуг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Услуга должна быть оказана в полном объеме, в течение всего срока, указанного в Таблице 3 настоящего Технического задания.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spacing w:before="57" w:after="57"/>
              <w:ind w:hanging="0" w:left="0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spacing w:before="57" w:after="57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информационной безопасности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информационной безопасности должны обеспечиваться на всех стадиях жизненного цикла систем, с учетом всех сторон,  вовлеченных в процессы жизненного цикла (разработчиков, заказчиков, поставщиков продуктов</w:t>
              <w:br/>
              <w:t>и услуг, эксплуатирующих и надзорных подразделений Общества) и в соответствии с действующими политиками, регламентами и ОРД Заказчика.</w:t>
            </w:r>
          </w:p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spacing w:before="57" w:after="57"/>
              <w:ind w:hanging="0" w:left="0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/>
            </w:pPr>
            <w:r>
              <w:rPr>
                <w:b/>
                <w:bCs/>
                <w:sz w:val="22"/>
                <w:szCs w:val="22"/>
              </w:rPr>
              <w:t>Требования к приемке результата оказания у</w:t>
            </w:r>
            <w:r>
              <w:rPr>
                <w:b/>
                <w:sz w:val="22"/>
                <w:szCs w:val="22"/>
              </w:rPr>
              <w:t>слуг</w:t>
            </w:r>
            <w:r>
              <w:rPr>
                <w:rStyle w:val="Style8"/>
                <w:b w:val="false"/>
                <w:bCs/>
                <w:i w:val="false"/>
                <w:sz w:val="22"/>
                <w:szCs w:val="22"/>
                <w:shd w:fill="auto" w:val="clear"/>
              </w:rPr>
              <w:t xml:space="preserve">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spacing w:before="57" w:after="57"/>
              <w:contextualSpacing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приемке результата оказанных услуг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итогам каждого отчетного периода Исполнитель должен представлять отчет, который должен содержать: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оказанных услугах, фиксирующие результат оказанных услуг;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Краткое описание оказанных Исполнителем в этом периоде услуг, необходимость которых возникла</w:t>
              <w:br/>
              <w:t>по инициативе Заказчика и Исполнителя, исходя из требований технической документации разработчика Системы, а также решенных Обращений с указанием их номеров в КСА СПП;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состоянии сервиса.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Отчета должна быть согласована с Заказчиком</w:t>
              <w:br/>
              <w:t>в течение 7 рабочих дней с даты подписания Договора. Форма отчета может быть изменена во время исполнения договора по согласованию Исполнителя и Заказчика.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КСА СПП должен формироваться отчет и содержать следующие данные: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Статистику по обращениям (количество обработанных /просроченных /повторных за период). Сбор статистики осуществляется средствами КСА СПП.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Информацию о количестве обновлений Системы</w:t>
              <w:br/>
              <w:t>в течение отчетного периода.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Информацию о количестве и тематике консультаций, предоставленных сотрудникам ДИТ в течение отчетного периода, а также лице, предоставившем консультацию.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Значения следующих показателей (расчеты производятся в соответствии с методиками, принятыми у Заказчика): 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Качество предоставления ИТ-услуг;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своевременно решенных нештатных ситуаций (НШС);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своевременно реализованных RFC;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неавторизованных RFC;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своевременно решенных проблем.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случае, если в течение отчетного периода выполнялись обновления Системы, то предоставляется Протокол оценки обновления, подписанный представителями Заказчика</w:t>
              <w:br/>
              <w:t>и Исполнителя.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Заказчик обеспечивает возможность формирования отчетов</w:t>
              <w:br/>
              <w:t>из КСА СПП, соответствующих требованиям Заказчика</w:t>
              <w:br/>
              <w:t>по всему составу параметров, которые фиксируются в КСА СПП.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формам результата оказанных услуг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отчета по КПУ приведена в Приложение № 2 к ТТ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sz w:val="22"/>
                <w:szCs w:val="22"/>
                <w:lang w:val="ru-RU" w:eastAsia="ru-RU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sz w:val="22"/>
                <w:szCs w:val="22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4"/>
              </w:numPr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bookmarkStart w:id="15" w:name="__RefHeading___Toc62255_3104815314"/>
            <w:bookmarkEnd w:id="15"/>
            <w:r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  <w:t>Требования к обновлению эксплуатационной документации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 необходимости Исполнитель производит внесение изменений в эксплуатационную документацию по результатам устранения отказов и сбоев. Если при проведении технического сопровождения</w:t>
            </w:r>
            <w:r>
              <w:rPr>
                <w:bCs/>
                <w:color w:val="FF420E"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Системы происходит изменение в  существующей согласованной конфигурации Системы, Исполнитель оформляет внесенные изменения в соответствующую эксплуатационную документацию с указанием в листе изменений даты и причины внесения: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пользователя;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администратора;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Регламент штатного обслуживания;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Регламент аварийного обслуживания;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Регламент резервного копирования;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диспетчера службы поддержки;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08"/>
              </w:tabs>
              <w:spacing w:before="57" w:after="57"/>
              <w:ind w:hanging="227" w:left="454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Рабочая и проектная документации.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Актуализированные изменения должны вносится</w:t>
              <w:br/>
              <w:t>в эксплуатационную документацию в виде файлового документа и передаваться по электронной почте</w:t>
              <w:br/>
              <w:t>в эксплуатационное подразделение Заказчика.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sz w:val="22"/>
                <w:szCs w:val="22"/>
                <w:lang w:val="ru-RU" w:eastAsia="ru-RU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sz w:val="22"/>
                <w:szCs w:val="22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4"/>
              </w:numPr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ответственности и гарантиям исполнителя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ответственности и гарантиям Исполнителя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должен обеспечить соответствие оказываемой услуги настоящему Техническому заданию.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57" w:after="5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bCs/>
                <w:sz w:val="22"/>
                <w:szCs w:val="22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4"/>
              </w:numPr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Исполнителю и его обязательствам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должен выполнить обязательства по договору в соответствие с настоящим Техническим заданием в полном объеме.</w:t>
            </w:r>
          </w:p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 должен иметь компетенции в области управления проектами. Квалификация должна быть подтверждена сертификатом в области проектного управления, либо дипломом с квалификацией MBA в области управления проектами, строительства.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sz w:val="22"/>
                <w:szCs w:val="22"/>
                <w:lang w:val="ru-RU" w:eastAsia="ru-RU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sz w:val="22"/>
                <w:szCs w:val="22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мониторингу состояния Системы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работоспособности Системы осуществляется</w:t>
              <w:br/>
              <w:t>с помощью системы мониторинга Заказчика 24 часа в сутки.</w:t>
              <w:br/>
              <w:t>В случае фиксации отклонений от заданных параметров системой мониторинга, Исполнителю направляется почтовое сообщение на предварительно настроенный, например, при сдаче в промышленную эксплуатацию Системы почтовый ящик для оценки состояния Системы и принятия Исполнителем мер упреждающих отказ, прекращение функционирования</w:t>
            </w:r>
          </w:p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Системы.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sz w:val="22"/>
                <w:szCs w:val="22"/>
                <w:lang w:val="ru-RU" w:eastAsia="ru-RU"/>
              </w:rPr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sz w:val="22"/>
                <w:szCs w:val="22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4"/>
              </w:numPr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Прочие требования к оказываемым услугам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4"/>
              </w:numPr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bookmarkStart w:id="16" w:name="__RefHeading___Toc62257_3104815314"/>
            <w:bookmarkEnd w:id="16"/>
            <w:r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  <w:t>Прочие требования</w:t>
            </w:r>
          </w:p>
        </w:tc>
        <w:tc>
          <w:tcPr>
            <w:tcW w:w="6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Прочие требования к оказанию услуг отсутствуют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-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widowControl w:val="false"/>
              <w:spacing w:before="57" w:after="57"/>
              <w:jc w:val="left"/>
              <w:rPr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-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57" w:after="57"/>
              <w:ind w:hanging="0" w:left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spacing w:lineRule="auto" w:line="276" w:before="0" w:after="113"/>
        <w:ind w:hanging="431" w:left="431"/>
        <w:rPr>
          <w:sz w:val="24"/>
          <w:szCs w:val="24"/>
        </w:rPr>
      </w:pPr>
      <w:bookmarkStart w:id="17" w:name="__RefHeading___Toc62259_3104815314"/>
      <w:bookmarkEnd w:id="17"/>
      <w:r>
        <w:rPr>
          <w:sz w:val="24"/>
          <w:szCs w:val="24"/>
        </w:rPr>
        <w:t xml:space="preserve">Соглашение об уровне предоставления услуги (SLA) 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>
          <w:sz w:val="24"/>
          <w:szCs w:val="24"/>
        </w:rPr>
      </w:pPr>
      <w:r>
        <w:rPr>
          <w:b/>
          <w:bCs/>
          <w:iCs/>
          <w:color w:val="000000"/>
          <w:sz w:val="24"/>
          <w:szCs w:val="24"/>
          <w:lang w:eastAsia="x-none"/>
        </w:rPr>
        <w:t>Режим предоставления и поддержки</w:t>
      </w:r>
    </w:p>
    <w:p>
      <w:pPr>
        <w:pStyle w:val="Normal"/>
        <w:spacing w:lineRule="auto" w:line="276" w:before="113" w:after="113"/>
        <w:ind w:firstLine="709"/>
        <w:jc w:val="both"/>
        <w:rPr>
          <w:sz w:val="24"/>
          <w:szCs w:val="24"/>
        </w:rPr>
      </w:pPr>
      <w:r>
        <w:rPr>
          <w:color w:val="auto"/>
          <w:spacing w:val="-2"/>
          <w:sz w:val="24"/>
          <w:szCs w:val="24"/>
          <w:lang w:val="ru-RU"/>
        </w:rPr>
        <w:t>Услуга предоставляется 24 часа в сутки 7 дней в неделю.</w:t>
      </w:r>
    </w:p>
    <w:p>
      <w:pPr>
        <w:pStyle w:val="Normal"/>
        <w:spacing w:lineRule="auto" w:line="276" w:before="113" w:after="113"/>
        <w:ind w:firstLine="709"/>
        <w:jc w:val="both"/>
        <w:rPr>
          <w:sz w:val="24"/>
          <w:szCs w:val="24"/>
        </w:rPr>
      </w:pPr>
      <w:r>
        <w:rPr>
          <w:color w:val="auto"/>
          <w:spacing w:val="-2"/>
          <w:sz w:val="24"/>
          <w:szCs w:val="24"/>
          <w:lang w:val="ru-RU"/>
        </w:rPr>
        <w:t>Запланированный простой услуги для проведения регламентных работ не более 24 часа в месяц в нерабочее время.</w:t>
      </w:r>
    </w:p>
    <w:p>
      <w:pPr>
        <w:pStyle w:val="Normal"/>
        <w:spacing w:lineRule="auto" w:line="276" w:before="113" w:after="113"/>
        <w:ind w:firstLine="709"/>
        <w:jc w:val="both"/>
        <w:rPr>
          <w:sz w:val="24"/>
          <w:szCs w:val="24"/>
        </w:rPr>
      </w:pPr>
      <w:r>
        <w:rPr>
          <w:color w:val="auto"/>
          <w:sz w:val="24"/>
          <w:szCs w:val="24"/>
          <w:lang w:val="ru-RU"/>
        </w:rPr>
        <w:t>Обработка Запросов на обслуживание, ЗНИ и Инцидентов низкой и средней срочности производится с 9:00 до 18:00 по Московскому времени в рабочие дни.</w:t>
      </w:r>
    </w:p>
    <w:p>
      <w:pPr>
        <w:pStyle w:val="Normal"/>
        <w:spacing w:lineRule="auto" w:line="276" w:before="113" w:after="113"/>
        <w:ind w:firstLine="709"/>
        <w:jc w:val="both"/>
        <w:rPr>
          <w:spacing w:val="-2"/>
          <w:sz w:val="24"/>
          <w:szCs w:val="24"/>
        </w:rPr>
      </w:pPr>
      <w:r>
        <w:rPr>
          <w:color w:val="auto"/>
          <w:spacing w:val="-2"/>
          <w:sz w:val="24"/>
          <w:szCs w:val="24"/>
          <w:lang w:val="ru-RU"/>
        </w:rPr>
        <w:t>Работы по устранению НШС 1 и 2 уровня производятся - 24 часа в сутки 7 дней в неделю.</w:t>
      </w:r>
    </w:p>
    <w:p>
      <w:pPr>
        <w:pStyle w:val="Normal"/>
        <w:widowControl/>
        <w:tabs>
          <w:tab w:val="clear" w:pos="708"/>
          <w:tab w:val="left" w:pos="709" w:leader="none"/>
        </w:tabs>
        <w:suppressAutoHyphens w:val="true"/>
        <w:bidi w:val="0"/>
        <w:spacing w:lineRule="auto" w:line="276" w:before="113" w:after="113"/>
        <w:ind w:firstLine="709" w:left="0" w:right="0"/>
        <w:jc w:val="both"/>
        <w:rPr>
          <w:sz w:val="24"/>
          <w:szCs w:val="24"/>
        </w:rPr>
      </w:pPr>
      <w:r>
        <w:rPr>
          <w:color w:val="auto"/>
          <w:sz w:val="24"/>
          <w:szCs w:val="24"/>
          <w:lang w:val="ru-RU"/>
        </w:rPr>
        <w:t>РПР проводятся согласно регламенту штатного обслуживания.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>
          <w:sz w:val="24"/>
          <w:szCs w:val="24"/>
        </w:rPr>
      </w:pPr>
      <w:r>
        <w:rPr>
          <w:b/>
          <w:bCs/>
          <w:iCs/>
          <w:color w:val="000000"/>
          <w:sz w:val="24"/>
          <w:szCs w:val="24"/>
          <w:lang w:eastAsia="x-none"/>
        </w:rPr>
        <w:t>Сроки решения обращений</w:t>
      </w:r>
    </w:p>
    <w:p>
      <w:pPr>
        <w:pStyle w:val="Normal"/>
        <w:widowControl/>
        <w:tabs>
          <w:tab w:val="clear" w:pos="708"/>
          <w:tab w:val="left" w:pos="709" w:leader="none"/>
        </w:tabs>
        <w:suppressAutoHyphens w:val="true"/>
        <w:bidi w:val="0"/>
        <w:spacing w:lineRule="auto" w:line="276" w:before="113" w:after="113"/>
        <w:ind w:firstLine="709" w:left="0" w:right="0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  <w:lang w:val="ru-RU"/>
        </w:rPr>
        <w:t>Классификация инцидентов производится сотрудниками Центральной диспетчерской службой Заказчика.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522"/>
        <w:gridCol w:w="5958"/>
        <w:gridCol w:w="2442"/>
      </w:tblGrid>
      <w:tr>
        <w:trPr>
          <w:tblHeader w:val="true"/>
          <w:cantSplit w:val="true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Autospacing="1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  <w:lang w:eastAsia="x-none"/>
              </w:rPr>
              <w:t>Срочность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Autospacing="1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  <w:lang w:eastAsia="x-none"/>
              </w:rPr>
              <w:t>Описание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Autospacing="1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  <w:lang w:eastAsia="x-none"/>
              </w:rPr>
              <w:t>Срок устранения Инцидента (часы) *</w:t>
            </w:r>
          </w:p>
        </w:tc>
      </w:tr>
      <w:tr>
        <w:trPr>
          <w:trHeight w:val="60" w:hRule="atLeast"/>
          <w:cantSplit w:val="true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Autospacing="1" w:after="0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Низкая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20" w:after="120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Инцидент в работе КЕ Сервиса, не привёл к его отказу. КЕ продолжает выполнять свои функции, однако для отдельного пользователя недоступна часть функционала Сервиса или снижено качество его предоставления.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Autospacing="1" w:after="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24</w:t>
            </w:r>
          </w:p>
        </w:tc>
      </w:tr>
      <w:tr>
        <w:trPr>
          <w:trHeight w:val="60" w:hRule="atLeast"/>
          <w:cantSplit w:val="true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Autospacing="1" w:after="0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Средняя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20" w:after="120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Инцидент в работе КЕ Сервиса привёл к снижению его эксплуатационных свойств (снижению производительности, надёжности и т.д.) или недоступности Сервиса для отдельного пользователя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Autospacing="1" w:after="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12</w:t>
            </w:r>
          </w:p>
        </w:tc>
      </w:tr>
      <w:tr>
        <w:trPr>
          <w:trHeight w:val="60" w:hRule="atLeast"/>
          <w:cantSplit w:val="true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Autospacing="1" w:after="0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Высокая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20" w:after="120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Инцидент вызвал недоступность КЕ Сервиса, но Сервис функционирует за счёт схем резервирования (НШС 2 уровня).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Autospacing="1" w:after="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8</w:t>
            </w:r>
          </w:p>
        </w:tc>
      </w:tr>
      <w:tr>
        <w:trPr>
          <w:trHeight w:val="60" w:hRule="atLeast"/>
          <w:cantSplit w:val="true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Autospacing="1" w:after="0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Наивысшая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120" w:after="120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Инцидент вызвал недоступность одного или нескольких Сервисов Заказчика (НШС 1 уровня).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Autospacing="1" w:after="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  <w:lang w:eastAsia="x-none"/>
              </w:rPr>
              <w:t>4</w:t>
            </w:r>
          </w:p>
        </w:tc>
      </w:tr>
    </w:tbl>
    <w:p>
      <w:pPr>
        <w:pStyle w:val="Style38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b/>
          <w:bCs/>
          <w:color w:val="auto"/>
          <w:szCs w:val="24"/>
          <w:lang w:val="ru-RU"/>
        </w:rPr>
        <w:t>Решение Запросов на обслуживание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61"/>
        <w:gridCol w:w="4960"/>
      </w:tblGrid>
      <w:tr>
        <w:trPr>
          <w:tblHeader w:val="true"/>
          <w:trHeight w:val="519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center"/>
              <w:rPr>
                <w:lang w:val="ru-RU"/>
              </w:rPr>
            </w:pPr>
            <w:r>
              <w:rPr>
                <w:b/>
                <w:bCs/>
                <w:color w:val="auto"/>
                <w:szCs w:val="24"/>
                <w:lang w:val="ru-RU"/>
              </w:rPr>
              <w:t>Уровень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center"/>
              <w:rPr>
                <w:lang w:val="ru-RU"/>
              </w:rPr>
            </w:pPr>
            <w:r>
              <w:rPr>
                <w:b/>
                <w:bCs/>
                <w:color w:val="auto"/>
                <w:szCs w:val="24"/>
                <w:lang w:val="ru-RU"/>
              </w:rPr>
              <w:t>Срок решения Запроса (часы)*</w:t>
            </w:r>
          </w:p>
        </w:tc>
      </w:tr>
      <w:tr>
        <w:trPr>
          <w:trHeight w:val="555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rPr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Базовый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center"/>
              <w:rPr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24</w:t>
            </w:r>
          </w:p>
        </w:tc>
      </w:tr>
    </w:tbl>
    <w:p>
      <w:pPr>
        <w:pStyle w:val="Normal"/>
        <w:jc w:val="both"/>
        <w:rPr>
          <w:color w:val="auto"/>
        </w:rPr>
      </w:pPr>
      <w:r>
        <w:rPr>
          <w:color w:val="auto"/>
          <w:sz w:val="22"/>
          <w:szCs w:val="22"/>
          <w:lang w:val="ru-RU"/>
        </w:rPr>
        <w:t>* Время устранения инцидентов и выполнения запросов на обслуживание может быть изменено по взаимному соглашению Сторон с предварительным обоснованием причин необходимого изменения.</w:t>
      </w:r>
    </w:p>
    <w:p>
      <w:pPr>
        <w:pStyle w:val="Normal"/>
        <w:spacing w:lineRule="auto" w:line="276" w:before="113" w:after="113"/>
        <w:ind w:firstLine="709"/>
        <w:jc w:val="both"/>
        <w:rPr>
          <w:color w:val="auto"/>
        </w:rPr>
      </w:pPr>
      <w:r>
        <w:rPr>
          <w:b/>
          <w:bCs/>
          <w:color w:val="auto"/>
          <w:sz w:val="24"/>
          <w:szCs w:val="24"/>
          <w:lang w:val="ru-RU"/>
        </w:rPr>
        <w:t>Запросы на изменение</w:t>
      </w:r>
    </w:p>
    <w:p>
      <w:pPr>
        <w:sectPr>
          <w:headerReference w:type="default" r:id="rId7"/>
          <w:headerReference w:type="first" r:id="rId8"/>
          <w:type w:val="nextPage"/>
          <w:pgSz w:w="11906" w:h="16838"/>
          <w:pgMar w:left="1134" w:right="850" w:gutter="0" w:header="850" w:top="1304" w:footer="0" w:bottom="850"/>
          <w:pgNumType w:fmt="decimal"/>
          <w:formProt w:val="false"/>
          <w:textDirection w:val="lrTb"/>
          <w:docGrid w:type="default" w:linePitch="381" w:charSpace="0"/>
        </w:sectPr>
        <w:pStyle w:val="Normal"/>
        <w:spacing w:lineRule="auto" w:line="276" w:before="113" w:after="113"/>
        <w:ind w:firstLine="709"/>
        <w:jc w:val="both"/>
        <w:rPr>
          <w:color w:val="auto"/>
        </w:rPr>
      </w:pPr>
      <w:r>
        <w:rPr>
          <w:b w:val="false"/>
          <w:bCs w:val="false"/>
          <w:iCs/>
          <w:color w:val="auto"/>
          <w:sz w:val="24"/>
          <w:szCs w:val="24"/>
          <w:lang w:val="ru-RU" w:eastAsia="x-none"/>
        </w:rPr>
        <w:t>Срок проведения изменений определяется индивидуально для каждого запроса по результатам согласования между Исполнителем и Заказчиком.</w:t>
      </w:r>
      <w:r>
        <w:br w:type="page"/>
      </w:r>
    </w:p>
    <w:p>
      <w:pPr>
        <w:pStyle w:val="Normal"/>
        <w:keepNext w:val="true"/>
        <w:spacing w:lineRule="auto" w:line="276" w:before="113" w:after="113"/>
        <w:ind w:firstLine="709"/>
        <w:jc w:val="both"/>
        <w:rPr/>
      </w:pPr>
      <w:r>
        <w:rPr>
          <w:b/>
          <w:bCs/>
          <w:iCs/>
          <w:sz w:val="24"/>
          <w:szCs w:val="24"/>
          <w:lang w:eastAsia="x-none"/>
        </w:rPr>
        <w:t>Показатели и контроль качества предоставления услуги</w:t>
      </w:r>
    </w:p>
    <w:p>
      <w:pPr>
        <w:pStyle w:val="Normal"/>
        <w:keepNext w:val="true"/>
        <w:widowControl/>
        <w:tabs>
          <w:tab w:val="clear" w:pos="708"/>
          <w:tab w:val="left" w:pos="709" w:leader="none"/>
        </w:tabs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</w:rPr>
        <w:t>Показатели качества предоставления услуги (ПКПУ) определяется в соответствии с Методикой оценки качества предоставления услуг в Приложении № 3 и параметрами SLA.</w:t>
      </w:r>
    </w:p>
    <w:p>
      <w:pPr>
        <w:pStyle w:val="Normal"/>
        <w:keepNext w:val="true"/>
        <w:widowControl/>
        <w:tabs>
          <w:tab w:val="clear" w:pos="708"/>
          <w:tab w:val="left" w:pos="709" w:leader="none"/>
        </w:tabs>
        <w:suppressAutoHyphens w:val="true"/>
        <w:bidi w:val="0"/>
        <w:spacing w:lineRule="auto" w:line="276" w:before="113" w:after="113"/>
        <w:ind w:firstLine="709" w:left="0" w:right="0"/>
        <w:jc w:val="both"/>
        <w:rPr>
          <w:b w:val="false"/>
          <w:bCs w:val="false"/>
        </w:rPr>
      </w:pPr>
      <w:r>
        <w:rPr>
          <w:b w:val="false"/>
          <w:bCs w:val="false"/>
          <w:iCs/>
          <w:color w:val="auto"/>
          <w:sz w:val="24"/>
          <w:szCs w:val="24"/>
          <w:lang w:val="ru-RU" w:eastAsia="x-none"/>
        </w:rPr>
        <w:t>Ниже приведены пороговые значения ПКПУ услуг: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2"/>
        <w:gridCol w:w="4072"/>
        <w:gridCol w:w="1721"/>
        <w:gridCol w:w="1775"/>
        <w:gridCol w:w="1772"/>
      </w:tblGrid>
      <w:tr>
        <w:trPr/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№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ПКПУ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color w:val="auto"/>
                <w:sz w:val="24"/>
                <w:szCs w:val="24"/>
                <w:lang w:val="ru-RU" w:eastAsia="x-none"/>
              </w:rPr>
              <w:t>Нарушение</w:t>
              <w:br/>
              <w:t>SLA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Низкое</w:t>
              <w:br/>
              <w:t>качество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Нормальное</w:t>
              <w:br/>
              <w:t>качество</w:t>
            </w:r>
          </w:p>
        </w:tc>
      </w:tr>
      <w:tr>
        <w:trPr/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1.</w:t>
            </w:r>
          </w:p>
        </w:tc>
        <w:tc>
          <w:tcPr>
            <w:tcW w:w="9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Решение инцидентов и ЗНО</w:t>
            </w:r>
          </w:p>
        </w:tc>
      </w:tr>
      <w:tr>
        <w:trPr/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1.1.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% просроченных Запросов.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Более 10%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От 5% до 10%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Менее 5%</w:t>
            </w:r>
          </w:p>
        </w:tc>
      </w:tr>
      <w:tr>
        <w:trPr/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1.2.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% повторно открытых Запросов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Более 7%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От 3% до 7%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Менее 3%</w:t>
            </w:r>
          </w:p>
        </w:tc>
      </w:tr>
      <w:tr>
        <w:trPr/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1.3.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spacing w:before="113" w:after="113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 xml:space="preserve">Количество Запросов от VIP пользователей, закрытых с негативной оценкой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Более 4 шт.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 – 4 шт.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 шт.</w:t>
            </w:r>
          </w:p>
        </w:tc>
      </w:tr>
      <w:tr>
        <w:trPr/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2.</w:t>
            </w:r>
          </w:p>
        </w:tc>
        <w:tc>
          <w:tcPr>
            <w:tcW w:w="9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Style38"/>
              <w:spacing w:before="113" w:after="113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Реализация Изменений</w:t>
            </w:r>
          </w:p>
        </w:tc>
      </w:tr>
      <w:tr>
        <w:trPr/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spacing w:before="113" w:after="113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Количество не своевременно реализованных ЗНИ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Более 10%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От 5% до 10%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Менее 5%</w:t>
            </w:r>
          </w:p>
        </w:tc>
      </w:tr>
      <w:tr>
        <w:trPr/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3.</w:t>
            </w:r>
          </w:p>
        </w:tc>
        <w:tc>
          <w:tcPr>
            <w:tcW w:w="9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Контроль НШС</w:t>
            </w:r>
          </w:p>
        </w:tc>
      </w:tr>
      <w:tr>
        <w:trPr/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Количество НШС 1 уровня (недоступность услуги)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Более 2 шт.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 – 2 шт.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113" w:after="113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0 шт.</w:t>
            </w:r>
          </w:p>
        </w:tc>
      </w:tr>
    </w:tbl>
    <w:p>
      <w:pPr>
        <w:pStyle w:val="Heading1"/>
        <w:numPr>
          <w:ilvl w:val="0"/>
          <w:numId w:val="3"/>
        </w:numPr>
        <w:spacing w:before="227" w:after="227"/>
        <w:ind w:hanging="0" w:left="0" w:right="0"/>
        <w:jc w:val="center"/>
        <w:rPr>
          <w:lang w:val="ru-RU"/>
        </w:rPr>
      </w:pPr>
      <w:bookmarkStart w:id="18" w:name="__RefHeading___Toc42797_1244722962"/>
      <w:bookmarkEnd w:id="18"/>
      <w:r>
        <w:rPr>
          <w:lang w:val="ru-RU"/>
        </w:rPr>
        <w:t>Требования к документации по ценообразованию на этапе закупки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/>
      </w:pPr>
      <w:r>
        <w:rPr>
          <w:sz w:val="24"/>
          <w:szCs w:val="24"/>
        </w:rPr>
        <w:t>Дополнительные документы по ценообразованию (сметная документация) в состав заявки Участника не включаются.</w:t>
      </w:r>
    </w:p>
    <w:p>
      <w:pPr>
        <w:pStyle w:val="Heading1"/>
        <w:numPr>
          <w:ilvl w:val="0"/>
          <w:numId w:val="3"/>
        </w:numPr>
        <w:spacing w:before="227" w:after="227"/>
        <w:ind w:hanging="0" w:left="0"/>
        <w:jc w:val="center"/>
        <w:rPr/>
      </w:pPr>
      <w:bookmarkStart w:id="19" w:name="__RefHeading___Toc62263_3104815314"/>
      <w:bookmarkEnd w:id="19"/>
      <w:r>
        <w:rPr>
          <w:lang w:val="ru-RU"/>
        </w:rPr>
        <w:t>Тр</w:t>
      </w:r>
      <w:r>
        <w:rPr/>
        <w:t>ебования к документации по ценообразованию на этапе заключения (исполнения) договора</w:t>
      </w:r>
    </w:p>
    <w:p>
      <w:pPr>
        <w:pStyle w:val="Normal"/>
        <w:widowControl/>
        <w:suppressAutoHyphens w:val="true"/>
        <w:bidi w:val="0"/>
        <w:spacing w:lineRule="auto" w:line="276" w:before="113" w:after="113"/>
        <w:ind w:firstLine="709" w:left="0" w:right="0"/>
        <w:jc w:val="both"/>
        <w:rPr>
          <w:color w:val="FF420E"/>
          <w:sz w:val="24"/>
          <w:szCs w:val="24"/>
        </w:rPr>
      </w:pPr>
      <w:r>
        <w:rPr>
          <w:sz w:val="24"/>
          <w:szCs w:val="24"/>
        </w:rPr>
        <w:t>Требования к оформлению и составлению документации по ценообразованию представлены в Приложении № 1 к настоящим Техническим требованиям.</w:t>
      </w:r>
    </w:p>
    <w:p>
      <w:pPr>
        <w:pStyle w:val="Heading1"/>
        <w:keepLines/>
        <w:numPr>
          <w:ilvl w:val="0"/>
          <w:numId w:val="3"/>
        </w:numPr>
        <w:spacing w:before="227" w:after="227"/>
        <w:ind w:hanging="0" w:left="0"/>
        <w:jc w:val="center"/>
        <w:rPr/>
      </w:pPr>
      <w:bookmarkStart w:id="20" w:name="__RefHeading___Toc62265_3104815314"/>
      <w:bookmarkEnd w:id="20"/>
      <w:r>
        <w:rPr>
          <w:iCs/>
          <w:lang w:val="ru-RU"/>
        </w:rPr>
        <w:t>Приложения</w:t>
      </w:r>
    </w:p>
    <w:p>
      <w:pPr>
        <w:pStyle w:val="Normal"/>
        <w:spacing w:lineRule="auto" w:line="276" w:before="113" w:after="113"/>
        <w:rPr/>
      </w:pPr>
      <w:r>
        <w:rPr>
          <w:sz w:val="24"/>
          <w:szCs w:val="24"/>
        </w:rPr>
        <w:t>Приложение № 1: Требования к сметному ценообразованию</w:t>
      </w:r>
    </w:p>
    <w:p>
      <w:pPr>
        <w:pStyle w:val="Normal"/>
        <w:spacing w:lineRule="auto" w:line="276" w:before="113" w:after="113"/>
        <w:rPr/>
      </w:pPr>
      <w:r>
        <w:rPr>
          <w:sz w:val="24"/>
          <w:szCs w:val="24"/>
        </w:rPr>
        <w:t>Приложение № 2: Форма о</w:t>
      </w:r>
      <w:r>
        <w:rPr>
          <w:rFonts w:eastAsia="Calibri"/>
          <w:sz w:val="24"/>
          <w:szCs w:val="24"/>
        </w:rPr>
        <w:t>тчета по качеству предоставления услуг</w:t>
      </w:r>
    </w:p>
    <w:p>
      <w:pPr>
        <w:sectPr>
          <w:headerReference w:type="default" r:id="rId9"/>
          <w:headerReference w:type="first" r:id="rId10"/>
          <w:type w:val="nextPage"/>
          <w:pgSz w:w="11906" w:h="16838"/>
          <w:pgMar w:left="1134" w:right="850" w:gutter="0" w:header="850" w:top="1020" w:footer="0" w:bottom="850"/>
          <w:pgNumType w:fmt="decimal"/>
          <w:formProt w:val="false"/>
          <w:textDirection w:val="lrTb"/>
          <w:docGrid w:type="default" w:linePitch="381" w:charSpace="0"/>
        </w:sectPr>
        <w:pStyle w:val="Normal"/>
        <w:spacing w:lineRule="auto" w:line="276" w:before="113" w:after="113"/>
        <w:rPr/>
      </w:pPr>
      <w:r>
        <w:rPr>
          <w:sz w:val="24"/>
          <w:szCs w:val="24"/>
        </w:rPr>
        <w:t>Приложение № 3: Методика оценки качества предоставления услуг</w:t>
      </w:r>
      <w:r>
        <w:br w:type="page"/>
      </w:r>
    </w:p>
    <w:p>
      <w:pPr>
        <w:pStyle w:val="Heading1"/>
        <w:keepLines/>
        <w:numPr>
          <w:ilvl w:val="0"/>
          <w:numId w:val="0"/>
        </w:numPr>
        <w:spacing w:before="0" w:after="113"/>
        <w:ind w:hanging="0" w:left="0"/>
        <w:jc w:val="right"/>
        <w:rPr/>
      </w:pPr>
      <w:bookmarkStart w:id="21" w:name="__RefHeading___Toc62267_3104815314"/>
      <w:bookmarkEnd w:id="21"/>
      <w:r>
        <w:rPr>
          <w:sz w:val="24"/>
          <w:szCs w:val="24"/>
        </w:rPr>
        <w:t xml:space="preserve">ПРИЛОЖЕНИЕ № 1 </w:t>
      </w:r>
    </w:p>
    <w:p>
      <w:pPr>
        <w:pStyle w:val="Normal"/>
        <w:tabs>
          <w:tab w:val="clear" w:pos="708"/>
          <w:tab w:val="left" w:pos="-2268" w:leader="none"/>
        </w:tabs>
        <w:jc w:val="right"/>
        <w:rPr/>
      </w:pPr>
      <w:r>
        <w:rPr>
          <w:sz w:val="24"/>
          <w:szCs w:val="24"/>
        </w:rPr>
        <w:t xml:space="preserve">к Техническим требованиям </w:t>
      </w:r>
    </w:p>
    <w:p>
      <w:pPr>
        <w:pStyle w:val="Normal"/>
        <w:tabs>
          <w:tab w:val="clear" w:pos="708"/>
          <w:tab w:val="left" w:pos="-2268" w:leader="none"/>
        </w:tabs>
        <w:jc w:val="right"/>
        <w:rPr/>
      </w:pPr>
      <w:r>
        <w:rPr>
          <w:sz w:val="24"/>
          <w:szCs w:val="24"/>
        </w:rPr>
        <w:t>на оказание услуг</w:t>
      </w:r>
    </w:p>
    <w:p>
      <w:pPr>
        <w:pStyle w:val="Normal"/>
        <w:tabs>
          <w:tab w:val="clear" w:pos="708"/>
          <w:tab w:val="left" w:pos="-2268" w:leader="none"/>
        </w:tabs>
        <w:spacing w:before="227" w:after="227"/>
        <w:jc w:val="center"/>
        <w:rPr>
          <w:sz w:val="24"/>
          <w:szCs w:val="24"/>
        </w:rPr>
      </w:pPr>
      <w:r>
        <w:rPr>
          <w:b/>
          <w:sz w:val="24"/>
          <w:szCs w:val="24"/>
        </w:rPr>
        <w:t>Требования к сметному ценообразованию</w:t>
      </w:r>
    </w:p>
    <w:p>
      <w:pPr>
        <w:pStyle w:val="Normal"/>
        <w:tabs>
          <w:tab w:val="clear" w:pos="708"/>
          <w:tab w:val="left" w:pos="1260" w:leader="none"/>
        </w:tabs>
        <w:spacing w:before="227" w:after="227"/>
        <w:jc w:val="center"/>
        <w:rPr>
          <w:sz w:val="24"/>
          <w:szCs w:val="24"/>
        </w:rPr>
      </w:pPr>
      <w:r>
        <w:rPr>
          <w:b/>
          <w:sz w:val="24"/>
          <w:szCs w:val="24"/>
        </w:rPr>
        <w:t>Требования к оформлению и составлению</w:t>
        <w:br/>
        <w:t>смет или расчетов на выполнение работ и оказание услуг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Настоящие требования разработаны для единого подхода к определению стоимости выполнения работ и оказания услуг (далее по тексту–Работы/Услуги).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Сметы или расчеты на Работы/Услуги составлять на основании технических требований (Задания на оказание Услуг) Заказчика, графиков производства работ.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Стоимость Работ/Услуг (обследований, обмерных работ и т.д.), определяется на основе Справочников базовых цен и других нормативных сборников, внесенных в 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с привлечением средств федерального бюджета (далее – ФРСН).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Пересчет сметной стоимости Работ/Услуг по состоянию на 01.01.2001г, 01.01.1995г. (1991г.) следует производить согласно индексам на указанные работы, рекомендованным к 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При определении стоимости Работ/Услуг, затраты организации, расположенной в 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местностям,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№ 9-10-17/40, дополнительно учитываются путем введения к итогу базовой цены повышающих коэффициентов. Указывать размер примененных коэффициентов, доплат и т.д. с обоснованиями из технической части, вводных указаний сборников или других нормативных документов.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Стоимость Работ/Услуг, цены на которые отсутствуют в СБЦ, СЦ и других нормативных сборниках, внесенных в ФРСН, определять сметным расчетом по себестоимости и уровню рентабельности (форма №3п) по согласованию с Заказчиком.</w:t>
      </w:r>
      <w:r>
        <w:br w:type="page"/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Средства на выполнение Работ/Услуг определяются отдельными расчетами в соответствии с видом выполняемых работ и включаются (по необходимости) в сводный сметный расчет (Приложение №3).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заключений дополнительных соглашений к договору (далее - д/с), сводный сметный расчет необходимо выполнять в накопительной форме с учетом ЛСР (ЛС) к основному договору и ко всем заключенным д/с к нему. В итогах сводного сметного расчета в накопительной форме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сводного сметного расчета в накопительной форме очередного д/с и стоимостью основного договора. Форма сводного сметного расчета в накопительной (образец приложение № 3.1) ЛСР (ЛС) разрабатываются отдельно на исключаемые и дополнительные объемы работ. </w:t>
      </w:r>
    </w:p>
    <w:p>
      <w:pPr>
        <w:pStyle w:val="Normal"/>
        <w:tabs>
          <w:tab w:val="clear" w:pos="708"/>
          <w:tab w:val="left" w:pos="142" w:leader="none"/>
        </w:tabs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ЛС являются приложениями к сводному сметному расчету в накопительной форме. Нумерация приложений указывается по мере включения ЛС в Сводный сметный расчет в накопительной форме - по порядку.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вычислений (построчные) и итоговые данные округляются до целых рублей:</w:t>
      </w:r>
    </w:p>
    <w:p>
      <w:pPr>
        <w:pStyle w:val="Normal"/>
        <w:numPr>
          <w:ilvl w:val="0"/>
          <w:numId w:val="8"/>
        </w:numPr>
        <w:spacing w:lineRule="auto" w:line="276" w:before="57" w:after="57"/>
        <w:ind w:hanging="227" w:left="79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графа 5 «Стоимость» (образец 2П приложения 2 к Требованиям к оформлению и составлению документации по ценообразованию); </w:t>
      </w:r>
    </w:p>
    <w:p>
      <w:pPr>
        <w:pStyle w:val="Normal"/>
        <w:numPr>
          <w:ilvl w:val="0"/>
          <w:numId w:val="8"/>
        </w:numPr>
        <w:spacing w:lineRule="auto" w:line="276" w:before="57" w:after="57"/>
        <w:ind w:hanging="227" w:left="794"/>
        <w:jc w:val="both"/>
        <w:rPr>
          <w:sz w:val="24"/>
          <w:szCs w:val="24"/>
        </w:rPr>
      </w:pPr>
      <w:r>
        <w:rPr>
          <w:sz w:val="24"/>
          <w:szCs w:val="24"/>
        </w:rPr>
        <w:t>графа 7 «Оплата труда (всего)» (образец 3П приложения 2 к Требованиям к оформлению и составлению документации по ценообразованию).</w:t>
      </w:r>
    </w:p>
    <w:p>
      <w:pPr>
        <w:pStyle w:val="Normal"/>
        <w:widowControl w:val="false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вычислений (построчные) и итоговые данные в локальных сметных расчетах, (сметах), приводятся в рублях,</w:t>
      </w:r>
    </w:p>
    <w:p>
      <w:pPr>
        <w:pStyle w:val="ListParagraph"/>
        <w:widowControl w:val="false"/>
        <w:numPr>
          <w:ilvl w:val="0"/>
          <w:numId w:val="9"/>
        </w:numPr>
        <w:tabs>
          <w:tab w:val="clear" w:pos="708"/>
          <w:tab w:val="left" w:pos="142" w:leader="none"/>
          <w:tab w:val="left" w:pos="567" w:leader="none"/>
        </w:tabs>
        <w:spacing w:lineRule="auto" w:line="276" w:before="57" w:after="57"/>
        <w:ind w:hanging="227" w:left="794"/>
        <w:contextualSpacing w:val="false"/>
        <w:jc w:val="both"/>
        <w:rPr/>
      </w:pPr>
      <w:r>
        <w:rPr/>
        <w:t>при базисно-индексном методе, с округлением до целых рублей;</w:t>
      </w:r>
    </w:p>
    <w:p>
      <w:pPr>
        <w:pStyle w:val="ListParagraph"/>
        <w:widowControl w:val="false"/>
        <w:numPr>
          <w:ilvl w:val="0"/>
          <w:numId w:val="9"/>
        </w:numPr>
        <w:tabs>
          <w:tab w:val="clear" w:pos="708"/>
          <w:tab w:val="left" w:pos="142" w:leader="none"/>
        </w:tabs>
        <w:spacing w:lineRule="auto" w:line="276" w:before="57" w:after="57"/>
        <w:ind w:hanging="227" w:left="794"/>
        <w:contextualSpacing w:val="false"/>
        <w:jc w:val="both"/>
        <w:rPr/>
      </w:pPr>
      <w:r>
        <w:rPr/>
        <w:t>при ресурсно-индексном и ресурсным методах, а также сметных расчетах на отдельные виды затрат - с округлением до целых единиц;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142" w:leader="none"/>
          <w:tab w:val="left" w:pos="993" w:leader="none"/>
        </w:tabs>
        <w:spacing w:lineRule="auto" w:line="276" w:before="57" w:after="57"/>
        <w:ind w:hanging="227" w:left="794"/>
        <w:contextualSpacing w:val="false"/>
        <w:jc w:val="both"/>
        <w:rPr/>
      </w:pPr>
      <w:r>
        <w:rPr/>
        <w:t>в сводной смете - в рублях с округлением до двух знаков после запятой.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42" w:leader="none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Сметы предоставляются в 2-х вариантах: бумажном и электронном (в формате «Excel»).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42" w:leader="none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При необходимости учета командировочных расходов в сметной документации составляется расчет. Размер суточных командировочных расходов определить в соответствии с действующим законодательством РФ и с учетом норм, определяемых внутренним документом организации.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42" w:leader="none"/>
          <w:tab w:val="left" w:pos="993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Лимиты командировочных расходов при производстве Работ/Услуг по статьям затрат следующие: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142" w:leader="none"/>
          <w:tab w:val="left" w:pos="928" w:leader="none"/>
          <w:tab w:val="left" w:pos="993" w:leader="none"/>
        </w:tabs>
        <w:spacing w:lineRule="auto" w:line="276" w:before="57" w:after="57"/>
        <w:ind w:hanging="227" w:left="794"/>
        <w:jc w:val="both"/>
        <w:rPr>
          <w:sz w:val="24"/>
          <w:szCs w:val="24"/>
        </w:rPr>
      </w:pPr>
      <w:r>
        <w:rPr>
          <w:sz w:val="24"/>
          <w:szCs w:val="24"/>
        </w:rPr>
        <w:t>суточные –700 руб./сутки;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142" w:leader="none"/>
          <w:tab w:val="left" w:pos="928" w:leader="none"/>
          <w:tab w:val="left" w:pos="993" w:leader="none"/>
        </w:tabs>
        <w:spacing w:lineRule="auto" w:line="276" w:before="57" w:after="57"/>
        <w:ind w:hanging="227" w:left="794"/>
        <w:jc w:val="both"/>
        <w:rPr>
          <w:sz w:val="24"/>
          <w:szCs w:val="24"/>
        </w:rPr>
      </w:pPr>
      <w:r>
        <w:rPr>
          <w:sz w:val="24"/>
          <w:szCs w:val="24"/>
        </w:rPr>
        <w:t>проживание – 5000 руб./сутки;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142" w:leader="none"/>
          <w:tab w:val="left" w:pos="928" w:leader="none"/>
          <w:tab w:val="left" w:pos="993" w:leader="none"/>
        </w:tabs>
        <w:spacing w:lineRule="auto" w:line="276" w:before="57" w:after="57"/>
        <w:ind w:hanging="227" w:left="794"/>
        <w:jc w:val="both"/>
        <w:rPr>
          <w:sz w:val="24"/>
          <w:szCs w:val="24"/>
        </w:rPr>
      </w:pPr>
      <w:r>
        <w:rPr>
          <w:sz w:val="24"/>
          <w:szCs w:val="24"/>
        </w:rPr>
        <w:t>проезд: поезд (купе) или самолет (класс–эконом с багажом до 20 (двадцати) кг, ручная кладь до 10 (десяти) кг).</w:t>
      </w:r>
    </w:p>
    <w:p>
      <w:pPr>
        <w:pStyle w:val="Normal"/>
        <w:tabs>
          <w:tab w:val="clear" w:pos="708"/>
          <w:tab w:val="left" w:pos="142" w:leader="none"/>
          <w:tab w:val="left" w:pos="284" w:leader="none"/>
          <w:tab w:val="left" w:pos="993" w:leader="none"/>
        </w:tabs>
        <w:spacing w:lineRule="auto" w:line="276" w:before="57" w:after="57"/>
        <w:ind w:firstLine="567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Данные лимиты могут быть пересмотрены на этапе согласования технических требований.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42" w:leader="none"/>
          <w:tab w:val="left" w:pos="567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В случае учета строительно-монтажных работ в рамках исполнения работ при производстве Работ/Услуг необходимо руководствоваться соответствующими требованиями к оформлению и составлению сметной документации при ремонте, реконструкции и техническом перевооружении.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42" w:leader="none"/>
          <w:tab w:val="left" w:pos="567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применения понижающего коэффициента к итогу смет или расчетов, корректирующего их стоимость в меньшую сторону, величину данного коэффициента необходимо учитывать с округлением до 3 знаков после запятой.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42" w:leader="none"/>
          <w:tab w:val="left" w:pos="567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субподрядных работ (в случае наличия таковых) следует отразить отдельной строкой в Сводной смете (образец приложение № 3 к Требованиям к оформлению и составлению документации по ценообразованию) с представлением соответствующих расчетов. 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42" w:leader="none"/>
          <w:tab w:val="left" w:pos="567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Стоимость материальных ресурсов и комплектующих, необходимых для создания опытных образцов, следует отразить отдельными строками в Сводной смете (образец приложение № 3 к Требованиям к оформлению и составлению документации по ценообразованию).</w:t>
      </w:r>
    </w:p>
    <w:p>
      <w:pPr>
        <w:sectPr>
          <w:headerReference w:type="default" r:id="rId11"/>
          <w:headerReference w:type="first" r:id="rId12"/>
          <w:type w:val="nextPage"/>
          <w:pgSz w:w="11906" w:h="16838"/>
          <w:pgMar w:left="1418" w:right="851" w:gutter="0" w:header="709" w:top="1134" w:footer="0" w:bottom="1701"/>
          <w:pgNumType w:fmt="decimal"/>
          <w:formProt w:val="false"/>
          <w:textDirection w:val="lrTb"/>
          <w:docGrid w:type="default" w:linePitch="360" w:charSpace="0"/>
        </w:sectPr>
        <w:pStyle w:val="Normal"/>
        <w:numPr>
          <w:ilvl w:val="0"/>
          <w:numId w:val="7"/>
        </w:numPr>
        <w:tabs>
          <w:tab w:val="clear" w:pos="708"/>
          <w:tab w:val="left" w:pos="142" w:leader="none"/>
          <w:tab w:val="left" w:pos="567" w:leader="none"/>
        </w:tabs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Стоимость строительно-монтажных работ, выполняемым в целях создания опытных образов и макетов, следует отразить отдельными строками в Сводной смете (образец приложение № 3 к Требованиям к оформлению и составлению документации по ценообразованию) с представлением соответствующих расчетов (в случае наличия таковых).</w:t>
      </w:r>
    </w:p>
    <w:p>
      <w:pPr>
        <w:pStyle w:val="Normal"/>
        <w:spacing w:lineRule="auto" w:line="276" w:before="0" w:after="113"/>
        <w:jc w:val="right"/>
        <w:rPr/>
      </w:pPr>
      <w:r>
        <w:rPr>
          <w:sz w:val="24"/>
          <w:szCs w:val="40"/>
        </w:rPr>
        <w:t>Приложение №1</w:t>
      </w:r>
    </w:p>
    <w:p>
      <w:pPr>
        <w:pStyle w:val="Normal"/>
        <w:spacing w:lineRule="auto" w:line="276"/>
        <w:jc w:val="right"/>
        <w:rPr/>
      </w:pPr>
      <w:r>
        <w:rPr>
          <w:sz w:val="24"/>
          <w:szCs w:val="40"/>
        </w:rPr>
        <w:t>к Требованиям к сметному</w:t>
        <w:br/>
        <w:t>ценообразованию</w:t>
      </w:r>
    </w:p>
    <w:p>
      <w:pPr>
        <w:pStyle w:val="Normal"/>
        <w:spacing w:lineRule="auto" w:line="276" w:before="227" w:after="227"/>
        <w:jc w:val="center"/>
        <w:rPr/>
      </w:pPr>
      <w:r>
        <w:rPr>
          <w:b/>
          <w:sz w:val="24"/>
          <w:szCs w:val="24"/>
        </w:rPr>
        <w:t>ПОЯСНИТЕЛЬНАЯ ЗАПИСКА</w:t>
        <w:br/>
        <w:t>по заполнению формы №3п</w:t>
        <w:br/>
        <w:t xml:space="preserve"> при составлении смет на Работы/Услуги</w:t>
      </w:r>
    </w:p>
    <w:p>
      <w:pPr>
        <w:pStyle w:val="Normal"/>
        <w:numPr>
          <w:ilvl w:val="0"/>
          <w:numId w:val="32"/>
        </w:numPr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При составлении сметного расчета по трудозатратам (форма №3п), разработанным организацией, выполняющей Работы/Услуги, обоснование расчета трудозатрат представляется заказчику по его просьбе. Сметные расчеты составляются в ценах текущего периода.</w:t>
      </w:r>
    </w:p>
    <w:p>
      <w:pPr>
        <w:pStyle w:val="Normal"/>
        <w:numPr>
          <w:ilvl w:val="0"/>
          <w:numId w:val="33"/>
        </w:numPr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Расчетом по трудозатратам (форма №3п) рекомендуется определять стоимость работ, цены на которые отсутствуют в СБЦ, СЦ и других нормативных сборниках, внесенных в 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с привлечением средств федерального бюджета (далее – ФРСН)</w:t>
      </w:r>
    </w:p>
    <w:p>
      <w:pPr>
        <w:pStyle w:val="Normal"/>
        <w:numPr>
          <w:ilvl w:val="0"/>
          <w:numId w:val="34"/>
        </w:numPr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Форма сметы для определения затрат по себестоимости и уровню рентабельности (форма №3п) приведена в Образце 3П (Приложение № 2 к пояснительной записке по заполнению формы 3П) </w:t>
      </w:r>
    </w:p>
    <w:p>
      <w:pPr>
        <w:pStyle w:val="Normal"/>
        <w:numPr>
          <w:ilvl w:val="0"/>
          <w:numId w:val="35"/>
        </w:numPr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вычислений и итоговые данные по разделам расчета округлять до целых рублей.</w:t>
      </w:r>
    </w:p>
    <w:p>
      <w:pPr>
        <w:pStyle w:val="Normal"/>
        <w:numPr>
          <w:ilvl w:val="0"/>
          <w:numId w:val="36"/>
        </w:numPr>
        <w:spacing w:lineRule="auto" w:line="276" w:before="57" w:after="57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Особенности заполнения формы 3П.</w:t>
      </w:r>
    </w:p>
    <w:p>
      <w:pPr>
        <w:pStyle w:val="Normal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Раздел 1. Расчет заработной платы:</w:t>
      </w:r>
    </w:p>
    <w:p>
      <w:pPr>
        <w:pStyle w:val="Normal"/>
        <w:numPr>
          <w:ilvl w:val="0"/>
          <w:numId w:val="12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в графе 1 приводится нумерация выполняемых работ;</w:t>
      </w:r>
    </w:p>
    <w:p>
      <w:pPr>
        <w:pStyle w:val="Normal"/>
        <w:numPr>
          <w:ilvl w:val="0"/>
          <w:numId w:val="12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в графе 2 приводится наименование выполняемых работ;</w:t>
      </w:r>
    </w:p>
    <w:p>
      <w:pPr>
        <w:pStyle w:val="Normal"/>
        <w:numPr>
          <w:ilvl w:val="0"/>
          <w:numId w:val="12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в графе 3 указывается количество привлекаемых работников;</w:t>
      </w:r>
    </w:p>
    <w:p>
      <w:pPr>
        <w:pStyle w:val="Normal"/>
        <w:numPr>
          <w:ilvl w:val="0"/>
          <w:numId w:val="12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в графе 4 указывается наименование должности (при необходимости, с указанием конкретных фамилий) работников, участвующих в выполнении каждой из приведенных работ в графе 2;</w:t>
      </w:r>
    </w:p>
    <w:p>
      <w:pPr>
        <w:pStyle w:val="Normal"/>
        <w:numPr>
          <w:ilvl w:val="0"/>
          <w:numId w:val="12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временным нормам;</w:t>
      </w:r>
    </w:p>
    <w:p>
      <w:pPr>
        <w:pStyle w:val="Normal"/>
        <w:numPr>
          <w:ilvl w:val="0"/>
          <w:numId w:val="12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 штатному расписанию основного производственного персонала исходя из установленных в 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Normal"/>
        <w:numPr>
          <w:ilvl w:val="0"/>
          <w:numId w:val="12"/>
        </w:numPr>
        <w:spacing w:lineRule="auto" w:line="276" w:before="57" w:after="57"/>
        <w:ind w:firstLine="567" w:left="0"/>
        <w:jc w:val="both"/>
        <w:rPr/>
      </w:pPr>
      <w:r>
        <w:rPr>
          <w:spacing w:val="-4"/>
          <w:sz w:val="24"/>
          <w:szCs w:val="24"/>
        </w:rPr>
        <w:t>в графе 7 указывается заработная плата в рублях (</w:t>
      </w:r>
      <w:r>
        <w:rPr>
          <w:b/>
          <w:spacing w:val="-4"/>
          <w:sz w:val="24"/>
          <w:szCs w:val="24"/>
          <w:u w:val="single"/>
        </w:rPr>
        <w:t>результат перемножения граф 5 и 6</w:t>
      </w:r>
      <w:r>
        <w:rPr>
          <w:spacing w:val="-4"/>
          <w:sz w:val="24"/>
          <w:szCs w:val="24"/>
        </w:rPr>
        <w:t>);</w:t>
      </w:r>
    </w:p>
    <w:p>
      <w:pPr>
        <w:pStyle w:val="Normal"/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работ, выполненных главным инженером проекта, или на базе имеющихся в организации проработок, определяющих нормативы их трудоемкости.</w:t>
      </w:r>
    </w:p>
    <w:p>
      <w:pPr>
        <w:pStyle w:val="Normal"/>
        <w:spacing w:lineRule="auto" w:line="276" w:before="57" w:after="57"/>
        <w:ind w:firstLine="567"/>
        <w:jc w:val="both"/>
        <w:rPr/>
      </w:pPr>
      <w:r>
        <w:rPr>
          <w:sz w:val="24"/>
          <w:szCs w:val="24"/>
          <w:u w:val="single"/>
        </w:rPr>
        <w:t>Раздел 2. Расчет стоимости выполнения работ:</w:t>
      </w:r>
    </w:p>
    <w:p>
      <w:pPr>
        <w:pStyle w:val="Normal"/>
        <w:numPr>
          <w:ilvl w:val="0"/>
          <w:numId w:val="11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в пункте 2.1 указывается процент заработной платы производственного персонала в составе себестоимости (</w:t>
      </w:r>
      <w:r>
        <w:rPr>
          <w:b/>
          <w:sz w:val="24"/>
          <w:szCs w:val="24"/>
          <w:u w:val="single"/>
        </w:rPr>
        <w:t>без учета субподрядных работ</w:t>
      </w:r>
      <w:r>
        <w:rPr>
          <w:sz w:val="24"/>
          <w:szCs w:val="24"/>
        </w:rPr>
        <w:t>), находящийся в пределах не менее 30% – 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документом организации.</w:t>
      </w:r>
    </w:p>
    <w:p>
      <w:pPr>
        <w:pStyle w:val="Normal"/>
        <w:numPr>
          <w:ilvl w:val="0"/>
          <w:numId w:val="11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в пункте 2.2 производится расчет себестоимости работ на основании выполненного в разделе 1 расчета заработной платы и ее процента в составе себестоимости работ (отношение итога графы 7 раздела 1 к пункту 2.1);</w:t>
      </w:r>
    </w:p>
    <w:p>
      <w:pPr>
        <w:pStyle w:val="Normal"/>
        <w:numPr>
          <w:ilvl w:val="0"/>
          <w:numId w:val="11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Normal"/>
        <w:numPr>
          <w:ilvl w:val="0"/>
          <w:numId w:val="11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 xml:space="preserve">уровень рентабельности по отношению к себестоимости может составлять </w:t>
      </w:r>
      <w:r>
        <w:rPr>
          <w:color w:val="000000"/>
          <w:sz w:val="24"/>
          <w:szCs w:val="24"/>
        </w:rPr>
        <w:t>до 15%.</w:t>
      </w:r>
    </w:p>
    <w:p>
      <w:pPr>
        <w:pStyle w:val="Normal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 сметной документации необходимо приложить все справочные данные по 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3П).</w:t>
      </w:r>
    </w:p>
    <w:p>
      <w:pPr>
        <w:pStyle w:val="Normal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Раздел 3. Расчет командировочных расходов.</w:t>
      </w:r>
    </w:p>
    <w:p>
      <w:pPr>
        <w:pStyle w:val="Normal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Командировочные расходы включаются в сметный расчет отдельной строкой (пункт 3 формы 3П) по отдельно выполненному расчету с расшифровкой затрат на проезд, проживание, суточные расходы.</w:t>
      </w:r>
    </w:p>
    <w:p>
      <w:pPr>
        <w:pStyle w:val="Normal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Стоимость проезда необходимо указывать по каждому виду транспорта отдельно туда и отдельно обратно.</w:t>
      </w:r>
    </w:p>
    <w:p>
      <w:pPr>
        <w:pStyle w:val="Normal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расходов на проезд и стоимость проживания в гостинице определяется на момент составления расчета. Форма расчета приведена в Приложении 3.</w:t>
      </w:r>
    </w:p>
    <w:p>
      <w:pPr>
        <w:pStyle w:val="Normal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Normal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Лимиты командировочных расходов при производстве Работ/Услуг:</w:t>
      </w:r>
    </w:p>
    <w:p>
      <w:pPr>
        <w:pStyle w:val="Normal"/>
        <w:numPr>
          <w:ilvl w:val="0"/>
          <w:numId w:val="10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суточные – 700 руб./сутки;</w:t>
      </w:r>
    </w:p>
    <w:p>
      <w:pPr>
        <w:pStyle w:val="Normal"/>
        <w:numPr>
          <w:ilvl w:val="0"/>
          <w:numId w:val="10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>проживание – 5000 руб./сутки;</w:t>
      </w:r>
    </w:p>
    <w:p>
      <w:pPr>
        <w:pStyle w:val="Normal"/>
        <w:numPr>
          <w:ilvl w:val="0"/>
          <w:numId w:val="10"/>
        </w:numPr>
        <w:spacing w:lineRule="auto" w:line="276" w:before="57" w:after="57"/>
        <w:ind w:firstLine="567" w:left="0"/>
        <w:jc w:val="both"/>
        <w:rPr/>
      </w:pPr>
      <w:r>
        <w:rPr>
          <w:sz w:val="24"/>
          <w:szCs w:val="24"/>
        </w:rPr>
        <w:t xml:space="preserve">проезд: поезд (купе) или самолет (класс </w:t>
      </w:r>
      <w:r>
        <w:rPr>
          <w:color w:val="000000"/>
          <w:sz w:val="24"/>
          <w:szCs w:val="24"/>
        </w:rPr>
        <w:t>–эконом с багажом до 20 (двадцати) кг, ручная кладь до 10 (десяти) кг).</w:t>
      </w:r>
    </w:p>
    <w:p>
      <w:pPr>
        <w:pStyle w:val="Normal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Данные лимиты могут быть пересмотрены на этапе согласования технических требований. </w:t>
      </w:r>
    </w:p>
    <w:p>
      <w:pPr>
        <w:pStyle w:val="Normal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учете командировочных расходов стоимость проезда (авиа-, ж/д, …) и проживания определяется Методом анализа ТКП в соответствии с Методикой формирования плановой цены на закупаемую продукцию для организаций Группы РусГидро (далее – Методика ПЦ).</w:t>
      </w:r>
    </w:p>
    <w:p>
      <w:pPr>
        <w:pStyle w:val="Normal"/>
        <w:spacing w:lineRule="auto" w:line="276" w:before="57" w:after="5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spacing w:before="113" w:after="113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spacing w:lineRule="auto" w:line="276" w:before="0" w:after="120"/>
        <w:ind w:left="5670"/>
        <w:jc w:val="right"/>
        <w:rPr>
          <w:sz w:val="24"/>
          <w:szCs w:val="40"/>
        </w:rPr>
      </w:pPr>
      <w:r>
        <w:rPr>
          <w:sz w:val="24"/>
          <w:szCs w:val="40"/>
        </w:rPr>
        <w:t>Приложение №1</w:t>
      </w:r>
    </w:p>
    <w:p>
      <w:pPr>
        <w:pStyle w:val="Normal"/>
        <w:spacing w:lineRule="auto" w:line="276" w:before="0" w:after="120"/>
        <w:ind w:left="5670"/>
        <w:jc w:val="right"/>
        <w:rPr>
          <w:sz w:val="24"/>
          <w:szCs w:val="40"/>
        </w:rPr>
      </w:pPr>
      <w:r>
        <w:rPr>
          <w:sz w:val="24"/>
          <w:szCs w:val="40"/>
        </w:rPr>
        <w:t>к Пояснительной записке по заполнению формы 3п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 w:before="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СПРАВКА (Образец)</w:t>
      </w:r>
    </w:p>
    <w:p>
      <w:pPr>
        <w:pStyle w:val="Normal"/>
        <w:spacing w:lineRule="auto" w:line="276" w:before="0" w:after="120"/>
        <w:rPr>
          <w:sz w:val="24"/>
          <w:szCs w:val="24"/>
        </w:rPr>
      </w:pPr>
      <w:r>
        <w:rPr>
          <w:sz w:val="24"/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8793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47"/>
        <w:gridCol w:w="3942"/>
        <w:gridCol w:w="3104"/>
      </w:tblGrid>
      <w:tr>
        <w:trPr>
          <w:trHeight w:val="325" w:hRule="atLeast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в день, в руб.</w:t>
            </w:r>
          </w:p>
        </w:tc>
      </w:tr>
      <w:tr>
        <w:trPr>
          <w:trHeight w:val="630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>
        <w:trPr>
          <w:trHeight w:val="581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>
        <w:trPr>
          <w:trHeight w:val="634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spacing w:lineRule="auto" w:line="276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sz w:val="24"/>
          <w:szCs w:val="24"/>
        </w:rPr>
        <w:t>Доля заработной платы в себестоимости работ, выполняемых с/с………  (%)</w:t>
        <w:tab/>
        <w:tab/>
        <w:tab/>
        <w:tab/>
        <w:tab/>
        <w:tab/>
        <w:t>__</w:t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sz w:val="24"/>
          <w:szCs w:val="24"/>
        </w:rPr>
        <w:t>Рентабельность предприятия……………………….. (%)</w:t>
        <w:tab/>
        <w:tab/>
        <w:tab/>
        <w:tab/>
        <w:tab/>
        <w:tab/>
        <w:tab/>
        <w:tab/>
        <w:tab/>
        <w:t xml:space="preserve"> </w:t>
      </w:r>
    </w:p>
    <w:p>
      <w:pPr>
        <w:pStyle w:val="Normal"/>
        <w:spacing w:lineRule="auto" w:line="276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(Должность единоличного исполнительного органа контрагента/подрядчика)</w:t>
        <w:tab/>
        <w:tab/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(Краткое/Полное наименование организации) ________________ (ФИО)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м.п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(Главный бухгалтер)</w:t>
      </w:r>
      <w:r>
        <w:rPr>
          <w:rStyle w:val="FootnoteReference"/>
          <w:sz w:val="24"/>
          <w:szCs w:val="24"/>
        </w:rPr>
        <w:footnoteReference w:id="2"/>
      </w:r>
      <w:r>
        <w:rPr>
          <w:sz w:val="24"/>
          <w:szCs w:val="24"/>
        </w:rPr>
        <w:tab/>
        <w:tab/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(Краткое/Полное наименование организации контрагента/подрядчика) _________ (ФИО)</w:t>
      </w:r>
    </w:p>
    <w:p>
      <w:pPr>
        <w:sectPr>
          <w:headerReference w:type="default" r:id="rId13"/>
          <w:headerReference w:type="first" r:id="rId14"/>
          <w:footnotePr>
            <w:numFmt w:val="decimal"/>
            <w:numRestart w:val="eachPage"/>
          </w:footnotePr>
          <w:type w:val="nextPage"/>
          <w:pgSz w:w="11906" w:h="16838"/>
          <w:pgMar w:left="1304" w:right="924" w:gutter="0" w:header="709" w:top="766" w:footer="0" w:bottom="720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м.п</w:t>
      </w:r>
    </w:p>
    <w:p>
      <w:pPr>
        <w:pStyle w:val="Normal"/>
        <w:spacing w:lineRule="auto" w:line="276" w:before="0" w:after="120"/>
        <w:ind w:left="5670"/>
        <w:jc w:val="right"/>
        <w:rPr>
          <w:sz w:val="24"/>
          <w:szCs w:val="40"/>
        </w:rPr>
      </w:pPr>
      <w:r>
        <w:rPr>
          <w:sz w:val="24"/>
          <w:szCs w:val="40"/>
        </w:rPr>
        <w:t>Приложение № 2</w:t>
      </w:r>
    </w:p>
    <w:p>
      <w:pPr>
        <w:pStyle w:val="Normal"/>
        <w:spacing w:lineRule="auto" w:line="276" w:before="0" w:after="120"/>
        <w:ind w:left="5670"/>
        <w:jc w:val="right"/>
        <w:rPr>
          <w:sz w:val="24"/>
          <w:szCs w:val="40"/>
        </w:rPr>
      </w:pPr>
      <w:r>
        <w:rPr>
          <w:sz w:val="24"/>
          <w:szCs w:val="40"/>
        </w:rPr>
        <w:t>к Требованиям к сметному ценообразованию</w:t>
      </w:r>
    </w:p>
    <w:p>
      <w:pPr>
        <w:pStyle w:val="Normal"/>
        <w:shd w:val="clear" w:color="auto" w:fill="FFFFFF"/>
        <w:ind w:firstLine="284"/>
        <w:jc w:val="center"/>
        <w:rPr>
          <w:b/>
          <w:bCs/>
          <w:iCs/>
          <w:spacing w:val="-4"/>
          <w:sz w:val="24"/>
          <w:szCs w:val="24"/>
        </w:rPr>
      </w:pPr>
      <w:r>
        <w:rPr>
          <w:b/>
          <w:bCs/>
          <w:iCs/>
          <w:spacing w:val="-4"/>
          <w:sz w:val="24"/>
          <w:szCs w:val="24"/>
        </w:rPr>
      </w:r>
    </w:p>
    <w:p>
      <w:pPr>
        <w:pStyle w:val="Normal"/>
        <w:shd w:val="clear" w:color="auto" w:fill="FFFFFF"/>
        <w:ind w:firstLine="284"/>
        <w:jc w:val="center"/>
        <w:rPr>
          <w:b/>
          <w:bCs/>
          <w:iCs/>
          <w:spacing w:val="-4"/>
          <w:sz w:val="24"/>
          <w:szCs w:val="24"/>
        </w:rPr>
      </w:pPr>
      <w:r>
        <w:rPr>
          <w:b/>
          <w:bCs/>
          <w:iCs/>
          <w:spacing w:val="-4"/>
          <w:sz w:val="24"/>
          <w:szCs w:val="24"/>
        </w:rPr>
        <w:t>Образцы оформления сметной документации на  работы/услуг</w:t>
      </w:r>
    </w:p>
    <w:p>
      <w:pPr>
        <w:pStyle w:val="Normal"/>
        <w:shd w:val="clear" w:color="auto" w:fill="FFFFFF"/>
        <w:spacing w:before="360" w:after="240"/>
        <w:rPr>
          <w:b/>
          <w:sz w:val="24"/>
          <w:szCs w:val="24"/>
        </w:rPr>
      </w:pPr>
      <w:r>
        <w:rPr>
          <w:b/>
          <w:sz w:val="24"/>
          <w:szCs w:val="24"/>
        </w:rPr>
        <w:t>Б.1 Образец 1п</w:t>
      </w:r>
    </w:p>
    <w:tbl>
      <w:tblPr>
        <w:tblW w:w="9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90"/>
      </w:tblGrid>
      <w:tr>
        <w:trPr/>
        <w:tc>
          <w:tcPr>
            <w:tcW w:w="9290" w:type="dxa"/>
            <w:tcBorders/>
          </w:tcPr>
          <w:p>
            <w:pPr>
              <w:pStyle w:val="Normal"/>
              <w:widowControl w:val="false"/>
              <w:shd w:val="clear" w:color="auto" w:fill="FFFFFF"/>
              <w:ind w:firstLine="4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___к договору № ____ от</w:t>
            </w:r>
          </w:p>
          <w:p>
            <w:pPr>
              <w:pStyle w:val="Normal"/>
              <w:widowControl w:val="false"/>
              <w:shd w:val="clear" w:color="auto" w:fill="FFFFFF"/>
              <w:ind w:firstLine="27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tbl>
            <w:tblPr>
              <w:tblW w:w="906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4529"/>
              <w:gridCol w:w="4530"/>
            </w:tblGrid>
            <w:tr>
              <w:trPr>
                <w:trHeight w:val="417" w:hRule="atLeast"/>
              </w:trPr>
              <w:tc>
                <w:tcPr>
                  <w:tcW w:w="4529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_________________(Подрядчик)</w:t>
                  </w:r>
                </w:p>
                <w:p>
                  <w:pPr>
                    <w:pStyle w:val="Normal"/>
                    <w:widowControl w:val="false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 И.О.Ф.</w:t>
                  </w:r>
                </w:p>
              </w:tc>
              <w:tc>
                <w:tcPr>
                  <w:tcW w:w="4530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 И.О.Ф.</w:t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Сводная смета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работы/услуги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строительства и стадии проектирования___________________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проектной организации/генерального проектировщика______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 заказчика__________________________________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руб.</w:t>
            </w:r>
          </w:p>
          <w:tbl>
            <w:tblPr>
              <w:tblW w:w="5000" w:type="pct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479"/>
              <w:gridCol w:w="1783"/>
              <w:gridCol w:w="1851"/>
              <w:gridCol w:w="1510"/>
              <w:gridCol w:w="1686"/>
              <w:gridCol w:w="1162"/>
              <w:gridCol w:w="602"/>
            </w:tblGrid>
            <w:tr>
              <w:trPr>
                <w:tblHeader w:val="true"/>
              </w:trPr>
              <w:tc>
                <w:tcPr>
                  <w:tcW w:w="47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№ </w:t>
                  </w:r>
                  <w:r>
                    <w:rPr>
                      <w:sz w:val="24"/>
                      <w:szCs w:val="24"/>
                    </w:rPr>
                    <w:t>п.п.</w:t>
                  </w:r>
                </w:p>
              </w:tc>
              <w:tc>
                <w:tcPr>
                  <w:tcW w:w="1783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Перечень выполняемых работ</w:t>
                  </w:r>
                </w:p>
              </w:tc>
              <w:tc>
                <w:tcPr>
                  <w:tcW w:w="1851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Характеристика проектируемого объекта</w:t>
                  </w:r>
                </w:p>
              </w:tc>
              <w:tc>
                <w:tcPr>
                  <w:tcW w:w="151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Ссылка на № смет по формам № 2п и 3п</w:t>
                  </w:r>
                </w:p>
              </w:tc>
              <w:tc>
                <w:tcPr>
                  <w:tcW w:w="3450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Стоимость работ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479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783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851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510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68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работ/услуг</w:t>
                  </w:r>
                </w:p>
              </w:tc>
              <w:tc>
                <w:tcPr>
                  <w:tcW w:w="116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проектных</w:t>
                  </w:r>
                </w:p>
              </w:tc>
              <w:tc>
                <w:tcPr>
                  <w:tcW w:w="60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всего</w:t>
                  </w:r>
                </w:p>
              </w:tc>
            </w:tr>
            <w:tr>
              <w:trPr>
                <w:tblHeader w:val="true"/>
                <w:trHeight w:val="253" w:hRule="atLeast"/>
              </w:trPr>
              <w:tc>
                <w:tcPr>
                  <w:tcW w:w="4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8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5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1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6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6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0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</w:tr>
            <w:tr>
              <w:trPr>
                <w:trHeight w:val="59" w:hRule="atLeast"/>
              </w:trPr>
              <w:tc>
                <w:tcPr>
                  <w:tcW w:w="479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8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851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1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6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6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>
              <w:trPr>
                <w:trHeight w:val="69" w:hRule="atLeast"/>
              </w:trPr>
              <w:tc>
                <w:tcPr>
                  <w:tcW w:w="47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8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85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1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6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0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смете 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18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(сумма прописью)</w:t>
            </w:r>
          </w:p>
          <w:p>
            <w:pPr>
              <w:pStyle w:val="Normal"/>
              <w:widowControl w:val="false"/>
              <w:shd w:val="clear" w:color="auto" w:fill="FFFFFF"/>
              <w:spacing w:before="48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Составил:            /должность, организация/                                    /подпись/   /расшифровка подписи/</w:t>
            </w:r>
          </w:p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Проверил:            /должность, организация/                                    /подпись/   /расшифровка подписи/</w:t>
            </w:r>
          </w:p>
        </w:tc>
      </w:tr>
    </w:tbl>
    <w:p>
      <w:pPr>
        <w:pStyle w:val="Normal"/>
        <w:shd w:val="clear" w:color="auto" w:fill="FFFFFF"/>
        <w:spacing w:before="360" w:after="240"/>
        <w:rPr>
          <w:b/>
          <w:sz w:val="24"/>
          <w:szCs w:val="24"/>
        </w:rPr>
      </w:pPr>
      <w:r>
        <w:br w:type="page"/>
      </w:r>
      <w:r>
        <w:rPr>
          <w:b/>
          <w:sz w:val="24"/>
          <w:szCs w:val="24"/>
        </w:rPr>
        <w:t>Б.2 Образец № 2п</w:t>
      </w:r>
    </w:p>
    <w:tbl>
      <w:tblPr>
        <w:tblW w:w="9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90"/>
      </w:tblGrid>
      <w:tr>
        <w:trPr/>
        <w:tc>
          <w:tcPr>
            <w:tcW w:w="9290" w:type="dxa"/>
            <w:tcBorders/>
          </w:tcPr>
          <w:p>
            <w:pPr>
              <w:pStyle w:val="Normal"/>
              <w:widowControl w:val="false"/>
              <w:shd w:val="clear" w:color="auto" w:fill="FFFFFF"/>
              <w:ind w:left="38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  к договору №   от ____</w:t>
            </w:r>
          </w:p>
          <w:p>
            <w:pPr>
              <w:pStyle w:val="Normal"/>
              <w:widowControl w:val="false"/>
              <w:shd w:val="clear" w:color="auto" w:fill="FFFFFF"/>
              <w:ind w:left="38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tbl>
            <w:tblPr>
              <w:tblW w:w="906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4529"/>
              <w:gridCol w:w="4530"/>
            </w:tblGrid>
            <w:tr>
              <w:trPr>
                <w:trHeight w:val="417" w:hRule="atLeast"/>
              </w:trPr>
              <w:tc>
                <w:tcPr>
                  <w:tcW w:w="4529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_________________(Подрядчик)</w:t>
                  </w:r>
                </w:p>
                <w:p>
                  <w:pPr>
                    <w:pStyle w:val="Normal"/>
                    <w:widowControl w:val="false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__________________ И.О.Ф.</w:t>
                  </w:r>
                </w:p>
              </w:tc>
              <w:tc>
                <w:tcPr>
                  <w:tcW w:w="4530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 И.О.Ф.</w:t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spacing w:before="48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СМЕТА № </w:t>
              <w:br/>
              <w:t>на работы/услуги</w:t>
            </w:r>
          </w:p>
          <w:p>
            <w:pPr>
              <w:pStyle w:val="Normal"/>
              <w:widowControl w:val="false"/>
              <w:shd w:val="clear" w:color="auto" w:fill="FFFFFF"/>
              <w:spacing w:before="48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предприятия, здания, сооружения, стадии проектирования, этапа, вида работ/услуг__________________________________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 заказчика__________________________________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руб.</w:t>
            </w:r>
          </w:p>
          <w:tbl>
            <w:tblPr>
              <w:tblW w:w="5000" w:type="pct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341"/>
              <w:gridCol w:w="2222"/>
              <w:gridCol w:w="3217"/>
              <w:gridCol w:w="2127"/>
              <w:gridCol w:w="1167"/>
            </w:tblGrid>
            <w:tr>
              <w:trPr>
                <w:tblHeader w:val="true"/>
              </w:trPr>
              <w:tc>
                <w:tcPr>
                  <w:tcW w:w="341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№ </w:t>
                  </w:r>
                  <w:r>
                    <w:rPr>
                      <w:sz w:val="24"/>
                      <w:szCs w:val="24"/>
                    </w:rPr>
                    <w:t>пп</w:t>
                  </w:r>
                </w:p>
              </w:tc>
              <w:tc>
                <w:tcPr>
                  <w:tcW w:w="2222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Характеристика предприятия, здания, сооружения или виды работ</w:t>
                  </w:r>
                </w:p>
              </w:tc>
              <w:tc>
                <w:tcPr>
                  <w:tcW w:w="3217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Номер частей, глав, таблиц, процентов, параграфов и пунктов указаний к разделу Справочника базовых цен </w:t>
                  </w:r>
                </w:p>
              </w:tc>
              <w:tc>
                <w:tcPr>
                  <w:tcW w:w="212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Расчет стоимости: (a + bx) </w:t>
                  </w:r>
                  <w:r>
                    <w:rPr>
                      <w:rFonts w:eastAsia="Symbol" w:cs="Symbol" w:ascii="Symbol" w:hAnsi="Symbol"/>
                      <w:sz w:val="24"/>
                      <w:szCs w:val="24"/>
                    </w:rPr>
                    <w:sym w:font="Symbol" w:char="f0b4"/>
                  </w:r>
                  <w:r>
                    <w:rPr>
                      <w:sz w:val="24"/>
                      <w:szCs w:val="24"/>
                    </w:rPr>
                    <w:t xml:space="preserve"> K</w:t>
                  </w:r>
                  <w:r>
                    <w:rPr>
                      <w:sz w:val="24"/>
                      <w:szCs w:val="24"/>
                      <w:vertAlign w:val="subscript"/>
                    </w:rPr>
                    <w:t>i</w:t>
                  </w:r>
                  <w:r>
                    <w:rPr>
                      <w:sz w:val="24"/>
                      <w:szCs w:val="24"/>
                    </w:rPr>
                    <w:t xml:space="preserve">, или (объем строительно-монтажных работ) </w:t>
                  </w:r>
                  <w:r>
                    <w:rPr>
                      <w:rFonts w:eastAsia="Symbol" w:cs="Symbol" w:ascii="Symbol" w:hAnsi="Symbol"/>
                      <w:sz w:val="24"/>
                      <w:szCs w:val="24"/>
                    </w:rPr>
                    <w:sym w:font="Symbol" w:char="f0b4"/>
                  </w:r>
                  <w:r>
                    <w:rPr>
                      <w:sz w:val="24"/>
                      <w:szCs w:val="24"/>
                    </w:rPr>
                    <w:t xml:space="preserve"> проц.</w:t>
                  </w:r>
                </w:p>
              </w:tc>
              <w:tc>
                <w:tcPr>
                  <w:tcW w:w="116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Стоимость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341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2222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3217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212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100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или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количество </w:t>
                  </w:r>
                  <w:r>
                    <w:rPr>
                      <w:rFonts w:eastAsia="Symbol" w:cs="Symbol" w:ascii="Symbol" w:hAnsi="Symbol"/>
                      <w:sz w:val="24"/>
                      <w:szCs w:val="24"/>
                    </w:rPr>
                    <w:sym w:font="Symbol" w:char="f0b4"/>
                  </w:r>
                  <w:r>
                    <w:rPr>
                      <w:sz w:val="24"/>
                      <w:szCs w:val="24"/>
                    </w:rPr>
                    <w:t xml:space="preserve"> цена</w:t>
                  </w:r>
                </w:p>
              </w:tc>
              <w:tc>
                <w:tcPr>
                  <w:tcW w:w="1167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3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2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1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12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</w:tr>
            <w:tr>
              <w:trPr/>
              <w:tc>
                <w:tcPr>
                  <w:tcW w:w="341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2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21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2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67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>
              <w:trPr/>
              <w:tc>
                <w:tcPr>
                  <w:tcW w:w="341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2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21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2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6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spacing w:before="48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Составил:            /должность, организация/                                    /подпись/   /расшифровка подписи/</w:t>
            </w:r>
          </w:p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Проверил:            /должность, организация/                                    /подпись/   /расшифровка подписи/</w:t>
            </w:r>
          </w:p>
        </w:tc>
      </w:tr>
      <w:tr>
        <w:trPr/>
        <w:tc>
          <w:tcPr>
            <w:tcW w:w="9290" w:type="dxa"/>
            <w:tcBorders/>
          </w:tcPr>
          <w:p>
            <w:pPr>
              <w:pStyle w:val="Normal"/>
              <w:widowControl w:val="false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br w:type="page"/>
      </w:r>
    </w:p>
    <w:p>
      <w:pPr>
        <w:pStyle w:val="Normal"/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  <w:t>Б.3 Образец № 3п</w:t>
      </w:r>
    </w:p>
    <w:p>
      <w:pPr>
        <w:pStyle w:val="Normal"/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9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90"/>
      </w:tblGrid>
      <w:tr>
        <w:trPr/>
        <w:tc>
          <w:tcPr>
            <w:tcW w:w="9290" w:type="dxa"/>
            <w:tcBorders/>
          </w:tcPr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27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(договору, дополнительному соглашению)</w:t>
            </w:r>
          </w:p>
          <w:tbl>
            <w:tblPr>
              <w:tblW w:w="906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4529"/>
              <w:gridCol w:w="4530"/>
            </w:tblGrid>
            <w:tr>
              <w:trPr>
                <w:trHeight w:val="417" w:hRule="atLeast"/>
              </w:trPr>
              <w:tc>
                <w:tcPr>
                  <w:tcW w:w="4529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 (Подрядчик)</w:t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 И.О.Ф.</w:t>
                  </w:r>
                </w:p>
                <w:p>
                  <w:pPr>
                    <w:pStyle w:val="Normal"/>
                    <w:widowControl w:val="false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4530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 И.О.Ф.</w:t>
                  </w:r>
                </w:p>
                <w:p>
                  <w:pPr>
                    <w:pStyle w:val="Normal"/>
                    <w:widowControl w:val="false"/>
                    <w:spacing w:lineRule="auto" w:line="276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СМЕТА № </w:t>
              <w:br/>
              <w:t>на работы/услуги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предприятия, здания, сооружения, стадии проектирования, этапа, вида работ/услуг__________________________________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работ/услуг__________________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 заказчика__________________________________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before="24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Расчет заработной платы</w:t>
            </w:r>
            <w:r>
              <w:rPr>
                <w:sz w:val="24"/>
                <w:szCs w:val="24"/>
              </w:rPr>
              <w:tab/>
              <w:tab/>
              <w:tab/>
              <w:tab/>
              <w:tab/>
              <w:tab/>
              <w:tab/>
              <w:tab/>
              <w:t>руб.</w:t>
            </w:r>
          </w:p>
          <w:tbl>
            <w:tblPr>
              <w:tblW w:w="5000" w:type="pct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430"/>
              <w:gridCol w:w="2220"/>
              <w:gridCol w:w="1219"/>
              <w:gridCol w:w="1152"/>
              <w:gridCol w:w="1260"/>
              <w:gridCol w:w="1109"/>
              <w:gridCol w:w="1683"/>
            </w:tblGrid>
            <w:tr>
              <w:trPr>
                <w:tblHeader w:val="true"/>
              </w:trPr>
              <w:tc>
                <w:tcPr>
                  <w:tcW w:w="43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№ </w:t>
                  </w:r>
                  <w:r>
                    <w:rPr>
                      <w:sz w:val="24"/>
                      <w:szCs w:val="24"/>
                    </w:rPr>
                    <w:t>п.п.</w:t>
                  </w:r>
                </w:p>
              </w:tc>
              <w:tc>
                <w:tcPr>
                  <w:tcW w:w="222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Перечень выполняемых работ</w:t>
                  </w:r>
                </w:p>
              </w:tc>
              <w:tc>
                <w:tcPr>
                  <w:tcW w:w="2371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Исполнители</w:t>
                  </w:r>
                </w:p>
              </w:tc>
              <w:tc>
                <w:tcPr>
                  <w:tcW w:w="126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Количество человеко-дней</w:t>
                  </w:r>
                </w:p>
              </w:tc>
              <w:tc>
                <w:tcPr>
                  <w:tcW w:w="110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Средняя оплата труда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за 1 день</w:t>
                  </w:r>
                </w:p>
              </w:tc>
              <w:tc>
                <w:tcPr>
                  <w:tcW w:w="1683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Оплата труда (всего)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430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2220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21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количество</w:t>
                  </w:r>
                </w:p>
              </w:tc>
              <w:tc>
                <w:tcPr>
                  <w:tcW w:w="115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1260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109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683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4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2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19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5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6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68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</w:tr>
            <w:tr>
              <w:trPr/>
              <w:tc>
                <w:tcPr>
                  <w:tcW w:w="430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2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9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09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>
              <w:trPr/>
              <w:tc>
                <w:tcPr>
                  <w:tcW w:w="43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2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6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0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spacing w:lineRule="auto" w:line="27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заработной платы, в руб.______________________________________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Расчет стоимости выполнения работ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Процент заработной платы в составе себестоимости, %_______________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 Себестоимость работ____________________________________________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 Уровень рентабельности, %______________________________________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Итого:</w:t>
            </w:r>
            <w:r>
              <w:rPr>
                <w:sz w:val="24"/>
                <w:szCs w:val="24"/>
              </w:rPr>
              <w:t>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Командировочные расходы (по предварительному расчету)_____________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(руб.)</w:t>
            </w:r>
            <w:r>
              <w:rPr>
                <w:sz w:val="24"/>
                <w:szCs w:val="24"/>
              </w:rPr>
              <w:t>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20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(сумма прописью)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Составил:            /должность, организация/                                    /подпись/   /расшифровка подписи/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Проверил:            /должность, организация/                                    /подпись/   /расшифровка подписи/</w:t>
            </w:r>
          </w:p>
        </w:tc>
      </w:tr>
    </w:tbl>
    <w:p>
      <w:pPr>
        <w:pStyle w:val="Normal"/>
        <w:spacing w:before="0" w:after="120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  <w:r>
        <w:br w:type="page"/>
      </w:r>
    </w:p>
    <w:p>
      <w:pPr>
        <w:pStyle w:val="Normal"/>
        <w:rPr>
          <w:color w:val="auto"/>
        </w:rPr>
      </w:pPr>
      <w:r>
        <w:rPr>
          <w:b/>
          <w:color w:val="auto"/>
          <w:sz w:val="24"/>
          <w:szCs w:val="24"/>
          <w:lang w:val="ru-RU"/>
        </w:rPr>
        <w:t>Образец</w:t>
      </w:r>
    </w:p>
    <w:p>
      <w:pPr>
        <w:pStyle w:val="Normal"/>
        <w:shd w:val="clear" w:fill="FFFFFF"/>
        <w:ind w:left="5530" w:right="0"/>
        <w:rPr>
          <w:color w:val="auto"/>
        </w:rPr>
      </w:pPr>
      <w:r>
        <w:rPr>
          <w:color w:val="auto"/>
          <w:sz w:val="24"/>
          <w:szCs w:val="24"/>
          <w:lang w:val="ru-RU"/>
        </w:rPr>
        <w:t>Приложение №_____</w:t>
      </w:r>
    </w:p>
    <w:p>
      <w:pPr>
        <w:pStyle w:val="Normal"/>
        <w:shd w:val="clear" w:fill="FFFFFF"/>
        <w:ind w:left="5530" w:right="0"/>
        <w:rPr>
          <w:color w:val="auto"/>
        </w:rPr>
      </w:pPr>
      <w:r>
        <w:rPr>
          <w:color w:val="auto"/>
          <w:sz w:val="24"/>
          <w:szCs w:val="24"/>
          <w:lang w:val="ru-RU"/>
        </w:rPr>
        <w:t>к договору, дополнительному соглашению №____от _______</w:t>
      </w:r>
    </w:p>
    <w:p>
      <w:pPr>
        <w:pStyle w:val="Normal"/>
        <w:shd w:val="clear" w:fill="FFFFFF"/>
        <w:ind w:left="5530" w:right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</w:r>
    </w:p>
    <w:tbl>
      <w:tblPr>
        <w:tblW w:w="930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8"/>
        <w:gridCol w:w="4778"/>
      </w:tblGrid>
      <w:tr>
        <w:trPr>
          <w:trHeight w:val="417" w:hRule="atLeast"/>
        </w:trPr>
        <w:tc>
          <w:tcPr>
            <w:tcW w:w="4528" w:type="dxa"/>
            <w:tcBorders/>
            <w:vAlign w:val="bottom"/>
          </w:tcPr>
          <w:p>
            <w:pPr>
              <w:pStyle w:val="Normal"/>
              <w:rPr>
                <w:color w:val="auto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СОГЛАСОВАНО:</w:t>
            </w:r>
          </w:p>
          <w:p>
            <w:pPr>
              <w:pStyle w:val="Normal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_________________(Подрядчик)</w:t>
            </w:r>
          </w:p>
          <w:p>
            <w:pPr>
              <w:pStyle w:val="Normal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_________________Ф.И.О.</w:t>
            </w:r>
          </w:p>
          <w:p>
            <w:pPr>
              <w:pStyle w:val="Normal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778" w:type="dxa"/>
            <w:tcBorders/>
          </w:tcPr>
          <w:p>
            <w:pPr>
              <w:pStyle w:val="Normal"/>
              <w:ind w:left="1460" w:right="0"/>
              <w:rPr>
                <w:color w:val="auto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УТВЕРЖДАЮ:</w:t>
            </w:r>
          </w:p>
          <w:p>
            <w:pPr>
              <w:pStyle w:val="Normal"/>
              <w:ind w:left="1460" w:right="0"/>
              <w:rPr>
                <w:color w:val="auto"/>
              </w:rPr>
            </w:pPr>
            <w:r>
              <w:rPr>
                <w:bCs/>
                <w:color w:val="auto"/>
                <w:sz w:val="24"/>
                <w:szCs w:val="24"/>
                <w:lang w:val="ru-RU"/>
              </w:rPr>
              <w:t>_________________(Заказчик)</w:t>
            </w:r>
          </w:p>
          <w:p>
            <w:pPr>
              <w:pStyle w:val="Normal"/>
              <w:ind w:left="1460" w:right="0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_________________Ф.И.О.</w:t>
            </w:r>
          </w:p>
          <w:p>
            <w:pPr>
              <w:pStyle w:val="Normal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</w:r>
          </w:p>
        </w:tc>
      </w:tr>
    </w:tbl>
    <w:p>
      <w:pPr>
        <w:pStyle w:val="Normal"/>
        <w:shd w:val="clear" w:fill="FFFFFF"/>
        <w:jc w:val="center"/>
        <w:rPr>
          <w:color w:val="auto"/>
        </w:rPr>
      </w:pPr>
      <w:r>
        <w:rPr>
          <w:b/>
          <w:bCs/>
          <w:color w:val="auto"/>
          <w:sz w:val="24"/>
          <w:szCs w:val="24"/>
          <w:lang w:val="ru-RU"/>
        </w:rPr>
        <w:t xml:space="preserve">СВОДНАЯ СМЕТА № </w:t>
        <w:br/>
        <w:t>на выполнение работ/оказание услуг</w:t>
      </w:r>
    </w:p>
    <w:p>
      <w:pPr>
        <w:pStyle w:val="Normal"/>
        <w:shd w:val="clear" w:fill="FFFFFF"/>
        <w:jc w:val="center"/>
        <w:rPr>
          <w:b/>
          <w:bCs/>
          <w:color w:val="auto"/>
          <w:sz w:val="24"/>
          <w:szCs w:val="24"/>
          <w:lang w:val="ru-RU"/>
        </w:rPr>
      </w:pPr>
      <w:r>
        <w:rPr>
          <w:b/>
          <w:bCs/>
          <w:color w:val="auto"/>
          <w:sz w:val="24"/>
          <w:szCs w:val="24"/>
          <w:lang w:val="ru-RU"/>
        </w:rPr>
      </w:r>
    </w:p>
    <w:p>
      <w:pPr>
        <w:pStyle w:val="Normal"/>
        <w:shd w:val="clear" w:fill="FFFFFF"/>
        <w:rPr>
          <w:color w:val="auto"/>
        </w:rPr>
      </w:pPr>
      <w:r>
        <w:rPr>
          <w:color w:val="auto"/>
          <w:sz w:val="24"/>
          <w:szCs w:val="24"/>
          <w:lang w:val="ru-RU"/>
        </w:rPr>
        <w:t xml:space="preserve">Наименование предприятия, здания, сооружения, стадии проектирования, этапа, вида </w:t>
      </w:r>
    </w:p>
    <w:p>
      <w:pPr>
        <w:pStyle w:val="Normal"/>
        <w:shd w:val="clear" w:fill="FFFFFF"/>
        <w:rPr>
          <w:color w:val="auto"/>
        </w:rPr>
      </w:pPr>
      <w:r>
        <w:rPr>
          <w:color w:val="auto"/>
          <w:sz w:val="24"/>
          <w:szCs w:val="24"/>
          <w:lang w:val="ru-RU"/>
        </w:rPr>
        <w:t>Работ/Услуг___________________________________________________________</w:t>
      </w:r>
    </w:p>
    <w:p>
      <w:pPr>
        <w:pStyle w:val="Normal"/>
        <w:shd w:val="clear" w:fill="FFFFFF"/>
        <w:rPr>
          <w:color w:val="auto"/>
        </w:rPr>
      </w:pPr>
      <w:r>
        <w:rPr>
          <w:color w:val="auto"/>
          <w:sz w:val="24"/>
          <w:szCs w:val="24"/>
          <w:lang w:val="ru-RU"/>
        </w:rPr>
        <w:t>__________________________________________________________________</w:t>
      </w:r>
    </w:p>
    <w:p>
      <w:pPr>
        <w:pStyle w:val="Normal"/>
        <w:shd w:val="clear" w:fill="FFFFFF"/>
        <w:rPr>
          <w:color w:val="auto"/>
        </w:rPr>
      </w:pPr>
      <w:r>
        <w:rPr>
          <w:color w:val="auto"/>
          <w:sz w:val="24"/>
          <w:szCs w:val="24"/>
          <w:lang w:val="ru-RU"/>
        </w:rPr>
        <w:t>Наименование подрядной организации_________________________________</w:t>
      </w:r>
    </w:p>
    <w:p>
      <w:pPr>
        <w:pStyle w:val="Normal"/>
        <w:shd w:val="clear" w:fill="FFFFFF"/>
        <w:rPr>
          <w:color w:val="auto"/>
        </w:rPr>
      </w:pPr>
      <w:r>
        <w:rPr>
          <w:color w:val="auto"/>
          <w:sz w:val="24"/>
          <w:szCs w:val="24"/>
          <w:lang w:val="ru-RU"/>
        </w:rPr>
        <w:t>__________________________________________________________________</w:t>
      </w:r>
    </w:p>
    <w:p>
      <w:pPr>
        <w:pStyle w:val="Normal"/>
        <w:shd w:val="clear" w:fill="FFFFFF"/>
        <w:rPr>
          <w:color w:val="auto"/>
        </w:rPr>
      </w:pPr>
      <w:r>
        <w:rPr>
          <w:color w:val="auto"/>
          <w:sz w:val="24"/>
          <w:szCs w:val="24"/>
          <w:lang w:val="ru-RU"/>
        </w:rPr>
        <w:t>Наименование организации заказчика_________________________________</w:t>
      </w:r>
    </w:p>
    <w:p>
      <w:pPr>
        <w:pStyle w:val="Normal"/>
        <w:shd w:val="clear" w:fill="FFFFFF"/>
        <w:rPr>
          <w:color w:val="auto"/>
        </w:rPr>
      </w:pPr>
      <w:r>
        <w:rPr>
          <w:color w:val="auto"/>
          <w:sz w:val="24"/>
          <w:szCs w:val="24"/>
          <w:lang w:val="ru-RU"/>
        </w:rPr>
        <w:t>__________________________________________________________________</w:t>
      </w:r>
    </w:p>
    <w:p>
      <w:pPr>
        <w:pStyle w:val="Normal"/>
        <w:rPr>
          <w:color w:val="auto"/>
        </w:rPr>
      </w:pPr>
      <w:r>
        <w:rPr>
          <w:color w:val="auto"/>
          <w:sz w:val="24"/>
          <w:szCs w:val="24"/>
          <w:lang w:val="ru-RU"/>
        </w:rPr>
        <w:t>Составлена в текущих ценах, соответствующих периоду выполнения работ по договору</w:t>
      </w:r>
    </w:p>
    <w:p>
      <w:pPr>
        <w:pStyle w:val="Normal"/>
        <w:jc w:val="right"/>
        <w:rPr>
          <w:color w:val="auto"/>
        </w:rPr>
      </w:pPr>
      <w:r>
        <w:rPr>
          <w:color w:val="auto"/>
          <w:sz w:val="24"/>
          <w:szCs w:val="24"/>
          <w:lang w:val="ru-RU"/>
        </w:rPr>
        <w:t>руб.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12"/>
        <w:gridCol w:w="3979"/>
        <w:gridCol w:w="1653"/>
        <w:gridCol w:w="3777"/>
      </w:tblGrid>
      <w:tr>
        <w:trPr>
          <w:tblHeader w:val="true"/>
          <w:trHeight w:val="873" w:hRule="atLeast"/>
        </w:trPr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shd w:val="clear" w:fill="FFFFFF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№</w:t>
            </w:r>
            <w:r>
              <w:rPr>
                <w:rFonts w:eastAsia="Liberation Serif;Times New Roman" w:cs="Liberation Serif;Times New Roman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color w:val="auto"/>
                <w:sz w:val="24"/>
                <w:szCs w:val="24"/>
                <w:lang w:val="ru-RU"/>
              </w:rPr>
              <w:t>п.п.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shd w:val="clear" w:fill="FFFFFF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Перечень (наименование) выполняемых работ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shd w:val="clear" w:fill="FFFFFF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Ссылка на № смет и расчетов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shd w:val="clear" w:fill="FFFFFF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Стоимость работ</w:t>
            </w:r>
          </w:p>
          <w:p>
            <w:pPr>
              <w:pStyle w:val="Normal"/>
              <w:shd w:val="clear" w:fill="FFFFFF"/>
              <w:jc w:val="center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</w:tr>
      <w:tr>
        <w:trPr>
          <w:tblHeader w:val="true"/>
        </w:trPr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shd w:val="clear" w:fill="FFFFFF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shd w:val="clear" w:fill="FFFFFF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shd w:val="clear" w:fill="FFFFFF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  <w:vAlign w:val="center"/>
          </w:tcPr>
          <w:p>
            <w:pPr>
              <w:pStyle w:val="Normal"/>
              <w:shd w:val="clear" w:fill="FFFFFF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4</w:t>
            </w:r>
          </w:p>
        </w:tc>
      </w:tr>
      <w:tr>
        <w:trPr/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hd w:val="clear" w:fill="FFFFFF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 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hd w:val="clear" w:fill="FFFFFF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 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hd w:val="clear" w:fill="FFFFFF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 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hd w:val="clear" w:fill="FFFFFF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 </w:t>
            </w:r>
          </w:p>
        </w:tc>
      </w:tr>
      <w:tr>
        <w:trPr/>
        <w:tc>
          <w:tcPr>
            <w:tcW w:w="51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hd w:val="clear" w:fill="FFFFFF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 </w:t>
            </w:r>
          </w:p>
        </w:tc>
        <w:tc>
          <w:tcPr>
            <w:tcW w:w="3979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hd w:val="clear" w:fill="FFFFFF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 </w:t>
            </w:r>
          </w:p>
        </w:tc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hd w:val="clear" w:fill="FFFFFF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 </w:t>
            </w:r>
          </w:p>
        </w:tc>
        <w:tc>
          <w:tcPr>
            <w:tcW w:w="377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hd w:val="clear" w:fill="FFFFFF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 </w:t>
            </w:r>
          </w:p>
        </w:tc>
      </w:tr>
    </w:tbl>
    <w:p>
      <w:pPr>
        <w:pStyle w:val="Normal"/>
        <w:shd w:val="clear" w:fill="FFFFFF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</w:r>
    </w:p>
    <w:p>
      <w:pPr>
        <w:pStyle w:val="Normal"/>
        <w:shd w:val="clear" w:fill="FFFFFF"/>
        <w:rPr>
          <w:color w:val="auto"/>
        </w:rPr>
      </w:pPr>
      <w:r>
        <w:rPr>
          <w:color w:val="auto"/>
          <w:sz w:val="24"/>
          <w:szCs w:val="24"/>
          <w:lang w:val="ru-RU"/>
        </w:rPr>
        <w:t>Итого по смете ___________________________________________________</w:t>
      </w:r>
    </w:p>
    <w:p>
      <w:pPr>
        <w:pStyle w:val="Normal"/>
        <w:shd w:val="clear" w:fill="FFFFFF"/>
        <w:ind w:firstLine="1845" w:right="0"/>
        <w:jc w:val="center"/>
        <w:rPr>
          <w:color w:val="auto"/>
        </w:rPr>
      </w:pPr>
      <w:r>
        <w:rPr>
          <w:color w:val="auto"/>
          <w:sz w:val="24"/>
          <w:szCs w:val="24"/>
          <w:lang w:val="ru-RU"/>
        </w:rPr>
        <w:t>(сумма прописью)</w:t>
      </w:r>
    </w:p>
    <w:p>
      <w:pPr>
        <w:pStyle w:val="Normal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</w:r>
    </w:p>
    <w:p>
      <w:pPr>
        <w:pStyle w:val="Normal"/>
        <w:shd w:val="clear" w:fill="FFFFFF"/>
        <w:rPr>
          <w:color w:val="auto"/>
        </w:rPr>
      </w:pPr>
      <w:r>
        <w:rPr>
          <w:color w:val="auto"/>
          <w:sz w:val="24"/>
          <w:szCs w:val="24"/>
          <w:lang w:val="ru-RU"/>
        </w:rPr>
        <w:t>Составил:</w:t>
      </w:r>
    </w:p>
    <w:p>
      <w:pPr>
        <w:pStyle w:val="Normal"/>
        <w:shd w:val="clear" w:fill="FFFFFF"/>
        <w:rPr>
          <w:color w:val="auto"/>
        </w:rPr>
      </w:pPr>
      <w:r>
        <w:rPr>
          <w:color w:val="auto"/>
          <w:sz w:val="24"/>
          <w:szCs w:val="24"/>
          <w:lang w:val="ru-RU"/>
        </w:rPr>
        <w:t>_________/должность, организация/ _______/подпись/________/расшифровка подписи/</w:t>
      </w:r>
    </w:p>
    <w:p>
      <w:pPr>
        <w:pStyle w:val="Normal"/>
        <w:shd w:val="clear" w:fill="FFFFFF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</w:r>
    </w:p>
    <w:p>
      <w:pPr>
        <w:pStyle w:val="Normal"/>
        <w:rPr>
          <w:color w:val="auto"/>
        </w:rPr>
      </w:pPr>
      <w:r>
        <w:rPr>
          <w:color w:val="auto"/>
          <w:sz w:val="24"/>
          <w:szCs w:val="24"/>
          <w:lang w:val="ru-RU"/>
        </w:rPr>
        <w:t>Проверил:</w:t>
      </w:r>
    </w:p>
    <w:p>
      <w:pPr>
        <w:pStyle w:val="Normal"/>
        <w:rPr>
          <w:color w:val="auto"/>
        </w:rPr>
      </w:pPr>
      <w:r>
        <w:rPr>
          <w:color w:val="auto"/>
          <w:sz w:val="24"/>
          <w:szCs w:val="24"/>
          <w:lang w:val="ru-RU"/>
        </w:rPr>
        <w:t>__________/должность, организация/_______ /подпись/_______/расшифровка подписи/</w:t>
      </w:r>
      <w:r>
        <w:br w:type="page"/>
      </w:r>
    </w:p>
    <w:p>
      <w:pPr>
        <w:pStyle w:val="Heading1"/>
        <w:keepLines/>
        <w:numPr>
          <w:ilvl w:val="0"/>
          <w:numId w:val="0"/>
        </w:numPr>
        <w:spacing w:before="0" w:after="113"/>
        <w:ind w:hanging="0" w:left="0"/>
        <w:jc w:val="right"/>
        <w:rPr/>
      </w:pPr>
      <w:bookmarkStart w:id="22" w:name="__RefHeading___Toc62269_3104815314"/>
      <w:bookmarkEnd w:id="22"/>
      <w:r>
        <w:rPr>
          <w:sz w:val="24"/>
          <w:szCs w:val="24"/>
        </w:rPr>
        <w:t xml:space="preserve">ПРИЛОЖЕНИЕ № 2 </w:t>
      </w:r>
    </w:p>
    <w:p>
      <w:pPr>
        <w:pStyle w:val="Normal"/>
        <w:tabs>
          <w:tab w:val="clear" w:pos="708"/>
          <w:tab w:val="left" w:pos="-2268" w:leader="none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Техническим требованиям </w:t>
      </w:r>
    </w:p>
    <w:p>
      <w:pPr>
        <w:pStyle w:val="Normal"/>
        <w:tabs>
          <w:tab w:val="clear" w:pos="708"/>
          <w:tab w:val="left" w:pos="-2268" w:leader="none"/>
        </w:tabs>
        <w:jc w:val="right"/>
        <w:rPr>
          <w:sz w:val="24"/>
          <w:szCs w:val="24"/>
        </w:rPr>
      </w:pPr>
      <w:r>
        <w:rPr>
          <w:sz w:val="24"/>
          <w:szCs w:val="24"/>
        </w:rPr>
        <w:t>на оказание услуг</w:t>
      </w:r>
    </w:p>
    <w:p>
      <w:pPr>
        <w:pStyle w:val="Normal"/>
        <w:widowControl w:val="false"/>
        <w:jc w:val="right"/>
        <w:rPr>
          <w:b/>
          <w:sz w:val="24"/>
          <w:szCs w:val="24"/>
          <w:lang w:eastAsia="x-none"/>
        </w:rPr>
      </w:pPr>
      <w:r>
        <w:rPr>
          <w:b/>
          <w:sz w:val="24"/>
          <w:szCs w:val="24"/>
          <w:lang w:eastAsia="x-none"/>
        </w:rPr>
      </w:r>
    </w:p>
    <w:p>
      <w:pPr>
        <w:pStyle w:val="Normal"/>
        <w:widowControl w:val="false"/>
        <w:rPr>
          <w:b/>
          <w:sz w:val="24"/>
          <w:szCs w:val="24"/>
          <w:lang w:eastAsia="x-none"/>
        </w:rPr>
      </w:pPr>
      <w:r>
        <w:rPr>
          <w:b/>
          <w:sz w:val="24"/>
          <w:szCs w:val="24"/>
          <w:lang w:eastAsia="x-none"/>
        </w:rPr>
      </w:r>
    </w:p>
    <w:p>
      <w:pPr>
        <w:pStyle w:val="Normal"/>
        <w:widowControl w:val="false"/>
        <w:spacing w:lineRule="auto" w:line="276" w:before="57" w:after="57"/>
        <w:rPr>
          <w:sz w:val="24"/>
          <w:szCs w:val="24"/>
          <w:lang w:val="ru-RU"/>
        </w:rPr>
      </w:pPr>
      <w:r>
        <w:rPr>
          <w:b/>
          <w:color w:val="auto"/>
          <w:sz w:val="24"/>
          <w:szCs w:val="24"/>
          <w:lang w:val="ru-RU" w:eastAsia="x-none"/>
        </w:rPr>
        <w:t>Форма отчета КПУ</w:t>
      </w:r>
    </w:p>
    <w:p>
      <w:pPr>
        <w:pStyle w:val="Normal"/>
        <w:spacing w:lineRule="auto" w:line="276" w:before="227" w:after="227"/>
        <w:jc w:val="center"/>
        <w:rPr>
          <w:sz w:val="24"/>
          <w:szCs w:val="24"/>
          <w:lang w:val="ru-RU"/>
        </w:rPr>
      </w:pPr>
      <w:r>
        <w:rPr>
          <w:rFonts w:eastAsia="Calibri"/>
          <w:b/>
          <w:bCs/>
          <w:color w:val="auto"/>
          <w:sz w:val="24"/>
          <w:szCs w:val="24"/>
          <w:lang w:val="ru-RU"/>
        </w:rPr>
        <w:t xml:space="preserve">Отчет по качеству </w:t>
      </w:r>
      <w:r>
        <w:rPr>
          <w:rFonts w:eastAsia="Calibri"/>
          <w:b/>
          <w:color w:val="auto"/>
          <w:sz w:val="24"/>
          <w:szCs w:val="24"/>
          <w:lang w:val="ru-RU"/>
        </w:rPr>
        <w:t xml:space="preserve">предоставления </w:t>
      </w:r>
      <w:r>
        <w:rPr>
          <w:rFonts w:eastAsia="Calibri"/>
          <w:b/>
          <w:bCs/>
          <w:color w:val="auto"/>
          <w:sz w:val="24"/>
          <w:szCs w:val="24"/>
          <w:lang w:val="ru-RU"/>
        </w:rPr>
        <w:t>услуг</w:t>
      </w:r>
    </w:p>
    <w:p>
      <w:pPr>
        <w:pStyle w:val="Normal"/>
        <w:spacing w:lineRule="auto" w:line="276" w:before="57" w:after="57"/>
        <w:rPr>
          <w:sz w:val="24"/>
          <w:szCs w:val="24"/>
          <w:lang w:val="ru-RU"/>
        </w:rPr>
      </w:pPr>
      <w:r>
        <w:rPr>
          <w:rFonts w:eastAsia="Calibri"/>
          <w:color w:val="auto"/>
          <w:sz w:val="24"/>
          <w:szCs w:val="24"/>
          <w:lang w:val="ru-RU"/>
        </w:rPr>
        <w:t>Основание: Договор № </w:t>
      </w:r>
      <w:r>
        <w:rPr>
          <w:rFonts w:eastAsia="Calibri"/>
          <w:color w:val="auto"/>
          <w:sz w:val="24"/>
          <w:szCs w:val="24"/>
          <w:u w:val="single"/>
          <w:lang w:val="ru-RU"/>
        </w:rPr>
        <w:t>номер</w:t>
      </w:r>
      <w:r>
        <w:rPr>
          <w:rFonts w:eastAsia="Calibri"/>
          <w:color w:val="auto"/>
          <w:sz w:val="24"/>
          <w:szCs w:val="24"/>
          <w:lang w:val="ru-RU"/>
        </w:rPr>
        <w:t xml:space="preserve"> от </w:t>
      </w:r>
      <w:r>
        <w:rPr>
          <w:rFonts w:eastAsia="Calibri"/>
          <w:color w:val="auto"/>
          <w:sz w:val="24"/>
          <w:szCs w:val="24"/>
          <w:u w:val="single"/>
          <w:lang w:val="ru-RU"/>
        </w:rPr>
        <w:t>«число»</w:t>
      </w:r>
      <w:r>
        <w:rPr>
          <w:rFonts w:eastAsia="Calibri"/>
          <w:color w:val="auto"/>
          <w:sz w:val="24"/>
          <w:szCs w:val="24"/>
          <w:lang w:val="ru-RU"/>
        </w:rPr>
        <w:t> </w:t>
      </w:r>
      <w:r>
        <w:rPr>
          <w:rFonts w:eastAsia="Calibri"/>
          <w:color w:val="auto"/>
          <w:sz w:val="24"/>
          <w:szCs w:val="24"/>
          <w:u w:val="single"/>
          <w:lang w:val="ru-RU"/>
        </w:rPr>
        <w:t>месяц</w:t>
      </w:r>
      <w:r>
        <w:rPr>
          <w:rFonts w:eastAsia="Calibri"/>
          <w:color w:val="auto"/>
          <w:sz w:val="24"/>
          <w:szCs w:val="24"/>
          <w:lang w:val="ru-RU"/>
        </w:rPr>
        <w:t> </w:t>
      </w:r>
      <w:r>
        <w:rPr>
          <w:rFonts w:eastAsia="Calibri"/>
          <w:color w:val="auto"/>
          <w:sz w:val="24"/>
          <w:szCs w:val="24"/>
          <w:u w:val="single"/>
          <w:lang w:val="ru-RU"/>
        </w:rPr>
        <w:t>год</w:t>
      </w:r>
      <w:r>
        <w:rPr>
          <w:rFonts w:eastAsia="Calibri"/>
          <w:color w:val="auto"/>
          <w:sz w:val="24"/>
          <w:szCs w:val="24"/>
          <w:lang w:val="ru-RU"/>
        </w:rPr>
        <w:t> г.</w:t>
      </w:r>
    </w:p>
    <w:p>
      <w:pPr>
        <w:pStyle w:val="Normal"/>
        <w:spacing w:lineRule="auto" w:line="276" w:before="57" w:after="57"/>
        <w:rPr>
          <w:sz w:val="24"/>
          <w:szCs w:val="24"/>
          <w:lang w:val="ru-RU"/>
        </w:rPr>
      </w:pPr>
      <w:r>
        <w:rPr>
          <w:rFonts w:eastAsia="Calibri"/>
          <w:color w:val="auto"/>
          <w:sz w:val="24"/>
          <w:szCs w:val="24"/>
          <w:lang w:val="ru-RU"/>
        </w:rPr>
        <w:t>Дата составления: </w:t>
      </w:r>
      <w:r>
        <w:rPr>
          <w:rFonts w:eastAsia="Calibri"/>
          <w:color w:val="auto"/>
          <w:sz w:val="24"/>
          <w:szCs w:val="24"/>
          <w:u w:val="single"/>
          <w:lang w:val="ru-RU"/>
        </w:rPr>
        <w:t>«число»</w:t>
      </w:r>
      <w:r>
        <w:rPr>
          <w:rFonts w:eastAsia="Calibri"/>
          <w:color w:val="auto"/>
          <w:sz w:val="24"/>
          <w:szCs w:val="24"/>
          <w:lang w:val="ru-RU"/>
        </w:rPr>
        <w:t> месяц год г.</w:t>
      </w:r>
    </w:p>
    <w:p>
      <w:pPr>
        <w:pStyle w:val="Normal"/>
        <w:spacing w:lineRule="auto" w:line="276" w:before="57" w:after="57"/>
        <w:rPr>
          <w:sz w:val="24"/>
          <w:szCs w:val="24"/>
          <w:lang w:val="ru-RU"/>
        </w:rPr>
      </w:pPr>
      <w:r>
        <w:rPr>
          <w:rFonts w:eastAsia="Calibri"/>
          <w:color w:val="auto"/>
          <w:sz w:val="24"/>
          <w:szCs w:val="24"/>
          <w:lang w:val="ru-RU"/>
        </w:rPr>
        <w:t>Период (этап) оказания услуг: с </w:t>
      </w:r>
      <w:r>
        <w:rPr>
          <w:rFonts w:eastAsia="Calibri"/>
          <w:color w:val="auto"/>
          <w:sz w:val="24"/>
          <w:szCs w:val="24"/>
          <w:u w:val="single"/>
          <w:lang w:val="ru-RU"/>
        </w:rPr>
        <w:t>«число»</w:t>
      </w:r>
      <w:r>
        <w:rPr>
          <w:rFonts w:eastAsia="Calibri"/>
          <w:color w:val="auto"/>
          <w:sz w:val="24"/>
          <w:szCs w:val="24"/>
          <w:lang w:val="ru-RU"/>
        </w:rPr>
        <w:t> </w:t>
      </w:r>
      <w:r>
        <w:rPr>
          <w:rFonts w:eastAsia="Calibri"/>
          <w:color w:val="auto"/>
          <w:sz w:val="24"/>
          <w:szCs w:val="24"/>
          <w:u w:val="single"/>
          <w:lang w:val="ru-RU"/>
        </w:rPr>
        <w:t>месяц год</w:t>
      </w:r>
      <w:r>
        <w:rPr>
          <w:rFonts w:eastAsia="Calibri"/>
          <w:color w:val="auto"/>
          <w:sz w:val="24"/>
          <w:szCs w:val="24"/>
          <w:lang w:val="ru-RU"/>
        </w:rPr>
        <w:t> по </w:t>
      </w:r>
      <w:r>
        <w:rPr>
          <w:rFonts w:eastAsia="Calibri"/>
          <w:color w:val="auto"/>
          <w:sz w:val="24"/>
          <w:szCs w:val="24"/>
          <w:u w:val="single"/>
          <w:lang w:val="ru-RU"/>
        </w:rPr>
        <w:t>«число»</w:t>
      </w:r>
      <w:r>
        <w:rPr>
          <w:rFonts w:eastAsia="Calibri"/>
          <w:color w:val="auto"/>
          <w:sz w:val="24"/>
          <w:szCs w:val="24"/>
          <w:lang w:val="ru-RU"/>
        </w:rPr>
        <w:t> </w:t>
      </w:r>
      <w:r>
        <w:rPr>
          <w:rFonts w:eastAsia="Calibri"/>
          <w:color w:val="auto"/>
          <w:sz w:val="24"/>
          <w:szCs w:val="24"/>
          <w:u w:val="single"/>
          <w:lang w:val="ru-RU"/>
        </w:rPr>
        <w:t>месяц</w:t>
      </w:r>
      <w:r>
        <w:rPr>
          <w:rFonts w:eastAsia="Calibri"/>
          <w:color w:val="auto"/>
          <w:sz w:val="24"/>
          <w:szCs w:val="24"/>
          <w:lang w:val="ru-RU"/>
        </w:rPr>
        <w:t> год г. (№ этапа)</w:t>
      </w:r>
    </w:p>
    <w:p>
      <w:pPr>
        <w:pStyle w:val="Normal"/>
        <w:spacing w:lineRule="auto" w:line="276" w:before="227" w:after="227"/>
        <w:jc w:val="center"/>
        <w:rPr>
          <w:sz w:val="24"/>
          <w:szCs w:val="24"/>
          <w:lang w:val="ru-RU"/>
        </w:rPr>
      </w:pPr>
      <w:r>
        <w:rPr>
          <w:rFonts w:eastAsia="Calibri"/>
          <w:b/>
          <w:color w:val="auto"/>
          <w:sz w:val="24"/>
          <w:szCs w:val="24"/>
          <w:lang w:val="ru-RU"/>
        </w:rPr>
        <w:t>Наименование услуги: </w:t>
      </w:r>
      <w:r>
        <w:rPr>
          <w:rFonts w:eastAsia="Calibri"/>
          <w:b/>
          <w:color w:val="auto"/>
          <w:sz w:val="24"/>
          <w:szCs w:val="24"/>
          <w:u w:val="single"/>
          <w:lang w:val="ru-RU"/>
        </w:rPr>
        <w:t>согласно договору</w:t>
      </w:r>
    </w:p>
    <w:p>
      <w:pPr>
        <w:pStyle w:val="Normal"/>
        <w:spacing w:lineRule="auto" w:line="276" w:before="57" w:after="57"/>
        <w:rPr>
          <w:sz w:val="24"/>
          <w:szCs w:val="24"/>
          <w:lang w:val="ru-RU"/>
        </w:rPr>
      </w:pPr>
      <w:r>
        <w:rPr>
          <w:rFonts w:eastAsia="Calibri"/>
          <w:color w:val="auto"/>
          <w:sz w:val="24"/>
          <w:szCs w:val="24"/>
          <w:lang w:val="ru-RU"/>
        </w:rPr>
        <w:t>Исполнитель услуги: сокращенное название юридического лица согласно договору</w:t>
      </w:r>
    </w:p>
    <w:p>
      <w:pPr>
        <w:pStyle w:val="Normal"/>
        <w:spacing w:lineRule="auto" w:line="276" w:before="57" w:after="57"/>
        <w:ind w:firstLine="709" w:left="0"/>
        <w:rPr>
          <w:sz w:val="24"/>
          <w:szCs w:val="24"/>
          <w:lang w:val="ru-RU"/>
        </w:rPr>
      </w:pPr>
      <w:r>
        <w:rPr>
          <w:b/>
          <w:bCs/>
          <w:iCs/>
          <w:color w:val="auto"/>
          <w:sz w:val="24"/>
          <w:szCs w:val="24"/>
          <w:lang w:val="ru-RU" w:eastAsia="x-none"/>
        </w:rPr>
        <w:t>1. SLA диаграмма</w:t>
      </w:r>
    </w:p>
    <w:tbl>
      <w:tblPr>
        <w:tblW w:w="5000" w:type="pct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58"/>
        <w:gridCol w:w="397"/>
        <w:gridCol w:w="397"/>
        <w:gridCol w:w="398"/>
        <w:gridCol w:w="396"/>
        <w:gridCol w:w="397"/>
        <w:gridCol w:w="397"/>
        <w:gridCol w:w="397"/>
        <w:gridCol w:w="397"/>
        <w:gridCol w:w="406"/>
        <w:gridCol w:w="397"/>
        <w:gridCol w:w="389"/>
        <w:gridCol w:w="395"/>
      </w:tblGrid>
      <w:tr>
        <w:trPr>
          <w:trHeight w:val="1871" w:hRule="atLeast"/>
          <w:cantSplit w:val="true"/>
        </w:trPr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Параметры МЕТОДИКИ</w:t>
              <w:br/>
              <w:t>расчёта показателей качества*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1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2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3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4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5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6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7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8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9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10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11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center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Этап 12</w:t>
            </w:r>
          </w:p>
        </w:tc>
      </w:tr>
      <w:tr>
        <w:trPr>
          <w:trHeight w:val="375" w:hRule="atLeast"/>
          <w:cantSplit w:val="true"/>
        </w:trPr>
        <w:tc>
          <w:tcPr>
            <w:tcW w:w="992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before="57" w:after="57"/>
              <w:ind w:left="0" w:right="0"/>
              <w:jc w:val="left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Группа параметров “Решение инцидентов и ЗНО”</w:t>
            </w:r>
          </w:p>
        </w:tc>
      </w:tr>
      <w:tr>
        <w:trPr>
          <w:trHeight w:val="733" w:hRule="atLeast"/>
        </w:trPr>
        <w:tc>
          <w:tcPr>
            <w:tcW w:w="51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% просроченных Запросов</w:t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</w:tr>
      <w:tr>
        <w:trPr>
          <w:trHeight w:val="678" w:hRule="atLeast"/>
        </w:trPr>
        <w:tc>
          <w:tcPr>
            <w:tcW w:w="51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% повторно открытых Запросов</w:t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</w:tcBorders>
            <w:shd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</w:tr>
      <w:tr>
        <w:trPr/>
        <w:tc>
          <w:tcPr>
            <w:tcW w:w="51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Количество Запросов от VIP пользователей, закрытых с негативной оценкой</w:t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</w:tr>
      <w:tr>
        <w:trPr>
          <w:trHeight w:val="375" w:hRule="atLeast"/>
          <w:cantSplit w:val="true"/>
        </w:trPr>
        <w:tc>
          <w:tcPr>
            <w:tcW w:w="992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before="57" w:after="57"/>
              <w:ind w:left="0" w:right="0"/>
              <w:jc w:val="left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Группа параметров “реализация ЗНИ”</w:t>
            </w:r>
          </w:p>
        </w:tc>
      </w:tr>
      <w:tr>
        <w:trPr/>
        <w:tc>
          <w:tcPr>
            <w:tcW w:w="51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Количество не своевременно</w:t>
              <w:br/>
              <w:t>реализованных ЗНИ</w:t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</w:tr>
      <w:tr>
        <w:trPr/>
        <w:tc>
          <w:tcPr>
            <w:tcW w:w="992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spacing w:before="57" w:after="57"/>
              <w:ind w:left="0" w:right="0"/>
              <w:jc w:val="left"/>
              <w:rPr>
                <w:color w:val="auto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Группа параметров “КОНТРОЛЬ НШС”</w:t>
            </w:r>
          </w:p>
        </w:tc>
      </w:tr>
      <w:tr>
        <w:trPr/>
        <w:tc>
          <w:tcPr>
            <w:tcW w:w="51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Количество НШС 1 уровня</w:t>
              <w:br/>
              <w:t>(недоступность услуги)</w:t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8" w:type="dxa"/>
            <w:tcBorders>
              <w:left w:val="single" w:sz="4" w:space="0" w:color="000000"/>
              <w:bottom w:val="single" w:sz="4" w:space="0" w:color="000000"/>
            </w:tcBorders>
            <w:shd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</w:tcBorders>
            <w:shd w:color="auto" w:fill="32D659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/>
              <w:jc w:val="left"/>
              <w:rPr>
                <w:rFonts w:ascii="Times New Roman" w:hAnsi="Times New Roman"/>
                <w:b/>
                <w:caps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</w:r>
          </w:p>
        </w:tc>
      </w:tr>
    </w:tbl>
    <w:p>
      <w:pPr>
        <w:pStyle w:val="Normal"/>
        <w:spacing w:before="57" w:after="57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3"/>
        <w:gridCol w:w="8958"/>
      </w:tblGrid>
      <w:tr>
        <w:trPr>
          <w:trHeight w:val="427" w:hRule="atLeast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2DC4B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З</w:t>
            </w:r>
          </w:p>
        </w:tc>
        <w:tc>
          <w:tcPr>
            <w:tcW w:w="8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 xml:space="preserve">- </w:t>
            </w:r>
            <w:r>
              <w:rPr>
                <w:color w:val="auto"/>
                <w:sz w:val="24"/>
                <w:szCs w:val="24"/>
                <w:lang w:val="ru-RU"/>
              </w:rPr>
              <w:t>фактическое значение параметра соответствует SLA</w:t>
            </w:r>
          </w:p>
        </w:tc>
      </w:tr>
      <w:tr>
        <w:trPr>
          <w:trHeight w:val="427" w:hRule="atLeast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Ж</w:t>
            </w:r>
          </w:p>
        </w:tc>
        <w:tc>
          <w:tcPr>
            <w:tcW w:w="8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 xml:space="preserve">- </w:t>
            </w:r>
            <w:r>
              <w:rPr>
                <w:color w:val="auto"/>
                <w:sz w:val="24"/>
                <w:szCs w:val="24"/>
                <w:lang w:val="ru-RU"/>
              </w:rPr>
              <w:t xml:space="preserve">не удовлетворительное качество предоставления услуг по данному параметру </w:t>
            </w:r>
          </w:p>
        </w:tc>
      </w:tr>
      <w:tr>
        <w:trPr>
          <w:trHeight w:val="427" w:hRule="atLeast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>К</w:t>
            </w:r>
          </w:p>
        </w:tc>
        <w:tc>
          <w:tcPr>
            <w:tcW w:w="8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  <w:lang w:val="ru-RU"/>
              </w:rPr>
            </w:pPr>
            <w:r>
              <w:rPr>
                <w:b/>
                <w:caps/>
                <w:color w:val="auto"/>
                <w:sz w:val="24"/>
                <w:szCs w:val="24"/>
                <w:lang w:val="ru-RU"/>
              </w:rPr>
              <w:t xml:space="preserve">- </w:t>
            </w:r>
            <w:r>
              <w:rPr>
                <w:color w:val="auto"/>
                <w:sz w:val="24"/>
                <w:szCs w:val="24"/>
                <w:lang w:val="ru-RU"/>
              </w:rPr>
              <w:t xml:space="preserve">грубое нарушение SLA по данному параметру. </w:t>
            </w:r>
          </w:p>
        </w:tc>
      </w:tr>
    </w:tbl>
    <w:p>
      <w:pPr>
        <w:pStyle w:val="Normal"/>
        <w:widowControl/>
        <w:numPr>
          <w:ilvl w:val="0"/>
          <w:numId w:val="0"/>
        </w:numPr>
        <w:suppressAutoHyphens w:val="true"/>
        <w:spacing w:lineRule="auto" w:line="276" w:before="57" w:after="57"/>
        <w:ind w:hanging="0" w:left="0"/>
        <w:contextualSpacing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br w:type="page"/>
      </w:r>
    </w:p>
    <w:p>
      <w:pPr>
        <w:pStyle w:val="Normal"/>
        <w:spacing w:lineRule="auto" w:line="276" w:before="57" w:after="57"/>
        <w:ind w:firstLine="709" w:left="0"/>
        <w:contextualSpacing/>
        <w:rPr>
          <w:sz w:val="24"/>
          <w:szCs w:val="24"/>
          <w:lang w:val="ru-RU"/>
        </w:rPr>
      </w:pPr>
      <w:r>
        <w:rPr>
          <w:b/>
          <w:bCs/>
          <w:iCs/>
          <w:color w:val="auto"/>
          <w:sz w:val="24"/>
          <w:szCs w:val="24"/>
          <w:lang w:val="ru-RU" w:eastAsia="x-none"/>
        </w:rPr>
        <w:t>2. Значения ПКПУ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2"/>
        <w:gridCol w:w="4910"/>
        <w:gridCol w:w="2206"/>
        <w:gridCol w:w="2113"/>
      </w:tblGrid>
      <w:tr>
        <w:trPr>
          <w:trHeight w:val="676" w:hRule="atLeast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/>
                <w:bCs/>
                <w:iCs/>
                <w:color w:val="auto"/>
                <w:sz w:val="24"/>
                <w:szCs w:val="24"/>
                <w:lang w:val="ru-RU"/>
              </w:rPr>
              <w:t>№</w:t>
            </w:r>
          </w:p>
        </w:tc>
        <w:tc>
          <w:tcPr>
            <w:tcW w:w="4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/>
                <w:bCs/>
                <w:iCs/>
                <w:color w:val="auto"/>
                <w:sz w:val="24"/>
                <w:szCs w:val="24"/>
                <w:lang w:val="ru-RU"/>
              </w:rPr>
              <w:t>ПКПУ</w:t>
            </w:r>
          </w:p>
        </w:tc>
        <w:tc>
          <w:tcPr>
            <w:tcW w:w="2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/>
                <w:bCs/>
                <w:iCs/>
                <w:color w:val="auto"/>
                <w:sz w:val="24"/>
                <w:szCs w:val="24"/>
                <w:lang w:val="ru-RU"/>
              </w:rPr>
              <w:t>Фактическое значение ПКПУ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/>
                <w:bCs/>
                <w:iCs/>
                <w:color w:val="auto"/>
                <w:sz w:val="24"/>
                <w:szCs w:val="24"/>
                <w:lang w:val="ru-RU"/>
              </w:rPr>
              <w:t>Оценка ПКПУ согласно SLA</w:t>
            </w:r>
          </w:p>
        </w:tc>
      </w:tr>
      <w:tr>
        <w:trPr>
          <w:trHeight w:val="676" w:hRule="atLeast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1.</w:t>
            </w:r>
          </w:p>
        </w:tc>
        <w:tc>
          <w:tcPr>
            <w:tcW w:w="922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Контроль ЗНО и Инцидентов</w:t>
            </w:r>
          </w:p>
        </w:tc>
      </w:tr>
      <w:tr>
        <w:trPr>
          <w:trHeight w:val="676" w:hRule="atLeast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1.1.</w:t>
            </w:r>
          </w:p>
        </w:tc>
        <w:tc>
          <w:tcPr>
            <w:tcW w:w="4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57" w:after="57"/>
              <w:ind w:left="0"/>
              <w:textAlignment w:val="auto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% просроченных Запросов</w:t>
            </w:r>
          </w:p>
        </w:tc>
        <w:tc>
          <w:tcPr>
            <w:tcW w:w="2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Cs/>
                <w:i/>
                <w:iCs/>
                <w:color w:val="auto"/>
                <w:sz w:val="24"/>
                <w:szCs w:val="24"/>
                <w:lang w:val="ru-RU" w:eastAsia="x-none"/>
              </w:rPr>
              <w:t>Требуется заполнить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Cs/>
                <w:i/>
                <w:iCs/>
                <w:color w:val="auto"/>
                <w:sz w:val="24"/>
                <w:szCs w:val="24"/>
                <w:lang w:val="ru-RU" w:eastAsia="x-none"/>
              </w:rPr>
              <w:t>Требуется заполнить</w:t>
            </w:r>
          </w:p>
        </w:tc>
      </w:tr>
      <w:tr>
        <w:trPr>
          <w:trHeight w:val="676" w:hRule="atLeast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1.2.</w:t>
            </w:r>
          </w:p>
        </w:tc>
        <w:tc>
          <w:tcPr>
            <w:tcW w:w="4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57" w:after="57"/>
              <w:ind w:left="0"/>
              <w:textAlignment w:val="auto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% повторно открытых Запросов</w:t>
            </w:r>
          </w:p>
        </w:tc>
        <w:tc>
          <w:tcPr>
            <w:tcW w:w="2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Cs/>
                <w:i/>
                <w:iCs/>
                <w:color w:val="auto"/>
                <w:sz w:val="24"/>
                <w:szCs w:val="24"/>
                <w:lang w:val="ru-RU" w:eastAsia="x-none"/>
              </w:rPr>
              <w:t>Требуется заполнить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Cs/>
                <w:i/>
                <w:iCs/>
                <w:color w:val="auto"/>
                <w:sz w:val="24"/>
                <w:szCs w:val="24"/>
                <w:lang w:val="ru-RU" w:eastAsia="x-none"/>
              </w:rPr>
              <w:t>Требуется заполнить</w:t>
            </w:r>
          </w:p>
        </w:tc>
      </w:tr>
      <w:tr>
        <w:trPr>
          <w:trHeight w:val="676" w:hRule="atLeast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1.3.</w:t>
            </w:r>
          </w:p>
        </w:tc>
        <w:tc>
          <w:tcPr>
            <w:tcW w:w="4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57" w:after="57"/>
              <w:ind w:left="0"/>
              <w:textAlignment w:val="auto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Количество Запросов от VIP пользователей, закрытых с негативной оценкой</w:t>
            </w:r>
          </w:p>
        </w:tc>
        <w:tc>
          <w:tcPr>
            <w:tcW w:w="2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Cs/>
                <w:i/>
                <w:iCs/>
                <w:color w:val="auto"/>
                <w:sz w:val="24"/>
                <w:szCs w:val="24"/>
                <w:lang w:val="ru-RU" w:eastAsia="x-none"/>
              </w:rPr>
              <w:t>Требуется заполнить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Cs/>
                <w:i/>
                <w:iCs/>
                <w:color w:val="auto"/>
                <w:sz w:val="24"/>
                <w:szCs w:val="24"/>
                <w:lang w:val="ru-RU" w:eastAsia="x-none"/>
              </w:rPr>
              <w:t>Требуется заполнить</w:t>
            </w:r>
          </w:p>
        </w:tc>
      </w:tr>
      <w:tr>
        <w:trPr>
          <w:trHeight w:val="676" w:hRule="atLeast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2.</w:t>
            </w:r>
          </w:p>
        </w:tc>
        <w:tc>
          <w:tcPr>
            <w:tcW w:w="922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Контроль Изменений</w:t>
            </w:r>
          </w:p>
        </w:tc>
      </w:tr>
      <w:tr>
        <w:trPr>
          <w:trHeight w:val="676" w:hRule="atLeast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57" w:after="57"/>
              <w:ind w:left="0"/>
              <w:textAlignment w:val="auto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 xml:space="preserve">Количество не своевременно </w:t>
              <w:br/>
              <w:t>реализованных ЗНИ</w:t>
            </w:r>
          </w:p>
        </w:tc>
        <w:tc>
          <w:tcPr>
            <w:tcW w:w="2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Cs/>
                <w:i/>
                <w:iCs/>
                <w:color w:val="auto"/>
                <w:sz w:val="24"/>
                <w:szCs w:val="24"/>
                <w:lang w:val="ru-RU" w:eastAsia="x-none"/>
              </w:rPr>
              <w:t>Требуется заполнить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Cs/>
                <w:i/>
                <w:iCs/>
                <w:color w:val="auto"/>
                <w:sz w:val="24"/>
                <w:szCs w:val="24"/>
                <w:lang w:val="ru-RU" w:eastAsia="x-none"/>
              </w:rPr>
              <w:t>Требуется заполнить</w:t>
            </w:r>
          </w:p>
        </w:tc>
      </w:tr>
      <w:tr>
        <w:trPr>
          <w:trHeight w:val="676" w:hRule="atLeast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3.</w:t>
            </w:r>
          </w:p>
        </w:tc>
        <w:tc>
          <w:tcPr>
            <w:tcW w:w="922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Контроль НШС</w:t>
            </w:r>
          </w:p>
        </w:tc>
      </w:tr>
      <w:tr>
        <w:trPr>
          <w:trHeight w:val="676" w:hRule="atLeast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lang w:val="ru-RU"/>
              </w:rPr>
              <w:t xml:space="preserve">Количество НШС 1 уровня </w:t>
              <w:br/>
              <w:t>(недоступность услуги)</w:t>
            </w:r>
          </w:p>
        </w:tc>
        <w:tc>
          <w:tcPr>
            <w:tcW w:w="2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Cs/>
                <w:i/>
                <w:iCs/>
                <w:color w:val="auto"/>
                <w:sz w:val="24"/>
                <w:szCs w:val="24"/>
                <w:lang w:val="ru-RU" w:eastAsia="x-none"/>
              </w:rPr>
              <w:t>Требуется заполнить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ind w:left="0"/>
              <w:jc w:val="center"/>
              <w:rPr>
                <w:color w:val="auto"/>
              </w:rPr>
            </w:pPr>
            <w:r>
              <w:rPr>
                <w:bCs/>
                <w:i/>
                <w:iCs/>
                <w:color w:val="auto"/>
                <w:sz w:val="24"/>
                <w:szCs w:val="24"/>
                <w:lang w:val="ru-RU" w:eastAsia="x-none"/>
              </w:rPr>
              <w:t>Требуется заполнить</w:t>
            </w:r>
          </w:p>
        </w:tc>
      </w:tr>
      <w:tr>
        <w:trPr>
          <w:trHeight w:val="676" w:hRule="atLeast"/>
        </w:trPr>
        <w:tc>
          <w:tcPr>
            <w:tcW w:w="9921" w:type="dxa"/>
            <w:gridSpan w:val="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40" w:before="57" w:after="57"/>
              <w:ind w:left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sz w:val="24"/>
                <w:szCs w:val="24"/>
                <w:lang w:val="ru-RU"/>
              </w:rPr>
              <w:t>Общая оценка качества Услуги</w:t>
            </w:r>
          </w:p>
        </w:tc>
      </w:tr>
    </w:tbl>
    <w:p>
      <w:pPr>
        <w:pStyle w:val="Normal"/>
        <w:spacing w:lineRule="auto" w:line="276" w:before="227" w:after="113"/>
        <w:ind w:firstLine="709" w:left="0"/>
        <w:rPr>
          <w:sz w:val="24"/>
          <w:szCs w:val="24"/>
          <w:lang w:val="ru-RU"/>
        </w:rPr>
      </w:pPr>
      <w:r>
        <w:rPr>
          <w:b/>
          <w:bCs/>
          <w:iCs/>
          <w:color w:val="auto"/>
          <w:sz w:val="24"/>
          <w:szCs w:val="24"/>
          <w:lang w:val="ru-RU" w:eastAsia="x-none"/>
        </w:rPr>
        <w:t xml:space="preserve">3. Общая статистика обращений. </w:t>
      </w:r>
    </w:p>
    <w:p>
      <w:pPr>
        <w:pStyle w:val="Normal"/>
        <w:spacing w:lineRule="auto" w:line="276" w:before="113" w:after="113"/>
        <w:ind w:firstLine="709" w:left="0"/>
        <w:contextualSpacing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>Заполняется для всех предоставляемых услуг в едином отчёте.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77"/>
        <w:gridCol w:w="1187"/>
        <w:gridCol w:w="1022"/>
        <w:gridCol w:w="1187"/>
        <w:gridCol w:w="1022"/>
        <w:gridCol w:w="1187"/>
        <w:gridCol w:w="1023"/>
        <w:gridCol w:w="1188"/>
        <w:gridCol w:w="1028"/>
      </w:tblGrid>
      <w:tr>
        <w:trPr/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Услуга</w:t>
            </w:r>
          </w:p>
        </w:tc>
        <w:tc>
          <w:tcPr>
            <w:tcW w:w="2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Инциденты/ЗНО</w:t>
            </w:r>
          </w:p>
        </w:tc>
        <w:tc>
          <w:tcPr>
            <w:tcW w:w="2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Изменения</w:t>
            </w:r>
          </w:p>
        </w:tc>
        <w:tc>
          <w:tcPr>
            <w:tcW w:w="2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НШС</w:t>
            </w: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Проблемы</w:t>
            </w:r>
          </w:p>
        </w:tc>
      </w:tr>
      <w:tr>
        <w:trPr/>
        <w:tc>
          <w:tcPr>
            <w:tcW w:w="10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Зарегистрировано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Решено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Зарегистрировано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Решено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Зарегистрировано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Решено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Зарегистрировано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Решено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Услуга 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…</w:t>
            </w: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..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  <w:t>Услуга N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pPr>
            <w:r>
              <w:rPr>
                <w:bCs/>
                <w:iCs/>
                <w:color w:val="auto"/>
                <w:sz w:val="24"/>
                <w:szCs w:val="24"/>
                <w:lang w:val="ru-RU" w:eastAsia="x-none"/>
              </w:rPr>
            </w:r>
          </w:p>
        </w:tc>
      </w:tr>
    </w:tbl>
    <w:p>
      <w:pPr>
        <w:pStyle w:val="Normal"/>
        <w:spacing w:lineRule="auto" w:line="276" w:before="227" w:after="227"/>
        <w:jc w:val="center"/>
        <w:rPr>
          <w:sz w:val="24"/>
          <w:szCs w:val="24"/>
          <w:lang w:val="ru-RU"/>
        </w:rPr>
      </w:pPr>
      <w:r>
        <w:rPr>
          <w:b/>
          <w:color w:val="auto"/>
          <w:sz w:val="24"/>
          <w:szCs w:val="24"/>
          <w:lang w:val="ru-RU"/>
        </w:rPr>
        <w:t>ПОДПИСИ СТОРОН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4950"/>
        <w:gridCol w:w="4971"/>
      </w:tblGrid>
      <w:tr>
        <w:trPr>
          <w:trHeight w:val="20" w:hRule="atLeast"/>
        </w:trPr>
        <w:tc>
          <w:tcPr>
            <w:tcW w:w="4950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/>
              </w:rPr>
              <w:t>От Заказчика:</w:t>
            </w:r>
          </w:p>
        </w:tc>
        <w:tc>
          <w:tcPr>
            <w:tcW w:w="4971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/>
              </w:rPr>
              <w:t>От Исполнителя:</w:t>
            </w:r>
          </w:p>
        </w:tc>
      </w:tr>
      <w:tr>
        <w:trPr>
          <w:trHeight w:val="20" w:hRule="atLeast"/>
        </w:trPr>
        <w:tc>
          <w:tcPr>
            <w:tcW w:w="4950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bCs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971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bCs/>
                <w:color w:val="auto"/>
                <w:sz w:val="24"/>
                <w:szCs w:val="24"/>
                <w:lang w:val="ru-RU"/>
              </w:rPr>
            </w:r>
          </w:p>
        </w:tc>
      </w:tr>
      <w:tr>
        <w:trPr>
          <w:trHeight w:val="20" w:hRule="atLeast"/>
        </w:trPr>
        <w:tc>
          <w:tcPr>
            <w:tcW w:w="4950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Должность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Сокращенное наименование юридического лица</w:t>
            </w:r>
          </w:p>
        </w:tc>
        <w:tc>
          <w:tcPr>
            <w:tcW w:w="4971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Должность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Сокращенное наименование юридического лица</w:t>
            </w:r>
          </w:p>
        </w:tc>
      </w:tr>
      <w:tr>
        <w:trPr>
          <w:trHeight w:val="20" w:hRule="atLeast"/>
        </w:trPr>
        <w:tc>
          <w:tcPr>
            <w:tcW w:w="4950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</w:r>
          </w:p>
        </w:tc>
        <w:tc>
          <w:tcPr>
            <w:tcW w:w="4971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</w:r>
          </w:p>
        </w:tc>
      </w:tr>
      <w:tr>
        <w:trPr>
          <w:trHeight w:val="20" w:hRule="atLeast"/>
        </w:trPr>
        <w:tc>
          <w:tcPr>
            <w:tcW w:w="4950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_________________ Инициалы, фамилия</w:t>
            </w:r>
          </w:p>
        </w:tc>
        <w:tc>
          <w:tcPr>
            <w:tcW w:w="4971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_________________ Инициалы, фамилия</w:t>
            </w:r>
          </w:p>
        </w:tc>
      </w:tr>
    </w:tbl>
    <w:p>
      <w:pPr>
        <w:pStyle w:val="Normal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br w:type="page"/>
      </w:r>
    </w:p>
    <w:p>
      <w:pPr>
        <w:pStyle w:val="Heading1"/>
        <w:keepLines/>
        <w:numPr>
          <w:ilvl w:val="0"/>
          <w:numId w:val="0"/>
        </w:numPr>
        <w:spacing w:before="0" w:after="113"/>
        <w:ind w:hanging="0" w:left="0"/>
        <w:jc w:val="right"/>
        <w:rPr/>
      </w:pPr>
      <w:bookmarkStart w:id="23" w:name="__RefHeading___Toc62271_3104815314"/>
      <w:bookmarkEnd w:id="23"/>
      <w:r>
        <w:rPr>
          <w:sz w:val="24"/>
          <w:szCs w:val="24"/>
        </w:rPr>
        <w:t>ПРИЛОЖЕНИЕ № 3</w:t>
      </w:r>
    </w:p>
    <w:p>
      <w:pPr>
        <w:pStyle w:val="Normal"/>
        <w:tabs>
          <w:tab w:val="clear" w:pos="708"/>
          <w:tab w:val="left" w:pos="-2268" w:leader="none"/>
        </w:tabs>
        <w:jc w:val="right"/>
        <w:rPr/>
      </w:pPr>
      <w:r>
        <w:rPr>
          <w:sz w:val="24"/>
          <w:szCs w:val="24"/>
        </w:rPr>
        <w:t xml:space="preserve">к Техническим требованиям </w:t>
      </w:r>
    </w:p>
    <w:p>
      <w:pPr>
        <w:pStyle w:val="Normal"/>
        <w:tabs>
          <w:tab w:val="clear" w:pos="708"/>
          <w:tab w:val="left" w:pos="-2268" w:leader="none"/>
        </w:tabs>
        <w:jc w:val="right"/>
        <w:rPr>
          <w:sz w:val="24"/>
          <w:szCs w:val="24"/>
        </w:rPr>
      </w:pPr>
      <w:r>
        <w:rPr>
          <w:sz w:val="24"/>
          <w:szCs w:val="24"/>
        </w:rPr>
        <w:t>на оказание услуг</w:t>
      </w:r>
    </w:p>
    <w:p>
      <w:pPr>
        <w:pStyle w:val="Normal"/>
        <w:spacing w:lineRule="auto" w:line="276" w:before="227" w:after="227"/>
        <w:jc w:val="center"/>
        <w:rPr/>
      </w:pPr>
      <w:r>
        <w:rPr>
          <w:b/>
          <w:lang w:val="en-US"/>
        </w:rPr>
        <w:t xml:space="preserve">Методика </w:t>
      </w:r>
      <w:r>
        <w:rPr>
          <w:b/>
        </w:rPr>
        <w:t>оценки качества предоставления услуг</w:t>
      </w:r>
    </w:p>
    <w:p>
      <w:pPr>
        <w:pStyle w:val="Normal"/>
        <w:spacing w:before="113" w:after="113"/>
        <w:ind w:firstLine="567" w:left="0"/>
        <w:jc w:val="both"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 xml:space="preserve">1. Оценка качества для каждой услуги, осуществляется на основании показателей качества предоставления услуг (далее – ПКПУ), приведённых в таблице 1. </w:t>
      </w:r>
    </w:p>
    <w:p>
      <w:pPr>
        <w:pStyle w:val="Normal"/>
        <w:spacing w:before="113" w:after="113"/>
        <w:ind w:firstLine="567" w:left="0"/>
        <w:jc w:val="both"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>2. По окончании отчётного периода для каждой предоставленной услуги Исполнитель проводит расчет значений ПКПУ на основании пороговых значений ПКПУ, указанных в настоящем документе  в Таблице 1.</w:t>
      </w:r>
    </w:p>
    <w:p>
      <w:pPr>
        <w:pStyle w:val="Normal"/>
        <w:spacing w:before="113" w:after="113"/>
        <w:ind w:firstLine="567" w:left="0"/>
        <w:jc w:val="both"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>3. На основании проведённой первичной оценки, Исполнитель формирует отчёт в соответствии с Порядком подготовки отчета по качеству предоставления комплексных ИТ-услуг. Отчёты формируются на основании информации из КСА СПП. Для их проверки могут быть использованы данные из системы мониторинга Заказчика. В течении 5 рабочих дней Заказчик обязан ознакомиться с указанными отчетами, представить замечания в случае их наличия или согласовать их.</w:t>
      </w:r>
    </w:p>
    <w:p>
      <w:pPr>
        <w:pStyle w:val="Normal"/>
        <w:spacing w:before="113" w:after="113"/>
        <w:ind w:firstLine="567" w:left="0"/>
        <w:jc w:val="both"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>4. В случае, если какие-то ПКПУ имеют оценку “Низкое качество” или “Неудовлетворительное качество”, Исполнитель обязан провести анализ причин снижения качества такой услуги, разработать план работ по устранению причин и реализовать мероприятия по исправлению ситуации. Результаты анализа и план работ в таких случаях прилагаются к отчёту в формате аналитической записки.</w:t>
      </w:r>
    </w:p>
    <w:p>
      <w:pPr>
        <w:pStyle w:val="Normal"/>
        <w:spacing w:before="113" w:after="113"/>
        <w:ind w:firstLine="567" w:left="0"/>
        <w:jc w:val="both"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>5. В течении 5 дней с даты заключения договора, каждая из сторон, обязана назначить одного или несколько сотрудников для осуществления контроля и решения спорных вопросов в области качества предоставляемых услуг. Из указанных сотрудников может формироваться Комитет качества услуг (далее – ККУ).</w:t>
      </w:r>
    </w:p>
    <w:p>
      <w:pPr>
        <w:pStyle w:val="Normal"/>
        <w:spacing w:before="113" w:after="113"/>
        <w:ind w:firstLine="567" w:left="0"/>
        <w:jc w:val="both"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>6. Если Исполнитель считает, что оценка ПКПУ не достоверна или снижение качества предоставляемых услуг произошло в силу не зависящих от него обстоятельств, он имеет право инициировать заседание ККУ, представив обоснования и доказательства своей позиции. По результатам данного заседания, членами ККУ со стороны Заказчика проводится окончательная оценка качества предоставленных услуг и может быть принято решение о применении к Исполнителю штрафных санкций.</w:t>
      </w:r>
    </w:p>
    <w:p>
      <w:pPr>
        <w:pStyle w:val="Normal"/>
        <w:spacing w:before="113" w:after="113"/>
        <w:ind w:firstLine="567" w:left="0"/>
        <w:jc w:val="both"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>7. О любых изменениях условий предоставления и оценки услуг (изменение состава или содержания регламентирующих документов, изменение требований к форматам отчетов, изменение состава и параметров предоставления Услуг и т.д.) Заказчик обязан уведомить и согласовать с ККУ письменно, не позднее чем за 2 календарных месяца до вступления в силу предполагаемых изменений.</w:t>
      </w:r>
    </w:p>
    <w:p>
      <w:pPr>
        <w:pStyle w:val="Normal"/>
        <w:spacing w:before="113" w:after="113"/>
        <w:ind w:firstLine="567" w:left="0"/>
        <w:jc w:val="both"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>8. Исполнитель имеет право сформировать и вынести на обсуждение ККУ предложения по корректировке условий предоставления и оценки услуг (изменение состава или содержания регламентирующих документов, изменение требований к форматам отчетов, изменение состава и параметров предоставления Услуг и т.д.).</w:t>
      </w:r>
    </w:p>
    <w:p>
      <w:pPr>
        <w:pStyle w:val="Normal"/>
        <w:bidi w:val="0"/>
        <w:spacing w:before="113" w:after="113"/>
        <w:ind w:firstLine="567" w:left="0"/>
        <w:jc w:val="both"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 xml:space="preserve">9. На основании решения ККУ, подтверждённого соответствующим протоколом может быть актуализирован состав и пороговые значения ПКПУ, а также формат и состав отчётов.  </w:t>
      </w:r>
    </w:p>
    <w:p>
      <w:pPr>
        <w:sectPr>
          <w:headerReference w:type="default" r:id="rId15"/>
          <w:headerReference w:type="first" r:id="rId16"/>
          <w:footnotePr>
            <w:numFmt w:val="decimal"/>
            <w:numRestart w:val="eachPage"/>
          </w:footnotePr>
          <w:type w:val="nextPage"/>
          <w:pgSz w:w="11906" w:h="16838"/>
          <w:pgMar w:left="1134" w:right="850" w:gutter="0" w:header="850" w:top="1275" w:footer="0" w:bottom="85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113" w:after="113"/>
        <w:ind w:firstLine="567" w:left="0"/>
        <w:jc w:val="both"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>10. Описание ПКПУ, таблица 1.</w:t>
      </w:r>
    </w:p>
    <w:p>
      <w:pPr>
        <w:pStyle w:val="Normal"/>
        <w:spacing w:lineRule="auto" w:line="276" w:before="120" w:after="120"/>
        <w:ind w:left="170"/>
        <w:contextualSpacing/>
        <w:jc w:val="both"/>
        <w:rPr>
          <w:sz w:val="24"/>
          <w:szCs w:val="24"/>
        </w:rPr>
      </w:pPr>
      <w:r>
        <w:rPr>
          <w:b/>
          <w:bCs/>
          <w:iCs/>
          <w:sz w:val="24"/>
          <w:szCs w:val="24"/>
          <w:lang w:eastAsia="x-none"/>
        </w:rPr>
        <w:t xml:space="preserve">Таблица </w:t>
      </w:r>
      <w:r>
        <w:rPr>
          <w:b/>
          <w:bCs/>
          <w:iCs/>
          <w:sz w:val="24"/>
          <w:szCs w:val="24"/>
          <w:lang w:val="en-US" w:eastAsia="x-none"/>
        </w:rPr>
        <w:t>1</w:t>
      </w:r>
      <w:r>
        <w:rPr>
          <w:b/>
          <w:bCs/>
          <w:iCs/>
          <w:sz w:val="24"/>
          <w:szCs w:val="24"/>
          <w:lang w:eastAsia="x-none"/>
        </w:rPr>
        <w:t>. Описание ПКПУ</w:t>
      </w:r>
    </w:p>
    <w:tbl>
      <w:tblPr>
        <w:tblW w:w="15138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20" w:noHBand="0" w:noVBand="0" w:firstColumn="0" w:lastRow="0" w:lastColumn="0" w:firstRow="1"/>
      </w:tblPr>
      <w:tblGrid>
        <w:gridCol w:w="614"/>
        <w:gridCol w:w="1880"/>
        <w:gridCol w:w="1979"/>
        <w:gridCol w:w="2333"/>
        <w:gridCol w:w="5831"/>
        <w:gridCol w:w="2500"/>
      </w:tblGrid>
      <w:tr>
        <w:trPr>
          <w:tblHeader w:val="true"/>
          <w:trHeight w:val="555" w:hRule="atLeast"/>
          <w:cantSplit w:val="true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/>
                <w:bCs/>
                <w:spacing w:val="-4"/>
                <w:sz w:val="24"/>
                <w:szCs w:val="24"/>
                <w:lang w:val="ru-RU" w:bidi="ar-SA"/>
              </w:rPr>
              <w:t>п.п.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ru-RU" w:bidi="ar-SA"/>
              </w:rPr>
              <w:t>Название параметра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ru-RU" w:bidi="ar-SA"/>
              </w:rPr>
              <w:t>Краткое описание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ru-RU" w:bidi="ar-SA"/>
              </w:rPr>
              <w:t>Метод определения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ru-RU" w:bidi="ar-SA"/>
              </w:rPr>
              <w:t>Формула для расчета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ru-RU" w:bidi="ar-SA"/>
              </w:rPr>
              <w:t>Предельное значение</w:t>
            </w:r>
          </w:p>
        </w:tc>
      </w:tr>
      <w:tr>
        <w:trPr>
          <w:trHeight w:val="447" w:hRule="atLeast"/>
          <w:cantSplit w:val="true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ru-RU" w:bidi="ar-SA"/>
              </w:rPr>
              <w:t>1.</w:t>
            </w:r>
          </w:p>
        </w:tc>
        <w:tc>
          <w:tcPr>
            <w:tcW w:w="1452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ru-RU" w:bidi="ar-SA"/>
              </w:rPr>
              <w:t>Контроль ЗНО и Инцидентов</w:t>
            </w:r>
          </w:p>
        </w:tc>
      </w:tr>
      <w:tr>
        <w:trPr>
          <w:trHeight w:val="2354" w:hRule="atLeast"/>
          <w:cantSplit w:val="true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1.1.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% просроченных Запросов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</w:r>
          </w:p>
        </w:tc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Процент Запросов (инцидентов, ЗНО), разрешенных с нарушением срока решения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  <w:t>Определяется на основе признака “Просрочен” да/нет в КСА СПП</w:t>
            </w:r>
          </w:p>
        </w:tc>
        <w:tc>
          <w:tcPr>
            <w:tcW w:w="58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6"/>
                <w:sz w:val="24"/>
                <w:szCs w:val="24"/>
                <w:lang w:val="ru-RU" w:bidi="ar-SA"/>
              </w:rPr>
            </w:pPr>
            <w:r>
              <w:rPr>
                <w:spacing w:val="-6"/>
                <w:sz w:val="24"/>
                <w:szCs w:val="24"/>
                <w:lang w:val="ru-RU" w:bidi="ar-SA"/>
              </w:rPr>
              <w:t>К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1</w:t>
            </w:r>
            <w:r>
              <w:rPr>
                <w:spacing w:val="-6"/>
                <w:sz w:val="24"/>
                <w:szCs w:val="24"/>
                <w:lang w:val="ru-RU" w:bidi="ar-SA"/>
              </w:rPr>
              <w:t>=(N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1</w:t>
            </w:r>
            <w:r>
              <w:rPr>
                <w:spacing w:val="-6"/>
                <w:sz w:val="24"/>
                <w:szCs w:val="24"/>
                <w:lang w:val="ru-RU" w:bidi="ar-SA"/>
              </w:rPr>
              <w:t>+N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3</w:t>
            </w:r>
            <w:r>
              <w:rPr>
                <w:spacing w:val="-6"/>
                <w:sz w:val="24"/>
                <w:szCs w:val="24"/>
                <w:lang w:val="ru-RU" w:bidi="ar-SA"/>
              </w:rPr>
              <w:t>+N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4</w:t>
            </w:r>
            <w:r>
              <w:rPr>
                <w:spacing w:val="-6"/>
                <w:sz w:val="24"/>
                <w:szCs w:val="24"/>
                <w:lang w:val="ru-RU" w:bidi="ar-SA"/>
              </w:rPr>
              <w:t>+N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6</w:t>
            </w:r>
            <w:r>
              <w:rPr>
                <w:spacing w:val="-6"/>
                <w:sz w:val="24"/>
                <w:szCs w:val="24"/>
                <w:lang w:val="ru-RU" w:bidi="ar-SA"/>
              </w:rPr>
              <w:t>+N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7</w:t>
            </w:r>
            <w:r>
              <w:rPr>
                <w:spacing w:val="-6"/>
                <w:sz w:val="24"/>
                <w:szCs w:val="24"/>
                <w:lang w:val="ru-RU" w:bidi="ar-SA"/>
              </w:rPr>
              <w:t>)*100/(N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1</w:t>
            </w:r>
            <w:r>
              <w:rPr>
                <w:spacing w:val="-6"/>
                <w:sz w:val="24"/>
                <w:szCs w:val="24"/>
                <w:lang w:val="ru-RU" w:bidi="ar-SA"/>
              </w:rPr>
              <w:t>+N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2</w:t>
            </w:r>
            <w:r>
              <w:rPr>
                <w:spacing w:val="-6"/>
                <w:sz w:val="24"/>
                <w:szCs w:val="24"/>
                <w:lang w:val="ru-RU" w:bidi="ar-SA"/>
              </w:rPr>
              <w:t>+N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3</w:t>
            </w:r>
            <w:r>
              <w:rPr>
                <w:spacing w:val="-6"/>
                <w:sz w:val="24"/>
                <w:szCs w:val="24"/>
                <w:lang w:val="ru-RU" w:bidi="ar-SA"/>
              </w:rPr>
              <w:t>+N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4</w:t>
            </w:r>
            <w:r>
              <w:rPr>
                <w:spacing w:val="-6"/>
                <w:sz w:val="24"/>
                <w:szCs w:val="24"/>
                <w:lang w:val="ru-RU" w:bidi="ar-SA"/>
              </w:rPr>
              <w:t>+N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5</w:t>
            </w:r>
            <w:r>
              <w:rPr>
                <w:spacing w:val="-6"/>
                <w:sz w:val="24"/>
                <w:szCs w:val="24"/>
                <w:lang w:val="ru-RU" w:bidi="ar-SA"/>
              </w:rPr>
              <w:t>+N</w:t>
            </w:r>
            <w:r>
              <w:rPr>
                <w:spacing w:val="-6"/>
                <w:sz w:val="24"/>
                <w:szCs w:val="24"/>
                <w:vertAlign w:val="subscript"/>
                <w:lang w:val="ru-RU" w:bidi="ar-SA"/>
              </w:rPr>
              <w:t>8</w:t>
            </w:r>
            <w:r>
              <w:rPr>
                <w:spacing w:val="-6"/>
                <w:sz w:val="24"/>
                <w:szCs w:val="24"/>
                <w:lang w:val="ru-RU" w:bidi="ar-SA"/>
              </w:rPr>
              <w:t>), где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</w:t>
            </w:r>
            <w:r>
              <w:rPr>
                <w:spacing w:val="-4"/>
                <w:sz w:val="24"/>
                <w:szCs w:val="24"/>
                <w:vertAlign w:val="subscript"/>
                <w:lang w:val="ru-RU" w:bidi="ar-SA"/>
              </w:rPr>
              <w:t>1</w:t>
            </w:r>
            <w:r>
              <w:rPr>
                <w:spacing w:val="-4"/>
                <w:sz w:val="24"/>
                <w:szCs w:val="24"/>
                <w:lang w:val="ru-RU" w:bidi="ar-SA"/>
              </w:rPr>
              <w:t xml:space="preserve"> – количество открытых и просроченных на начало периода  обращений, зарегистрированных в предыдущие отчётные периоды действующего договора;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</w:t>
            </w:r>
            <w:r>
              <w:rPr>
                <w:spacing w:val="-4"/>
                <w:sz w:val="24"/>
                <w:szCs w:val="24"/>
                <w:vertAlign w:val="subscript"/>
                <w:lang w:val="ru-RU" w:bidi="ar-SA"/>
              </w:rPr>
              <w:t>2</w:t>
            </w:r>
            <w:r>
              <w:rPr>
                <w:spacing w:val="-4"/>
                <w:sz w:val="24"/>
                <w:szCs w:val="24"/>
                <w:lang w:val="ru-RU" w:bidi="ar-SA"/>
              </w:rPr>
              <w:t xml:space="preserve"> – количество открытых на начало периода непросроченных обращений, зарегистрированных в предыдущие отчётные периоды действующего договора;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</w:t>
            </w:r>
            <w:r>
              <w:rPr>
                <w:spacing w:val="-4"/>
                <w:sz w:val="24"/>
                <w:szCs w:val="24"/>
                <w:vertAlign w:val="subscript"/>
                <w:lang w:val="ru-RU" w:bidi="ar-SA"/>
              </w:rPr>
              <w:t>3</w:t>
            </w:r>
            <w:r>
              <w:rPr>
                <w:spacing w:val="-4"/>
                <w:sz w:val="24"/>
                <w:szCs w:val="24"/>
                <w:lang w:val="ru-RU" w:bidi="ar-SA"/>
              </w:rPr>
              <w:t xml:space="preserve"> – количество открытых просроченных обращений, зарегистрированных в текущем отчётном периоде на момент формирования отчета;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</w:t>
            </w:r>
            <w:r>
              <w:rPr>
                <w:spacing w:val="-4"/>
                <w:sz w:val="24"/>
                <w:szCs w:val="24"/>
                <w:vertAlign w:val="subscript"/>
                <w:lang w:val="ru-RU" w:bidi="ar-SA"/>
              </w:rPr>
              <w:t>4</w:t>
            </w:r>
            <w:r>
              <w:rPr>
                <w:spacing w:val="-4"/>
                <w:sz w:val="24"/>
                <w:szCs w:val="24"/>
                <w:lang w:val="ru-RU" w:bidi="ar-SA"/>
              </w:rPr>
              <w:t xml:space="preserve"> – количество закрытых просроченных обращений, зарегистрированных в текущем отчётном периоде на момент формирования отчета;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</w:t>
            </w:r>
            <w:r>
              <w:rPr>
                <w:spacing w:val="-4"/>
                <w:sz w:val="24"/>
                <w:szCs w:val="24"/>
                <w:vertAlign w:val="subscript"/>
                <w:lang w:val="ru-RU" w:bidi="ar-SA"/>
              </w:rPr>
              <w:t>5</w:t>
            </w:r>
            <w:r>
              <w:rPr>
                <w:spacing w:val="-4"/>
                <w:sz w:val="24"/>
                <w:szCs w:val="24"/>
                <w:lang w:val="ru-RU" w:bidi="ar-SA"/>
              </w:rPr>
              <w:t xml:space="preserve"> – количество закрытых непросроченных обращений, зарегистрированных в текущем отчётном периоде на момент формирования отчета;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</w:t>
            </w:r>
            <w:r>
              <w:rPr>
                <w:spacing w:val="-4"/>
                <w:sz w:val="24"/>
                <w:szCs w:val="24"/>
                <w:vertAlign w:val="subscript"/>
                <w:lang w:val="ru-RU" w:bidi="ar-SA"/>
              </w:rPr>
              <w:t>6</w:t>
            </w:r>
            <w:r>
              <w:rPr>
                <w:spacing w:val="-4"/>
                <w:sz w:val="24"/>
                <w:szCs w:val="24"/>
                <w:lang w:val="ru-RU" w:bidi="ar-SA"/>
              </w:rPr>
              <w:t xml:space="preserve"> – количество закрытых и просроченных в отчетном периоде обращений, зарегистрированных в предыдущие отчётные периоды действующего договора;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</w:t>
            </w:r>
            <w:r>
              <w:rPr>
                <w:spacing w:val="-4"/>
                <w:sz w:val="24"/>
                <w:szCs w:val="24"/>
                <w:vertAlign w:val="subscript"/>
                <w:lang w:val="ru-RU" w:bidi="ar-SA"/>
              </w:rPr>
              <w:t>7</w:t>
            </w:r>
            <w:r>
              <w:rPr>
                <w:spacing w:val="-4"/>
                <w:sz w:val="24"/>
                <w:szCs w:val="24"/>
                <w:lang w:val="ru-RU" w:bidi="ar-SA"/>
              </w:rPr>
              <w:t xml:space="preserve"> – количество открытых и просроченных в отчетном периоде обращений, зарегистрированных в предыдущие отчётные периоды действующего договора.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</w:t>
            </w:r>
            <w:r>
              <w:rPr>
                <w:spacing w:val="-4"/>
                <w:sz w:val="24"/>
                <w:szCs w:val="24"/>
                <w:vertAlign w:val="subscript"/>
                <w:lang w:val="ru-RU" w:bidi="ar-SA"/>
              </w:rPr>
              <w:t>8</w:t>
            </w:r>
            <w:r>
              <w:rPr>
                <w:spacing w:val="-4"/>
                <w:sz w:val="24"/>
                <w:szCs w:val="24"/>
                <w:lang w:val="ru-RU" w:bidi="ar-SA"/>
              </w:rPr>
              <w:t xml:space="preserve"> – количество открытых и непросроченных в отчетном периоде обращений, зарегистрированных в текущем отчётном  периоде.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Нормальное качество – менее 5%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Низкое качество – от 5% - до 10%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Cs/>
                <w:iCs/>
                <w:spacing w:val="-4"/>
                <w:sz w:val="24"/>
                <w:szCs w:val="24"/>
                <w:lang w:val="ru-RU" w:eastAsia="x-none" w:bidi="ar-SA"/>
              </w:rPr>
              <w:t>Неудовлетворительное качество</w:t>
            </w:r>
            <w:r>
              <w:rPr>
                <w:spacing w:val="-4"/>
                <w:sz w:val="24"/>
                <w:szCs w:val="24"/>
                <w:lang w:val="ru-RU" w:bidi="ar-SA"/>
              </w:rPr>
              <w:t xml:space="preserve"> – более 10%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</w:r>
          </w:p>
        </w:tc>
      </w:tr>
      <w:tr>
        <w:trPr>
          <w:trHeight w:val="340" w:hRule="atLeast"/>
          <w:cantSplit w:val="true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1.2.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% повторно открытых Запросов</w:t>
            </w:r>
          </w:p>
        </w:tc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Процент Запросов(инцидентов, ЗНО), закрытие которых было отклонено пользователем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Определяется на основании поля “Количество возобновлений” в КСА СПП</w:t>
            </w:r>
          </w:p>
        </w:tc>
        <w:tc>
          <w:tcPr>
            <w:tcW w:w="58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К2 = (N9/Nобщ) * 100%, где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N9 – количество Запросов, закрытых в отчётном периоде и возвращённых Пользователем в работу после выполнения;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Nобщ – общее количество Запросов, закрытых в отчётном периоде.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Нормальное качество – менее 3%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Низкое качество – от 3% - до 7%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Cs/>
                <w:iCs/>
                <w:spacing w:val="-4"/>
                <w:sz w:val="24"/>
                <w:szCs w:val="24"/>
                <w:lang w:val="ru-RU" w:eastAsia="x-none" w:bidi="ar-SA"/>
              </w:rPr>
              <w:t xml:space="preserve">Неудовлетворительное качество – </w:t>
            </w:r>
            <w:r>
              <w:rPr>
                <w:spacing w:val="-4"/>
                <w:sz w:val="24"/>
                <w:szCs w:val="24"/>
                <w:lang w:val="ru-RU" w:bidi="ar-SA"/>
              </w:rPr>
              <w:t>более 7%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</w:r>
          </w:p>
        </w:tc>
      </w:tr>
      <w:tr>
        <w:trPr>
          <w:trHeight w:val="340" w:hRule="atLeast"/>
          <w:cantSplit w:val="true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1.3.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Количество Запросов от VIP пользователей, закрытых с негативной оценкой</w:t>
            </w:r>
          </w:p>
        </w:tc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Количество Запросов от VIP пользователей (инцидентов, ЗНО), получивших в отчетном периоде при закрытии негативную оценку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Определяется на основе негативной оценки VIP пользователей – «Есть претензии» и «Нет серьезных замечаний», при закрытии обращения в КСА СПП</w:t>
            </w:r>
          </w:p>
        </w:tc>
        <w:tc>
          <w:tcPr>
            <w:tcW w:w="58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К3 = количество запросов от VIP пользователей, получивших в отчетном периоде при закрытии негативную оценку.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  <w:t>Нормальное качество – не более 2 шт.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  <w:t>Низкое качество – 3-4 шт.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Cs/>
                <w:iCs/>
                <w:color w:val="000000"/>
                <w:spacing w:val="-4"/>
                <w:sz w:val="24"/>
                <w:szCs w:val="24"/>
                <w:lang w:val="ru-RU" w:eastAsia="x-none" w:bidi="ar-SA"/>
              </w:rPr>
              <w:t xml:space="preserve">Неудовлетворительное качество </w:t>
            </w: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  <w:t>более 4 шт.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ru-RU" w:bidi="ar-SA"/>
              </w:rPr>
            </w:pP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</w:r>
          </w:p>
        </w:tc>
      </w:tr>
      <w:tr>
        <w:trPr>
          <w:trHeight w:val="516" w:hRule="atLeast"/>
          <w:cantSplit w:val="true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ru-RU" w:bidi="ar-SA"/>
              </w:rPr>
              <w:t>2.</w:t>
            </w:r>
          </w:p>
        </w:tc>
        <w:tc>
          <w:tcPr>
            <w:tcW w:w="1452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color w:val="000000"/>
                <w:spacing w:val="-4"/>
                <w:sz w:val="24"/>
                <w:szCs w:val="24"/>
                <w:lang w:val="ru-RU" w:bidi="ar-SA"/>
              </w:rPr>
              <w:t>Контроль изменений</w:t>
            </w:r>
          </w:p>
        </w:tc>
      </w:tr>
      <w:tr>
        <w:trPr>
          <w:trHeight w:val="2386" w:hRule="atLeast"/>
          <w:cantSplit w:val="true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2.1.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Количество несвоевременно реализованных ЗНИ</w:t>
            </w:r>
          </w:p>
        </w:tc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Количество ЗНИ выполненных с превышением  согласованного с Функциональным заказчиком планового срока реализации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Определяется на основе сравнения плановой и фактической даты реализации ЗНИ в КСА СПП.</w:t>
            </w:r>
          </w:p>
        </w:tc>
        <w:tc>
          <w:tcPr>
            <w:tcW w:w="58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К4 = (N10/ Nобщ.зни) * 100%, где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N10 – количество несвоевременно реализованных ЗНИ в отчётном периоде;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Nобщ.зни – общее количество ЗНИ, закрытых в отчётном периоде.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Нормальное качество – менее 5%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Низкое качество – от 5% - до 10%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Cs/>
                <w:iCs/>
                <w:spacing w:val="-4"/>
                <w:sz w:val="24"/>
                <w:szCs w:val="24"/>
                <w:lang w:val="ru-RU" w:eastAsia="x-none" w:bidi="ar-SA"/>
              </w:rPr>
              <w:t xml:space="preserve">Неудовлетворительное качество – </w:t>
            </w:r>
            <w:r>
              <w:rPr>
                <w:spacing w:val="-4"/>
                <w:sz w:val="24"/>
                <w:szCs w:val="24"/>
                <w:lang w:val="ru-RU" w:bidi="ar-SA"/>
              </w:rPr>
              <w:t>более 10%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ru-RU" w:bidi="ar-SA"/>
              </w:rPr>
            </w:pP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</w:r>
          </w:p>
        </w:tc>
      </w:tr>
      <w:tr>
        <w:trPr>
          <w:trHeight w:val="534" w:hRule="atLeast"/>
          <w:cantSplit w:val="true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spacing w:val="-4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1452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b/>
                <w:bCs/>
                <w:color w:val="000000"/>
                <w:spacing w:val="-4"/>
                <w:sz w:val="24"/>
                <w:szCs w:val="24"/>
                <w:lang w:val="ru-RU" w:bidi="ar-SA"/>
              </w:rPr>
              <w:t>Контроль НШС</w:t>
            </w:r>
          </w:p>
        </w:tc>
      </w:tr>
      <w:tr>
        <w:trPr>
          <w:trHeight w:val="1319" w:hRule="atLeast"/>
          <w:cantSplit w:val="true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3.1.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Количество НШС 1 уровня (недоступность услуги)</w:t>
            </w:r>
          </w:p>
        </w:tc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Количество инцидентов, вызвавших не запланированную недоступность Сервиса.</w:t>
            </w: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Определяется на основе данных о количестве зарегистрированных НШС по вине Исполнителя, зарегистрированных в КСА СПП в отчётный период.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Данные по НШС могут быть проверены по системам мониторинга Заказчика. Критерии определения доступности устанавливаются в Картах мониторинга, разрабатываемых Исполнителем и согласованных с Заказчиком до начала действия договора. При спорных ситуациях ответственность за НШС определяет ККУ.</w:t>
            </w:r>
          </w:p>
        </w:tc>
        <w:tc>
          <w:tcPr>
            <w:tcW w:w="58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spacing w:val="-4"/>
                <w:sz w:val="24"/>
                <w:szCs w:val="24"/>
                <w:lang w:val="ru-RU" w:bidi="ar-SA"/>
              </w:rPr>
              <w:t>К</w:t>
            </w:r>
            <w:r>
              <w:rPr>
                <w:spacing w:val="-4"/>
                <w:sz w:val="24"/>
                <w:szCs w:val="24"/>
                <w:vertAlign w:val="subscript"/>
                <w:lang w:val="ru-RU" w:bidi="ar-SA"/>
              </w:rPr>
              <w:t>5</w:t>
            </w:r>
            <w:r>
              <w:rPr>
                <w:spacing w:val="-4"/>
                <w:sz w:val="24"/>
                <w:szCs w:val="24"/>
                <w:lang w:val="ru-RU" w:bidi="ar-SA"/>
              </w:rPr>
              <w:t xml:space="preserve"> – количество инцидентов, вызвавших не запланированную недоступность Сервиса, по вине Исполнителя.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  <w:t>Нормальное качество – 0 шт.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ru-RU" w:bidi="ar-SA"/>
              </w:rPr>
            </w:pP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  <w:t>Низкое качество – 1-2 шт.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ru-RU" w:bidi="ar-SA"/>
              </w:rPr>
            </w:pP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spacing w:val="-4"/>
                <w:sz w:val="24"/>
                <w:szCs w:val="24"/>
                <w:lang w:val="ru-RU" w:bidi="ar-SA"/>
              </w:rPr>
            </w:pP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  <w:t>Нарушение SLA – более 2 шт.</w:t>
            </w:r>
          </w:p>
          <w:p>
            <w:pPr>
              <w:pStyle w:val="Normal"/>
              <w:widowControl w:val="false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ru-RU" w:bidi="ar-SA"/>
              </w:rPr>
            </w:pPr>
            <w:r>
              <w:rPr>
                <w:color w:val="000000"/>
                <w:spacing w:val="-4"/>
                <w:sz w:val="24"/>
                <w:szCs w:val="24"/>
                <w:lang w:val="ru-RU" w:bidi="ar-SA"/>
              </w:rPr>
            </w:r>
          </w:p>
        </w:tc>
      </w:tr>
    </w:tbl>
    <w:p>
      <w:pPr>
        <w:sectPr>
          <w:headerReference w:type="default" r:id="rId17"/>
          <w:headerReference w:type="first" r:id="rId18"/>
          <w:footnotePr>
            <w:numFmt w:val="decimal"/>
            <w:numRestart w:val="eachPage"/>
          </w:footnotePr>
          <w:type w:val="nextPage"/>
          <w:pgSz w:orient="landscape" w:w="16838" w:h="11906"/>
          <w:pgMar w:left="850" w:right="850" w:gutter="0" w:header="850" w:top="1020" w:footer="0" w:bottom="85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spacing w:lineRule="auto" w:line="276" w:before="227" w:after="227"/>
        <w:jc w:val="center"/>
        <w:rPr>
          <w:sz w:val="24"/>
          <w:szCs w:val="24"/>
          <w:lang w:val="ru-RU"/>
        </w:rPr>
      </w:pPr>
      <w:r>
        <w:rPr>
          <w:b/>
          <w:bCs/>
          <w:color w:val="auto"/>
          <w:sz w:val="24"/>
          <w:szCs w:val="24"/>
          <w:lang w:val="ru-RU" w:bidi="ru-RU"/>
        </w:rPr>
        <w:t>Порядок перерасчета платежа за оказанные услуги</w:t>
        <w:br/>
        <w:t>за отчетный период</w:t>
      </w:r>
    </w:p>
    <w:p>
      <w:pPr>
        <w:pStyle w:val="Normal"/>
        <w:spacing w:lineRule="auto" w:line="276" w:before="113" w:after="113"/>
        <w:ind w:firstLine="709"/>
        <w:jc w:val="both"/>
        <w:rPr>
          <w:sz w:val="24"/>
          <w:szCs w:val="24"/>
          <w:lang w:val="ru-RU"/>
        </w:rPr>
      </w:pPr>
      <w:r>
        <w:rPr>
          <w:rFonts w:eastAsia="Calibri"/>
          <w:color w:val="auto"/>
          <w:sz w:val="24"/>
          <w:szCs w:val="24"/>
          <w:lang w:val="ru-RU" w:eastAsia="en-US"/>
        </w:rPr>
        <w:t xml:space="preserve">Исполнитель гарантирует соблюдение Сводного показателя качества по каждой услуге, сокращенно «СПКУ». При снижении показателей, </w:t>
      </w:r>
      <w:r>
        <w:rPr>
          <w:rFonts w:eastAsia="Calibri"/>
          <w:color w:val="auto"/>
          <w:sz w:val="24"/>
          <w:szCs w:val="24"/>
          <w:lang w:val="ru-RU" w:eastAsia="x-none"/>
        </w:rPr>
        <w:t>по решению Заказчика к Исполнителю могут быть применены штрафные санкции в следующем размере:</w:t>
      </w:r>
    </w:p>
    <w:tbl>
      <w:tblPr>
        <w:tblW w:w="5000" w:type="pct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4939"/>
        <w:gridCol w:w="4982"/>
      </w:tblGrid>
      <w:tr>
        <w:trPr/>
        <w:tc>
          <w:tcPr>
            <w:tcW w:w="4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exact" w:line="2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/>
              </w:rPr>
              <w:t>ПКУ</w:t>
            </w:r>
          </w:p>
        </w:tc>
        <w:tc>
          <w:tcPr>
            <w:tcW w:w="4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exact" w:line="2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/>
              </w:rPr>
              <w:t xml:space="preserve">Максимально допустимое снижение размера оплаты стоимости услуги </w:t>
            </w: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(%)</w:t>
            </w:r>
          </w:p>
        </w:tc>
      </w:tr>
      <w:tr>
        <w:trPr/>
        <w:tc>
          <w:tcPr>
            <w:tcW w:w="493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/>
              </w:rPr>
              <w:t>СПКУ ≤ 0</w:t>
            </w:r>
          </w:p>
        </w:tc>
        <w:tc>
          <w:tcPr>
            <w:tcW w:w="49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exact" w:line="2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 w:eastAsia="en-US"/>
              </w:rPr>
              <w:t>0%</w:t>
            </w:r>
          </w:p>
        </w:tc>
      </w:tr>
      <w:tr>
        <w:trPr/>
        <w:tc>
          <w:tcPr>
            <w:tcW w:w="49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exact" w:line="2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/>
              </w:rPr>
              <w:t>0 &lt; СПКУ ≤ 0,25</w:t>
            </w:r>
          </w:p>
        </w:tc>
        <w:tc>
          <w:tcPr>
            <w:tcW w:w="49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exact" w:line="2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 w:eastAsia="en-US"/>
              </w:rPr>
              <w:t>1%</w:t>
            </w:r>
          </w:p>
        </w:tc>
      </w:tr>
      <w:tr>
        <w:trPr/>
        <w:tc>
          <w:tcPr>
            <w:tcW w:w="49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/>
              </w:rPr>
              <w:t>0,25 &lt; СПКУ ≤ 0,5</w:t>
            </w:r>
          </w:p>
        </w:tc>
        <w:tc>
          <w:tcPr>
            <w:tcW w:w="49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exact" w:line="2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 w:eastAsia="en-US"/>
              </w:rPr>
              <w:t>3%</w:t>
            </w:r>
          </w:p>
        </w:tc>
      </w:tr>
      <w:tr>
        <w:trPr/>
        <w:tc>
          <w:tcPr>
            <w:tcW w:w="49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/>
              </w:rPr>
              <w:t>0,5 &lt; СПКУ ≤ 0,75</w:t>
            </w:r>
          </w:p>
        </w:tc>
        <w:tc>
          <w:tcPr>
            <w:tcW w:w="49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exact" w:line="2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 w:eastAsia="en-US"/>
              </w:rPr>
              <w:t>5%</w:t>
            </w:r>
          </w:p>
        </w:tc>
      </w:tr>
      <w:tr>
        <w:trPr>
          <w:trHeight w:val="243" w:hRule="atLeast"/>
        </w:trPr>
        <w:tc>
          <w:tcPr>
            <w:tcW w:w="49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/>
              </w:rPr>
              <w:t>0,75 &lt; СПКУ &lt; 1</w:t>
            </w:r>
          </w:p>
        </w:tc>
        <w:tc>
          <w:tcPr>
            <w:tcW w:w="49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exact" w:line="2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 w:eastAsia="en-US"/>
              </w:rPr>
              <w:t>7%</w:t>
            </w:r>
          </w:p>
        </w:tc>
      </w:tr>
      <w:tr>
        <w:trPr>
          <w:trHeight w:val="243" w:hRule="atLeast"/>
        </w:trPr>
        <w:tc>
          <w:tcPr>
            <w:tcW w:w="49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bCs/>
                <w:color w:val="auto"/>
                <w:sz w:val="24"/>
                <w:szCs w:val="24"/>
                <w:lang w:val="ru-RU"/>
              </w:rPr>
              <w:t>1 ≤СПКУ</w:t>
            </w:r>
          </w:p>
        </w:tc>
        <w:tc>
          <w:tcPr>
            <w:tcW w:w="49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exact" w:line="27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val="ru-RU" w:eastAsia="en-US"/>
              </w:rPr>
              <w:t>10%</w:t>
            </w:r>
          </w:p>
        </w:tc>
      </w:tr>
    </w:tbl>
    <w:p>
      <w:pPr>
        <w:pStyle w:val="Normal"/>
        <w:spacing w:lineRule="auto" w:line="276" w:before="113" w:after="113"/>
        <w:ind w:left="0"/>
        <w:jc w:val="both"/>
        <w:rPr>
          <w:sz w:val="24"/>
          <w:szCs w:val="24"/>
          <w:lang w:val="ru-RU"/>
        </w:rPr>
      </w:pPr>
      <w:r>
        <w:rPr>
          <w:b/>
          <w:bCs/>
          <w:iCs/>
          <w:color w:val="auto"/>
          <w:sz w:val="24"/>
          <w:szCs w:val="24"/>
          <w:lang w:val="ru-RU" w:eastAsia="x-none"/>
        </w:rPr>
        <w:t>Сводный Показатель качества услуги (СПКУ)</w:t>
      </w:r>
      <w:r>
        <w:rPr>
          <w:bCs/>
          <w:iCs/>
          <w:color w:val="auto"/>
          <w:sz w:val="24"/>
          <w:szCs w:val="24"/>
          <w:lang w:val="ru-RU" w:eastAsia="x-none"/>
        </w:rPr>
        <w:t>, определяется по каждой услуге по формуле:</w:t>
      </w:r>
    </w:p>
    <w:p>
      <w:pPr>
        <w:pStyle w:val="Normal"/>
        <w:spacing w:lineRule="auto" w:line="240" w:before="113" w:after="113"/>
        <w:ind w:left="142"/>
        <w:jc w:val="center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945515" cy="593090"/>
            <wp:effectExtent l="0" t="0" r="0" b="0"/>
            <wp:wrapSquare wrapText="largest"/>
            <wp:docPr id="3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593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113" w:after="113"/>
        <w:ind w:hanging="707" w:left="1276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</w:r>
    </w:p>
    <w:p>
      <w:pPr>
        <w:pStyle w:val="Normal"/>
        <w:spacing w:lineRule="auto" w:line="240" w:before="113" w:after="113"/>
        <w:ind w:hanging="707" w:left="127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pacing w:lineRule="auto" w:line="240" w:before="113" w:after="113"/>
        <w:ind w:hanging="0" w:left="0"/>
        <w:rPr>
          <w:sz w:val="24"/>
          <w:szCs w:val="24"/>
          <w:lang w:val="ru-RU"/>
        </w:rPr>
      </w:pPr>
      <w:r>
        <w:rPr>
          <w:bCs/>
          <w:iCs/>
          <w:color w:val="auto"/>
          <w:sz w:val="24"/>
          <w:szCs w:val="24"/>
          <w:lang w:val="ru-RU" w:eastAsia="x-none"/>
        </w:rPr>
        <w:t>Где:</w:t>
      </w:r>
    </w:p>
    <w:p>
      <w:pPr>
        <w:pStyle w:val="Normal"/>
        <w:spacing w:lineRule="auto" w:line="240" w:before="113" w:after="113"/>
        <w:ind w:hanging="0" w:left="0"/>
        <w:rPr>
          <w:sz w:val="24"/>
          <w:szCs w:val="24"/>
          <w:lang w:val="ru-RU"/>
        </w:rPr>
      </w:pPr>
      <w:r>
        <w:rPr>
          <w:bCs/>
          <w:i/>
          <w:iCs/>
          <w:color w:val="auto"/>
          <w:sz w:val="24"/>
          <w:szCs w:val="24"/>
          <w:lang w:val="ru-RU" w:eastAsia="x-none"/>
        </w:rPr>
        <w:t xml:space="preserve">СПКУ </w:t>
      </w:r>
      <w:r>
        <w:rPr>
          <w:rFonts w:eastAsia="Calibri"/>
          <w:bCs/>
          <w:i/>
          <w:iCs/>
          <w:color w:val="auto"/>
          <w:sz w:val="24"/>
          <w:szCs w:val="24"/>
          <w:lang w:val="ru-RU" w:eastAsia="x-none"/>
        </w:rPr>
        <w:t>–</w:t>
      </w:r>
      <w:r>
        <w:rPr>
          <w:bCs/>
          <w:i/>
          <w:iCs/>
          <w:color w:val="auto"/>
          <w:sz w:val="24"/>
          <w:szCs w:val="24"/>
          <w:lang w:val="ru-RU" w:eastAsia="x-none"/>
        </w:rPr>
        <w:t xml:space="preserve"> Сводный показатель качества услуги (СПКУ)</w:t>
      </w:r>
    </w:p>
    <w:p>
      <w:pPr>
        <w:pStyle w:val="Normal"/>
        <w:spacing w:lineRule="auto" w:line="240" w:before="113" w:after="113"/>
        <w:ind w:hanging="0" w:left="0"/>
        <w:rPr>
          <w:sz w:val="24"/>
          <w:szCs w:val="24"/>
          <w:lang w:val="ru-RU"/>
        </w:rPr>
      </w:pPr>
      <w:r>
        <w:rPr>
          <w:bCs/>
          <w:i/>
          <w:iCs/>
          <w:color w:val="auto"/>
          <w:sz w:val="24"/>
          <w:szCs w:val="24"/>
          <w:lang w:val="ru-RU" w:eastAsia="x-none"/>
        </w:rPr>
        <w:t xml:space="preserve">n </w:t>
      </w:r>
      <w:r>
        <w:rPr>
          <w:rFonts w:eastAsia="Calibri"/>
          <w:bCs/>
          <w:i/>
          <w:iCs/>
          <w:color w:val="auto"/>
          <w:sz w:val="24"/>
          <w:szCs w:val="24"/>
          <w:lang w:val="ru-RU" w:eastAsia="x-none"/>
        </w:rPr>
        <w:t>–</w:t>
      </w:r>
      <w:r>
        <w:rPr>
          <w:bCs/>
          <w:i/>
          <w:iCs/>
          <w:color w:val="auto"/>
          <w:sz w:val="24"/>
          <w:szCs w:val="24"/>
          <w:lang w:val="ru-RU" w:eastAsia="x-none"/>
        </w:rPr>
        <w:t xml:space="preserve"> Количество ПКУ, по которым проводится оценка качества Услуги </w:t>
      </w:r>
    </w:p>
    <w:p>
      <w:pPr>
        <w:pStyle w:val="Normal"/>
        <w:spacing w:lineRule="auto" w:line="240" w:before="454" w:after="454"/>
        <w:ind w:firstLine="709" w:left="0"/>
        <w:rPr>
          <w:sz w:val="24"/>
          <w:szCs w:val="24"/>
          <w:lang w:val="ru-RU"/>
        </w:rPr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-33020</wp:posOffset>
            </wp:positionH>
            <wp:positionV relativeFrom="paragraph">
              <wp:posOffset>90170</wp:posOffset>
            </wp:positionV>
            <wp:extent cx="446405" cy="448310"/>
            <wp:effectExtent l="0" t="0" r="0" b="0"/>
            <wp:wrapNone/>
            <wp:docPr id="4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48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/>
          <w:bCs/>
          <w:i/>
          <w:iCs/>
          <w:color w:val="auto"/>
          <w:sz w:val="24"/>
          <w:szCs w:val="24"/>
          <w:lang w:val="ru-RU" w:eastAsia="x-none"/>
        </w:rPr>
        <w:t>–</w:t>
      </w:r>
      <w:r>
        <w:rPr>
          <w:bCs/>
          <w:i/>
          <w:iCs/>
          <w:color w:val="auto"/>
          <w:sz w:val="24"/>
          <w:szCs w:val="24"/>
          <w:lang w:val="ru-RU" w:eastAsia="x-none"/>
        </w:rPr>
        <w:t xml:space="preserve"> </w:t>
      </w:r>
      <w:r>
        <w:rPr>
          <w:bCs/>
          <w:i/>
          <w:iCs/>
          <w:color w:val="auto"/>
          <w:sz w:val="24"/>
          <w:szCs w:val="24"/>
          <w:lang w:val="ru-RU" w:eastAsia="x-none"/>
        </w:rPr>
        <w:t>Сумма баллов, полученных при оценке СПКУ</w:t>
      </w:r>
    </w:p>
    <w:p>
      <w:pPr>
        <w:pStyle w:val="Normal"/>
        <w:spacing w:lineRule="auto" w:line="240" w:before="113" w:after="113"/>
        <w:ind w:hanging="0" w:left="0"/>
        <w:jc w:val="both"/>
        <w:rPr>
          <w:sz w:val="24"/>
          <w:szCs w:val="24"/>
          <w:lang w:val="ru-RU"/>
        </w:rPr>
      </w:pPr>
      <w:r>
        <w:rPr>
          <w:rFonts w:eastAsia="Calibri"/>
          <w:i/>
          <w:color w:val="auto"/>
          <w:sz w:val="24"/>
          <w:szCs w:val="24"/>
          <w:lang w:val="ru-RU" w:eastAsia="x-none"/>
        </w:rPr>
        <w:t>Ki – оценка параметра качества, которое принимается из следующих условий:</w:t>
      </w:r>
    </w:p>
    <w:p>
      <w:pPr>
        <w:pStyle w:val="Normal"/>
        <w:spacing w:lineRule="auto" w:line="240" w:before="113" w:after="113"/>
        <w:ind w:hanging="0" w:left="0"/>
        <w:jc w:val="both"/>
        <w:rPr/>
      </w:pPr>
      <w:r>
        <w:rPr>
          <w:rFonts w:eastAsia="Calibri"/>
          <w:i/>
          <w:color w:val="auto"/>
          <w:sz w:val="24"/>
          <w:szCs w:val="24"/>
          <w:lang w:val="ru-RU" w:eastAsia="x-none"/>
        </w:rPr>
        <w:t>К = 0 соответствует критерию «Нормальное качество»</w:t>
      </w:r>
    </w:p>
    <w:p>
      <w:pPr>
        <w:pStyle w:val="Normal"/>
        <w:spacing w:lineRule="auto" w:line="240" w:before="113" w:after="113"/>
        <w:ind w:hanging="0" w:left="0"/>
        <w:jc w:val="both"/>
        <w:rPr>
          <w:sz w:val="24"/>
          <w:szCs w:val="24"/>
          <w:lang w:val="ru-RU"/>
        </w:rPr>
      </w:pPr>
      <w:r>
        <w:rPr>
          <w:rFonts w:eastAsia="Calibri"/>
          <w:i/>
          <w:color w:val="auto"/>
          <w:sz w:val="24"/>
          <w:szCs w:val="24"/>
          <w:lang w:val="ru-RU" w:eastAsia="x-none"/>
        </w:rPr>
        <w:t>К = 1 соответствует критерию «Низкое качество»</w:t>
      </w:r>
    </w:p>
    <w:p>
      <w:pPr>
        <w:pStyle w:val="Normal"/>
        <w:spacing w:lineRule="auto" w:line="240" w:before="113" w:after="113"/>
        <w:ind w:hanging="0" w:left="0"/>
        <w:jc w:val="both"/>
        <w:rPr>
          <w:sz w:val="24"/>
          <w:szCs w:val="24"/>
          <w:lang w:val="ru-RU"/>
        </w:rPr>
      </w:pPr>
      <w:r>
        <w:rPr>
          <w:rFonts w:eastAsia="Calibri"/>
          <w:i/>
          <w:color w:val="auto"/>
          <w:sz w:val="24"/>
          <w:szCs w:val="24"/>
          <w:lang w:val="ru-RU" w:eastAsia="x-none"/>
        </w:rPr>
        <w:t>К = 4 соответствует критерию «Неудовлетворительное качество»</w:t>
      </w:r>
    </w:p>
    <w:sectPr>
      <w:headerReference w:type="default" r:id="rId21"/>
      <w:headerReference w:type="first" r:id="rId22"/>
      <w:footnotePr>
        <w:numFmt w:val="decimal"/>
        <w:numRestart w:val="eachPage"/>
      </w:footnotePr>
      <w:type w:val="nextPage"/>
      <w:pgSz w:w="11906" w:h="16838"/>
      <w:pgMar w:left="1134" w:right="850" w:gutter="0" w:header="850" w:top="1304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Arial">
    <w:charset w:val="01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В случае, если в организации функции главного бухгалтера выполняет генеральный директор–ставится только его виза.</w:t>
      </w:r>
    </w:p>
    <w:p>
      <w:pPr>
        <w:pStyle w:val="FootnoteText"/>
        <w:widowControl w:val="false"/>
        <w:rPr/>
      </w:pPr>
      <w:r>
        <w:rPr/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61D3F78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61D3F78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21</w:t>
    </w:r>
    <w:r>
      <w:rPr/>
      <w:fldChar w:fldCharType="end"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26</w:t>
    </w:r>
    <w:r>
      <w:rPr/>
      <w:fldChar w:fldCharType="end"/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33</w:t>
    </w:r>
    <w:r>
      <w:rPr/>
      <w:fldChar w:fldCharType="end"/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34</w:t>
    </w:r>
    <w:r>
      <w:rPr/>
      <w:fldChar w:fldCharType="end"/>
    </w:r>
  </w:p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928" w:hanging="360"/>
      </w:pPr>
      <w:rPr>
        <w:sz w:val="24"/>
        <w:szCs w:val="24"/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/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/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/>
    </w:lvl>
  </w:abstractNum>
  <w:abstractNum w:abstractNumId="8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space"/>
      <w:lvlText w:val="◦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suff w:val="space"/>
      <w:lvlText w:val="▪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suff w:val="space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space"/>
      <w:lvlText w:val="◦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suff w:val="space"/>
      <w:lvlText w:val="▪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suff w:val="space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◦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suff w:val="space"/>
      <w:lvlText w:val="▪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false"/>
        <w:bCs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 w:val="false"/>
        <w:bCs w:val="false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 w:val="false"/>
        <w:bCs w:val="false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false"/>
        <w:bCs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 w:val="false"/>
        <w:bCs w:val="false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 w:val="false"/>
        <w:bCs w:val="false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4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cs="Symbol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440" w:hanging="360"/>
      </w:pPr>
      <w:rPr>
        <w:rFonts w:cs="OpenSymbol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>
        <w:rFonts w:cs="OpenSymbo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Symbo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OpenSymbol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OpenSymbo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Symbo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OpenSymbol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OpenSymbol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6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440" w:hanging="360"/>
      </w:pPr>
      <w:rPr>
        <w:b w:val="false"/>
        <w:bCs w:val="fals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7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440" w:hanging="360"/>
      </w:pPr>
      <w:rPr>
        <w:b w:val="false"/>
        <w:bCs w:val="fals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8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440" w:hanging="360"/>
      </w:pPr>
      <w:rPr>
        <w:b w:val="false"/>
        <w:bCs w:val="fals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9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440" w:hanging="360"/>
      </w:pPr>
      <w:rPr>
        <w:b w:val="false"/>
        <w:bCs w:val="fals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0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440" w:hanging="360"/>
      </w:pPr>
      <w:rPr>
        <w:b w:val="false"/>
        <w:bCs w:val="fals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26"/>
    <w:lvlOverride w:ilvl="0">
      <w:startOverride w:val="1"/>
    </w:lvlOverride>
  </w:num>
  <w:num w:numId="33">
    <w:abstractNumId w:val="26"/>
  </w:num>
  <w:num w:numId="34">
    <w:abstractNumId w:val="26"/>
  </w:num>
  <w:num w:numId="35">
    <w:abstractNumId w:val="26"/>
  </w:num>
  <w:num w:numId="36">
    <w:abstractNumId w:val="26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a36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Linenumber">
    <w:name w:val="line number"/>
    <w:qFormat/>
    <w:rPr/>
  </w:style>
  <w:style w:type="character" w:styleId="Style16" w:customStyle="1">
    <w:name w:val="Символ нумерации"/>
    <w:qFormat/>
    <w:rPr>
      <w:b w:val="false"/>
      <w:bCs w:val="fals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040628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7f4280"/>
    <w:pPr>
      <w:tabs>
        <w:tab w:val="clear" w:pos="708"/>
        <w:tab w:val="left" w:pos="1120" w:leader="none"/>
        <w:tab w:val="right" w:pos="9911" w:leader="dot"/>
      </w:tabs>
      <w:ind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1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yle38">
    <w:name w:val="Базовый (отступ)"/>
    <w:basedOn w:val="Normal"/>
    <w:qFormat/>
    <w:pPr>
      <w:spacing w:lineRule="auto" w:line="276" w:before="113" w:after="113"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StyleOutlinenumbered14ptBold4" w:customStyle="1">
    <w:name w:val="Style Outline numbered 14 pt Bold4"/>
    <w:qFormat/>
    <w:rsid w:val="003107a2"/>
  </w:style>
  <w:style w:type="numbering" w:styleId="DSOList11" w:customStyle="1">
    <w:name w:val="DSO_List11"/>
    <w:qFormat/>
    <w:rsid w:val="002f438e"/>
  </w:style>
  <w:style w:type="numbering" w:styleId="23376704341" w:customStyle="1">
    <w:name w:val="23376704341"/>
    <w:qFormat/>
  </w:style>
  <w:style w:type="numbering" w:styleId="24089253481" w:customStyle="1">
    <w:name w:val="24089253481"/>
    <w:qFormat/>
  </w:style>
  <w:style w:type="numbering" w:styleId="9340826441" w:customStyle="1">
    <w:name w:val="9340826441"/>
    <w:qFormat/>
  </w:style>
  <w:style w:type="numbering" w:styleId="14152156651" w:customStyle="1">
    <w:name w:val="14152156651"/>
    <w:qFormat/>
  </w:style>
  <w:style w:type="numbering" w:styleId="37622873871" w:customStyle="1">
    <w:name w:val="37622873871"/>
    <w:qFormat/>
  </w:style>
  <w:style w:type="numbering" w:styleId="19172256531" w:customStyle="1">
    <w:name w:val="19172256531"/>
    <w:qFormat/>
  </w:style>
  <w:style w:type="numbering" w:styleId="20416233651" w:customStyle="1">
    <w:name w:val="20416233651"/>
    <w:qFormat/>
  </w:style>
  <w:style w:type="numbering" w:styleId="ABC" w:customStyle="1">
    <w:name w:val="Нумерованный ABC"/>
    <w:qFormat/>
  </w:style>
  <w:style w:type="numbering" w:styleId="38576359301" w:customStyle="1">
    <w:name w:val="38576359301"/>
    <w:qFormat/>
  </w:style>
  <w:style w:type="numbering" w:styleId="711460201" w:customStyle="1">
    <w:name w:val="711460201"/>
    <w:qFormat/>
  </w:style>
  <w:style w:type="numbering" w:styleId="2055276801">
    <w:name w:val="2055276801"/>
    <w:qFormat/>
  </w:style>
  <w:style w:type="numbering" w:styleId="30327437141">
    <w:name w:val="30327437141"/>
    <w:qFormat/>
  </w:style>
  <w:style w:type="numbering" w:styleId="14471043201">
    <w:name w:val="14471043201"/>
    <w:qFormat/>
  </w:style>
  <w:style w:type="numbering" w:styleId="32188486701">
    <w:name w:val="32188486701"/>
    <w:qFormat/>
  </w:style>
  <w:style w:type="numbering" w:styleId="26553398131">
    <w:name w:val="26553398131"/>
    <w:qFormat/>
  </w:style>
  <w:style w:type="numbering" w:styleId="1286163481">
    <w:name w:val="1286163481"/>
    <w:qFormat/>
  </w:style>
  <w:style w:type="numbering" w:styleId="1068404281">
    <w:name w:val="1068404281"/>
    <w:qFormat/>
  </w:style>
  <w:style w:type="numbering" w:styleId="38481494161">
    <w:name w:val="38481494161"/>
    <w:qFormat/>
  </w:style>
  <w:style w:type="numbering" w:styleId="1434750351">
    <w:name w:val="1434750351"/>
    <w:qFormat/>
  </w:style>
  <w:style w:type="numbering" w:styleId="Num12">
    <w:name w:val="Num12"/>
    <w:qFormat/>
  </w:style>
  <w:style w:type="numbering" w:styleId="Num14">
    <w:name w:val="Num14"/>
    <w:qFormat/>
  </w:style>
  <w:style w:type="numbering" w:styleId="33356379281">
    <w:name w:val="33356379281"/>
    <w:qFormat/>
  </w:style>
  <w:style w:type="numbering" w:styleId="12340584681">
    <w:name w:val="12340584681"/>
    <w:qFormat/>
  </w:style>
  <w:style w:type="numbering" w:styleId="33311543401">
    <w:name w:val="33311543401"/>
    <w:qFormat/>
  </w:style>
  <w:style w:type="numbering" w:styleId="11070034791">
    <w:name w:val="11070034791"/>
    <w:qFormat/>
  </w:style>
  <w:style w:type="numbering" w:styleId="27221564041">
    <w:name w:val="27221564041"/>
    <w:qFormat/>
  </w:style>
  <w:style w:type="numbering" w:styleId="23082538921">
    <w:name w:val="23082538921"/>
    <w:qFormat/>
  </w:style>
  <w:style w:type="numbering" w:styleId="7009264021">
    <w:name w:val="7009264021"/>
    <w:qFormat/>
  </w:style>
  <w:style w:type="numbering" w:styleId="8590333951">
    <w:name w:val="8590333951"/>
    <w:qFormat/>
  </w:style>
  <w:style w:type="numbering" w:styleId="3738360281">
    <w:name w:val="3738360281"/>
    <w:qFormat/>
  </w:style>
  <w:style w:type="numbering" w:styleId="29296080011">
    <w:name w:val="29296080011"/>
    <w:qFormat/>
  </w:style>
  <w:style w:type="numbering" w:styleId="39176476351">
    <w:name w:val="39176476351"/>
    <w:qFormat/>
  </w:style>
  <w:style w:type="numbering" w:styleId="25632424421">
    <w:name w:val="25632424421"/>
    <w:qFormat/>
  </w:style>
  <w:style w:type="numbering" w:styleId="17209038441">
    <w:name w:val="17209038441"/>
    <w:qFormat/>
  </w:style>
  <w:style w:type="numbering" w:styleId="14440011591">
    <w:name w:val="14440011591"/>
    <w:qFormat/>
  </w:style>
  <w:style w:type="numbering" w:styleId="6936012721">
    <w:name w:val="6936012721"/>
    <w:qFormat/>
  </w:style>
  <w:style w:type="numbering" w:styleId="Num25">
    <w:name w:val="Num25"/>
    <w:qFormat/>
  </w:style>
  <w:style w:type="numbering" w:styleId="30892690671">
    <w:name w:val="30892690671"/>
    <w:qFormat/>
  </w:style>
  <w:style w:type="numbering" w:styleId="Num23">
    <w:name w:val="Num23"/>
    <w:qFormat/>
  </w:style>
  <w:style w:type="numbering" w:styleId="Num21">
    <w:name w:val="Num21"/>
    <w:qFormat/>
  </w:style>
  <w:style w:type="numbering" w:styleId="Num22">
    <w:name w:val="Num22"/>
    <w:qFormat/>
  </w:style>
  <w:style w:type="numbering" w:styleId="Num20">
    <w:name w:val="Num20"/>
    <w:qFormat/>
  </w:style>
  <w:style w:type="numbering" w:styleId="Num144">
    <w:name w:val="Num144"/>
    <w:qFormat/>
  </w:style>
  <w:style w:type="numbering" w:styleId="11139906511">
    <w:name w:val="11139906511"/>
    <w:qFormat/>
  </w:style>
  <w:style w:type="numbering" w:styleId="22006508601">
    <w:name w:val="22006508601"/>
    <w:qFormat/>
  </w:style>
  <w:style w:type="numbering" w:styleId="9508541641">
    <w:name w:val="950854164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header" Target="header10.xml"/><Relationship Id="rId12" Type="http://schemas.openxmlformats.org/officeDocument/2006/relationships/header" Target="header11.xml"/><Relationship Id="rId13" Type="http://schemas.openxmlformats.org/officeDocument/2006/relationships/header" Target="header12.xml"/><Relationship Id="rId14" Type="http://schemas.openxmlformats.org/officeDocument/2006/relationships/header" Target="header13.xml"/><Relationship Id="rId15" Type="http://schemas.openxmlformats.org/officeDocument/2006/relationships/header" Target="header14.xml"/><Relationship Id="rId16" Type="http://schemas.openxmlformats.org/officeDocument/2006/relationships/header" Target="header15.xml"/><Relationship Id="rId17" Type="http://schemas.openxmlformats.org/officeDocument/2006/relationships/header" Target="header16.xml"/><Relationship Id="rId18" Type="http://schemas.openxmlformats.org/officeDocument/2006/relationships/header" Target="header17.xml"/><Relationship Id="rId19" Type="http://schemas.openxmlformats.org/officeDocument/2006/relationships/image" Target="media/image1.png"/><Relationship Id="rId20" Type="http://schemas.openxmlformats.org/officeDocument/2006/relationships/image" Target="media/image2.png"/><Relationship Id="rId21" Type="http://schemas.openxmlformats.org/officeDocument/2006/relationships/header" Target="header18.xml"/><Relationship Id="rId22" Type="http://schemas.openxmlformats.org/officeDocument/2006/relationships/header" Target="header19.xml"/><Relationship Id="rId23" Type="http://schemas.openxmlformats.org/officeDocument/2006/relationships/footnotes" Target="footnotes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<Relationship Id="rId2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F9CC4-1E31-4592-956B-B0A608992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5282</TotalTime>
  <Application>AlterOffice/2026.2.0.0$Linux_X86_64 LibreOffice_project/bc4ef1adf80b36c7a6365f8ed6cbf29021361edd</Application>
  <AppVersion>15.0000</AppVersion>
  <Pages>37</Pages>
  <Words>7449</Words>
  <Characters>53196</Characters>
  <CharactersWithSpaces>59953</CharactersWithSpaces>
  <Paragraphs>1099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2026-06-08T01:46:00Z</dcterms:created>
  <dc:creator>Быстров Олег Геннадьевич</dc:creator>
  <dc:description/>
  <dc:language>ru-RU</dc:language>
  <cp:lastModifiedBy>gammii@corp.gidroogk.com</cp:lastModifiedBy>
  <cp:lastPrinted>2006-07-26T14:04:00Z</cp:lastPrinted>
  <dcterms:modified xsi:type="dcterms:W3CDTF">2026-10-14T16:57:10Z</dcterms:modified>
  <cp:revision>96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