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wmf" ContentType="image/x-wmf"/>
  <Override PartName="/word/media/image2.wmf" ContentType="image/x-wmf"/>
  <Override PartName="/word/header4.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header6.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jc w:val="right"/>
        <w:rPr/>
      </w:pPr>
      <w:r>
        <w:rPr>
          <w:rFonts w:eastAsia="Calibri"/>
        </w:rPr>
        <w:t>«УТВЕРЖДАЮ»</w:t>
      </w:r>
    </w:p>
    <w:p>
      <w:pPr>
        <w:pStyle w:val="Normal"/>
        <w:spacing w:lineRule="auto" w:line="360"/>
        <w:jc w:val="right"/>
        <w:rPr/>
      </w:pPr>
      <w:r>
        <w:rPr>
          <w:rFonts w:eastAsia="Calibri"/>
        </w:rPr>
        <w:t xml:space="preserve">Первый заместитель директора – </w:t>
      </w:r>
    </w:p>
    <w:p>
      <w:pPr>
        <w:pStyle w:val="Normal"/>
        <w:spacing w:lineRule="auto" w:line="360"/>
        <w:jc w:val="right"/>
        <w:rPr/>
      </w:pPr>
      <w:r>
        <w:rPr>
          <w:rFonts w:eastAsia="Calibri"/>
        </w:rPr>
        <w:t xml:space="preserve">главный инженер филиала ПАО </w:t>
      </w:r>
    </w:p>
    <w:p>
      <w:pPr>
        <w:pStyle w:val="Normal"/>
        <w:spacing w:lineRule="auto" w:line="360"/>
        <w:jc w:val="right"/>
        <w:rPr/>
      </w:pPr>
      <w:r>
        <w:rPr>
          <w:rFonts w:eastAsia="Calibri"/>
        </w:rPr>
        <w:t xml:space="preserve">«РусГидро» - «Дагестанский филиал»  </w:t>
      </w:r>
    </w:p>
    <w:p>
      <w:pPr>
        <w:pStyle w:val="Normal"/>
        <w:spacing w:lineRule="auto" w:line="360"/>
        <w:jc w:val="right"/>
        <w:rPr/>
      </w:pPr>
      <w:r>
        <w:rPr>
          <w:rFonts w:eastAsia="Calibri"/>
        </w:rPr>
        <w:t xml:space="preserve">________________ М.Ш. Магомедов     </w:t>
      </w:r>
    </w:p>
    <w:p>
      <w:pPr>
        <w:pStyle w:val="Normal"/>
        <w:tabs>
          <w:tab w:val="clear" w:pos="708"/>
          <w:tab w:val="left" w:pos="5955" w:leader="none"/>
          <w:tab w:val="right" w:pos="9356" w:leader="none"/>
        </w:tabs>
        <w:spacing w:lineRule="auto" w:line="360"/>
        <w:ind w:firstLine="567" w:right="322"/>
        <w:jc w:val="right"/>
        <w:rPr/>
      </w:pPr>
      <w:r>
        <w:rPr/>
        <w:t xml:space="preserve">                                                                             </w:t>
      </w:r>
      <w:r>
        <w:rPr>
          <w:rFonts w:eastAsia="Calibri"/>
        </w:rPr>
        <w:t>«______» ____________2026 г</w:t>
      </w:r>
    </w:p>
    <w:p>
      <w:pPr>
        <w:pStyle w:val="Normal"/>
        <w:keepNext w:val="true"/>
        <w:keepLines/>
        <w:jc w:val="right"/>
        <w:rPr>
          <w:bCs/>
          <w:sz w:val="24"/>
          <w:szCs w:val="24"/>
        </w:rPr>
      </w:pPr>
      <w:r>
        <w:rPr>
          <w:bCs/>
          <w:sz w:val="24"/>
          <w:szCs w:val="24"/>
        </w:rPr>
      </w:r>
    </w:p>
    <w:p>
      <w:pPr>
        <w:pStyle w:val="Normal"/>
        <w:keepNext w:val="true"/>
        <w:keepLines/>
        <w:jc w:val="right"/>
        <w:rPr>
          <w:bCs/>
          <w:sz w:val="24"/>
          <w:szCs w:val="24"/>
        </w:rPr>
      </w:pPr>
      <w:r>
        <w:rPr>
          <w:bCs/>
          <w:sz w:val="24"/>
          <w:szCs w:val="24"/>
        </w:rPr>
      </w:r>
    </w:p>
    <w:p>
      <w:pPr>
        <w:pStyle w:val="Normal"/>
        <w:keepNext w:val="true"/>
        <w:keepLines/>
        <w:jc w:val="center"/>
        <w:rPr>
          <w:rFonts w:eastAsia="Calibri"/>
          <w:b/>
          <w:sz w:val="26"/>
          <w:szCs w:val="26"/>
        </w:rPr>
      </w:pPr>
      <w:r>
        <w:rPr>
          <w:rFonts w:eastAsia="Calibri"/>
          <w:b/>
          <w:sz w:val="26"/>
          <w:szCs w:val="26"/>
        </w:rPr>
      </w:r>
      <w:bookmarkStart w:id="0" w:name="_Toc141696704"/>
      <w:bookmarkStart w:id="1" w:name="_Toc139856287"/>
      <w:bookmarkStart w:id="2" w:name="_Toc137554584"/>
      <w:bookmarkStart w:id="3" w:name="_Toc141696704"/>
      <w:bookmarkStart w:id="4" w:name="_Toc139856287"/>
      <w:bookmarkStart w:id="5" w:name="_Toc137554584"/>
      <w:bookmarkEnd w:id="3"/>
      <w:bookmarkEnd w:id="4"/>
      <w:bookmarkEnd w:id="5"/>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bookmarkStart w:id="6" w:name="_Toc141696704_Копия_1"/>
      <w:bookmarkStart w:id="7" w:name="_Toc139856287_Копия_1"/>
      <w:bookmarkStart w:id="8" w:name="_Toc137554584_Копия_1"/>
      <w:bookmarkStart w:id="9" w:name="_Toc141696704_Копия_1"/>
      <w:bookmarkStart w:id="10" w:name="_Toc139856287_Копия_1"/>
      <w:bookmarkStart w:id="11" w:name="_Toc137554584_Копия_1"/>
      <w:bookmarkEnd w:id="9"/>
      <w:bookmarkEnd w:id="10"/>
      <w:bookmarkEnd w:id="11"/>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 xml:space="preserve">Технические требования </w:t>
      </w:r>
    </w:p>
    <w:p>
      <w:pPr>
        <w:pStyle w:val="Normal"/>
        <w:jc w:val="center"/>
        <w:rPr>
          <w:b w:val="false"/>
          <w:bCs w:val="false"/>
        </w:rPr>
      </w:pPr>
      <w:r>
        <w:rPr>
          <w:rFonts w:eastAsia="Calibri"/>
          <w:b w:val="false"/>
          <w:bCs w:val="false"/>
          <w:color w:val="000000"/>
          <w:sz w:val="28"/>
          <w:szCs w:val="28"/>
        </w:rPr>
        <w:t xml:space="preserve">На выполнение работ </w:t>
      </w:r>
      <w:r>
        <w:rPr>
          <w:rFonts w:eastAsia="Calibri"/>
          <w:b w:val="false"/>
          <w:bCs w:val="false"/>
          <w:sz w:val="26"/>
          <w:szCs w:val="26"/>
        </w:rPr>
        <w:t>«Поставка оборудования и разработка рабочей документации для модернизации системы автоматического управления гидроагрегатами №1,2 Чирюртской ГЭС-1</w:t>
      </w:r>
      <w:r>
        <w:rPr>
          <w:b w:val="false"/>
          <w:bCs w:val="false"/>
        </w:rPr>
        <w:t>»</w:t>
      </w:r>
    </w:p>
    <w:p>
      <w:pPr>
        <w:pStyle w:val="Normal"/>
        <w:keepNext w:val="true"/>
        <w:keepLines/>
        <w:jc w:val="center"/>
        <w:rPr>
          <w:rFonts w:eastAsia="Calibri"/>
          <w:b w:val="false"/>
          <w:bCs w:val="false"/>
          <w:i/>
          <w:i/>
          <w:sz w:val="26"/>
          <w:szCs w:val="26"/>
        </w:rPr>
      </w:pPr>
      <w:r>
        <w:rPr>
          <w:rFonts w:eastAsia="Calibri"/>
          <w:b w:val="false"/>
          <w:bCs w:val="false"/>
          <w:i/>
          <w:sz w:val="26"/>
          <w:szCs w:val="26"/>
        </w:rPr>
      </w:r>
    </w:p>
    <w:p>
      <w:pPr>
        <w:pStyle w:val="Normal"/>
        <w:keepNext w:val="true"/>
        <w:keepLines/>
        <w:jc w:val="both"/>
        <w:rPr>
          <w:sz w:val="26"/>
          <w:szCs w:val="26"/>
        </w:rPr>
      </w:pPr>
      <w:r>
        <w:rPr>
          <w:sz w:val="26"/>
          <w:szCs w:val="26"/>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val="false"/>
          <w:bCs w:val="false"/>
        </w:rPr>
      </w:pPr>
      <w:r>
        <w:rPr>
          <w:b w:val="false"/>
          <w:bCs w:val="false"/>
        </w:rPr>
        <w:t>г. Каспийск 2026 г</w:t>
      </w:r>
    </w:p>
    <w:p>
      <w:pPr>
        <w:pStyle w:val="Normal"/>
        <w:jc w:val="center"/>
        <w:rPr>
          <w:b/>
        </w:rPr>
      </w:pPr>
      <w:r>
        <w:rPr>
          <w:b/>
        </w:rPr>
      </w:r>
    </w:p>
    <w:p>
      <w:pPr>
        <w:pStyle w:val="Normal"/>
        <w:jc w:val="center"/>
        <w:rPr>
          <w:b/>
        </w:rPr>
      </w:pPr>
      <w:r>
        <w:rPr>
          <w:b/>
        </w:rPr>
        <w:t>СОДЕРЖАНИЕ</w:t>
      </w:r>
    </w:p>
    <w:sdt>
      <w:sdtPr>
        <w:docPartObj>
          <w:docPartGallery w:val="Table of Contents"/>
          <w:docPartUnique w:val="true"/>
        </w:docPartObj>
      </w:sdtPr>
      <w:sdtContent>
        <w:p>
          <w:pPr>
            <w:pStyle w:val="TOC1"/>
            <w:tabs>
              <w:tab w:val="clear" w:pos="708"/>
              <w:tab w:val="left" w:pos="560" w:leader="none"/>
              <w:tab w:val="right" w:pos="9911" w:leader="dot"/>
            </w:tabs>
            <w:rPr>
              <w:rFonts w:ascii="Calibri" w:hAnsi="Calibri" w:eastAsia="新細明體" w:cs="Arial" w:asciiTheme="minorHAnsi" w:cstheme="minorBidi" w:eastAsiaTheme="minorEastAsia" w:hAnsiTheme="minorHAnsi"/>
              <w:b w:val="false"/>
              <w:bCs w:val="false"/>
              <w:sz w:val="22"/>
              <w:szCs w:val="22"/>
            </w:rPr>
          </w:pPr>
          <w:r>
            <w:fldChar w:fldCharType="begin"/>
          </w:r>
          <w:r>
            <w:rPr>
              <w:webHidden/>
              <w:rStyle w:val="Style15"/>
              <w:vanish w:val="false"/>
            </w:rPr>
            <w:instrText xml:space="preserve"> TOC \z \o "1-4" \u \h</w:instrText>
          </w:r>
          <w:r>
            <w:rPr>
              <w:webHidden/>
              <w:rStyle w:val="Style15"/>
              <w:vanish w:val="false"/>
            </w:rPr>
            <w:fldChar w:fldCharType="separate"/>
          </w:r>
          <w:hyperlink w:anchor="_Toc75446566">
            <w:r>
              <w:rPr>
                <w:webHidden/>
                <w:rStyle w:val="Style15"/>
                <w:vanish w:val="false"/>
              </w:rPr>
              <w:t>1.</w:t>
            </w:r>
            <w:r>
              <w:rPr>
                <w:rStyle w:val="Style15"/>
                <w:rFonts w:eastAsia="新細明體" w:cs="Arial" w:ascii="Calibri" w:hAnsi="Calibri" w:asciiTheme="minorHAnsi" w:cstheme="minorBidi" w:eastAsiaTheme="minorEastAsia" w:hAnsiTheme="minorHAnsi"/>
                <w:b w:val="false"/>
                <w:bCs w:val="false"/>
                <w:sz w:val="22"/>
                <w:szCs w:val="22"/>
              </w:rPr>
              <w:tab/>
            </w:r>
            <w:r>
              <w:rPr>
                <w:rStyle w:val="Style15"/>
              </w:rPr>
              <w:t>Общие сведения</w:t>
            </w:r>
            <w:r>
              <w:rPr>
                <w:webHidden/>
              </w:rPr>
              <w:fldChar w:fldCharType="begin"/>
            </w:r>
            <w:r>
              <w:rPr>
                <w:webHidden/>
              </w:rPr>
              <w:instrText xml:space="preserve">PAGEREF _Toc75446566 \h</w:instrText>
            </w:r>
            <w:r>
              <w:rPr>
                <w:webHidden/>
              </w:rPr>
              <w:fldChar w:fldCharType="separate"/>
            </w:r>
            <w:r>
              <w:rPr>
                <w:rStyle w:val="Style15"/>
                <w:vanish w:val="false"/>
              </w:rPr>
              <w:tab/>
              <w:t>3</w:t>
            </w:r>
            <w:r>
              <w:rPr>
                <w:webHidden/>
              </w:rPr>
              <w:fldChar w:fldCharType="end"/>
            </w:r>
          </w:hyperlink>
        </w:p>
        <w:p>
          <w:pPr>
            <w:pStyle w:val="TOC4"/>
            <w:tabs>
              <w:tab w:val="clear" w:pos="708"/>
              <w:tab w:val="left" w:pos="1120" w:leader="none"/>
              <w:tab w:val="right" w:pos="9911" w:leader="dot"/>
            </w:tabs>
            <w:rPr>
              <w:rFonts w:ascii="Calibri" w:hAnsi="Calibri" w:eastAsia="新細明體" w:cs="Arial" w:asciiTheme="minorHAnsi" w:cstheme="minorBidi" w:eastAsiaTheme="minorEastAsia" w:hAnsiTheme="minorHAnsi"/>
              <w:sz w:val="22"/>
              <w:szCs w:val="22"/>
            </w:rPr>
          </w:pPr>
          <w:hyperlink w:anchor="_Toc75446567">
            <w:r>
              <w:rPr>
                <w:webHidden/>
                <w:rStyle w:val="Style15"/>
                <w:iCs/>
                <w:vanish w:val="false"/>
              </w:rPr>
              <w:t>1.1.</w:t>
            </w:r>
            <w:r>
              <w:rPr>
                <w:rStyle w:val="Style15"/>
                <w:rFonts w:eastAsia="新細明體" w:cs="Arial" w:ascii="Calibri" w:hAnsi="Calibri" w:asciiTheme="minorHAnsi" w:cstheme="minorBidi" w:eastAsiaTheme="minorEastAsia" w:hAnsiTheme="minorHAnsi"/>
                <w:sz w:val="22"/>
                <w:szCs w:val="22"/>
              </w:rPr>
              <w:tab/>
            </w:r>
            <w:r>
              <w:rPr>
                <w:rStyle w:val="Style15"/>
              </w:rPr>
              <w:t>Обозначения и сокращения</w:t>
            </w:r>
            <w:r>
              <w:rPr>
                <w:webHidden/>
              </w:rPr>
              <w:fldChar w:fldCharType="begin"/>
            </w:r>
            <w:r>
              <w:rPr>
                <w:webHidden/>
              </w:rPr>
              <w:instrText xml:space="preserve">PAGEREF _Toc75446567 \h</w:instrText>
            </w:r>
            <w:r>
              <w:rPr>
                <w:webHidden/>
              </w:rPr>
              <w:fldChar w:fldCharType="separate"/>
            </w:r>
            <w:r>
              <w:rPr>
                <w:rStyle w:val="Style15"/>
                <w:vanish w:val="false"/>
              </w:rPr>
              <w:tab/>
              <w:t>3</w:t>
            </w:r>
            <w:r>
              <w:rPr>
                <w:webHidden/>
              </w:rPr>
              <w:fldChar w:fldCharType="end"/>
            </w:r>
          </w:hyperlink>
        </w:p>
        <w:p>
          <w:pPr>
            <w:pStyle w:val="TOC4"/>
            <w:tabs>
              <w:tab w:val="clear" w:pos="708"/>
              <w:tab w:val="left" w:pos="1120" w:leader="none"/>
              <w:tab w:val="right" w:pos="9911" w:leader="dot"/>
            </w:tabs>
            <w:rPr>
              <w:rFonts w:ascii="Calibri" w:hAnsi="Calibri" w:eastAsia="新細明體" w:cs="Arial" w:asciiTheme="minorHAnsi" w:cstheme="minorBidi" w:eastAsiaTheme="minorEastAsia" w:hAnsiTheme="minorHAnsi"/>
              <w:sz w:val="22"/>
              <w:szCs w:val="22"/>
            </w:rPr>
          </w:pPr>
          <w:hyperlink w:anchor="_Toc75446568">
            <w:r>
              <w:rPr>
                <w:webHidden/>
                <w:rStyle w:val="Style15"/>
                <w:iCs/>
                <w:vanish w:val="false"/>
              </w:rPr>
              <w:t>1.2.</w:t>
            </w:r>
            <w:r>
              <w:rPr>
                <w:rStyle w:val="Style15"/>
                <w:rFonts w:eastAsia="新細明體" w:cs="Arial" w:ascii="Calibri" w:hAnsi="Calibri" w:asciiTheme="minorHAnsi" w:cstheme="minorBidi" w:eastAsiaTheme="minorEastAsia" w:hAnsiTheme="minorHAnsi"/>
                <w:sz w:val="22"/>
                <w:szCs w:val="22"/>
              </w:rPr>
              <w:tab/>
            </w:r>
            <w:r>
              <w:rPr>
                <w:rStyle w:val="Style15"/>
              </w:rPr>
              <w:t>Наименование закупаемой продукции</w:t>
            </w:r>
            <w:r>
              <w:rPr>
                <w:webHidden/>
              </w:rPr>
              <w:fldChar w:fldCharType="begin"/>
            </w:r>
            <w:r>
              <w:rPr>
                <w:webHidden/>
              </w:rPr>
              <w:instrText xml:space="preserve">PAGEREF _Toc75446568 \h</w:instrText>
            </w:r>
            <w:r>
              <w:rPr>
                <w:webHidden/>
              </w:rPr>
              <w:fldChar w:fldCharType="separate"/>
            </w:r>
            <w:r>
              <w:rPr>
                <w:rStyle w:val="Style15"/>
                <w:vanish w:val="false"/>
              </w:rPr>
              <w:tab/>
              <w:t>5</w:t>
            </w:r>
            <w:r>
              <w:rPr>
                <w:webHidden/>
              </w:rPr>
              <w:fldChar w:fldCharType="end"/>
            </w:r>
          </w:hyperlink>
        </w:p>
        <w:p>
          <w:pPr>
            <w:pStyle w:val="TOC4"/>
            <w:tabs>
              <w:tab w:val="clear" w:pos="708"/>
              <w:tab w:val="left" w:pos="1120" w:leader="none"/>
              <w:tab w:val="right" w:pos="9911" w:leader="dot"/>
            </w:tabs>
            <w:rPr>
              <w:rFonts w:ascii="Calibri" w:hAnsi="Calibri" w:eastAsia="新細明體" w:cs="Arial" w:asciiTheme="minorHAnsi" w:cstheme="minorBidi" w:eastAsiaTheme="minorEastAsia" w:hAnsiTheme="minorHAnsi"/>
              <w:sz w:val="22"/>
              <w:szCs w:val="22"/>
            </w:rPr>
          </w:pPr>
          <w:hyperlink w:anchor="_Toc75446569">
            <w:r>
              <w:rPr>
                <w:webHidden/>
                <w:rStyle w:val="Style15"/>
                <w:iCs/>
                <w:vanish w:val="false"/>
              </w:rPr>
              <w:t>1.3.</w:t>
            </w:r>
            <w:r>
              <w:rPr>
                <w:rStyle w:val="Style15"/>
                <w:rFonts w:eastAsia="新細明體" w:cs="Arial" w:ascii="Calibri" w:hAnsi="Calibri" w:asciiTheme="minorHAnsi" w:cstheme="minorBidi" w:eastAsiaTheme="minorEastAsia" w:hAnsiTheme="minorHAnsi"/>
                <w:sz w:val="22"/>
                <w:szCs w:val="22"/>
              </w:rPr>
              <w:tab/>
            </w:r>
            <w:r>
              <w:rPr>
                <w:rStyle w:val="Style15"/>
              </w:rPr>
              <w:t>Цель использования закупаемой продукции</w:t>
            </w:r>
            <w:r>
              <w:rPr>
                <w:webHidden/>
              </w:rPr>
              <w:fldChar w:fldCharType="begin"/>
            </w:r>
            <w:r>
              <w:rPr>
                <w:webHidden/>
              </w:rPr>
              <w:instrText xml:space="preserve">PAGEREF _Toc75446569 \h</w:instrText>
            </w:r>
            <w:r>
              <w:rPr>
                <w:webHidden/>
              </w:rPr>
              <w:fldChar w:fldCharType="separate"/>
            </w:r>
            <w:r>
              <w:rPr>
                <w:rStyle w:val="Style15"/>
                <w:vanish w:val="false"/>
              </w:rPr>
              <w:tab/>
              <w:t>5</w:t>
            </w:r>
            <w:r>
              <w:rPr>
                <w:webHidden/>
              </w:rPr>
              <w:fldChar w:fldCharType="end"/>
            </w:r>
          </w:hyperlink>
        </w:p>
        <w:p>
          <w:pPr>
            <w:pStyle w:val="TOC4"/>
            <w:tabs>
              <w:tab w:val="clear" w:pos="708"/>
              <w:tab w:val="left" w:pos="1120" w:leader="none"/>
              <w:tab w:val="right" w:pos="9911" w:leader="dot"/>
            </w:tabs>
            <w:rPr>
              <w:rFonts w:ascii="Calibri" w:hAnsi="Calibri" w:eastAsia="新細明體" w:cs="Arial" w:asciiTheme="minorHAnsi" w:cstheme="minorBidi" w:eastAsiaTheme="minorEastAsia" w:hAnsiTheme="minorHAnsi"/>
              <w:sz w:val="22"/>
              <w:szCs w:val="22"/>
            </w:rPr>
          </w:pPr>
          <w:hyperlink w:anchor="_Toc75446570">
            <w:r>
              <w:rPr>
                <w:webHidden/>
                <w:rStyle w:val="Style15"/>
                <w:iCs/>
                <w:vanish w:val="false"/>
              </w:rPr>
              <w:t>1.4.</w:t>
            </w:r>
            <w:r>
              <w:rPr>
                <w:rStyle w:val="Style15"/>
                <w:rFonts w:eastAsia="新細明體" w:cs="Arial" w:ascii="Calibri" w:hAnsi="Calibri" w:asciiTheme="minorHAnsi" w:cstheme="minorBidi" w:eastAsiaTheme="minorEastAsia" w:hAnsiTheme="minorHAnsi"/>
                <w:sz w:val="22"/>
                <w:szCs w:val="22"/>
              </w:rPr>
              <w:tab/>
            </w:r>
            <w:r>
              <w:rPr>
                <w:rStyle w:val="Style15"/>
              </w:rPr>
              <w:t>Существующее положение</w:t>
            </w:r>
            <w:r>
              <w:rPr>
                <w:webHidden/>
              </w:rPr>
              <w:fldChar w:fldCharType="begin"/>
            </w:r>
            <w:r>
              <w:rPr>
                <w:webHidden/>
              </w:rPr>
              <w:instrText xml:space="preserve">PAGEREF _Toc75446570 \h</w:instrText>
            </w:r>
            <w:r>
              <w:rPr>
                <w:webHidden/>
              </w:rPr>
              <w:fldChar w:fldCharType="separate"/>
            </w:r>
            <w:r>
              <w:rPr>
                <w:rStyle w:val="Style15"/>
                <w:vanish w:val="false"/>
              </w:rPr>
              <w:tab/>
              <w:t>5</w:t>
            </w:r>
            <w:r>
              <w:rPr>
                <w:webHidden/>
              </w:rPr>
              <w:fldChar w:fldCharType="end"/>
            </w:r>
          </w:hyperlink>
        </w:p>
        <w:p>
          <w:pPr>
            <w:pStyle w:val="TOC4"/>
            <w:tabs>
              <w:tab w:val="clear" w:pos="708"/>
              <w:tab w:val="left" w:pos="1120" w:leader="none"/>
              <w:tab w:val="right" w:pos="9911" w:leader="dot"/>
            </w:tabs>
            <w:rPr>
              <w:rFonts w:ascii="Calibri" w:hAnsi="Calibri" w:eastAsia="新細明體" w:cs="Arial" w:asciiTheme="minorHAnsi" w:cstheme="minorBidi" w:eastAsiaTheme="minorEastAsia" w:hAnsiTheme="minorHAnsi"/>
              <w:sz w:val="22"/>
              <w:szCs w:val="22"/>
            </w:rPr>
          </w:pPr>
          <w:hyperlink w:anchor="_Toc75446571">
            <w:r>
              <w:rPr>
                <w:webHidden/>
                <w:rStyle w:val="Style15"/>
                <w:iCs/>
                <w:vanish w:val="false"/>
              </w:rPr>
              <w:t>1.5.</w:t>
            </w:r>
            <w:r>
              <w:rPr>
                <w:rStyle w:val="Style15"/>
                <w:rFonts w:eastAsia="新細明體" w:cs="Arial" w:ascii="Calibri" w:hAnsi="Calibri" w:asciiTheme="minorHAnsi" w:cstheme="minorBidi" w:eastAsiaTheme="minorEastAsia" w:hAnsiTheme="minorHAnsi"/>
                <w:sz w:val="22"/>
                <w:szCs w:val="22"/>
              </w:rPr>
              <w:tab/>
            </w:r>
            <w:r>
              <w:rPr>
                <w:rStyle w:val="Style15"/>
              </w:rPr>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r>
              <w:rPr>
                <w:webHidden/>
              </w:rPr>
              <w:fldChar w:fldCharType="begin"/>
            </w:r>
            <w:r>
              <w:rPr>
                <w:webHidden/>
              </w:rPr>
              <w:instrText xml:space="preserve">PAGEREF _Toc75446571 \h</w:instrText>
            </w:r>
            <w:r>
              <w:rPr>
                <w:webHidden/>
              </w:rPr>
              <w:fldChar w:fldCharType="separate"/>
            </w:r>
            <w:r>
              <w:rPr>
                <w:rStyle w:val="Style15"/>
                <w:vanish w:val="false"/>
              </w:rPr>
              <w:tab/>
              <w:t>6</w:t>
            </w:r>
            <w:r>
              <w:rPr>
                <w:webHidden/>
              </w:rPr>
              <w:fldChar w:fldCharType="end"/>
            </w:r>
          </w:hyperlink>
        </w:p>
        <w:p>
          <w:pPr>
            <w:pStyle w:val="TOC4"/>
            <w:tabs>
              <w:tab w:val="clear" w:pos="708"/>
              <w:tab w:val="left" w:pos="1120" w:leader="none"/>
              <w:tab w:val="right" w:pos="9911" w:leader="dot"/>
            </w:tabs>
            <w:rPr>
              <w:rFonts w:ascii="Calibri" w:hAnsi="Calibri" w:eastAsia="新細明體" w:cs="Arial" w:asciiTheme="minorHAnsi" w:cstheme="minorBidi" w:eastAsiaTheme="minorEastAsia" w:hAnsiTheme="minorHAnsi"/>
              <w:sz w:val="22"/>
              <w:szCs w:val="22"/>
            </w:rPr>
          </w:pPr>
          <w:hyperlink w:anchor="_Toc75446572">
            <w:r>
              <w:rPr>
                <w:webHidden/>
                <w:rStyle w:val="Style15"/>
                <w:iCs/>
                <w:vanish w:val="false"/>
              </w:rPr>
              <w:t>1.6.</w:t>
            </w:r>
            <w:r>
              <w:rPr>
                <w:rStyle w:val="Style15"/>
                <w:rFonts w:eastAsia="新細明體" w:cs="Arial" w:ascii="Calibri" w:hAnsi="Calibri" w:asciiTheme="minorHAnsi" w:cstheme="minorBidi" w:eastAsiaTheme="minorEastAsia" w:hAnsiTheme="minorHAnsi"/>
                <w:sz w:val="22"/>
                <w:szCs w:val="22"/>
              </w:rPr>
              <w:tab/>
            </w:r>
            <w:r>
              <w:rPr>
                <w:rStyle w:val="Style15"/>
              </w:rPr>
              <w:t>Иные требования и сведения общего характера</w:t>
            </w:r>
            <w:r>
              <w:rPr>
                <w:webHidden/>
              </w:rPr>
              <w:fldChar w:fldCharType="begin"/>
            </w:r>
            <w:r>
              <w:rPr>
                <w:webHidden/>
              </w:rPr>
              <w:instrText xml:space="preserve">PAGEREF _Toc75446572 \h</w:instrText>
            </w:r>
            <w:r>
              <w:rPr>
                <w:webHidden/>
              </w:rPr>
              <w:fldChar w:fldCharType="separate"/>
            </w:r>
            <w:r>
              <w:rPr>
                <w:rStyle w:val="Style15"/>
                <w:vanish w:val="false"/>
              </w:rPr>
              <w:tab/>
              <w:t>6</w:t>
            </w:r>
            <w:r>
              <w:rPr>
                <w:webHidden/>
              </w:rPr>
              <w:fldChar w:fldCharType="end"/>
            </w:r>
          </w:hyperlink>
        </w:p>
        <w:p>
          <w:pPr>
            <w:pStyle w:val="TOC1"/>
            <w:tabs>
              <w:tab w:val="clear" w:pos="708"/>
              <w:tab w:val="left" w:pos="560" w:leader="none"/>
              <w:tab w:val="right" w:pos="9911" w:leader="dot"/>
            </w:tabs>
            <w:rPr>
              <w:rFonts w:ascii="Calibri" w:hAnsi="Calibri" w:eastAsia="新細明體" w:cs="Arial" w:asciiTheme="minorHAnsi" w:cstheme="minorBidi" w:eastAsiaTheme="minorEastAsia" w:hAnsiTheme="minorHAnsi"/>
              <w:b w:val="false"/>
              <w:bCs w:val="false"/>
              <w:sz w:val="22"/>
              <w:szCs w:val="22"/>
            </w:rPr>
          </w:pPr>
          <w:hyperlink w:anchor="_Toc75446573">
            <w:r>
              <w:rPr>
                <w:webHidden/>
                <w:rStyle w:val="Style15"/>
                <w:vanish w:val="false"/>
              </w:rPr>
              <w:t>2.</w:t>
            </w:r>
            <w:r>
              <w:rPr>
                <w:rStyle w:val="Style15"/>
                <w:rFonts w:eastAsia="新細明體" w:cs="Arial" w:ascii="Calibri" w:hAnsi="Calibri" w:asciiTheme="minorHAnsi" w:cstheme="minorBidi" w:eastAsiaTheme="minorEastAsia" w:hAnsiTheme="minorHAnsi"/>
                <w:b w:val="false"/>
                <w:bCs w:val="false"/>
                <w:sz w:val="22"/>
                <w:szCs w:val="22"/>
              </w:rPr>
              <w:tab/>
            </w:r>
            <w:r>
              <w:rPr>
                <w:rStyle w:val="Style15"/>
                <w:iCs/>
              </w:rPr>
              <w:t>Требования к продукции</w:t>
            </w:r>
            <w:r>
              <w:rPr>
                <w:webHidden/>
              </w:rPr>
              <w:fldChar w:fldCharType="begin"/>
            </w:r>
            <w:r>
              <w:rPr>
                <w:webHidden/>
              </w:rPr>
              <w:instrText xml:space="preserve">PAGEREF _Toc75446573 \h</w:instrText>
            </w:r>
            <w:r>
              <w:rPr>
                <w:webHidden/>
              </w:rPr>
              <w:fldChar w:fldCharType="separate"/>
            </w:r>
            <w:r>
              <w:rPr>
                <w:rStyle w:val="Style15"/>
                <w:vanish w:val="false"/>
              </w:rPr>
              <w:tab/>
              <w:t>6</w:t>
            </w:r>
            <w:r>
              <w:rPr>
                <w:webHidden/>
              </w:rPr>
              <w:fldChar w:fldCharType="end"/>
            </w:r>
          </w:hyperlink>
        </w:p>
        <w:p>
          <w:pPr>
            <w:pStyle w:val="TOC4"/>
            <w:tabs>
              <w:tab w:val="clear" w:pos="708"/>
              <w:tab w:val="left" w:pos="1120" w:leader="none"/>
              <w:tab w:val="right" w:pos="9911" w:leader="dot"/>
            </w:tabs>
            <w:rPr>
              <w:rFonts w:ascii="Calibri" w:hAnsi="Calibri" w:eastAsia="新細明體" w:cs="Arial" w:asciiTheme="minorHAnsi" w:cstheme="minorBidi" w:eastAsiaTheme="minorEastAsia" w:hAnsiTheme="minorHAnsi"/>
              <w:sz w:val="22"/>
              <w:szCs w:val="22"/>
            </w:rPr>
          </w:pPr>
          <w:hyperlink w:anchor="_Toc75446574">
            <w:r>
              <w:rPr>
                <w:webHidden/>
                <w:rStyle w:val="Style15"/>
                <w:iCs/>
                <w:vanish w:val="false"/>
              </w:rPr>
              <w:t>2.1.</w:t>
            </w:r>
            <w:r>
              <w:rPr>
                <w:rStyle w:val="Style15"/>
                <w:rFonts w:eastAsia="新細明體" w:cs="Arial" w:ascii="Calibri" w:hAnsi="Calibri" w:asciiTheme="minorHAnsi" w:cstheme="minorBidi" w:eastAsiaTheme="minorEastAsia" w:hAnsiTheme="minorHAnsi"/>
                <w:sz w:val="22"/>
                <w:szCs w:val="22"/>
              </w:rPr>
              <w:tab/>
            </w:r>
            <w:r>
              <w:rPr>
                <w:rStyle w:val="Style15"/>
              </w:rPr>
              <w:t>Требования к объемам и срокам поставки</w:t>
            </w:r>
            <w:r>
              <w:rPr>
                <w:webHidden/>
              </w:rPr>
              <w:fldChar w:fldCharType="begin"/>
            </w:r>
            <w:r>
              <w:rPr>
                <w:webHidden/>
              </w:rPr>
              <w:instrText xml:space="preserve">PAGEREF _Toc75446574 \h</w:instrText>
            </w:r>
            <w:r>
              <w:rPr>
                <w:webHidden/>
              </w:rPr>
              <w:fldChar w:fldCharType="separate"/>
            </w:r>
            <w:r>
              <w:rPr>
                <w:rStyle w:val="Style15"/>
                <w:vanish w:val="false"/>
              </w:rPr>
              <w:tab/>
              <w:t>6</w:t>
            </w:r>
            <w:r>
              <w:rPr>
                <w:webHidden/>
              </w:rPr>
              <w:fldChar w:fldCharType="end"/>
            </w:r>
          </w:hyperlink>
        </w:p>
        <w:p>
          <w:pPr>
            <w:pStyle w:val="TOC3"/>
            <w:tabs>
              <w:tab w:val="clear" w:pos="708"/>
              <w:tab w:val="left" w:pos="1120" w:leader="none"/>
              <w:tab w:val="right" w:pos="9911" w:leader="dot"/>
            </w:tabs>
            <w:rPr>
              <w:rFonts w:ascii="Calibri" w:hAnsi="Calibri" w:eastAsia="新細明體" w:cs="Arial" w:asciiTheme="minorHAnsi" w:cstheme="minorBidi" w:eastAsiaTheme="minorEastAsia" w:hAnsiTheme="minorHAnsi"/>
              <w:sz w:val="22"/>
              <w:szCs w:val="22"/>
            </w:rPr>
          </w:pPr>
          <w:hyperlink w:anchor="_Toc75446575">
            <w:r>
              <w:rPr>
                <w:webHidden/>
                <w:rStyle w:val="Style15"/>
                <w:vanish w:val="false"/>
              </w:rPr>
              <w:t>2.1.1.</w:t>
            </w:r>
            <w:r>
              <w:rPr>
                <w:rStyle w:val="Style15"/>
                <w:rFonts w:eastAsia="新細明體" w:cs="Arial" w:ascii="Calibri" w:hAnsi="Calibri" w:asciiTheme="minorHAnsi" w:cstheme="minorBidi" w:eastAsiaTheme="minorEastAsia" w:hAnsiTheme="minorHAnsi"/>
                <w:sz w:val="22"/>
                <w:szCs w:val="22"/>
              </w:rPr>
              <w:tab/>
            </w:r>
            <w:r>
              <w:rPr>
                <w:rStyle w:val="Style15"/>
              </w:rPr>
              <w:t>Перечень и объем закупаемой продукции</w:t>
            </w:r>
            <w:r>
              <w:rPr>
                <w:webHidden/>
              </w:rPr>
              <w:fldChar w:fldCharType="begin"/>
            </w:r>
            <w:r>
              <w:rPr>
                <w:webHidden/>
              </w:rPr>
              <w:instrText xml:space="preserve">PAGEREF _Toc75446575 \h</w:instrText>
            </w:r>
            <w:r>
              <w:rPr>
                <w:webHidden/>
              </w:rPr>
              <w:fldChar w:fldCharType="separate"/>
            </w:r>
            <w:r>
              <w:rPr>
                <w:rStyle w:val="Style15"/>
                <w:vanish w:val="false"/>
              </w:rPr>
              <w:tab/>
              <w:t>6</w:t>
            </w:r>
            <w:r>
              <w:rPr>
                <w:webHidden/>
              </w:rPr>
              <w:fldChar w:fldCharType="end"/>
            </w:r>
          </w:hyperlink>
        </w:p>
        <w:p>
          <w:pPr>
            <w:pStyle w:val="TOC1"/>
            <w:tabs>
              <w:tab w:val="clear" w:pos="708"/>
              <w:tab w:val="right" w:pos="9911" w:leader="dot"/>
            </w:tabs>
            <w:rPr>
              <w:rFonts w:ascii="Calibri" w:hAnsi="Calibri" w:eastAsia="新細明體" w:cs="Arial" w:asciiTheme="minorHAnsi" w:cstheme="minorBidi" w:eastAsiaTheme="minorEastAsia" w:hAnsiTheme="minorHAnsi"/>
              <w:b w:val="false"/>
              <w:bCs w:val="false"/>
              <w:sz w:val="22"/>
              <w:szCs w:val="22"/>
            </w:rPr>
          </w:pPr>
          <w:hyperlink w:anchor="_Toc75446576">
            <w:r>
              <w:rPr>
                <w:webHidden/>
              </w:rPr>
              <w:fldChar w:fldCharType="begin"/>
            </w:r>
            <w:r>
              <w:rPr>
                <w:webHidden/>
              </w:rPr>
              <w:instrText xml:space="preserve">PAGEREF _Toc75446576 \h</w:instrText>
            </w:r>
            <w:r>
              <w:rPr>
                <w:webHidden/>
              </w:rPr>
              <w:fldChar w:fldCharType="separate"/>
            </w:r>
            <w:r>
              <w:rPr>
                <w:webHidden/>
                <w:rStyle w:val="Style15"/>
                <w:vanish w:val="false"/>
              </w:rPr>
              <w:t>Таблица 1.1 Перечень и объем закупаемой продукции</w:t>
              <w:tab/>
              <w:t>6</w:t>
            </w:r>
            <w:r>
              <w:rPr>
                <w:webHidden/>
              </w:rPr>
              <w:fldChar w:fldCharType="end"/>
            </w:r>
          </w:hyperlink>
        </w:p>
        <w:p>
          <w:pPr>
            <w:pStyle w:val="TOC1"/>
            <w:tabs>
              <w:tab w:val="clear" w:pos="708"/>
              <w:tab w:val="right" w:pos="9911" w:leader="dot"/>
            </w:tabs>
            <w:rPr>
              <w:rFonts w:ascii="Calibri" w:hAnsi="Calibri" w:eastAsia="新細明體" w:cs="Arial" w:asciiTheme="minorHAnsi" w:cstheme="minorBidi" w:eastAsiaTheme="minorEastAsia" w:hAnsiTheme="minorHAnsi"/>
              <w:b w:val="false"/>
              <w:bCs w:val="false"/>
              <w:sz w:val="22"/>
              <w:szCs w:val="22"/>
            </w:rPr>
          </w:pPr>
          <w:hyperlink w:anchor="_Toc75446577">
            <w:r>
              <w:rPr>
                <w:webHidden/>
              </w:rPr>
              <w:fldChar w:fldCharType="begin"/>
            </w:r>
            <w:r>
              <w:rPr>
                <w:webHidden/>
              </w:rPr>
              <w:instrText xml:space="preserve">PAGEREF _Toc75446577 \h</w:instrText>
            </w:r>
            <w:r>
              <w:rPr>
                <w:webHidden/>
              </w:rPr>
              <w:fldChar w:fldCharType="separate"/>
            </w:r>
            <w:r>
              <w:rPr>
                <w:webHidden/>
                <w:rStyle w:val="Style15"/>
                <w:vanish w:val="false"/>
              </w:rPr>
              <w:t>Таблица 1.2 Перечень и объем закупаемых сопутствующих услуг</w:t>
              <w:tab/>
              <w:t>7</w:t>
            </w:r>
            <w:r>
              <w:rPr>
                <w:webHidden/>
              </w:rPr>
              <w:fldChar w:fldCharType="end"/>
            </w:r>
          </w:hyperlink>
        </w:p>
        <w:p>
          <w:pPr>
            <w:pStyle w:val="TOC3"/>
            <w:tabs>
              <w:tab w:val="clear" w:pos="708"/>
              <w:tab w:val="left" w:pos="1120" w:leader="none"/>
              <w:tab w:val="right" w:pos="9911" w:leader="dot"/>
            </w:tabs>
            <w:rPr>
              <w:rFonts w:ascii="Calibri" w:hAnsi="Calibri" w:eastAsia="新細明體" w:cs="Arial" w:asciiTheme="minorHAnsi" w:cstheme="minorBidi" w:eastAsiaTheme="minorEastAsia" w:hAnsiTheme="minorHAnsi"/>
              <w:sz w:val="22"/>
              <w:szCs w:val="22"/>
            </w:rPr>
          </w:pPr>
          <w:hyperlink w:anchor="_Toc75446578">
            <w:r>
              <w:rPr>
                <w:webHidden/>
                <w:rStyle w:val="Style15"/>
                <w:vanish w:val="false"/>
              </w:rPr>
              <w:t>2.1.2.</w:t>
            </w:r>
            <w:r>
              <w:rPr>
                <w:rStyle w:val="Style15"/>
                <w:rFonts w:eastAsia="新細明體" w:cs="Arial" w:ascii="Calibri" w:hAnsi="Calibri" w:asciiTheme="minorHAnsi" w:cstheme="minorBidi" w:eastAsiaTheme="minorEastAsia" w:hAnsiTheme="minorHAnsi"/>
                <w:sz w:val="22"/>
                <w:szCs w:val="22"/>
              </w:rPr>
              <w:tab/>
            </w:r>
            <w:r>
              <w:rPr>
                <w:rStyle w:val="Style15"/>
              </w:rPr>
              <w:t>Требования к срокам поставки продукции и оказания сопутствующих услуг</w:t>
            </w:r>
            <w:r>
              <w:rPr>
                <w:webHidden/>
              </w:rPr>
              <w:fldChar w:fldCharType="begin"/>
            </w:r>
            <w:r>
              <w:rPr>
                <w:webHidden/>
              </w:rPr>
              <w:instrText xml:space="preserve">PAGEREF _Toc75446578 \h</w:instrText>
            </w:r>
            <w:r>
              <w:rPr>
                <w:webHidden/>
              </w:rPr>
              <w:fldChar w:fldCharType="separate"/>
            </w:r>
            <w:r>
              <w:rPr>
                <w:rStyle w:val="Style15"/>
                <w:vanish w:val="false"/>
              </w:rPr>
              <w:tab/>
              <w:t>8</w:t>
            </w:r>
            <w:r>
              <w:rPr>
                <w:webHidden/>
              </w:rPr>
              <w:fldChar w:fldCharType="end"/>
            </w:r>
          </w:hyperlink>
        </w:p>
        <w:p>
          <w:pPr>
            <w:pStyle w:val="TOC1"/>
            <w:tabs>
              <w:tab w:val="clear" w:pos="708"/>
              <w:tab w:val="right" w:pos="9911" w:leader="dot"/>
            </w:tabs>
            <w:rPr>
              <w:rFonts w:ascii="Calibri" w:hAnsi="Calibri" w:eastAsia="新細明體" w:cs="Arial" w:asciiTheme="minorHAnsi" w:cstheme="minorBidi" w:eastAsiaTheme="minorEastAsia" w:hAnsiTheme="minorHAnsi"/>
              <w:b w:val="false"/>
              <w:bCs w:val="false"/>
              <w:sz w:val="22"/>
              <w:szCs w:val="22"/>
            </w:rPr>
          </w:pPr>
          <w:hyperlink w:anchor="_Toc75446579">
            <w:r>
              <w:rPr>
                <w:webHidden/>
              </w:rPr>
              <w:fldChar w:fldCharType="begin"/>
            </w:r>
            <w:r>
              <w:rPr>
                <w:webHidden/>
              </w:rPr>
              <w:instrText xml:space="preserve">PAGEREF _Toc75446579 \h</w:instrText>
            </w:r>
            <w:r>
              <w:rPr>
                <w:webHidden/>
              </w:rPr>
              <w:fldChar w:fldCharType="separate"/>
            </w:r>
            <w:r>
              <w:rPr>
                <w:webHidden/>
                <w:rStyle w:val="Style15"/>
                <w:vanish w:val="false"/>
              </w:rPr>
              <w:t>Таблица 2.1 Требования по срокам поставки продукции</w:t>
              <w:tab/>
              <w:t>8</w:t>
            </w:r>
            <w:r>
              <w:rPr>
                <w:webHidden/>
              </w:rPr>
              <w:fldChar w:fldCharType="end"/>
            </w:r>
          </w:hyperlink>
        </w:p>
        <w:p>
          <w:pPr>
            <w:pStyle w:val="TOC1"/>
            <w:tabs>
              <w:tab w:val="clear" w:pos="708"/>
              <w:tab w:val="right" w:pos="9911" w:leader="dot"/>
            </w:tabs>
            <w:rPr>
              <w:rFonts w:ascii="Calibri" w:hAnsi="Calibri" w:eastAsia="新細明體" w:cs="Arial" w:asciiTheme="minorHAnsi" w:cstheme="minorBidi" w:eastAsiaTheme="minorEastAsia" w:hAnsiTheme="minorHAnsi"/>
              <w:b w:val="false"/>
              <w:bCs w:val="false"/>
              <w:sz w:val="22"/>
              <w:szCs w:val="22"/>
            </w:rPr>
          </w:pPr>
          <w:hyperlink w:anchor="_Toc75446580">
            <w:r>
              <w:rPr>
                <w:webHidden/>
              </w:rPr>
              <w:fldChar w:fldCharType="begin"/>
            </w:r>
            <w:r>
              <w:rPr>
                <w:webHidden/>
              </w:rPr>
              <w:instrText xml:space="preserve">PAGEREF _Toc75446580 \h</w:instrText>
            </w:r>
            <w:r>
              <w:rPr>
                <w:webHidden/>
              </w:rPr>
              <w:fldChar w:fldCharType="separate"/>
            </w:r>
            <w:r>
              <w:rPr>
                <w:webHidden/>
                <w:rStyle w:val="Style15"/>
                <w:vanish w:val="false"/>
              </w:rPr>
              <w:t>Таблица 2.2 Требования по срокам оказания сопутствующих услуг</w:t>
              <w:tab/>
              <w:t>8</w:t>
            </w:r>
            <w:r>
              <w:rPr>
                <w:webHidden/>
              </w:rPr>
              <w:fldChar w:fldCharType="end"/>
            </w:r>
          </w:hyperlink>
        </w:p>
        <w:p>
          <w:pPr>
            <w:pStyle w:val="TOC4"/>
            <w:tabs>
              <w:tab w:val="clear" w:pos="708"/>
              <w:tab w:val="left" w:pos="1120" w:leader="none"/>
              <w:tab w:val="right" w:pos="9911" w:leader="dot"/>
            </w:tabs>
            <w:rPr>
              <w:rFonts w:ascii="Calibri" w:hAnsi="Calibri" w:eastAsia="新細明體" w:cs="Arial" w:asciiTheme="minorHAnsi" w:cstheme="minorBidi" w:eastAsiaTheme="minorEastAsia" w:hAnsiTheme="minorHAnsi"/>
              <w:sz w:val="22"/>
              <w:szCs w:val="22"/>
            </w:rPr>
          </w:pPr>
          <w:hyperlink w:anchor="_Toc75446581">
            <w:r>
              <w:rPr>
                <w:webHidden/>
                <w:rStyle w:val="Style15"/>
                <w:iCs/>
                <w:vanish w:val="false"/>
              </w:rPr>
              <w:t>2.2.</w:t>
            </w:r>
            <w:r>
              <w:rPr>
                <w:rStyle w:val="Style15"/>
                <w:rFonts w:eastAsia="新細明體" w:cs="Arial" w:ascii="Calibri" w:hAnsi="Calibri" w:asciiTheme="minorHAnsi" w:cstheme="minorBidi" w:eastAsiaTheme="minorEastAsia" w:hAnsiTheme="minorHAnsi"/>
                <w:sz w:val="22"/>
                <w:szCs w:val="22"/>
              </w:rPr>
              <w:tab/>
            </w:r>
            <w:r>
              <w:rPr>
                <w:rStyle w:val="Style15"/>
              </w:rPr>
              <w:t>Требования к качеству продукции</w:t>
            </w:r>
            <w:r>
              <w:rPr>
                <w:webHidden/>
              </w:rPr>
              <w:fldChar w:fldCharType="begin"/>
            </w:r>
            <w:r>
              <w:rPr>
                <w:webHidden/>
              </w:rPr>
              <w:instrText xml:space="preserve">PAGEREF _Toc75446581 \h</w:instrText>
            </w:r>
            <w:r>
              <w:rPr>
                <w:webHidden/>
              </w:rPr>
              <w:fldChar w:fldCharType="separate"/>
            </w:r>
            <w:r>
              <w:rPr>
                <w:rStyle w:val="Style15"/>
                <w:vanish w:val="false"/>
              </w:rPr>
              <w:tab/>
              <w:t>10</w:t>
            </w:r>
            <w:r>
              <w:rPr>
                <w:webHidden/>
              </w:rPr>
              <w:fldChar w:fldCharType="end"/>
            </w:r>
          </w:hyperlink>
        </w:p>
        <w:p>
          <w:pPr>
            <w:pStyle w:val="TOC1"/>
            <w:tabs>
              <w:tab w:val="clear" w:pos="708"/>
              <w:tab w:val="right" w:pos="9911" w:leader="dot"/>
            </w:tabs>
            <w:rPr>
              <w:rFonts w:ascii="Calibri" w:hAnsi="Calibri" w:eastAsia="新細明體" w:cs="Arial" w:asciiTheme="minorHAnsi" w:cstheme="minorBidi" w:eastAsiaTheme="minorEastAsia" w:hAnsiTheme="minorHAnsi"/>
              <w:b w:val="false"/>
              <w:bCs w:val="false"/>
              <w:sz w:val="22"/>
              <w:szCs w:val="22"/>
            </w:rPr>
          </w:pPr>
          <w:hyperlink w:anchor="_Toc75446582">
            <w:r>
              <w:rPr>
                <w:webHidden/>
              </w:rPr>
              <w:fldChar w:fldCharType="begin"/>
            </w:r>
            <w:r>
              <w:rPr>
                <w:webHidden/>
              </w:rPr>
              <w:instrText xml:space="preserve">PAGEREF _Toc75446582 \h</w:instrText>
            </w:r>
            <w:r>
              <w:rPr>
                <w:webHidden/>
              </w:rPr>
              <w:fldChar w:fldCharType="separate"/>
            </w:r>
            <w:r>
              <w:rPr>
                <w:webHidden/>
                <w:rStyle w:val="Style15"/>
                <w:vanish w:val="false"/>
              </w:rPr>
              <w:t>Таблица 3. Требования к продукции</w:t>
              <w:tab/>
              <w:t>10</w:t>
            </w:r>
            <w:r>
              <w:rPr>
                <w:webHidden/>
              </w:rPr>
              <w:fldChar w:fldCharType="end"/>
            </w:r>
          </w:hyperlink>
        </w:p>
        <w:p>
          <w:pPr>
            <w:pStyle w:val="TOC1"/>
            <w:tabs>
              <w:tab w:val="clear" w:pos="708"/>
              <w:tab w:val="left" w:pos="560" w:leader="none"/>
              <w:tab w:val="right" w:pos="9911" w:leader="dot"/>
            </w:tabs>
            <w:rPr>
              <w:rFonts w:ascii="Calibri" w:hAnsi="Calibri" w:eastAsia="新細明體" w:cs="Arial" w:asciiTheme="minorHAnsi" w:cstheme="minorBidi" w:eastAsiaTheme="minorEastAsia" w:hAnsiTheme="minorHAnsi"/>
              <w:b w:val="false"/>
              <w:bCs w:val="false"/>
              <w:sz w:val="22"/>
              <w:szCs w:val="22"/>
            </w:rPr>
          </w:pPr>
          <w:hyperlink w:anchor="_Toc75446583">
            <w:r>
              <w:rPr>
                <w:webHidden/>
                <w:rStyle w:val="Style15"/>
                <w:vanish w:val="false"/>
              </w:rPr>
              <w:t>3.</w:t>
            </w:r>
            <w:r>
              <w:rPr>
                <w:rStyle w:val="Style15"/>
                <w:rFonts w:eastAsia="新細明體" w:cs="Arial" w:ascii="Calibri" w:hAnsi="Calibri" w:asciiTheme="minorHAnsi" w:cstheme="minorBidi" w:eastAsiaTheme="minorEastAsia" w:hAnsiTheme="minorHAnsi"/>
                <w:b w:val="false"/>
                <w:bCs w:val="false"/>
                <w:sz w:val="22"/>
                <w:szCs w:val="22"/>
              </w:rPr>
              <w:tab/>
            </w:r>
            <w:r>
              <w:rPr>
                <w:rStyle w:val="Style15"/>
              </w:rPr>
              <w:t>Требования к документации по ценообразованию на этапе закупки</w:t>
            </w:r>
            <w:r>
              <w:rPr>
                <w:webHidden/>
              </w:rPr>
              <w:fldChar w:fldCharType="begin"/>
            </w:r>
            <w:r>
              <w:rPr>
                <w:webHidden/>
              </w:rPr>
              <w:instrText xml:space="preserve">PAGEREF _Toc75446583 \h</w:instrText>
            </w:r>
            <w:r>
              <w:rPr>
                <w:webHidden/>
              </w:rPr>
              <w:fldChar w:fldCharType="separate"/>
            </w:r>
            <w:r>
              <w:rPr>
                <w:rStyle w:val="Style15"/>
                <w:vanish w:val="false"/>
              </w:rPr>
              <w:tab/>
              <w:t>49</w:t>
            </w:r>
            <w:r>
              <w:rPr>
                <w:webHidden/>
              </w:rPr>
              <w:fldChar w:fldCharType="end"/>
            </w:r>
          </w:hyperlink>
        </w:p>
        <w:p>
          <w:pPr>
            <w:pStyle w:val="TOC1"/>
            <w:tabs>
              <w:tab w:val="clear" w:pos="708"/>
              <w:tab w:val="left" w:pos="560" w:leader="none"/>
              <w:tab w:val="right" w:pos="9911" w:leader="dot"/>
            </w:tabs>
            <w:rPr>
              <w:rFonts w:ascii="Calibri" w:hAnsi="Calibri" w:eastAsia="新細明體" w:cs="Arial" w:asciiTheme="minorHAnsi" w:cstheme="minorBidi" w:eastAsiaTheme="minorEastAsia" w:hAnsiTheme="minorHAnsi"/>
              <w:b w:val="false"/>
              <w:bCs w:val="false"/>
              <w:sz w:val="22"/>
              <w:szCs w:val="22"/>
            </w:rPr>
          </w:pPr>
          <w:hyperlink w:anchor="_Toc75446584">
            <w:r>
              <w:rPr>
                <w:webHidden/>
                <w:rStyle w:val="Style15"/>
                <w:vanish w:val="false"/>
              </w:rPr>
              <w:t>4.</w:t>
            </w:r>
            <w:r>
              <w:rPr>
                <w:rStyle w:val="Style15"/>
                <w:rFonts w:eastAsia="新細明體" w:cs="Arial" w:ascii="Calibri" w:hAnsi="Calibri" w:asciiTheme="minorHAnsi" w:cstheme="minorBidi" w:eastAsiaTheme="minorEastAsia" w:hAnsiTheme="minorHAnsi"/>
                <w:b w:val="false"/>
                <w:bCs w:val="false"/>
                <w:sz w:val="22"/>
                <w:szCs w:val="22"/>
              </w:rPr>
              <w:tab/>
            </w:r>
            <w:r>
              <w:rPr>
                <w:rStyle w:val="Style15"/>
              </w:rPr>
              <w:t>Требования к документации по ценообразованию на этапе заключения (исполнения) договора</w:t>
            </w:r>
            <w:r>
              <w:rPr>
                <w:rStyle w:val="Style15"/>
                <w:vanish w:val="false"/>
              </w:rPr>
              <w:tab/>
              <w:t>49</w:t>
            </w:r>
            <w:r>
              <w:rPr>
                <w:webHidden/>
              </w:rPr>
              <w:fldChar w:fldCharType="begin"/>
            </w:r>
            <w:r>
              <w:rPr>
                <w:webHidden/>
              </w:rPr>
              <w:instrText xml:space="preserve">PAGEREF _Toc75446584 \h</w:instrText>
            </w:r>
            <w:r>
              <w:rPr>
                <w:webHidden/>
              </w:rPr>
              <w:fldChar w:fldCharType="separate"/>
            </w:r>
            <w:r>
              <w:rPr>
                <w:rStyle w:val="Style15"/>
                <w:b w:val="false"/>
                <w:bCs w:val="false"/>
                <w:vanish w:val="false"/>
              </w:rPr>
              <w:t>.</w:t>
            </w:r>
            <w:r>
              <w:rPr>
                <w:webHidden/>
              </w:rPr>
              <w:fldChar w:fldCharType="end"/>
            </w:r>
          </w:hyperlink>
        </w:p>
        <w:p>
          <w:pPr>
            <w:pStyle w:val="TOC1"/>
            <w:tabs>
              <w:tab w:val="clear" w:pos="708"/>
              <w:tab w:val="left" w:pos="560" w:leader="none"/>
              <w:tab w:val="right" w:pos="9911" w:leader="dot"/>
            </w:tabs>
            <w:rPr>
              <w:rFonts w:ascii="Calibri" w:hAnsi="Calibri" w:eastAsia="新細明體" w:cs="Arial" w:asciiTheme="minorHAnsi" w:cstheme="minorBidi" w:eastAsiaTheme="minorEastAsia" w:hAnsiTheme="minorHAnsi"/>
              <w:b w:val="false"/>
              <w:bCs w:val="false"/>
              <w:sz w:val="22"/>
              <w:szCs w:val="22"/>
            </w:rPr>
          </w:pPr>
          <w:hyperlink w:anchor="_Toc75446585">
            <w:r>
              <w:rPr>
                <w:webHidden/>
                <w:rStyle w:val="Style15"/>
                <w:vanish w:val="false"/>
              </w:rPr>
              <w:t>5.</w:t>
            </w:r>
            <w:r>
              <w:rPr>
                <w:rStyle w:val="Style15"/>
                <w:rFonts w:eastAsia="新細明體" w:cs="Arial" w:ascii="Calibri" w:hAnsi="Calibri" w:asciiTheme="minorHAnsi" w:cstheme="minorBidi" w:eastAsiaTheme="minorEastAsia" w:hAnsiTheme="minorHAnsi"/>
                <w:b w:val="false"/>
                <w:bCs w:val="false"/>
                <w:sz w:val="22"/>
                <w:szCs w:val="22"/>
              </w:rPr>
              <w:tab/>
            </w:r>
            <w:r>
              <w:rPr>
                <w:rStyle w:val="Style15"/>
                <w:iCs/>
              </w:rPr>
              <w:t>Приложения</w:t>
            </w:r>
            <w:r>
              <w:rPr>
                <w:rStyle w:val="Style15"/>
                <w:vanish w:val="false"/>
              </w:rPr>
              <w:tab/>
              <w:t>49</w:t>
            </w:r>
            <w:r>
              <w:rPr>
                <w:webHidden/>
              </w:rPr>
              <w:fldChar w:fldCharType="begin"/>
            </w:r>
            <w:r>
              <w:rPr>
                <w:webHidden/>
              </w:rPr>
              <w:instrText xml:space="preserve">PAGEREF _Toc75446585 \h</w:instrText>
            </w:r>
            <w:r>
              <w:rPr>
                <w:webHidden/>
              </w:rPr>
              <w:fldChar w:fldCharType="separate"/>
            </w:r>
            <w:r>
              <w:rPr>
                <w:rStyle w:val="Style15"/>
                <w:b w:val="false"/>
                <w:bCs w:val="false"/>
                <w:vanish w:val="false"/>
              </w:rPr>
              <w:t>.</w:t>
            </w:r>
            <w:r>
              <w:rPr>
                <w:webHidden/>
              </w:rPr>
              <w:fldChar w:fldCharType="end"/>
            </w:r>
          </w:hyperlink>
          <w:r>
            <w:rPr>
              <w:rStyle w:val="Style15"/>
              <w:b w:val="false"/>
              <w:bCs w:val="false"/>
              <w:vanish w:val="false"/>
            </w:rPr>
            <w:fldChar w:fldCharType="end"/>
          </w:r>
        </w:p>
      </w:sdtContent>
    </w:sdt>
    <w:p>
      <w:pPr>
        <w:pStyle w:val="Heading2"/>
        <w:numPr>
          <w:ilvl w:val="0"/>
          <w:numId w:val="0"/>
        </w:numPr>
        <w:ind w:hanging="0" w:left="0"/>
        <w:rPr>
          <w:b w:val="false"/>
          <w:i/>
          <w:i/>
        </w:rPr>
      </w:pPr>
      <w:r>
        <w:rPr>
          <w:b w:val="false"/>
          <w:i/>
        </w:rPr>
      </w:r>
    </w:p>
    <w:p>
      <w:pPr>
        <w:pStyle w:val="Normal"/>
        <w:keepNext w:val="true"/>
        <w:keepLines/>
        <w:jc w:val="center"/>
        <w:rPr>
          <w:rFonts w:eastAsia="Calibri"/>
          <w:b/>
          <w:i/>
          <w:i/>
          <w:sz w:val="24"/>
          <w:szCs w:val="24"/>
        </w:rPr>
      </w:pPr>
      <w:r>
        <w:rPr>
          <w:rFonts w:eastAsia="Calibri"/>
          <w:b/>
          <w:i/>
          <w:sz w:val="24"/>
          <w:szCs w:val="24"/>
        </w:rPr>
      </w:r>
      <w:r>
        <w:br w:type="page"/>
      </w:r>
    </w:p>
    <w:p>
      <w:pPr>
        <w:pStyle w:val="Heading1"/>
        <w:keepLines/>
        <w:numPr>
          <w:ilvl w:val="0"/>
          <w:numId w:val="3"/>
        </w:numPr>
        <w:ind w:hanging="357" w:left="357"/>
        <w:jc w:val="center"/>
        <w:rPr>
          <w:caps/>
          <w:lang w:val="ru-RU"/>
        </w:rPr>
      </w:pPr>
      <w:bookmarkStart w:id="12" w:name="_Toc75446566"/>
      <w:bookmarkStart w:id="13" w:name="_Toc51339692"/>
      <w:r>
        <w:rPr>
          <w:lang w:val="ru-RU"/>
        </w:rPr>
        <w:t>Общие сведения</w:t>
      </w:r>
      <w:bookmarkEnd w:id="12"/>
      <w:bookmarkEnd w:id="13"/>
    </w:p>
    <w:p>
      <w:pPr>
        <w:pStyle w:val="Heading4"/>
        <w:numPr>
          <w:ilvl w:val="1"/>
          <w:numId w:val="3"/>
        </w:numPr>
        <w:rPr/>
      </w:pPr>
      <w:bookmarkStart w:id="14" w:name="_Toc75446567"/>
      <w:bookmarkStart w:id="15" w:name="_Toc46743505"/>
      <w:r>
        <w:rPr/>
        <w:t>Обозначения и сокращения</w:t>
      </w:r>
      <w:bookmarkEnd w:id="14"/>
      <w:bookmarkEnd w:id="15"/>
    </w:p>
    <w:p>
      <w:pPr>
        <w:pStyle w:val="Normal"/>
        <w:rPr>
          <w:rStyle w:val="Style8"/>
          <w:b w:val="false"/>
          <w:bCs/>
          <w:iCs/>
          <w:sz w:val="26"/>
          <w:szCs w:val="26"/>
        </w:rPr>
      </w:pPr>
      <w:r>
        <w:rPr>
          <w:b w:val="false"/>
          <w:bCs/>
          <w:iCs/>
          <w:sz w:val="26"/>
          <w:szCs w:val="26"/>
        </w:rPr>
      </w:r>
    </w:p>
    <w:tbl>
      <w:tblPr>
        <w:tblW w:w="9783"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546"/>
        <w:gridCol w:w="7236"/>
      </w:tblGrid>
      <w:tr>
        <w:trPr>
          <w:cantSplit w:val="true"/>
        </w:trPr>
        <w:tc>
          <w:tcPr>
            <w:tcW w:w="254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Cs/>
                <w:sz w:val="24"/>
                <w:szCs w:val="24"/>
              </w:rPr>
            </w:pPr>
            <w:r>
              <w:rPr>
                <w:b/>
                <w:sz w:val="24"/>
              </w:rPr>
              <w:t>Термин</w:t>
            </w:r>
          </w:p>
        </w:tc>
        <w:tc>
          <w:tcPr>
            <w:tcW w:w="723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center"/>
              <w:rPr>
                <w:rStyle w:val="Style8"/>
                <w:b w:val="false"/>
                <w:bCs/>
                <w:i w:val="false"/>
                <w:i w:val="false"/>
                <w:iCs/>
                <w:sz w:val="24"/>
                <w:szCs w:val="24"/>
              </w:rPr>
            </w:pPr>
            <w:r>
              <w:rPr>
                <w:b/>
                <w:sz w:val="24"/>
              </w:rPr>
              <w:t>Определение</w:t>
            </w:r>
          </w:p>
        </w:tc>
      </w:tr>
      <w:tr>
        <w:trPr>
          <w:trHeight w:val="649"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rStyle w:val="Style8"/>
                <w:b w:val="false"/>
                <w:bCs/>
                <w:i w:val="false"/>
                <w:i w:val="false"/>
                <w:iCs/>
                <w:sz w:val="24"/>
                <w:szCs w:val="24"/>
              </w:rPr>
            </w:pPr>
            <w:r>
              <w:rPr>
                <w:color w:val="000000"/>
                <w:sz w:val="24"/>
                <w:szCs w:val="24"/>
              </w:rPr>
              <w:t>DMZ</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rStyle w:val="Style8"/>
                <w:b w:val="false"/>
                <w:bCs/>
                <w:i w:val="false"/>
                <w:i w:val="false"/>
                <w:iCs/>
                <w:sz w:val="24"/>
                <w:szCs w:val="24"/>
              </w:rPr>
            </w:pPr>
            <w:r>
              <w:rPr>
                <w:bCs/>
                <w:color w:val="000000"/>
                <w:sz w:val="24"/>
                <w:szCs w:val="24"/>
              </w:rPr>
              <w:t>D</w:t>
            </w:r>
            <w:r>
              <w:rPr>
                <w:color w:val="000000"/>
                <w:sz w:val="24"/>
                <w:szCs w:val="24"/>
              </w:rPr>
              <w:t xml:space="preserve">emilitarized </w:t>
            </w:r>
            <w:r>
              <w:rPr>
                <w:bCs/>
                <w:color w:val="000000"/>
                <w:sz w:val="24"/>
                <w:szCs w:val="24"/>
              </w:rPr>
              <w:t>Z</w:t>
            </w:r>
            <w:r>
              <w:rPr>
                <w:color w:val="000000"/>
                <w:sz w:val="24"/>
                <w:szCs w:val="24"/>
              </w:rPr>
              <w:t>one — демилитаризованная зона, содержащая общедоступные сервисы и отделяющая их от частных.</w:t>
            </w:r>
          </w:p>
        </w:tc>
      </w:tr>
      <w:tr>
        <w:trPr>
          <w:trHeight w:val="50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lang w:val="en-US"/>
              </w:rPr>
              <w:t>SCADA</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Supervisory Control And Data Acquisition — программное обеспечение, обеспечивающее диспетчерское управление и сбор данных</w:t>
            </w:r>
          </w:p>
        </w:tc>
      </w:tr>
      <w:tr>
        <w:trPr>
          <w:trHeight w:val="301"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АБП</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Агрегат бесперебойного питания</w:t>
            </w:r>
          </w:p>
        </w:tc>
      </w:tr>
      <w:tr>
        <w:trPr>
          <w:trHeight w:val="50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АВРЧМ</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 xml:space="preserve">Автоматическое вторичное регулирование частоты </w:t>
              <w:br/>
              <w:t>и перетоков активной мощности</w:t>
            </w:r>
          </w:p>
        </w:tc>
      </w:tr>
      <w:tr>
        <w:trPr>
          <w:trHeight w:val="50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АИИС КУЭ</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Автоматизированная информационно-измерительная система коммерческого учёта электроэнергии</w:t>
            </w:r>
          </w:p>
        </w:tc>
      </w:tr>
      <w:tr>
        <w:trPr>
          <w:trHeight w:val="50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АИИС ТУЭ</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Автоматизированная информационно-измерительная система технического учёта электроэнергии</w:t>
            </w:r>
          </w:p>
        </w:tc>
      </w:tr>
      <w:tr>
        <w:trPr>
          <w:trHeight w:val="28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АРМ</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Автоматизированное рабочее место</w:t>
            </w:r>
          </w:p>
        </w:tc>
      </w:tr>
      <w:tr>
        <w:trPr>
          <w:trHeight w:val="50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АСУТП</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Автоматизированная система управления технологическими процессами</w:t>
            </w:r>
          </w:p>
        </w:tc>
      </w:tr>
      <w:tr>
        <w:trPr>
          <w:trHeight w:val="271"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АСДК ГТС</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Автоматизированная система диагностического контроля ГТС</w:t>
            </w:r>
          </w:p>
        </w:tc>
      </w:tr>
      <w:tr>
        <w:trPr>
          <w:trHeight w:val="275"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АССК</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Автоматизированная система сейсмометрического контроля</w:t>
            </w:r>
          </w:p>
        </w:tc>
      </w:tr>
      <w:tr>
        <w:trPr>
          <w:trHeight w:val="403"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АСКМТ</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Автоматизированная система контроля и мониторинга трансформаторов</w:t>
            </w:r>
          </w:p>
        </w:tc>
      </w:tr>
      <w:tr>
        <w:trPr>
          <w:trHeight w:val="273"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ВУ</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Верхний уровень</w:t>
            </w:r>
          </w:p>
        </w:tc>
      </w:tr>
      <w:tr>
        <w:trPr>
          <w:trHeight w:val="264"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ГА</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Гидроагрегат</w:t>
            </w:r>
          </w:p>
        </w:tc>
      </w:tr>
      <w:tr>
        <w:trPr>
          <w:trHeight w:val="26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ГРАМ</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Групповой регулятор активной мощности</w:t>
            </w:r>
          </w:p>
        </w:tc>
      </w:tr>
      <w:tr>
        <w:trPr>
          <w:trHeight w:val="272"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ГРНРМ</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Групповой регулятор напряжения и реактивной мощности</w:t>
            </w:r>
          </w:p>
        </w:tc>
      </w:tr>
      <w:tr>
        <w:trPr>
          <w:trHeight w:val="261"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ГТС</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Гидротехнические сооружения</w:t>
            </w:r>
          </w:p>
        </w:tc>
      </w:tr>
      <w:tr>
        <w:trPr>
          <w:trHeight w:val="266"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ГЭС</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 xml:space="preserve">Гидроэлектростанция </w:t>
            </w:r>
          </w:p>
        </w:tc>
      </w:tr>
      <w:tr>
        <w:trPr>
          <w:trHeight w:val="406"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ДИТи ЦР</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Департамент информационных технологий и цифрового развития ПАО «РусГидро»</w:t>
            </w:r>
          </w:p>
        </w:tc>
      </w:tr>
      <w:tr>
        <w:trPr>
          <w:trHeight w:val="263"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ДЦ</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Диспетчерский центр</w:t>
            </w:r>
          </w:p>
        </w:tc>
      </w:tr>
      <w:tr>
        <w:trPr>
          <w:trHeight w:val="254"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ДЭ</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Департамент эксплуатации ПАО «РусГидро»</w:t>
            </w:r>
          </w:p>
        </w:tc>
      </w:tr>
      <w:tr>
        <w:trPr>
          <w:trHeight w:val="25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ИБП</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Источник бесперебойного питания</w:t>
            </w:r>
          </w:p>
        </w:tc>
      </w:tr>
      <w:tr>
        <w:trPr>
          <w:trHeight w:val="248"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ИДС ГТС</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Информационно-диагностическая система ГТС</w:t>
            </w:r>
          </w:p>
        </w:tc>
      </w:tr>
      <w:tr>
        <w:trPr>
          <w:trHeight w:val="393"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ИСПБ</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Интегрированная система пожарной безопасности</w:t>
            </w:r>
          </w:p>
        </w:tc>
      </w:tr>
      <w:tr>
        <w:trPr>
          <w:trHeight w:val="272"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КА</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Коммутационный аппарат</w:t>
            </w:r>
          </w:p>
        </w:tc>
      </w:tr>
      <w:tr>
        <w:trPr>
          <w:trHeight w:val="275"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КИВ</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Контроль изоляции вводов силового трансформатора</w:t>
            </w:r>
          </w:p>
        </w:tc>
      </w:tr>
      <w:tr>
        <w:trPr>
          <w:trHeight w:val="408"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КРУ(Э)</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Комплектное распределительное устройство (элегазовое)</w:t>
            </w:r>
          </w:p>
        </w:tc>
      </w:tr>
      <w:tr>
        <w:trPr>
          <w:trHeight w:val="271"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НПРЧ</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Нормированное первичное регулирование частоты</w:t>
            </w:r>
          </w:p>
        </w:tc>
      </w:tr>
      <w:tr>
        <w:trPr>
          <w:trHeight w:val="275"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НСИ</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Нормативно-справочная информация</w:t>
            </w:r>
          </w:p>
        </w:tc>
      </w:tr>
      <w:tr>
        <w:trPr>
          <w:trHeight w:val="266"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НУ</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Нижний уровень</w:t>
            </w:r>
          </w:p>
        </w:tc>
      </w:tr>
      <w:tr>
        <w:trPr>
          <w:trHeight w:val="50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Общество</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ПАО «РусГидро», включая его филиалы и подконтрольные общества</w:t>
            </w:r>
          </w:p>
        </w:tc>
      </w:tr>
      <w:tr>
        <w:trPr>
          <w:trHeight w:val="27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ОИК</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Оперативно-информационный комплекс</w:t>
            </w:r>
          </w:p>
        </w:tc>
      </w:tr>
      <w:tr>
        <w:trPr>
          <w:trHeight w:val="281"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ОПРЧ</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Общее первичное регулирование частоты</w:t>
            </w:r>
          </w:p>
        </w:tc>
      </w:tr>
      <w:tr>
        <w:trPr>
          <w:trHeight w:val="409"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ОРУ</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Открытое распределительное устройство</w:t>
            </w:r>
          </w:p>
        </w:tc>
      </w:tr>
      <w:tr>
        <w:trPr>
          <w:trHeight w:val="272"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ОС</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Оперативная служба</w:t>
            </w:r>
          </w:p>
        </w:tc>
      </w:tr>
      <w:tr>
        <w:trPr>
          <w:trHeight w:val="272"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ОУ</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 xml:space="preserve">Общестанционные устройства </w:t>
            </w:r>
          </w:p>
        </w:tc>
      </w:tr>
      <w:tr>
        <w:trPr>
          <w:trHeight w:val="27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ПАО</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Публичное акционерное общество</w:t>
            </w:r>
          </w:p>
        </w:tc>
      </w:tr>
      <w:tr>
        <w:trPr>
          <w:trHeight w:val="280"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ПО</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Программное обеспечение</w:t>
            </w:r>
          </w:p>
        </w:tc>
      </w:tr>
      <w:tr>
        <w:trPr>
          <w:trHeight w:val="270"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ПК</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Программный комплекс</w:t>
            </w:r>
          </w:p>
        </w:tc>
      </w:tr>
      <w:tr>
        <w:trPr>
          <w:trHeight w:val="260"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ПОБИ АСУТП</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Подсистема обеспечения безопасности информации АСУТП</w:t>
            </w:r>
          </w:p>
        </w:tc>
      </w:tr>
      <w:tr>
        <w:trPr>
          <w:trHeight w:val="263"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ПТК</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Программно-технический комплекс</w:t>
            </w:r>
          </w:p>
        </w:tc>
      </w:tr>
      <w:tr>
        <w:trPr>
          <w:trHeight w:val="254"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РДУ</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Региональное диспетчерское управление</w:t>
            </w:r>
          </w:p>
        </w:tc>
      </w:tr>
      <w:tr>
        <w:trPr>
          <w:trHeight w:val="25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РЗА</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Релейная защита и автоматика</w:t>
            </w:r>
          </w:p>
        </w:tc>
      </w:tr>
      <w:tr>
        <w:trPr>
          <w:trHeight w:val="262"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САУ</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автоматического управления</w:t>
            </w:r>
          </w:p>
        </w:tc>
      </w:tr>
      <w:tr>
        <w:trPr>
          <w:trHeight w:val="251"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СБД</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Сервер баз данных</w:t>
            </w:r>
          </w:p>
        </w:tc>
      </w:tr>
      <w:tr>
        <w:trPr>
          <w:trHeight w:val="256"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СВИ</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Синхронизированные векторные измерения</w:t>
            </w:r>
          </w:p>
        </w:tc>
      </w:tr>
      <w:tr>
        <w:trPr>
          <w:trHeight w:val="38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СГЭ</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гарантированного электропитания</w:t>
            </w:r>
          </w:p>
        </w:tc>
      </w:tr>
      <w:tr>
        <w:trPr>
          <w:trHeight w:val="266"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СДТУ</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Средства  диспетчерского и технологического управления</w:t>
            </w:r>
          </w:p>
        </w:tc>
      </w:tr>
      <w:tr>
        <w:trPr>
          <w:trHeight w:val="269"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СИ</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Средства измерений</w:t>
            </w:r>
          </w:p>
        </w:tc>
      </w:tr>
      <w:tr>
        <w:trPr>
          <w:trHeight w:val="274"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СКС</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Структурированная кабельная сеть</w:t>
            </w:r>
          </w:p>
        </w:tc>
      </w:tr>
      <w:tr>
        <w:trPr>
          <w:trHeight w:val="274"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СКО</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color w:val="000000"/>
                <w:sz w:val="24"/>
                <w:szCs w:val="24"/>
              </w:rPr>
            </w:pPr>
            <w:r>
              <w:rPr>
                <w:color w:val="000000"/>
                <w:sz w:val="24"/>
                <w:szCs w:val="24"/>
              </w:rPr>
              <w:t xml:space="preserve">Сетевое коммутаторное оборудование </w:t>
            </w:r>
          </w:p>
        </w:tc>
      </w:tr>
      <w:tr>
        <w:trPr>
          <w:trHeight w:val="263"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СМПР</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мониторинга переходных режимов</w:t>
            </w:r>
          </w:p>
        </w:tc>
      </w:tr>
      <w:tr>
        <w:trPr>
          <w:trHeight w:val="268"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СОЕВ</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обеспечения единого времени</w:t>
            </w:r>
          </w:p>
        </w:tc>
      </w:tr>
      <w:tr>
        <w:trPr>
          <w:trHeight w:val="25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СОПТ</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оперативного постоянного тока</w:t>
            </w:r>
          </w:p>
        </w:tc>
      </w:tr>
      <w:tr>
        <w:trPr>
          <w:trHeight w:val="50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СОТИАССО</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обмена технологической информацией с Автоматизированной системой Системного оператора (АССО)</w:t>
            </w:r>
          </w:p>
        </w:tc>
      </w:tr>
      <w:tr>
        <w:trPr>
          <w:trHeight w:val="256"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СРК</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резервного копирования</w:t>
            </w:r>
          </w:p>
        </w:tc>
      </w:tr>
      <w:tr>
        <w:trPr>
          <w:trHeight w:val="259"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ССИиТС</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Служба связи, информационных и технологических систем</w:t>
            </w:r>
          </w:p>
        </w:tc>
      </w:tr>
      <w:tr>
        <w:trPr>
          <w:trHeight w:val="250"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СТО</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Стандарт организации</w:t>
            </w:r>
          </w:p>
        </w:tc>
      </w:tr>
      <w:tr>
        <w:trPr>
          <w:trHeight w:val="253"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СТТ</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технологического телевидения</w:t>
            </w:r>
          </w:p>
        </w:tc>
      </w:tr>
      <w:tr>
        <w:trPr>
          <w:trHeight w:val="258"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СУБД</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управления базами данными</w:t>
            </w:r>
          </w:p>
        </w:tc>
      </w:tr>
      <w:tr>
        <w:trPr>
          <w:trHeight w:val="389"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СХД</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хранения данных</w:t>
            </w:r>
          </w:p>
        </w:tc>
      </w:tr>
      <w:tr>
        <w:trPr>
          <w:trHeight w:val="282"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СВК</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вибрационного контроля</w:t>
            </w:r>
          </w:p>
        </w:tc>
      </w:tr>
      <w:tr>
        <w:trPr>
          <w:trHeight w:val="278"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ТМ</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Телемеханика</w:t>
            </w:r>
          </w:p>
        </w:tc>
      </w:tr>
      <w:tr>
        <w:trPr>
          <w:trHeight w:val="276"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ТПиР</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Техническое перевооружение и реконструкция</w:t>
            </w:r>
          </w:p>
        </w:tc>
      </w:tr>
      <w:tr>
        <w:trPr>
          <w:trHeight w:val="266"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ТСПД</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Технологическая сеть передачи данных</w:t>
            </w:r>
          </w:p>
        </w:tc>
      </w:tr>
      <w:tr>
        <w:trPr>
          <w:trHeight w:val="39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ТТ</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Технические требования</w:t>
            </w:r>
          </w:p>
        </w:tc>
      </w:tr>
      <w:tr>
        <w:trPr>
          <w:trHeight w:val="276"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ТУ</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Телеуправление</w:t>
            </w:r>
          </w:p>
        </w:tc>
      </w:tr>
      <w:tr>
        <w:trPr>
          <w:trHeight w:val="50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ТИСУ</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Тепловой контроль, измерений, сигнализаций и управления сигнализацией блока</w:t>
            </w:r>
          </w:p>
        </w:tc>
      </w:tr>
      <w:tr>
        <w:trPr>
          <w:trHeight w:val="28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УКВВ</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Универсальный контроллер ввода вывода</w:t>
            </w:r>
          </w:p>
        </w:tc>
      </w:tr>
      <w:tr>
        <w:trPr>
          <w:trHeight w:val="264"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УСО</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Устройство связи с объектом</w:t>
            </w:r>
          </w:p>
        </w:tc>
      </w:tr>
      <w:tr>
        <w:trPr>
          <w:trHeight w:val="411"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УПЗ</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Установки противопожарной защиты</w:t>
            </w:r>
          </w:p>
        </w:tc>
      </w:tr>
      <w:tr>
        <w:trPr>
          <w:trHeight w:val="259"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ЦОД</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Центр обработки данных</w:t>
            </w:r>
          </w:p>
        </w:tc>
      </w:tr>
      <w:tr>
        <w:trPr>
          <w:trHeight w:val="264"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ЩБ</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Щитовой блок</w:t>
            </w:r>
          </w:p>
        </w:tc>
      </w:tr>
      <w:tr>
        <w:trPr>
          <w:trHeight w:val="267"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ЦППС</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Центральная приемо-передающая станция</w:t>
            </w:r>
          </w:p>
        </w:tc>
      </w:tr>
      <w:tr>
        <w:trPr>
          <w:trHeight w:val="258"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ЦПУ</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Центральный пульт управления</w:t>
            </w:r>
          </w:p>
        </w:tc>
      </w:tr>
      <w:tr>
        <w:trPr>
          <w:trHeight w:val="261"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ЦР</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Центральный регулятор</w:t>
            </w:r>
          </w:p>
        </w:tc>
      </w:tr>
      <w:tr>
        <w:trPr>
          <w:trHeight w:val="252"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ЦС</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Централизованная система</w:t>
            </w:r>
          </w:p>
        </w:tc>
      </w:tr>
      <w:tr>
        <w:trPr>
          <w:trHeight w:val="255"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ЦКС</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Центральная координирующая система</w:t>
            </w:r>
          </w:p>
        </w:tc>
      </w:tr>
      <w:tr>
        <w:trPr>
          <w:trHeight w:val="246"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ЧМИ</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Человеко-машинный интерфейс</w:t>
            </w:r>
          </w:p>
        </w:tc>
      </w:tr>
      <w:tr>
        <w:trPr>
          <w:trHeight w:val="249"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СМТ</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Система мониторинга трансформатора</w:t>
            </w:r>
          </w:p>
        </w:tc>
      </w:tr>
      <w:tr>
        <w:trPr>
          <w:trHeight w:val="240"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МПУ</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Местный пункт управления</w:t>
            </w:r>
          </w:p>
        </w:tc>
      </w:tr>
      <w:tr>
        <w:trPr>
          <w:trHeight w:val="243" w:hRule="atLeast"/>
          <w:cantSplit w:val="true"/>
        </w:trPr>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center"/>
              <w:rPr>
                <w:color w:val="000000"/>
                <w:sz w:val="24"/>
                <w:szCs w:val="24"/>
              </w:rPr>
            </w:pPr>
            <w:r>
              <w:rPr>
                <w:color w:val="000000"/>
                <w:sz w:val="24"/>
                <w:szCs w:val="24"/>
              </w:rPr>
              <w:t>БМ</w:t>
            </w:r>
          </w:p>
        </w:tc>
        <w:tc>
          <w:tcPr>
            <w:tcW w:w="72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bCs/>
                <w:color w:val="000000"/>
                <w:sz w:val="24"/>
                <w:szCs w:val="24"/>
              </w:rPr>
            </w:pPr>
            <w:r>
              <w:rPr>
                <w:color w:val="000000"/>
                <w:sz w:val="24"/>
                <w:szCs w:val="24"/>
              </w:rPr>
              <w:t>Блок мониторинга</w:t>
            </w:r>
          </w:p>
        </w:tc>
      </w:tr>
    </w:tbl>
    <w:p>
      <w:pPr>
        <w:pStyle w:val="Heading4"/>
        <w:numPr>
          <w:ilvl w:val="1"/>
          <w:numId w:val="3"/>
        </w:numPr>
        <w:rPr/>
      </w:pPr>
      <w:bookmarkStart w:id="16" w:name="_Toc75446568"/>
      <w:bookmarkStart w:id="17" w:name="_Toc46743506"/>
      <w:r>
        <w:rPr/>
        <w:t>Наименование закупаемой продукции</w:t>
      </w:r>
      <w:bookmarkEnd w:id="16"/>
      <w:bookmarkEnd w:id="17"/>
    </w:p>
    <w:p>
      <w:pPr>
        <w:pStyle w:val="Normal"/>
        <w:rPr>
          <w:lang w:val="x-none" w:eastAsia="x-none"/>
        </w:rPr>
      </w:pPr>
      <w:r>
        <w:rPr>
          <w:lang w:val="x-none" w:eastAsia="x-none"/>
        </w:rPr>
      </w:r>
    </w:p>
    <w:p>
      <w:pPr>
        <w:pStyle w:val="Normal"/>
        <w:ind w:firstLine="431"/>
        <w:rPr>
          <w:sz w:val="24"/>
          <w:lang w:val="x-none" w:eastAsia="x-none"/>
        </w:rPr>
      </w:pPr>
      <w:r>
        <w:rPr>
          <w:sz w:val="24"/>
          <w:lang w:val="x-none" w:eastAsia="x-none"/>
        </w:rPr>
        <w:t>Поставка оборудования и разработка рабочей документации для модернизации систем автоматического управления гидроагрегатами №1,2 Чирюртской ГЭС-1.</w:t>
      </w:r>
    </w:p>
    <w:p>
      <w:pPr>
        <w:pStyle w:val="Heading4"/>
        <w:numPr>
          <w:ilvl w:val="1"/>
          <w:numId w:val="3"/>
        </w:numPr>
        <w:spacing w:before="240" w:after="60"/>
        <w:ind w:hanging="431" w:left="431"/>
        <w:rPr/>
      </w:pPr>
      <w:bookmarkStart w:id="18" w:name="_Toc75446569"/>
      <w:bookmarkStart w:id="19" w:name="_Toc46743507"/>
      <w:r>
        <w:rPr/>
        <w:t xml:space="preserve">Цель </w:t>
      </w:r>
      <w:bookmarkEnd w:id="19"/>
      <w:r>
        <w:rPr>
          <w:lang w:val="ru-RU"/>
        </w:rPr>
        <w:t>использования закупаемой продукции</w:t>
      </w:r>
      <w:bookmarkEnd w:id="18"/>
      <w:r>
        <w:rPr/>
        <w:t xml:space="preserve"> </w:t>
      </w:r>
    </w:p>
    <w:p>
      <w:pPr>
        <w:pStyle w:val="Normal"/>
        <w:ind w:firstLine="360"/>
        <w:jc w:val="both"/>
        <w:rPr>
          <w:sz w:val="24"/>
          <w:szCs w:val="24"/>
        </w:rPr>
      </w:pPr>
      <w:r>
        <w:rPr>
          <w:sz w:val="24"/>
          <w:szCs w:val="24"/>
          <w:lang w:eastAsia="x-none"/>
        </w:rPr>
        <w:t>Целью работы является замена существующих систем автоматического управления, защиты и сигнализации ГА №1,2 Чирюртской ГЭС-1 с оснащением гидроагрегатов штатными системами постоянного контроля вибрации и теплового</w:t>
      </w:r>
      <w:r>
        <w:rPr>
          <w:b/>
          <w:sz w:val="24"/>
          <w:szCs w:val="24"/>
          <w:lang w:eastAsia="x-none"/>
        </w:rPr>
        <w:t xml:space="preserve"> </w:t>
      </w:r>
      <w:r>
        <w:rPr>
          <w:sz w:val="24"/>
          <w:szCs w:val="24"/>
          <w:lang w:eastAsia="x-none"/>
        </w:rPr>
        <w:t>контроля.</w:t>
      </w:r>
    </w:p>
    <w:p>
      <w:pPr>
        <w:pStyle w:val="Normal"/>
        <w:ind w:firstLine="431"/>
        <w:jc w:val="both"/>
        <w:rPr>
          <w:sz w:val="24"/>
          <w:lang w:eastAsia="x-none"/>
        </w:rPr>
      </w:pPr>
      <w:r>
        <w:rPr>
          <w:sz w:val="24"/>
          <w:lang w:eastAsia="x-none"/>
        </w:rPr>
        <w:t>Оборудование системы автоматического управления гидроагрегатами Чирюртской ГЭС-1 закупается для выполнения следующих целей:</w:t>
      </w:r>
    </w:p>
    <w:p>
      <w:pPr>
        <w:pStyle w:val="Normal"/>
        <w:numPr>
          <w:ilvl w:val="0"/>
          <w:numId w:val="10"/>
        </w:numPr>
        <w:ind w:hanging="352" w:left="1276"/>
        <w:jc w:val="both"/>
        <w:rPr>
          <w:b/>
          <w:bCs/>
          <w:sz w:val="24"/>
          <w:szCs w:val="24"/>
        </w:rPr>
      </w:pPr>
      <w:r>
        <w:rPr>
          <w:sz w:val="24"/>
          <w:szCs w:val="24"/>
        </w:rPr>
        <w:t>повышения надежности, экономичности, безопасности и долговечности основного и вспомогательного оборудования;</w:t>
      </w:r>
    </w:p>
    <w:p>
      <w:pPr>
        <w:pStyle w:val="Normal"/>
        <w:numPr>
          <w:ilvl w:val="0"/>
          <w:numId w:val="10"/>
        </w:numPr>
        <w:ind w:hanging="352" w:left="1276"/>
        <w:jc w:val="both"/>
        <w:rPr>
          <w:b/>
          <w:bCs/>
          <w:sz w:val="24"/>
          <w:szCs w:val="24"/>
        </w:rPr>
      </w:pPr>
      <w:r>
        <w:rPr>
          <w:sz w:val="24"/>
          <w:szCs w:val="24"/>
        </w:rPr>
        <w:t>улучшения информационной обеспеченности эксплуатационного (оперативного и обслуживающего) персонала ГЭС с целью повышения качества эксплуатации оборудования, снижения вероятности ошибочных действий и, соответственно, исключения аварийных ситуаций;</w:t>
      </w:r>
    </w:p>
    <w:p>
      <w:pPr>
        <w:pStyle w:val="Normal"/>
        <w:numPr>
          <w:ilvl w:val="0"/>
          <w:numId w:val="10"/>
        </w:numPr>
        <w:ind w:hanging="352" w:left="1276"/>
        <w:jc w:val="both"/>
        <w:rPr>
          <w:bCs/>
          <w:sz w:val="24"/>
          <w:szCs w:val="24"/>
        </w:rPr>
      </w:pPr>
      <w:r>
        <w:rPr>
          <w:bCs/>
          <w:sz w:val="24"/>
          <w:szCs w:val="24"/>
        </w:rPr>
        <w:t>расширения функциональных возможностей и повышение качества автоматического управления гидроагрегатами;</w:t>
      </w:r>
    </w:p>
    <w:p>
      <w:pPr>
        <w:pStyle w:val="Normal"/>
        <w:numPr>
          <w:ilvl w:val="0"/>
          <w:numId w:val="10"/>
        </w:numPr>
        <w:ind w:hanging="352" w:left="1276"/>
        <w:jc w:val="both"/>
        <w:rPr>
          <w:bCs/>
          <w:sz w:val="24"/>
          <w:szCs w:val="24"/>
        </w:rPr>
      </w:pPr>
      <w:r>
        <w:rPr>
          <w:bCs/>
          <w:sz w:val="24"/>
          <w:szCs w:val="24"/>
        </w:rPr>
        <w:t>повышения качества контроля за работой оборудования ГЭС и систем управления;</w:t>
      </w:r>
    </w:p>
    <w:p>
      <w:pPr>
        <w:pStyle w:val="Normal"/>
        <w:numPr>
          <w:ilvl w:val="0"/>
          <w:numId w:val="10"/>
        </w:numPr>
        <w:ind w:hanging="352" w:left="1276"/>
        <w:jc w:val="both"/>
        <w:rPr>
          <w:bCs/>
          <w:sz w:val="24"/>
          <w:szCs w:val="24"/>
        </w:rPr>
      </w:pPr>
      <w:r>
        <w:rPr>
          <w:bCs/>
          <w:sz w:val="24"/>
          <w:szCs w:val="24"/>
        </w:rPr>
        <w:t>улучшения условий обслуживания и ремонта оборудования ГЭС, снижение трудозатрат при проведении регламентных и ремонтно-восстановительных работ.</w:t>
      </w:r>
    </w:p>
    <w:p>
      <w:pPr>
        <w:pStyle w:val="Normal"/>
        <w:ind w:firstLine="431"/>
        <w:rPr>
          <w:sz w:val="24"/>
          <w:lang w:eastAsia="x-none"/>
        </w:rPr>
      </w:pPr>
      <w:r>
        <w:rPr>
          <w:sz w:val="24"/>
          <w:lang w:eastAsia="x-none"/>
        </w:rPr>
      </w:r>
    </w:p>
    <w:p>
      <w:pPr>
        <w:pStyle w:val="Heading4"/>
        <w:widowControl w:val="false"/>
        <w:numPr>
          <w:ilvl w:val="1"/>
          <w:numId w:val="3"/>
        </w:numPr>
        <w:tabs>
          <w:tab w:val="clear" w:pos="708"/>
          <w:tab w:val="left" w:pos="426" w:leader="none"/>
        </w:tabs>
        <w:spacing w:before="120" w:after="240"/>
        <w:jc w:val="both"/>
        <w:rPr>
          <w:lang w:val="ru-RU"/>
        </w:rPr>
      </w:pPr>
      <w:bookmarkStart w:id="20" w:name="_Toc75446570"/>
      <w:bookmarkStart w:id="21" w:name="_Toc46743508"/>
      <w:r>
        <w:rPr/>
        <w:t>Существующее положение</w:t>
      </w:r>
      <w:bookmarkEnd w:id="20"/>
      <w:bookmarkEnd w:id="21"/>
      <w:r>
        <w:rPr>
          <w:lang w:val="ru-RU"/>
        </w:rPr>
        <w:t xml:space="preserve"> </w:t>
      </w:r>
    </w:p>
    <w:p>
      <w:pPr>
        <w:pStyle w:val="Normal"/>
        <w:shd w:val="clear" w:color="auto" w:fill="FFFFFF"/>
        <w:suppressAutoHyphens w:val="true"/>
        <w:ind w:firstLine="708"/>
        <w:jc w:val="both"/>
        <w:rPr>
          <w:sz w:val="24"/>
          <w:szCs w:val="24"/>
        </w:rPr>
      </w:pPr>
      <w:r>
        <w:rPr>
          <w:sz w:val="24"/>
          <w:szCs w:val="24"/>
        </w:rPr>
        <w:t xml:space="preserve">Системы управления и гидромеханические защиты ГА Чирюртской ГЭС-1 собраны в не типовых шкафах производства ОАО «УКПБ» 2007 г. выпуска. </w:t>
      </w:r>
    </w:p>
    <w:p>
      <w:pPr>
        <w:pStyle w:val="Normal"/>
        <w:shd w:val="clear" w:color="auto" w:fill="FFFFFF"/>
        <w:suppressAutoHyphens w:val="true"/>
        <w:ind w:firstLine="709"/>
        <w:jc w:val="both"/>
        <w:rPr>
          <w:sz w:val="24"/>
          <w:szCs w:val="24"/>
        </w:rPr>
      </w:pPr>
      <w:r>
        <w:rPr>
          <w:sz w:val="24"/>
          <w:szCs w:val="24"/>
        </w:rPr>
        <w:t xml:space="preserve">Существующие системы управления ГА Чирюртской ГЭС-1 имеют следующие проблемы в эксплуатации: </w:t>
      </w:r>
    </w:p>
    <w:p>
      <w:pPr>
        <w:pStyle w:val="ListParagraph"/>
        <w:widowControl/>
        <w:numPr>
          <w:ilvl w:val="0"/>
          <w:numId w:val="9"/>
        </w:numPr>
        <w:shd w:val="clear" w:color="auto" w:fill="FFFFFF"/>
        <w:suppressAutoHyphens w:val="true"/>
        <w:bidi w:val="0"/>
        <w:spacing w:before="0" w:after="0"/>
        <w:ind w:hanging="340" w:left="907" w:right="0"/>
        <w:contextualSpacing/>
        <w:jc w:val="both"/>
        <w:rPr/>
      </w:pPr>
      <w:r>
        <w:rPr>
          <w:sz w:val="24"/>
          <w:szCs w:val="24"/>
        </w:rPr>
        <w:t xml:space="preserve">Значительный износ электрогидравлической части системы управления гидротурбиной и отсутствие эффективных местных органов управления и контроля в колонке управления. </w:t>
      </w:r>
    </w:p>
    <w:p>
      <w:pPr>
        <w:pStyle w:val="ListParagraph"/>
        <w:widowControl/>
        <w:numPr>
          <w:ilvl w:val="0"/>
          <w:numId w:val="9"/>
        </w:numPr>
        <w:shd w:val="clear" w:color="auto" w:fill="FFFFFF"/>
        <w:suppressAutoHyphens w:val="true"/>
        <w:bidi w:val="0"/>
        <w:spacing w:before="0" w:after="0"/>
        <w:ind w:hanging="340" w:left="907" w:right="0"/>
        <w:contextualSpacing/>
        <w:jc w:val="both"/>
        <w:rPr/>
      </w:pPr>
      <w:r>
        <w:rPr>
          <w:sz w:val="24"/>
          <w:szCs w:val="24"/>
        </w:rPr>
        <w:t>Низкая точность и надежность каналов измерения частоты вращения гидроагрегата, низкая надежность схемы управления КАЗ НА.</w:t>
      </w:r>
    </w:p>
    <w:p>
      <w:pPr>
        <w:pStyle w:val="ListParagraph"/>
        <w:widowControl/>
        <w:numPr>
          <w:ilvl w:val="0"/>
          <w:numId w:val="9"/>
        </w:numPr>
        <w:shd w:val="clear" w:color="auto" w:fill="FFFFFF"/>
        <w:suppressAutoHyphens w:val="true"/>
        <w:bidi w:val="0"/>
        <w:spacing w:before="0" w:after="0"/>
        <w:ind w:hanging="340" w:left="907" w:right="0"/>
        <w:contextualSpacing/>
        <w:jc w:val="both"/>
        <w:rPr/>
      </w:pPr>
      <w:r>
        <w:rPr>
          <w:sz w:val="24"/>
          <w:szCs w:val="24"/>
        </w:rPr>
        <w:t>Низкая производительность, надежность и изношенность сервера сбора данных и отсутствие привязки входных сигналов к астрономическому времени.</w:t>
      </w:r>
    </w:p>
    <w:p>
      <w:pPr>
        <w:pStyle w:val="ListParagraph"/>
        <w:widowControl/>
        <w:numPr>
          <w:ilvl w:val="0"/>
          <w:numId w:val="9"/>
        </w:numPr>
        <w:shd w:val="clear" w:color="auto" w:fill="FFFFFF"/>
        <w:suppressAutoHyphens w:val="true"/>
        <w:bidi w:val="0"/>
        <w:spacing w:before="0" w:after="0"/>
        <w:ind w:hanging="340" w:left="907" w:right="0"/>
        <w:contextualSpacing/>
        <w:jc w:val="both"/>
        <w:rPr/>
      </w:pPr>
      <w:r>
        <w:rPr>
          <w:sz w:val="24"/>
          <w:szCs w:val="24"/>
        </w:rPr>
        <w:t>Отсутствие схемы контроля исправности контроллера управления гидроагрегатом.</w:t>
      </w:r>
    </w:p>
    <w:p>
      <w:pPr>
        <w:pStyle w:val="ListParagraph"/>
        <w:widowControl/>
        <w:numPr>
          <w:ilvl w:val="0"/>
          <w:numId w:val="9"/>
        </w:numPr>
        <w:shd w:val="clear" w:color="auto" w:fill="FFFFFF"/>
        <w:suppressAutoHyphens w:val="true"/>
        <w:bidi w:val="0"/>
        <w:spacing w:before="0" w:after="0"/>
        <w:ind w:hanging="340" w:left="907" w:right="0"/>
        <w:contextualSpacing/>
        <w:jc w:val="both"/>
        <w:rPr/>
      </w:pPr>
      <w:r>
        <w:rPr>
          <w:sz w:val="24"/>
          <w:szCs w:val="24"/>
        </w:rPr>
        <w:t>Отсутствие схем контроля достоверности входных сигналов.</w:t>
      </w:r>
    </w:p>
    <w:p>
      <w:pPr>
        <w:pStyle w:val="ListParagraph"/>
        <w:widowControl/>
        <w:numPr>
          <w:ilvl w:val="0"/>
          <w:numId w:val="9"/>
        </w:numPr>
        <w:shd w:val="clear" w:color="auto" w:fill="FFFFFF"/>
        <w:suppressAutoHyphens w:val="true"/>
        <w:bidi w:val="0"/>
        <w:spacing w:before="0" w:after="0"/>
        <w:ind w:hanging="340" w:left="907" w:right="0"/>
        <w:contextualSpacing/>
        <w:jc w:val="both"/>
        <w:rPr/>
      </w:pPr>
      <w:r>
        <w:rPr>
          <w:sz w:val="24"/>
          <w:szCs w:val="24"/>
        </w:rPr>
        <w:t>Отсутствие само-диагностических функций в контроллерах управления.</w:t>
      </w:r>
    </w:p>
    <w:p>
      <w:pPr>
        <w:pStyle w:val="ListParagraph"/>
        <w:widowControl/>
        <w:numPr>
          <w:ilvl w:val="0"/>
          <w:numId w:val="9"/>
        </w:numPr>
        <w:shd w:val="clear" w:color="auto" w:fill="FFFFFF"/>
        <w:suppressAutoHyphens w:val="true"/>
        <w:bidi w:val="0"/>
        <w:spacing w:before="0" w:after="0"/>
        <w:ind w:hanging="340" w:left="907" w:right="0"/>
        <w:contextualSpacing/>
        <w:jc w:val="both"/>
        <w:rPr/>
      </w:pPr>
      <w:r>
        <w:rPr>
          <w:sz w:val="24"/>
          <w:szCs w:val="24"/>
        </w:rPr>
        <w:t>Отсутствия в системе управления дублирования наиболее ответственных каналов измерения и управления.</w:t>
      </w:r>
    </w:p>
    <w:p>
      <w:pPr>
        <w:pStyle w:val="ListParagraph"/>
        <w:widowControl/>
        <w:numPr>
          <w:ilvl w:val="0"/>
          <w:numId w:val="9"/>
        </w:numPr>
        <w:shd w:val="clear" w:color="auto" w:fill="FFFFFF"/>
        <w:suppressAutoHyphens w:val="true"/>
        <w:bidi w:val="0"/>
        <w:spacing w:before="0" w:after="0"/>
        <w:ind w:hanging="340" w:left="907" w:right="0"/>
        <w:contextualSpacing/>
        <w:jc w:val="both"/>
        <w:rPr/>
      </w:pPr>
      <w:r>
        <w:rPr>
          <w:sz w:val="24"/>
          <w:szCs w:val="24"/>
        </w:rPr>
        <w:t>Отсутствует дублирование контроллеров управления.</w:t>
      </w:r>
    </w:p>
    <w:p>
      <w:pPr>
        <w:pStyle w:val="ListParagraph"/>
        <w:widowControl/>
        <w:numPr>
          <w:ilvl w:val="0"/>
          <w:numId w:val="9"/>
        </w:numPr>
        <w:shd w:val="clear" w:color="auto" w:fill="FFFFFF"/>
        <w:suppressAutoHyphens w:val="true"/>
        <w:bidi w:val="0"/>
        <w:spacing w:before="0" w:after="0"/>
        <w:ind w:hanging="340" w:left="907" w:right="0"/>
        <w:contextualSpacing/>
        <w:jc w:val="both"/>
        <w:rPr/>
      </w:pPr>
      <w:r>
        <w:rPr>
          <w:sz w:val="24"/>
          <w:szCs w:val="24"/>
        </w:rPr>
        <w:t xml:space="preserve">Система управления контроллеров создана на низкоскоростной шине </w:t>
      </w:r>
      <w:r>
        <w:rPr>
          <w:sz w:val="24"/>
          <w:szCs w:val="24"/>
          <w:lang w:val="en-US"/>
        </w:rPr>
        <w:t>MPI</w:t>
      </w:r>
      <w:r>
        <w:rPr>
          <w:sz w:val="24"/>
          <w:szCs w:val="24"/>
        </w:rPr>
        <w:t>.</w:t>
      </w:r>
    </w:p>
    <w:p>
      <w:pPr>
        <w:pStyle w:val="ListParagraph"/>
        <w:widowControl/>
        <w:numPr>
          <w:ilvl w:val="0"/>
          <w:numId w:val="9"/>
        </w:numPr>
        <w:shd w:val="clear" w:color="auto" w:fill="FFFFFF"/>
        <w:suppressAutoHyphens w:val="true"/>
        <w:bidi w:val="0"/>
        <w:spacing w:before="0" w:after="0"/>
        <w:ind w:hanging="340" w:left="907" w:right="0"/>
        <w:contextualSpacing/>
        <w:jc w:val="both"/>
        <w:rPr/>
      </w:pPr>
      <w:r>
        <w:rPr>
          <w:sz w:val="24"/>
          <w:szCs w:val="24"/>
        </w:rPr>
        <w:t>Слабо развитый интерфейс ПО АРМ оперативного персонала.</w:t>
      </w:r>
    </w:p>
    <w:p>
      <w:pPr>
        <w:pStyle w:val="ListParagraph"/>
        <w:widowControl/>
        <w:numPr>
          <w:ilvl w:val="0"/>
          <w:numId w:val="9"/>
        </w:numPr>
        <w:shd w:val="clear" w:color="auto" w:fill="FFFFFF"/>
        <w:suppressAutoHyphens w:val="true"/>
        <w:bidi w:val="0"/>
        <w:spacing w:before="0" w:after="0"/>
        <w:ind w:hanging="340" w:left="907" w:right="0"/>
        <w:contextualSpacing/>
        <w:jc w:val="both"/>
        <w:rPr/>
      </w:pPr>
      <w:r>
        <w:rPr>
          <w:sz w:val="24"/>
          <w:szCs w:val="24"/>
        </w:rPr>
        <w:t>Отсутствия полноценного серверного оборудования с резервированным питанием, сервера точного времени.</w:t>
      </w:r>
    </w:p>
    <w:p>
      <w:pPr>
        <w:pStyle w:val="Normal"/>
        <w:shd w:val="clear" w:color="auto" w:fill="FFFFFF"/>
        <w:suppressAutoHyphens w:val="true"/>
        <w:ind w:firstLine="709"/>
        <w:jc w:val="both"/>
        <w:rPr>
          <w:b/>
          <w:sz w:val="24"/>
          <w:szCs w:val="24"/>
        </w:rPr>
      </w:pPr>
      <w:r>
        <w:rPr>
          <w:b/>
          <w:sz w:val="24"/>
          <w:szCs w:val="24"/>
        </w:rPr>
      </w:r>
    </w:p>
    <w:p>
      <w:pPr>
        <w:pStyle w:val="Normal"/>
        <w:shd w:val="clear" w:color="auto" w:fill="FFFFFF"/>
        <w:suppressAutoHyphens w:val="true"/>
        <w:ind w:firstLine="709"/>
        <w:jc w:val="both"/>
        <w:rPr>
          <w:b/>
          <w:sz w:val="24"/>
          <w:szCs w:val="24"/>
        </w:rPr>
      </w:pPr>
      <w:r>
        <w:rPr>
          <w:b/>
          <w:sz w:val="24"/>
          <w:szCs w:val="24"/>
        </w:rPr>
      </w:r>
    </w:p>
    <w:p>
      <w:pPr>
        <w:pStyle w:val="Normal"/>
        <w:shd w:val="clear" w:color="auto" w:fill="FFFFFF"/>
        <w:suppressAutoHyphens w:val="true"/>
        <w:ind w:firstLine="709"/>
        <w:jc w:val="both"/>
        <w:rPr>
          <w:b/>
          <w:sz w:val="24"/>
          <w:szCs w:val="24"/>
        </w:rPr>
      </w:pPr>
      <w:r>
        <w:rPr>
          <w:b/>
          <w:sz w:val="24"/>
          <w:szCs w:val="24"/>
        </w:rPr>
      </w:r>
    </w:p>
    <w:p>
      <w:pPr>
        <w:pStyle w:val="Normal"/>
        <w:shd w:val="clear" w:color="auto" w:fill="FFFFFF"/>
        <w:suppressAutoHyphens w:val="true"/>
        <w:ind w:firstLine="709"/>
        <w:jc w:val="both"/>
        <w:rPr>
          <w:b/>
          <w:sz w:val="24"/>
          <w:szCs w:val="24"/>
        </w:rPr>
      </w:pPr>
      <w:r>
        <w:rPr>
          <w:b/>
          <w:sz w:val="24"/>
          <w:szCs w:val="24"/>
        </w:rPr>
      </w:r>
    </w:p>
    <w:p>
      <w:pPr>
        <w:pStyle w:val="Normal"/>
        <w:shd w:val="clear" w:color="auto" w:fill="FFFFFF"/>
        <w:suppressAutoHyphens w:val="true"/>
        <w:ind w:firstLine="709"/>
        <w:jc w:val="both"/>
        <w:rPr>
          <w:b/>
          <w:sz w:val="24"/>
          <w:szCs w:val="24"/>
        </w:rPr>
      </w:pPr>
      <w:r>
        <w:rPr>
          <w:b/>
          <w:sz w:val="24"/>
          <w:szCs w:val="24"/>
        </w:rPr>
      </w:r>
    </w:p>
    <w:p>
      <w:pPr>
        <w:pStyle w:val="Normal"/>
        <w:shd w:val="clear" w:color="auto" w:fill="FFFFFF"/>
        <w:suppressAutoHyphens w:val="true"/>
        <w:ind w:firstLine="709"/>
        <w:jc w:val="both"/>
        <w:rPr>
          <w:b/>
          <w:sz w:val="24"/>
          <w:szCs w:val="24"/>
        </w:rPr>
      </w:pPr>
      <w:r>
        <w:rPr>
          <w:b/>
          <w:sz w:val="24"/>
          <w:szCs w:val="24"/>
        </w:rPr>
      </w:r>
    </w:p>
    <w:p>
      <w:pPr>
        <w:pStyle w:val="Normal"/>
        <w:shd w:val="clear" w:color="auto" w:fill="FFFFFF"/>
        <w:suppressAutoHyphens w:val="true"/>
        <w:ind w:firstLine="709"/>
        <w:jc w:val="both"/>
        <w:rPr>
          <w:b/>
          <w:sz w:val="24"/>
          <w:szCs w:val="24"/>
        </w:rPr>
      </w:pPr>
      <w:r>
        <w:rPr>
          <w:b/>
          <w:sz w:val="24"/>
          <w:szCs w:val="24"/>
        </w:rPr>
        <w:t>Общие сведения о гидроэлектростанции:</w:t>
      </w:r>
    </w:p>
    <w:p>
      <w:pPr>
        <w:pStyle w:val="Normal"/>
        <w:widowControl w:val="false"/>
        <w:suppressAutoHyphens w:val="true"/>
        <w:rPr>
          <w:b/>
          <w:sz w:val="24"/>
          <w:szCs w:val="24"/>
        </w:rPr>
      </w:pPr>
      <w:r>
        <w:rPr>
          <w:b/>
          <w:sz w:val="24"/>
          <w:szCs w:val="24"/>
        </w:rPr>
        <w:tab/>
        <w:t xml:space="preserve"> </w:t>
      </w:r>
    </w:p>
    <w:p>
      <w:pPr>
        <w:pStyle w:val="Normal"/>
        <w:widowControl w:val="false"/>
        <w:suppressAutoHyphens w:val="true"/>
        <w:rPr>
          <w:b/>
          <w:sz w:val="24"/>
          <w:szCs w:val="24"/>
        </w:rPr>
      </w:pPr>
      <w:r>
        <w:rPr>
          <w:b/>
          <w:sz w:val="24"/>
          <w:szCs w:val="24"/>
        </w:rPr>
        <w:t>Гидротурбины в количестве 2 шт:</w:t>
      </w:r>
    </w:p>
    <w:p>
      <w:pPr>
        <w:pStyle w:val="Normal"/>
        <w:widowControl w:val="false"/>
        <w:suppressAutoHyphens w:val="true"/>
        <w:rPr>
          <w:sz w:val="24"/>
          <w:szCs w:val="24"/>
        </w:rPr>
      </w:pPr>
      <w:r>
        <w:rPr>
          <w:sz w:val="24"/>
          <w:szCs w:val="24"/>
        </w:rPr>
      </w:r>
    </w:p>
    <w:p>
      <w:pPr>
        <w:pStyle w:val="Normal"/>
        <w:widowControl w:val="false"/>
        <w:suppressAutoHyphens w:val="true"/>
        <w:rPr>
          <w:sz w:val="24"/>
          <w:szCs w:val="24"/>
        </w:rPr>
      </w:pPr>
      <w:r>
        <w:rPr>
          <w:sz w:val="24"/>
          <w:szCs w:val="24"/>
        </w:rPr>
        <w:t>1. Тип</w:t>
        <w:tab/>
        <w:tab/>
        <w:tab/>
        <w:tab/>
        <w:tab/>
        <w:tab/>
        <w:tab/>
        <w:tab/>
        <w:tab/>
        <w:t>ПЛ-642ВБ-370 ХТГЗ</w:t>
      </w:r>
    </w:p>
    <w:p>
      <w:pPr>
        <w:pStyle w:val="Normal"/>
        <w:widowControl w:val="false"/>
        <w:suppressAutoHyphens w:val="true"/>
        <w:rPr>
          <w:sz w:val="24"/>
          <w:szCs w:val="24"/>
        </w:rPr>
      </w:pPr>
      <w:r>
        <w:rPr>
          <w:sz w:val="24"/>
          <w:szCs w:val="24"/>
        </w:rPr>
        <w:t>2. Мощность турбины</w:t>
        <w:tab/>
        <w:tab/>
        <w:tab/>
        <w:tab/>
        <w:tab/>
        <w:tab/>
        <w:t>36 МВт</w:t>
      </w:r>
    </w:p>
    <w:p>
      <w:pPr>
        <w:pStyle w:val="Normal"/>
        <w:widowControl w:val="false"/>
        <w:suppressAutoHyphens w:val="true"/>
        <w:rPr>
          <w:sz w:val="24"/>
          <w:szCs w:val="24"/>
        </w:rPr>
      </w:pPr>
      <w:r>
        <w:rPr>
          <w:sz w:val="24"/>
          <w:szCs w:val="24"/>
        </w:rPr>
        <w:t>3. Номинальная частота вращения</w:t>
        <w:tab/>
        <w:tab/>
        <w:tab/>
        <w:tab/>
        <w:tab/>
        <w:t>187,5 об/мин</w:t>
      </w:r>
    </w:p>
    <w:p>
      <w:pPr>
        <w:pStyle w:val="Normal"/>
        <w:widowControl w:val="false"/>
        <w:suppressAutoHyphens w:val="true"/>
        <w:rPr>
          <w:b/>
          <w:sz w:val="24"/>
          <w:szCs w:val="24"/>
        </w:rPr>
      </w:pPr>
      <w:r>
        <w:rPr>
          <w:sz w:val="24"/>
          <w:szCs w:val="24"/>
        </w:rPr>
        <w:t>4. Год ввода</w:t>
        <w:tab/>
        <w:tab/>
        <w:tab/>
        <w:tab/>
        <w:tab/>
        <w:tab/>
        <w:tab/>
        <w:tab/>
        <w:t>1961г.</w:t>
      </w:r>
    </w:p>
    <w:p>
      <w:pPr>
        <w:pStyle w:val="Normal"/>
        <w:widowControl w:val="false"/>
        <w:suppressAutoHyphens w:val="true"/>
        <w:rPr>
          <w:b/>
          <w:sz w:val="24"/>
          <w:szCs w:val="24"/>
        </w:rPr>
      </w:pPr>
      <w:r>
        <w:rPr>
          <w:b/>
          <w:sz w:val="24"/>
          <w:szCs w:val="24"/>
        </w:rPr>
      </w:r>
    </w:p>
    <w:p>
      <w:pPr>
        <w:pStyle w:val="Normal"/>
        <w:shd w:val="clear" w:color="auto" w:fill="FFFFFF"/>
        <w:suppressAutoHyphens w:val="true"/>
        <w:jc w:val="both"/>
        <w:rPr>
          <w:b/>
          <w:sz w:val="24"/>
          <w:szCs w:val="24"/>
        </w:rPr>
      </w:pPr>
      <w:r>
        <w:rPr>
          <w:b/>
          <w:sz w:val="24"/>
          <w:szCs w:val="24"/>
        </w:rPr>
        <w:t>Гидрогенераторы в количестве 2шт:</w:t>
      </w:r>
    </w:p>
    <w:p>
      <w:pPr>
        <w:pStyle w:val="Normal"/>
        <w:shd w:val="clear" w:color="auto" w:fill="FFFFFF"/>
        <w:suppressAutoHyphens w:val="true"/>
        <w:jc w:val="both"/>
        <w:rPr>
          <w:b/>
          <w:sz w:val="24"/>
          <w:szCs w:val="24"/>
        </w:rPr>
      </w:pPr>
      <w:r>
        <w:rPr>
          <w:b/>
          <w:sz w:val="24"/>
          <w:szCs w:val="24"/>
        </w:rPr>
      </w:r>
    </w:p>
    <w:p>
      <w:pPr>
        <w:pStyle w:val="Normal"/>
        <w:shd w:val="clear" w:color="auto" w:fill="FFFFFF"/>
        <w:suppressAutoHyphens w:val="true"/>
        <w:jc w:val="both"/>
        <w:rPr>
          <w:sz w:val="24"/>
          <w:szCs w:val="24"/>
        </w:rPr>
      </w:pPr>
      <w:r>
        <w:rPr>
          <w:sz w:val="24"/>
          <w:szCs w:val="24"/>
        </w:rPr>
        <w:t>1. Тип</w:t>
        <w:tab/>
        <w:tab/>
        <w:tab/>
        <w:tab/>
        <w:tab/>
        <w:tab/>
        <w:tab/>
        <w:tab/>
        <w:tab/>
        <w:t>ВГС 650/32 УХЛ4</w:t>
      </w:r>
    </w:p>
    <w:p>
      <w:pPr>
        <w:pStyle w:val="Normal"/>
        <w:shd w:val="clear" w:color="auto" w:fill="FFFFFF"/>
        <w:suppressAutoHyphens w:val="true"/>
        <w:jc w:val="both"/>
        <w:rPr>
          <w:sz w:val="24"/>
          <w:szCs w:val="24"/>
        </w:rPr>
      </w:pPr>
      <w:r>
        <w:rPr>
          <w:sz w:val="24"/>
          <w:szCs w:val="24"/>
        </w:rPr>
        <w:t>2. Номинальная мощность (полная)</w:t>
        <w:tab/>
        <w:tab/>
        <w:tab/>
        <w:tab/>
        <w:t>36 МВА</w:t>
      </w:r>
    </w:p>
    <w:p>
      <w:pPr>
        <w:pStyle w:val="Normal"/>
        <w:shd w:val="clear" w:color="auto" w:fill="FFFFFF"/>
        <w:suppressAutoHyphens w:val="true"/>
        <w:jc w:val="both"/>
        <w:rPr>
          <w:sz w:val="24"/>
          <w:szCs w:val="24"/>
        </w:rPr>
      </w:pPr>
      <w:r>
        <w:rPr>
          <w:sz w:val="24"/>
          <w:szCs w:val="24"/>
        </w:rPr>
        <w:t>3. Номинальная мощность (активная)</w:t>
        <w:tab/>
        <w:tab/>
        <w:tab/>
        <w:tab/>
        <w:t>36 МВт</w:t>
      </w:r>
    </w:p>
    <w:p>
      <w:pPr>
        <w:pStyle w:val="Normal"/>
        <w:shd w:val="clear" w:color="auto" w:fill="FFFFFF"/>
        <w:suppressAutoHyphens w:val="true"/>
        <w:jc w:val="both"/>
        <w:rPr>
          <w:sz w:val="24"/>
          <w:szCs w:val="24"/>
        </w:rPr>
      </w:pPr>
      <w:r>
        <w:rPr>
          <w:sz w:val="24"/>
          <w:szCs w:val="24"/>
        </w:rPr>
        <w:t>3. Ток статора</w:t>
        <w:tab/>
        <w:tab/>
        <w:tab/>
        <w:tab/>
        <w:tab/>
        <w:tab/>
        <w:tab/>
        <w:t>1040А</w:t>
      </w:r>
    </w:p>
    <w:p>
      <w:pPr>
        <w:pStyle w:val="Normal"/>
        <w:shd w:val="clear" w:color="auto" w:fill="FFFFFF"/>
        <w:suppressAutoHyphens w:val="true"/>
        <w:jc w:val="both"/>
        <w:rPr>
          <w:sz w:val="24"/>
          <w:szCs w:val="24"/>
        </w:rPr>
      </w:pPr>
      <w:r>
        <w:rPr>
          <w:sz w:val="24"/>
          <w:szCs w:val="24"/>
        </w:rPr>
        <w:t>4. Ток ротора</w:t>
        <w:tab/>
        <w:tab/>
        <w:tab/>
        <w:tab/>
        <w:tab/>
        <w:tab/>
        <w:tab/>
        <w:tab/>
        <w:t>А</w:t>
      </w:r>
    </w:p>
    <w:p>
      <w:pPr>
        <w:pStyle w:val="Normal"/>
        <w:shd w:val="clear" w:color="auto" w:fill="FFFFFF"/>
        <w:suppressAutoHyphens w:val="true"/>
        <w:jc w:val="both"/>
        <w:rPr>
          <w:sz w:val="24"/>
          <w:szCs w:val="24"/>
        </w:rPr>
      </w:pPr>
      <w:r>
        <w:rPr>
          <w:sz w:val="24"/>
          <w:szCs w:val="24"/>
        </w:rPr>
        <w:t>5. Частота</w:t>
        <w:tab/>
        <w:tab/>
        <w:tab/>
        <w:tab/>
        <w:tab/>
        <w:tab/>
        <w:tab/>
        <w:tab/>
        <w:t>50 Гц</w:t>
      </w:r>
    </w:p>
    <w:p>
      <w:pPr>
        <w:pStyle w:val="Normal"/>
        <w:shd w:val="clear" w:color="auto" w:fill="FFFFFF"/>
        <w:suppressAutoHyphens w:val="true"/>
        <w:jc w:val="both"/>
        <w:rPr>
          <w:sz w:val="24"/>
          <w:szCs w:val="24"/>
        </w:rPr>
      </w:pPr>
      <w:r>
        <w:rPr>
          <w:sz w:val="24"/>
          <w:szCs w:val="24"/>
        </w:rPr>
        <w:t xml:space="preserve">6. Число фаз </w:t>
        <w:tab/>
        <w:tab/>
        <w:tab/>
        <w:tab/>
        <w:tab/>
        <w:tab/>
        <w:tab/>
        <w:tab/>
        <w:t>3</w:t>
      </w:r>
    </w:p>
    <w:p>
      <w:pPr>
        <w:pStyle w:val="Normal"/>
        <w:shd w:val="clear" w:color="auto" w:fill="FFFFFF"/>
        <w:suppressAutoHyphens w:val="true"/>
        <w:jc w:val="both"/>
        <w:rPr>
          <w:sz w:val="24"/>
          <w:szCs w:val="24"/>
        </w:rPr>
      </w:pPr>
      <w:r>
        <w:rPr>
          <w:sz w:val="24"/>
          <w:szCs w:val="24"/>
        </w:rPr>
        <w:t>7. Коэффициент мощности</w:t>
        <w:tab/>
        <w:tab/>
        <w:tab/>
        <w:tab/>
        <w:tab/>
        <w:tab/>
      </w:r>
    </w:p>
    <w:p>
      <w:pPr>
        <w:pStyle w:val="Normal"/>
        <w:shd w:val="clear" w:color="auto" w:fill="FFFFFF"/>
        <w:suppressAutoHyphens w:val="true"/>
        <w:jc w:val="both"/>
        <w:rPr>
          <w:sz w:val="24"/>
          <w:szCs w:val="24"/>
        </w:rPr>
      </w:pPr>
      <w:r>
        <w:rPr>
          <w:sz w:val="24"/>
          <w:szCs w:val="24"/>
        </w:rPr>
        <w:t>8. Напряжение генератора</w:t>
        <w:tab/>
        <w:tab/>
        <w:tab/>
        <w:tab/>
        <w:tab/>
        <w:tab/>
        <w:t>10,5 кВ</w:t>
      </w:r>
    </w:p>
    <w:p>
      <w:pPr>
        <w:pStyle w:val="Normal"/>
        <w:shd w:val="clear" w:color="auto" w:fill="FFFFFF"/>
        <w:suppressAutoHyphens w:val="true"/>
        <w:jc w:val="both"/>
        <w:rPr>
          <w:sz w:val="24"/>
          <w:szCs w:val="24"/>
        </w:rPr>
      </w:pPr>
      <w:r>
        <w:rPr>
          <w:sz w:val="24"/>
          <w:szCs w:val="24"/>
        </w:rPr>
        <w:t>9. Номинальное число оборотов</w:t>
        <w:tab/>
        <w:tab/>
        <w:tab/>
        <w:tab/>
        <w:tab/>
        <w:t>187,5 об/мин</w:t>
      </w:r>
    </w:p>
    <w:p>
      <w:pPr>
        <w:pStyle w:val="Normal"/>
        <w:shd w:val="clear" w:color="auto" w:fill="FFFFFF"/>
        <w:suppressAutoHyphens w:val="true"/>
        <w:jc w:val="both"/>
        <w:rPr>
          <w:sz w:val="24"/>
          <w:szCs w:val="24"/>
        </w:rPr>
      </w:pPr>
      <w:r>
        <w:rPr>
          <w:sz w:val="24"/>
          <w:szCs w:val="24"/>
        </w:rPr>
        <w:t>10. Угонное число оборотов</w:t>
        <w:tab/>
        <w:tab/>
        <w:tab/>
        <w:tab/>
        <w:tab/>
        <w:tab/>
        <w:t>об/мин</w:t>
      </w:r>
    </w:p>
    <w:p>
      <w:pPr>
        <w:pStyle w:val="Normal"/>
        <w:shd w:val="clear" w:color="auto" w:fill="FFFFFF"/>
        <w:suppressAutoHyphens w:val="true"/>
        <w:jc w:val="both"/>
        <w:rPr>
          <w:sz w:val="24"/>
          <w:szCs w:val="24"/>
        </w:rPr>
      </w:pPr>
      <w:r>
        <w:rPr>
          <w:sz w:val="24"/>
          <w:szCs w:val="24"/>
        </w:rPr>
        <w:t>11. Год выпуска</w:t>
        <w:tab/>
        <w:tab/>
        <w:tab/>
        <w:tab/>
        <w:tab/>
        <w:tab/>
        <w:tab/>
        <w:t>1961 г.</w:t>
      </w:r>
    </w:p>
    <w:p>
      <w:pPr>
        <w:pStyle w:val="Normal"/>
        <w:shd w:val="clear" w:color="auto" w:fill="FFFFFF"/>
        <w:suppressAutoHyphens w:val="true"/>
        <w:jc w:val="both"/>
        <w:rPr>
          <w:sz w:val="24"/>
          <w:szCs w:val="24"/>
        </w:rPr>
      </w:pPr>
      <w:r>
        <w:rPr>
          <w:sz w:val="24"/>
          <w:szCs w:val="24"/>
        </w:rPr>
        <w:t xml:space="preserve">12. Завод изготовитель </w:t>
        <w:tab/>
        <w:tab/>
        <w:tab/>
        <w:tab/>
        <w:tab/>
        <w:tab/>
        <w:t>Уралэлектроаппарат</w:t>
      </w:r>
    </w:p>
    <w:p>
      <w:pPr>
        <w:pStyle w:val="Normal"/>
        <w:widowControl w:val="false"/>
        <w:suppressAutoHyphens w:val="true"/>
        <w:rPr>
          <w:b/>
          <w:sz w:val="24"/>
          <w:szCs w:val="24"/>
        </w:rPr>
      </w:pPr>
      <w:r>
        <w:rPr>
          <w:b/>
          <w:sz w:val="24"/>
          <w:szCs w:val="24"/>
        </w:rPr>
      </w:r>
    </w:p>
    <w:p>
      <w:pPr>
        <w:pStyle w:val="Heading4"/>
        <w:numPr>
          <w:ilvl w:val="1"/>
          <w:numId w:val="3"/>
        </w:numPr>
        <w:rPr>
          <w:lang w:val="ru-RU"/>
        </w:rPr>
      </w:pPr>
      <w:bookmarkStart w:id="22" w:name="_Toc75446571"/>
      <w:bookmarkStart w:id="23" w:name="_Toc46743509"/>
      <w:bookmarkStart w:id="24" w:name="_Hlk49857604"/>
      <w:r>
        <w:rPr/>
        <w:t xml:space="preserve">Информация в отношении исполнения договора, </w:t>
      </w:r>
      <w:bookmarkStart w:id="25" w:name="_Hlk46492347"/>
      <w:r>
        <w:rPr/>
        <w:t xml:space="preserve">которая должна быть учтена при подготовке заявки </w:t>
      </w:r>
      <w:bookmarkEnd w:id="25"/>
      <w:r>
        <w:rPr/>
        <w:t xml:space="preserve">(в том числе перечень ресурсов, услуг и документов, предоставляемых </w:t>
      </w:r>
      <w:r>
        <w:rPr>
          <w:lang w:val="ru-RU"/>
        </w:rPr>
        <w:t>заказчиком</w:t>
      </w:r>
      <w:r>
        <w:rPr/>
        <w:t xml:space="preserve"> на этапе исполнения договора)</w:t>
      </w:r>
      <w:bookmarkEnd w:id="23"/>
      <w:bookmarkEnd w:id="24"/>
      <w:r>
        <w:rPr>
          <w:lang w:val="ru-RU"/>
        </w:rPr>
        <w:t xml:space="preserve"> </w:t>
      </w:r>
      <w:bookmarkEnd w:id="22"/>
    </w:p>
    <w:p>
      <w:pPr>
        <w:pStyle w:val="Normal"/>
        <w:rPr>
          <w:lang w:eastAsia="x-none"/>
        </w:rPr>
      </w:pPr>
      <w:r>
        <w:rPr>
          <w:lang w:eastAsia="x-none"/>
        </w:rPr>
      </w:r>
    </w:p>
    <w:p>
      <w:pPr>
        <w:pStyle w:val="Normal"/>
        <w:ind w:firstLine="432"/>
        <w:jc w:val="both"/>
        <w:rPr>
          <w:rFonts w:eastAsia="Calibri"/>
          <w:bCs/>
          <w:sz w:val="24"/>
          <w:szCs w:val="24"/>
          <w:lang w:eastAsia="x-none"/>
        </w:rPr>
      </w:pPr>
      <w:r>
        <w:rPr>
          <w:sz w:val="24"/>
          <w:lang w:eastAsia="x-none"/>
        </w:rPr>
        <w:t>Заказчик</w:t>
      </w:r>
      <w:r>
        <w:rPr>
          <w:rFonts w:eastAsia="Calibri"/>
          <w:bCs/>
          <w:sz w:val="24"/>
          <w:szCs w:val="24"/>
          <w:lang w:eastAsia="x-none"/>
        </w:rPr>
        <w:t xml:space="preserve"> предоставит поставщику доступ на объект для проведения обследования и сбора информации по объему работ, этапов замены оборудования и уточнения влияния внешних факторов.</w:t>
      </w:r>
    </w:p>
    <w:p>
      <w:pPr>
        <w:pStyle w:val="Normal"/>
        <w:ind w:firstLine="432"/>
        <w:rPr>
          <w:rFonts w:eastAsia="Calibri"/>
          <w:bCs/>
          <w:sz w:val="24"/>
          <w:szCs w:val="24"/>
          <w:lang w:val="x-none" w:eastAsia="x-none"/>
        </w:rPr>
      </w:pPr>
      <w:r>
        <w:rPr>
          <w:rFonts w:eastAsia="Calibri"/>
          <w:bCs/>
          <w:sz w:val="24"/>
          <w:szCs w:val="24"/>
          <w:lang w:val="x-none" w:eastAsia="x-none"/>
        </w:rPr>
      </w:r>
    </w:p>
    <w:p>
      <w:pPr>
        <w:pStyle w:val="Heading4"/>
        <w:numPr>
          <w:ilvl w:val="1"/>
          <w:numId w:val="3"/>
        </w:numPr>
        <w:rPr/>
      </w:pPr>
      <w:bookmarkStart w:id="26" w:name="_Toc75446572"/>
      <w:bookmarkStart w:id="27" w:name="_Toc50125126"/>
      <w:bookmarkEnd w:id="27"/>
      <w:r>
        <w:rPr/>
        <w:t>Иные требования и сведения общего характера</w:t>
      </w:r>
      <w:bookmarkEnd w:id="26"/>
    </w:p>
    <w:p>
      <w:pPr>
        <w:pStyle w:val="Normal"/>
        <w:widowControl w:val="false"/>
        <w:spacing w:before="120" w:after="120"/>
        <w:ind w:firstLine="432"/>
        <w:jc w:val="both"/>
        <w:rPr>
          <w:rFonts w:eastAsia="Calibri"/>
          <w:sz w:val="24"/>
          <w:szCs w:val="24"/>
          <w:lang w:eastAsia="x-none"/>
        </w:rPr>
      </w:pPr>
      <w:r>
        <w:rPr>
          <w:rFonts w:eastAsia="Calibri"/>
          <w:sz w:val="24"/>
          <w:szCs w:val="24"/>
          <w:lang w:eastAsia="x-none"/>
        </w:rPr>
        <w:t>Поставщик должен обеспечить разработку и передачу Покупателю:</w:t>
      </w:r>
    </w:p>
    <w:p>
      <w:pPr>
        <w:pStyle w:val="ListParagraph"/>
        <w:widowControl w:val="false"/>
        <w:numPr>
          <w:ilvl w:val="0"/>
          <w:numId w:val="11"/>
        </w:numPr>
        <w:spacing w:before="120" w:after="120"/>
        <w:contextualSpacing/>
        <w:jc w:val="both"/>
        <w:rPr>
          <w:lang w:eastAsia="x-none"/>
        </w:rPr>
      </w:pPr>
      <w:r>
        <w:rPr>
          <w:lang w:eastAsia="x-none"/>
        </w:rPr>
        <w:t xml:space="preserve">комплекта конструкторской документации; </w:t>
      </w:r>
    </w:p>
    <w:p>
      <w:pPr>
        <w:pStyle w:val="ListParagraph"/>
        <w:widowControl w:val="false"/>
        <w:numPr>
          <w:ilvl w:val="0"/>
          <w:numId w:val="11"/>
        </w:numPr>
        <w:spacing w:before="120" w:after="120"/>
        <w:contextualSpacing/>
        <w:jc w:val="both"/>
        <w:rPr>
          <w:lang w:eastAsia="x-none"/>
        </w:rPr>
      </w:pPr>
      <w:r>
        <w:rPr>
          <w:lang w:eastAsia="x-none"/>
        </w:rPr>
        <w:t>технической документации на поставляемое оборудование в объеме необходимом и достаточном для определения состава и устройство изделия, а также содержащего необходимые данные для его монтажа, испытаний, контроля, эксплуатации, ремонта и утилизации;</w:t>
      </w:r>
    </w:p>
    <w:p>
      <w:pPr>
        <w:pStyle w:val="ListParagraph"/>
        <w:widowControl w:val="false"/>
        <w:numPr>
          <w:ilvl w:val="0"/>
          <w:numId w:val="11"/>
        </w:numPr>
        <w:spacing w:before="120" w:after="120"/>
        <w:contextualSpacing/>
        <w:jc w:val="both"/>
        <w:rPr>
          <w:lang w:eastAsia="x-none"/>
        </w:rPr>
      </w:pPr>
      <w:r>
        <w:rPr>
          <w:lang w:eastAsia="x-none"/>
        </w:rPr>
        <w:t>рабочую документацию</w:t>
      </w:r>
    </w:p>
    <w:p>
      <w:pPr>
        <w:pStyle w:val="ListParagraph"/>
        <w:widowControl w:val="false"/>
        <w:spacing w:before="120" w:after="120"/>
        <w:contextualSpacing/>
        <w:jc w:val="both"/>
        <w:rPr>
          <w:lang w:eastAsia="x-none"/>
        </w:rPr>
      </w:pPr>
      <w:r>
        <w:rPr>
          <w:lang w:eastAsia="x-none"/>
        </w:rPr>
      </w:r>
    </w:p>
    <w:p>
      <w:pPr>
        <w:pStyle w:val="ListParagraph"/>
        <w:widowControl w:val="false"/>
        <w:spacing w:before="120" w:after="120"/>
        <w:contextualSpacing/>
        <w:jc w:val="both"/>
        <w:rPr>
          <w:lang w:eastAsia="x-none"/>
        </w:rPr>
      </w:pPr>
      <w:r>
        <w:rPr>
          <w:lang w:eastAsia="x-none"/>
        </w:rPr>
      </w:r>
    </w:p>
    <w:p>
      <w:pPr>
        <w:pStyle w:val="ListParagraph"/>
        <w:widowControl w:val="false"/>
        <w:spacing w:before="120" w:after="120"/>
        <w:contextualSpacing/>
        <w:jc w:val="both"/>
        <w:rPr>
          <w:lang w:eastAsia="x-none"/>
        </w:rPr>
      </w:pPr>
      <w:r>
        <w:rPr>
          <w:lang w:eastAsia="x-none"/>
        </w:rPr>
      </w:r>
    </w:p>
    <w:p>
      <w:pPr>
        <w:pStyle w:val="ListParagraph"/>
        <w:widowControl w:val="false"/>
        <w:spacing w:before="120" w:after="120"/>
        <w:contextualSpacing/>
        <w:jc w:val="both"/>
        <w:rPr>
          <w:lang w:eastAsia="x-none"/>
        </w:rPr>
      </w:pPr>
      <w:r>
        <w:rPr>
          <w:lang w:eastAsia="x-none"/>
        </w:rPr>
      </w:r>
    </w:p>
    <w:p>
      <w:pPr>
        <w:pStyle w:val="Heading1"/>
        <w:keepLines/>
        <w:numPr>
          <w:ilvl w:val="0"/>
          <w:numId w:val="3"/>
        </w:numPr>
        <w:ind w:hanging="357" w:left="357"/>
        <w:jc w:val="center"/>
        <w:rPr>
          <w:iCs/>
          <w:caps/>
          <w:lang w:val="ru-RU"/>
        </w:rPr>
      </w:pPr>
      <w:bookmarkStart w:id="28" w:name="_Toc51339693"/>
      <w:bookmarkStart w:id="29" w:name="_Toc75446573"/>
      <w:r>
        <w:rPr>
          <w:iCs/>
        </w:rPr>
        <w:t>Требования к продукции</w:t>
      </w:r>
      <w:bookmarkEnd w:id="28"/>
      <w:bookmarkEnd w:id="29"/>
    </w:p>
    <w:p>
      <w:pPr>
        <w:pStyle w:val="Heading4"/>
        <w:numPr>
          <w:ilvl w:val="1"/>
          <w:numId w:val="3"/>
        </w:numPr>
        <w:rPr/>
      </w:pPr>
      <w:bookmarkStart w:id="30" w:name="_Toc75446574"/>
      <w:r>
        <w:rPr/>
        <w:t xml:space="preserve">Требования к объемам и срокам </w:t>
      </w:r>
      <w:r>
        <w:rPr>
          <w:lang w:val="ru-RU"/>
        </w:rPr>
        <w:t>поставки</w:t>
      </w:r>
      <w:bookmarkEnd w:id="30"/>
    </w:p>
    <w:p>
      <w:pPr>
        <w:pStyle w:val="Heading3"/>
        <w:numPr>
          <w:ilvl w:val="2"/>
          <w:numId w:val="3"/>
        </w:numPr>
        <w:rPr/>
      </w:pPr>
      <w:bookmarkStart w:id="31" w:name="_Toc75446575"/>
      <w:r>
        <w:rPr>
          <w:lang w:val="ru-RU"/>
        </w:rPr>
        <w:t>Перечень и объем закупаемой продукции</w:t>
      </w:r>
      <w:bookmarkEnd w:id="31"/>
    </w:p>
    <w:p>
      <w:pPr>
        <w:pStyle w:val="Heading1"/>
        <w:keepLines/>
        <w:numPr>
          <w:ilvl w:val="0"/>
          <w:numId w:val="0"/>
        </w:numPr>
        <w:spacing w:before="240" w:after="60"/>
        <w:ind w:hanging="0" w:left="0"/>
        <w:rPr>
          <w:sz w:val="24"/>
          <w:szCs w:val="24"/>
          <w:lang w:val="ru-RU"/>
        </w:rPr>
      </w:pPr>
      <w:bookmarkStart w:id="32" w:name="_Toc75446576"/>
      <w:bookmarkStart w:id="33" w:name="_Toc51339695"/>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33"/>
      <w:r>
        <w:rPr>
          <w:sz w:val="24"/>
          <w:szCs w:val="24"/>
          <w:lang w:val="ru-RU"/>
        </w:rPr>
        <w:t>и объем закупаемой продукции</w:t>
      </w:r>
      <w:bookmarkEnd w:id="32"/>
    </w:p>
    <w:tbl>
      <w:tblPr>
        <w:tblW w:w="9812"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844"/>
        <w:gridCol w:w="6131"/>
        <w:gridCol w:w="1422"/>
        <w:gridCol w:w="1413"/>
        <w:gridCol w:w="1"/>
      </w:tblGrid>
      <w:tr>
        <w:trPr/>
        <w:tc>
          <w:tcPr>
            <w:tcW w:w="844"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w:t>
            </w:r>
          </w:p>
          <w:p>
            <w:pPr>
              <w:pStyle w:val="Normal"/>
              <w:keepNext w:val="true"/>
              <w:widowControl w:val="false"/>
              <w:suppressAutoHyphens w:val="true"/>
              <w:jc w:val="center"/>
              <w:rPr>
                <w:sz w:val="24"/>
                <w:szCs w:val="24"/>
              </w:rPr>
            </w:pPr>
            <w:r>
              <w:rPr>
                <w:sz w:val="24"/>
                <w:szCs w:val="24"/>
              </w:rPr>
              <w:t>п/п</w:t>
            </w:r>
          </w:p>
        </w:tc>
        <w:tc>
          <w:tcPr>
            <w:tcW w:w="613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Наименование продукции</w:t>
            </w:r>
          </w:p>
        </w:tc>
        <w:tc>
          <w:tcPr>
            <w:tcW w:w="142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Единица измерения</w:t>
            </w: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Количество</w:t>
            </w:r>
          </w:p>
        </w:tc>
      </w:tr>
      <w:tr>
        <w:trPr/>
        <w:tc>
          <w:tcPr>
            <w:tcW w:w="8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1</w:t>
            </w:r>
          </w:p>
        </w:tc>
        <w:tc>
          <w:tcPr>
            <w:tcW w:w="613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2</w:t>
            </w:r>
          </w:p>
        </w:tc>
        <w:tc>
          <w:tcPr>
            <w:tcW w:w="142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3</w:t>
            </w:r>
          </w:p>
        </w:tc>
        <w:tc>
          <w:tcPr>
            <w:tcW w:w="14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4</w:t>
            </w:r>
          </w:p>
        </w:tc>
      </w:tr>
      <w:tr>
        <w:trPr/>
        <w:tc>
          <w:tcPr>
            <w:tcW w:w="84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7"/>
              </w:numPr>
              <w:suppressAutoHyphens w:val="true"/>
              <w:rPr/>
            </w:pPr>
            <w:r>
              <w:rPr/>
            </w:r>
          </w:p>
        </w:tc>
        <w:tc>
          <w:tcPr>
            <w:tcW w:w="613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i/>
                <w:i/>
                <w:sz w:val="24"/>
                <w:szCs w:val="24"/>
              </w:rPr>
            </w:pPr>
            <w:r>
              <w:rPr>
                <w:i/>
                <w:sz w:val="24"/>
                <w:szCs w:val="24"/>
              </w:rPr>
              <w:t xml:space="preserve"> </w:t>
            </w:r>
            <w:r>
              <w:rPr>
                <w:i/>
                <w:sz w:val="24"/>
                <w:szCs w:val="24"/>
              </w:rPr>
              <w:t>ПТК технологической автоматики и управления вспомогательным оборудованием (ТАиУВО) гидроагрегата</w:t>
            </w:r>
          </w:p>
        </w:tc>
        <w:tc>
          <w:tcPr>
            <w:tcW w:w="142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rPr>
            </w:pPr>
            <w:r>
              <w:rPr>
                <w:i/>
                <w:sz w:val="24"/>
                <w:szCs w:val="24"/>
              </w:rPr>
              <w:t>Шкаф</w:t>
            </w:r>
          </w:p>
        </w:tc>
        <w:tc>
          <w:tcPr>
            <w:tcW w:w="14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lang w:val="en-US"/>
              </w:rPr>
            </w:pPr>
            <w:r>
              <w:rPr>
                <w:i/>
                <w:sz w:val="24"/>
                <w:szCs w:val="24"/>
              </w:rPr>
              <w:t>2</w:t>
            </w:r>
          </w:p>
        </w:tc>
      </w:tr>
      <w:tr>
        <w:trPr/>
        <w:tc>
          <w:tcPr>
            <w:tcW w:w="844" w:type="dxa"/>
            <w:tcBorders>
              <w:left w:val="single" w:sz="4" w:space="0" w:color="000000"/>
              <w:bottom w:val="single" w:sz="4" w:space="0" w:color="000000"/>
              <w:right w:val="single" w:sz="4" w:space="0" w:color="000000"/>
            </w:tcBorders>
          </w:tcPr>
          <w:p>
            <w:pPr>
              <w:pStyle w:val="ListParagraph"/>
              <w:widowControl w:val="false"/>
              <w:numPr>
                <w:ilvl w:val="0"/>
                <w:numId w:val="7"/>
              </w:numPr>
              <w:suppressAutoHyphens w:val="true"/>
              <w:rPr/>
            </w:pPr>
            <w:r>
              <w:rPr/>
            </w:r>
          </w:p>
        </w:tc>
        <w:tc>
          <w:tcPr>
            <w:tcW w:w="6131" w:type="dxa"/>
            <w:tcBorders>
              <w:left w:val="single" w:sz="4" w:space="0" w:color="000000"/>
              <w:bottom w:val="single" w:sz="4" w:space="0" w:color="000000"/>
              <w:right w:val="single" w:sz="4" w:space="0" w:color="000000"/>
            </w:tcBorders>
          </w:tcPr>
          <w:p>
            <w:pPr>
              <w:pStyle w:val="Normal"/>
              <w:widowControl w:val="false"/>
              <w:suppressAutoHyphens w:val="true"/>
              <w:rPr>
                <w:i/>
                <w:i/>
                <w:sz w:val="24"/>
                <w:szCs w:val="24"/>
              </w:rPr>
            </w:pPr>
            <w:r>
              <w:rPr>
                <w:i/>
                <w:sz w:val="24"/>
                <w:szCs w:val="24"/>
              </w:rPr>
              <w:t>Шкаф УСО термоконтроля</w:t>
            </w:r>
          </w:p>
        </w:tc>
        <w:tc>
          <w:tcPr>
            <w:tcW w:w="1422" w:type="dxa"/>
            <w:tcBorders>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rPr>
            </w:pPr>
            <w:r>
              <w:rPr>
                <w:i/>
                <w:sz w:val="24"/>
                <w:szCs w:val="24"/>
              </w:rPr>
              <w:t>Шкаф</w:t>
            </w:r>
          </w:p>
        </w:tc>
        <w:tc>
          <w:tcPr>
            <w:tcW w:w="1414" w:type="dxa"/>
            <w:gridSpan w:val="2"/>
            <w:tcBorders>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lang w:val="en-US"/>
              </w:rPr>
            </w:pPr>
            <w:r>
              <w:rPr>
                <w:i/>
                <w:sz w:val="24"/>
                <w:szCs w:val="24"/>
              </w:rPr>
              <w:t>2</w:t>
            </w:r>
          </w:p>
        </w:tc>
      </w:tr>
      <w:tr>
        <w:trPr/>
        <w:tc>
          <w:tcPr>
            <w:tcW w:w="844" w:type="dxa"/>
            <w:tcBorders>
              <w:left w:val="single" w:sz="4" w:space="0" w:color="000000"/>
              <w:bottom w:val="single" w:sz="4" w:space="0" w:color="000000"/>
              <w:right w:val="single" w:sz="4" w:space="0" w:color="000000"/>
            </w:tcBorders>
          </w:tcPr>
          <w:p>
            <w:pPr>
              <w:pStyle w:val="ListParagraph"/>
              <w:widowControl w:val="false"/>
              <w:numPr>
                <w:ilvl w:val="0"/>
                <w:numId w:val="7"/>
              </w:numPr>
              <w:suppressAutoHyphens w:val="true"/>
              <w:rPr/>
            </w:pPr>
            <w:r>
              <w:rPr/>
            </w:r>
          </w:p>
        </w:tc>
        <w:tc>
          <w:tcPr>
            <w:tcW w:w="6131" w:type="dxa"/>
            <w:tcBorders>
              <w:left w:val="single" w:sz="4" w:space="0" w:color="000000"/>
              <w:bottom w:val="single" w:sz="4" w:space="0" w:color="000000"/>
              <w:right w:val="single" w:sz="4" w:space="0" w:color="000000"/>
            </w:tcBorders>
          </w:tcPr>
          <w:p>
            <w:pPr>
              <w:pStyle w:val="Normal"/>
              <w:widowControl w:val="false"/>
              <w:suppressAutoHyphens w:val="true"/>
              <w:rPr>
                <w:i/>
                <w:i/>
                <w:sz w:val="24"/>
                <w:szCs w:val="24"/>
              </w:rPr>
            </w:pPr>
            <w:r>
              <w:rPr>
                <w:i/>
                <w:sz w:val="24"/>
                <w:szCs w:val="24"/>
              </w:rPr>
              <w:t>ПТК вибрационного контроля</w:t>
            </w:r>
          </w:p>
        </w:tc>
        <w:tc>
          <w:tcPr>
            <w:tcW w:w="1422" w:type="dxa"/>
            <w:tcBorders>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rPr>
            </w:pPr>
            <w:r>
              <w:rPr>
                <w:i/>
                <w:sz w:val="24"/>
                <w:szCs w:val="24"/>
              </w:rPr>
              <w:t>Шкаф</w:t>
            </w:r>
          </w:p>
        </w:tc>
        <w:tc>
          <w:tcPr>
            <w:tcW w:w="1414" w:type="dxa"/>
            <w:gridSpan w:val="2"/>
            <w:tcBorders>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lang w:val="en-US"/>
              </w:rPr>
            </w:pPr>
            <w:r>
              <w:rPr>
                <w:i/>
                <w:sz w:val="24"/>
                <w:szCs w:val="24"/>
                <w:lang w:val="en-US"/>
              </w:rPr>
              <w:t>2</w:t>
            </w:r>
          </w:p>
        </w:tc>
      </w:tr>
      <w:tr>
        <w:trPr/>
        <w:tc>
          <w:tcPr>
            <w:tcW w:w="84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7"/>
              </w:numPr>
              <w:suppressAutoHyphens w:val="true"/>
              <w:rPr/>
            </w:pPr>
            <w:r>
              <w:rPr/>
            </w:r>
          </w:p>
        </w:tc>
        <w:tc>
          <w:tcPr>
            <w:tcW w:w="613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Style w:val="Style8"/>
                <w:b w:val="false"/>
                <w:bCs/>
                <w:iCs/>
                <w:sz w:val="24"/>
                <w:szCs w:val="24"/>
              </w:rPr>
            </w:pPr>
            <w:r>
              <w:rPr>
                <w:i/>
                <w:sz w:val="24"/>
                <w:szCs w:val="24"/>
              </w:rPr>
              <w:t>Местная панель управления (МПУ)</w:t>
            </w:r>
          </w:p>
        </w:tc>
        <w:tc>
          <w:tcPr>
            <w:tcW w:w="142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rPr>
            </w:pPr>
            <w:r>
              <w:rPr>
                <w:i/>
                <w:sz w:val="24"/>
                <w:szCs w:val="24"/>
              </w:rPr>
              <w:t>Шкаф</w:t>
            </w:r>
          </w:p>
        </w:tc>
        <w:tc>
          <w:tcPr>
            <w:tcW w:w="14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rPr>
            </w:pPr>
            <w:r>
              <w:rPr>
                <w:i/>
                <w:sz w:val="24"/>
                <w:szCs w:val="24"/>
              </w:rPr>
              <w:t>2</w:t>
            </w:r>
          </w:p>
        </w:tc>
      </w:tr>
      <w:tr>
        <w:trPr/>
        <w:tc>
          <w:tcPr>
            <w:tcW w:w="84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7"/>
              </w:numPr>
              <w:suppressAutoHyphens w:val="true"/>
              <w:rPr/>
            </w:pPr>
            <w:r>
              <w:rPr/>
            </w:r>
          </w:p>
        </w:tc>
        <w:tc>
          <w:tcPr>
            <w:tcW w:w="613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i/>
                <w:i/>
                <w:sz w:val="24"/>
                <w:szCs w:val="24"/>
              </w:rPr>
            </w:pPr>
            <w:r>
              <w:rPr>
                <w:i/>
                <w:sz w:val="24"/>
                <w:szCs w:val="24"/>
              </w:rPr>
              <w:t>ПТК общестанционной системы (ОС)</w:t>
            </w:r>
          </w:p>
        </w:tc>
        <w:tc>
          <w:tcPr>
            <w:tcW w:w="142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rPr>
            </w:pPr>
            <w:r>
              <w:rPr>
                <w:i/>
                <w:sz w:val="24"/>
                <w:szCs w:val="24"/>
              </w:rPr>
              <w:t>Шкаф</w:t>
            </w:r>
          </w:p>
        </w:tc>
        <w:tc>
          <w:tcPr>
            <w:tcW w:w="14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rPr>
            </w:pPr>
            <w:r>
              <w:rPr>
                <w:i/>
                <w:sz w:val="24"/>
                <w:szCs w:val="24"/>
              </w:rPr>
              <w:t>1</w:t>
            </w:r>
          </w:p>
        </w:tc>
      </w:tr>
      <w:tr>
        <w:trPr/>
        <w:tc>
          <w:tcPr>
            <w:tcW w:w="981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i/>
                <w:i/>
                <w:sz w:val="24"/>
                <w:szCs w:val="24"/>
              </w:rPr>
            </w:pPr>
            <w:r>
              <w:rPr>
                <w:b/>
                <w:i/>
                <w:sz w:val="24"/>
                <w:szCs w:val="24"/>
              </w:rPr>
              <w:t>Партия №1</w:t>
            </w:r>
          </w:p>
        </w:tc>
        <w:tc>
          <w:tcPr>
            <w:tcW w:w="1" w:type="dxa"/>
            <w:tcBorders/>
          </w:tcPr>
          <w:p>
            <w:pPr>
              <w:pStyle w:val="Normal"/>
              <w:widowControl w:val="false"/>
              <w:rPr/>
            </w:pPr>
            <w:r>
              <w:rPr/>
            </w:r>
          </w:p>
        </w:tc>
      </w:tr>
      <w:tr>
        <w:trPr/>
        <w:tc>
          <w:tcPr>
            <w:tcW w:w="8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sz w:val="24"/>
                <w:szCs w:val="24"/>
              </w:rPr>
            </w:pPr>
            <w:r>
              <w:rPr>
                <w:sz w:val="24"/>
                <w:szCs w:val="24"/>
              </w:rPr>
              <w:t>1.1</w:t>
            </w:r>
          </w:p>
        </w:tc>
        <w:tc>
          <w:tcPr>
            <w:tcW w:w="613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i/>
                <w:i/>
                <w:sz w:val="24"/>
                <w:szCs w:val="24"/>
              </w:rPr>
            </w:pPr>
            <w:r>
              <w:rPr>
                <w:i/>
                <w:sz w:val="24"/>
                <w:szCs w:val="24"/>
              </w:rPr>
              <w:t xml:space="preserve"> </w:t>
            </w:r>
            <w:r>
              <w:rPr>
                <w:i/>
                <w:sz w:val="24"/>
                <w:szCs w:val="24"/>
              </w:rPr>
              <w:t>ПТК технологической автоматики и управления вспомогательным оборудованием (ТАиУВО) гидроагрегата</w:t>
            </w:r>
          </w:p>
        </w:tc>
        <w:tc>
          <w:tcPr>
            <w:tcW w:w="1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rPr>
            </w:pPr>
            <w:r>
              <w:rPr>
                <w:i/>
                <w:sz w:val="24"/>
                <w:szCs w:val="24"/>
              </w:rPr>
              <w:t>Шкаф</w:t>
            </w: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lang w:val="en-US"/>
              </w:rPr>
            </w:pPr>
            <w:r>
              <w:rPr>
                <w:i/>
                <w:sz w:val="24"/>
                <w:szCs w:val="24"/>
              </w:rPr>
              <w:t>1</w:t>
            </w:r>
          </w:p>
        </w:tc>
      </w:tr>
      <w:tr>
        <w:trPr/>
        <w:tc>
          <w:tcPr>
            <w:tcW w:w="844"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sz w:val="24"/>
                <w:szCs w:val="24"/>
              </w:rPr>
            </w:pPr>
            <w:r>
              <w:rPr>
                <w:sz w:val="24"/>
                <w:szCs w:val="24"/>
              </w:rPr>
              <w:t>2.1</w:t>
            </w:r>
          </w:p>
        </w:tc>
        <w:tc>
          <w:tcPr>
            <w:tcW w:w="6131" w:type="dxa"/>
            <w:tcBorders>
              <w:left w:val="single" w:sz="4" w:space="0" w:color="000000"/>
              <w:bottom w:val="single" w:sz="4" w:space="0" w:color="000000"/>
              <w:right w:val="single" w:sz="4" w:space="0" w:color="000000"/>
            </w:tcBorders>
          </w:tcPr>
          <w:p>
            <w:pPr>
              <w:pStyle w:val="Normal"/>
              <w:widowControl w:val="false"/>
              <w:suppressAutoHyphens w:val="true"/>
              <w:rPr>
                <w:i/>
                <w:i/>
                <w:sz w:val="24"/>
                <w:szCs w:val="24"/>
              </w:rPr>
            </w:pPr>
            <w:r>
              <w:rPr>
                <w:i/>
                <w:sz w:val="24"/>
                <w:szCs w:val="24"/>
              </w:rPr>
              <w:t>Шкаф УСО термоконтроля</w:t>
            </w:r>
          </w:p>
        </w:tc>
        <w:tc>
          <w:tcPr>
            <w:tcW w:w="1422"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rPr>
            </w:pPr>
            <w:r>
              <w:rPr>
                <w:i/>
                <w:sz w:val="24"/>
                <w:szCs w:val="24"/>
              </w:rPr>
              <w:t>Шкаф</w:t>
            </w:r>
          </w:p>
        </w:tc>
        <w:tc>
          <w:tcPr>
            <w:tcW w:w="1414"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lang w:val="en-US"/>
              </w:rPr>
            </w:pPr>
            <w:r>
              <w:rPr>
                <w:i/>
                <w:sz w:val="24"/>
                <w:szCs w:val="24"/>
                <w:lang w:val="en-US"/>
              </w:rPr>
              <w:t>1</w:t>
            </w:r>
          </w:p>
        </w:tc>
      </w:tr>
      <w:tr>
        <w:trPr/>
        <w:tc>
          <w:tcPr>
            <w:tcW w:w="8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sz w:val="24"/>
                <w:szCs w:val="24"/>
              </w:rPr>
            </w:pPr>
            <w:r>
              <w:rPr>
                <w:sz w:val="24"/>
                <w:szCs w:val="24"/>
              </w:rPr>
              <w:t>3.1</w:t>
            </w:r>
          </w:p>
        </w:tc>
        <w:tc>
          <w:tcPr>
            <w:tcW w:w="613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i/>
                <w:i/>
                <w:sz w:val="24"/>
                <w:szCs w:val="24"/>
              </w:rPr>
            </w:pPr>
            <w:r>
              <w:rPr>
                <w:i/>
                <w:sz w:val="24"/>
                <w:szCs w:val="24"/>
              </w:rPr>
              <w:t>ПТК вибрационного контроля</w:t>
            </w:r>
          </w:p>
        </w:tc>
        <w:tc>
          <w:tcPr>
            <w:tcW w:w="1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rPr>
            </w:pPr>
            <w:r>
              <w:rPr>
                <w:i/>
                <w:sz w:val="24"/>
                <w:szCs w:val="24"/>
              </w:rPr>
              <w:t>Шкаф</w:t>
            </w: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lang w:val="en-US"/>
              </w:rPr>
            </w:pPr>
            <w:r>
              <w:rPr>
                <w:i/>
                <w:sz w:val="24"/>
                <w:szCs w:val="24"/>
                <w:lang w:val="en-US"/>
              </w:rPr>
              <w:t>1</w:t>
            </w:r>
          </w:p>
        </w:tc>
      </w:tr>
      <w:tr>
        <w:trPr/>
        <w:tc>
          <w:tcPr>
            <w:tcW w:w="8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sz w:val="24"/>
                <w:szCs w:val="24"/>
              </w:rPr>
            </w:pPr>
            <w:r>
              <w:rPr>
                <w:sz w:val="24"/>
                <w:szCs w:val="24"/>
              </w:rPr>
              <w:t>4.1</w:t>
            </w:r>
          </w:p>
        </w:tc>
        <w:tc>
          <w:tcPr>
            <w:tcW w:w="613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Style w:val="Style8"/>
                <w:b w:val="false"/>
                <w:bCs/>
                <w:iCs/>
                <w:sz w:val="24"/>
                <w:szCs w:val="24"/>
              </w:rPr>
            </w:pPr>
            <w:r>
              <w:rPr>
                <w:i/>
                <w:sz w:val="24"/>
                <w:szCs w:val="24"/>
              </w:rPr>
              <w:t>Местная панель управления (МПУ)</w:t>
            </w:r>
          </w:p>
        </w:tc>
        <w:tc>
          <w:tcPr>
            <w:tcW w:w="142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rPr>
            </w:pPr>
            <w:r>
              <w:rPr>
                <w:i/>
                <w:sz w:val="24"/>
                <w:szCs w:val="24"/>
              </w:rPr>
              <w:t>Шкаф</w:t>
            </w:r>
          </w:p>
        </w:tc>
        <w:tc>
          <w:tcPr>
            <w:tcW w:w="14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rPr>
            </w:pPr>
            <w:r>
              <w:rPr>
                <w:i/>
                <w:sz w:val="24"/>
                <w:szCs w:val="24"/>
              </w:rPr>
              <w:t>1</w:t>
            </w:r>
          </w:p>
        </w:tc>
      </w:tr>
      <w:tr>
        <w:trPr>
          <w:trHeight w:val="431" w:hRule="atLeast"/>
        </w:trPr>
        <w:tc>
          <w:tcPr>
            <w:tcW w:w="9811"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b/>
                <w:i/>
                <w:i/>
                <w:sz w:val="24"/>
                <w:szCs w:val="24"/>
              </w:rPr>
            </w:pPr>
            <w:r>
              <w:rPr>
                <w:b/>
                <w:i/>
                <w:sz w:val="24"/>
                <w:szCs w:val="24"/>
              </w:rPr>
              <w:t>Партия №2</w:t>
            </w:r>
          </w:p>
        </w:tc>
      </w:tr>
      <w:tr>
        <w:trPr/>
        <w:tc>
          <w:tcPr>
            <w:tcW w:w="8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sz w:val="24"/>
                <w:szCs w:val="24"/>
              </w:rPr>
            </w:pPr>
            <w:r>
              <w:rPr>
                <w:sz w:val="24"/>
                <w:szCs w:val="24"/>
              </w:rPr>
              <w:t>1.2</w:t>
            </w:r>
          </w:p>
        </w:tc>
        <w:tc>
          <w:tcPr>
            <w:tcW w:w="613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i/>
                <w:i/>
                <w:sz w:val="24"/>
                <w:szCs w:val="24"/>
              </w:rPr>
            </w:pPr>
            <w:r>
              <w:rPr>
                <w:i/>
                <w:sz w:val="24"/>
                <w:szCs w:val="24"/>
              </w:rPr>
              <w:t xml:space="preserve"> </w:t>
            </w:r>
            <w:r>
              <w:rPr>
                <w:i/>
                <w:sz w:val="24"/>
                <w:szCs w:val="24"/>
              </w:rPr>
              <w:t>ПТК технологической автоматики и управления вспомогательным оборудованием (ТАиУВО) гидроагрегата</w:t>
            </w:r>
          </w:p>
        </w:tc>
        <w:tc>
          <w:tcPr>
            <w:tcW w:w="1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rPr>
            </w:pPr>
            <w:r>
              <w:rPr>
                <w:i/>
                <w:sz w:val="24"/>
                <w:szCs w:val="24"/>
              </w:rPr>
              <w:t>Шкаф</w:t>
            </w: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lang w:val="en-US"/>
              </w:rPr>
            </w:pPr>
            <w:r>
              <w:rPr>
                <w:i/>
                <w:sz w:val="24"/>
                <w:szCs w:val="24"/>
              </w:rPr>
              <w:t>1</w:t>
            </w:r>
          </w:p>
        </w:tc>
      </w:tr>
      <w:tr>
        <w:trPr/>
        <w:tc>
          <w:tcPr>
            <w:tcW w:w="844"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sz w:val="24"/>
                <w:szCs w:val="24"/>
              </w:rPr>
            </w:pPr>
            <w:r>
              <w:rPr>
                <w:sz w:val="24"/>
                <w:szCs w:val="24"/>
              </w:rPr>
              <w:t>2.2</w:t>
            </w:r>
          </w:p>
        </w:tc>
        <w:tc>
          <w:tcPr>
            <w:tcW w:w="6131" w:type="dxa"/>
            <w:tcBorders>
              <w:left w:val="single" w:sz="4" w:space="0" w:color="000000"/>
              <w:bottom w:val="single" w:sz="4" w:space="0" w:color="000000"/>
              <w:right w:val="single" w:sz="4" w:space="0" w:color="000000"/>
            </w:tcBorders>
          </w:tcPr>
          <w:p>
            <w:pPr>
              <w:pStyle w:val="Normal"/>
              <w:widowControl w:val="false"/>
              <w:suppressAutoHyphens w:val="true"/>
              <w:rPr>
                <w:i/>
                <w:i/>
                <w:sz w:val="24"/>
                <w:szCs w:val="24"/>
              </w:rPr>
            </w:pPr>
            <w:r>
              <w:rPr>
                <w:i/>
                <w:sz w:val="24"/>
                <w:szCs w:val="24"/>
              </w:rPr>
              <w:t>Шкаф УСО термоконтроля</w:t>
            </w:r>
          </w:p>
        </w:tc>
        <w:tc>
          <w:tcPr>
            <w:tcW w:w="1422"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rPr>
            </w:pPr>
            <w:r>
              <w:rPr>
                <w:i/>
                <w:sz w:val="24"/>
                <w:szCs w:val="24"/>
              </w:rPr>
              <w:t>Шкаф</w:t>
            </w:r>
          </w:p>
        </w:tc>
        <w:tc>
          <w:tcPr>
            <w:tcW w:w="1414"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lang w:val="en-US"/>
              </w:rPr>
            </w:pPr>
            <w:r>
              <w:rPr>
                <w:i/>
                <w:sz w:val="24"/>
                <w:szCs w:val="24"/>
                <w:lang w:val="en-US"/>
              </w:rPr>
              <w:t>1</w:t>
            </w:r>
          </w:p>
        </w:tc>
      </w:tr>
      <w:tr>
        <w:trPr/>
        <w:tc>
          <w:tcPr>
            <w:tcW w:w="8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sz w:val="24"/>
                <w:szCs w:val="24"/>
              </w:rPr>
            </w:pPr>
            <w:r>
              <w:rPr>
                <w:sz w:val="24"/>
                <w:szCs w:val="24"/>
              </w:rPr>
              <w:t>3.2</w:t>
            </w:r>
          </w:p>
        </w:tc>
        <w:tc>
          <w:tcPr>
            <w:tcW w:w="613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i/>
                <w:i/>
                <w:sz w:val="24"/>
                <w:szCs w:val="24"/>
              </w:rPr>
            </w:pPr>
            <w:r>
              <w:rPr>
                <w:i/>
                <w:sz w:val="24"/>
                <w:szCs w:val="24"/>
              </w:rPr>
              <w:t>ПТК вибрационного контроля</w:t>
            </w:r>
          </w:p>
        </w:tc>
        <w:tc>
          <w:tcPr>
            <w:tcW w:w="1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rPr>
            </w:pPr>
            <w:r>
              <w:rPr>
                <w:i/>
                <w:sz w:val="24"/>
                <w:szCs w:val="24"/>
              </w:rPr>
              <w:t>Шкаф</w:t>
            </w: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lang w:val="en-US"/>
              </w:rPr>
            </w:pPr>
            <w:r>
              <w:rPr>
                <w:i/>
                <w:sz w:val="24"/>
                <w:szCs w:val="24"/>
                <w:lang w:val="en-US"/>
              </w:rPr>
              <w:t>1</w:t>
            </w:r>
          </w:p>
        </w:tc>
      </w:tr>
      <w:tr>
        <w:trPr/>
        <w:tc>
          <w:tcPr>
            <w:tcW w:w="8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sz w:val="24"/>
                <w:szCs w:val="24"/>
              </w:rPr>
            </w:pPr>
            <w:r>
              <w:rPr>
                <w:sz w:val="24"/>
                <w:szCs w:val="24"/>
              </w:rPr>
              <w:t>4.2</w:t>
            </w:r>
          </w:p>
        </w:tc>
        <w:tc>
          <w:tcPr>
            <w:tcW w:w="613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Style w:val="Style8"/>
                <w:b w:val="false"/>
                <w:bCs/>
                <w:iCs/>
                <w:sz w:val="24"/>
                <w:szCs w:val="24"/>
              </w:rPr>
            </w:pPr>
            <w:r>
              <w:rPr>
                <w:i/>
                <w:sz w:val="24"/>
                <w:szCs w:val="24"/>
              </w:rPr>
              <w:t>Местная панель управления (МПУ)</w:t>
            </w:r>
          </w:p>
        </w:tc>
        <w:tc>
          <w:tcPr>
            <w:tcW w:w="1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rPr>
            </w:pPr>
            <w:r>
              <w:rPr>
                <w:i/>
                <w:sz w:val="24"/>
                <w:szCs w:val="24"/>
              </w:rPr>
              <w:t>Шкаф</w:t>
            </w: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rPr>
            </w:pPr>
            <w:r>
              <w:rPr>
                <w:i/>
                <w:sz w:val="24"/>
                <w:szCs w:val="24"/>
              </w:rPr>
              <w:t>1</w:t>
            </w:r>
          </w:p>
        </w:tc>
      </w:tr>
      <w:tr>
        <w:trPr/>
        <w:tc>
          <w:tcPr>
            <w:tcW w:w="844"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sz w:val="24"/>
                <w:szCs w:val="24"/>
              </w:rPr>
            </w:pPr>
            <w:r>
              <w:rPr>
                <w:sz w:val="24"/>
                <w:szCs w:val="24"/>
              </w:rPr>
              <w:t>5.2</w:t>
            </w:r>
          </w:p>
        </w:tc>
        <w:tc>
          <w:tcPr>
            <w:tcW w:w="6131" w:type="dxa"/>
            <w:tcBorders>
              <w:left w:val="single" w:sz="4" w:space="0" w:color="000000"/>
              <w:bottom w:val="single" w:sz="4" w:space="0" w:color="000000"/>
              <w:right w:val="single" w:sz="4" w:space="0" w:color="000000"/>
            </w:tcBorders>
          </w:tcPr>
          <w:p>
            <w:pPr>
              <w:pStyle w:val="Normal"/>
              <w:widowControl w:val="false"/>
              <w:suppressAutoHyphens w:val="true"/>
              <w:rPr>
                <w:i/>
                <w:i/>
                <w:sz w:val="24"/>
                <w:szCs w:val="24"/>
              </w:rPr>
            </w:pPr>
            <w:r>
              <w:rPr>
                <w:i/>
                <w:sz w:val="24"/>
                <w:szCs w:val="24"/>
              </w:rPr>
              <w:t>ПТК общестанционной системы (ОС)</w:t>
            </w:r>
          </w:p>
        </w:tc>
        <w:tc>
          <w:tcPr>
            <w:tcW w:w="1422"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rPr>
            </w:pPr>
            <w:r>
              <w:rPr>
                <w:i/>
                <w:sz w:val="24"/>
                <w:szCs w:val="24"/>
              </w:rPr>
              <w:t>Шкаф</w:t>
            </w:r>
          </w:p>
        </w:tc>
        <w:tc>
          <w:tcPr>
            <w:tcW w:w="1414"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rPr>
            </w:pPr>
            <w:r>
              <w:rPr>
                <w:i/>
                <w:sz w:val="24"/>
                <w:szCs w:val="24"/>
              </w:rPr>
              <w:t>1</w:t>
            </w:r>
          </w:p>
        </w:tc>
      </w:tr>
    </w:tbl>
    <w:p>
      <w:pPr>
        <w:pStyle w:val="Heading1"/>
        <w:keepLines/>
        <w:numPr>
          <w:ilvl w:val="0"/>
          <w:numId w:val="0"/>
        </w:numPr>
        <w:spacing w:before="240" w:after="60"/>
        <w:ind w:hanging="0" w:left="0"/>
        <w:rPr>
          <w:sz w:val="24"/>
          <w:szCs w:val="24"/>
          <w:lang w:val="ru-RU"/>
        </w:rPr>
      </w:pPr>
      <w:bookmarkStart w:id="34" w:name="_Toc75446577"/>
      <w:r>
        <w:rPr>
          <w:sz w:val="24"/>
          <w:szCs w:val="24"/>
        </w:rPr>
        <w:t xml:space="preserve">Таблица </w:t>
      </w:r>
      <w:r>
        <w:rPr>
          <w:sz w:val="24"/>
          <w:szCs w:val="24"/>
          <w:lang w:val="ru-RU"/>
        </w:rPr>
        <w:t>1.2</w:t>
      </w:r>
      <w:r>
        <w:rPr>
          <w:sz w:val="24"/>
          <w:szCs w:val="24"/>
        </w:rPr>
        <w:t xml:space="preserve"> </w:t>
      </w:r>
      <w:r>
        <w:rPr>
          <w:sz w:val="24"/>
          <w:szCs w:val="24"/>
          <w:lang w:val="ru-RU"/>
        </w:rPr>
        <w:t>Перечень и объем закупаемых сопутствующих услуг</w:t>
      </w:r>
      <w:bookmarkEnd w:id="34"/>
    </w:p>
    <w:tbl>
      <w:tblPr>
        <w:tblW w:w="9810"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849"/>
        <w:gridCol w:w="4849"/>
        <w:gridCol w:w="1990"/>
        <w:gridCol w:w="2121"/>
      </w:tblGrid>
      <w:tr>
        <w:trPr/>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w:t>
            </w:r>
          </w:p>
          <w:p>
            <w:pPr>
              <w:pStyle w:val="Normal"/>
              <w:keepNext w:val="true"/>
              <w:widowControl w:val="false"/>
              <w:suppressAutoHyphens w:val="true"/>
              <w:jc w:val="center"/>
              <w:rPr>
                <w:sz w:val="24"/>
                <w:szCs w:val="24"/>
              </w:rPr>
            </w:pPr>
            <w:r>
              <w:rPr>
                <w:sz w:val="24"/>
                <w:szCs w:val="24"/>
              </w:rPr>
              <w:t>п/п</w:t>
            </w:r>
          </w:p>
        </w:tc>
        <w:tc>
          <w:tcPr>
            <w:tcW w:w="4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Наименование услуг</w:t>
            </w:r>
          </w:p>
        </w:tc>
        <w:tc>
          <w:tcPr>
            <w:tcW w:w="199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Единица измерения</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Количество</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1</w:t>
            </w:r>
          </w:p>
        </w:tc>
        <w:tc>
          <w:tcPr>
            <w:tcW w:w="48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2</w:t>
            </w:r>
          </w:p>
        </w:tc>
        <w:tc>
          <w:tcPr>
            <w:tcW w:w="199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3</w:t>
            </w:r>
          </w:p>
        </w:tc>
        <w:tc>
          <w:tcPr>
            <w:tcW w:w="21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4</w:t>
            </w:r>
          </w:p>
        </w:tc>
      </w:tr>
      <w:tr>
        <w:trPr/>
        <w:tc>
          <w:tcPr>
            <w:tcW w:w="849"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0"/>
              </w:numPr>
              <w:suppressAutoHyphens w:val="true"/>
              <w:ind w:hanging="0" w:left="360"/>
              <w:rPr/>
            </w:pPr>
            <w:r>
              <w:rPr/>
              <w:t>-</w:t>
            </w:r>
          </w:p>
        </w:tc>
        <w:tc>
          <w:tcPr>
            <w:tcW w:w="48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rPr>
            </w:pPr>
            <w:r>
              <w:rPr>
                <w:i/>
                <w:sz w:val="24"/>
                <w:szCs w:val="24"/>
              </w:rPr>
              <w:t>-</w:t>
            </w:r>
          </w:p>
        </w:tc>
        <w:tc>
          <w:tcPr>
            <w:tcW w:w="199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i/>
                <w:i/>
                <w:sz w:val="24"/>
                <w:szCs w:val="24"/>
              </w:rPr>
            </w:pPr>
            <w:r>
              <w:rPr>
                <w:i/>
                <w:iCs/>
                <w:sz w:val="24"/>
                <w:szCs w:val="24"/>
              </w:rPr>
              <w:t>-</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4"/>
                <w:szCs w:val="24"/>
              </w:rPr>
            </w:pPr>
            <w:r>
              <w:rPr>
                <w:i/>
                <w:sz w:val="24"/>
                <w:szCs w:val="24"/>
              </w:rPr>
              <w:t>-</w:t>
            </w:r>
          </w:p>
        </w:tc>
      </w:tr>
    </w:tbl>
    <w:p>
      <w:pPr>
        <w:pStyle w:val="Normal"/>
        <w:widowControl w:val="false"/>
        <w:tabs>
          <w:tab w:val="clear" w:pos="708"/>
          <w:tab w:val="left" w:pos="426" w:leader="none"/>
        </w:tabs>
        <w:spacing w:before="120" w:after="120"/>
        <w:ind w:firstLine="142"/>
        <w:rPr>
          <w:bCs/>
          <w:i/>
          <w:i/>
          <w:sz w:val="24"/>
          <w:szCs w:val="24"/>
          <w:shd w:fill="FFFF99" w:val="clear"/>
        </w:rPr>
      </w:pPr>
      <w:r>
        <w:rPr>
          <w:bCs/>
          <w:i/>
          <w:sz w:val="24"/>
          <w:szCs w:val="24"/>
          <w:shd w:fill="FFFF99" w:val="clear"/>
        </w:rPr>
      </w:r>
    </w:p>
    <w:p>
      <w:pPr>
        <w:pStyle w:val="Heading3"/>
        <w:numPr>
          <w:ilvl w:val="2"/>
          <w:numId w:val="3"/>
        </w:numPr>
        <w:rPr>
          <w:lang w:val="ru-RU"/>
        </w:rPr>
      </w:pPr>
      <w:bookmarkStart w:id="35" w:name="_Toc75446578"/>
      <w:bookmarkStart w:id="36" w:name="_Toc51339696"/>
      <w:r>
        <w:rPr>
          <w:lang w:val="ru-RU"/>
        </w:rPr>
        <w:t xml:space="preserve">Требования </w:t>
      </w:r>
      <w:bookmarkEnd w:id="36"/>
      <w:r>
        <w:rPr>
          <w:lang w:val="ru-RU"/>
        </w:rPr>
        <w:t>к срокам поставки продукции и оказания сопутствующих услуг</w:t>
      </w:r>
      <w:bookmarkEnd w:id="35"/>
    </w:p>
    <w:p>
      <w:pPr>
        <w:pStyle w:val="Heading1"/>
        <w:keepLines/>
        <w:numPr>
          <w:ilvl w:val="0"/>
          <w:numId w:val="0"/>
        </w:numPr>
        <w:spacing w:before="240" w:after="60"/>
        <w:ind w:hanging="0" w:left="0"/>
        <w:rPr>
          <w:sz w:val="24"/>
          <w:szCs w:val="24"/>
          <w:lang w:val="ru-RU"/>
        </w:rPr>
      </w:pPr>
      <w:bookmarkStart w:id="37" w:name="_Toc75446579"/>
      <w:bookmarkStart w:id="38" w:name="_Toc50125127"/>
      <w:bookmarkStart w:id="39" w:name="_Toc51339697"/>
      <w:bookmarkStart w:id="40" w:name="_Toc50125126_Копия_1"/>
      <w:bookmarkEnd w:id="40"/>
      <w:r>
        <w:rPr>
          <w:sz w:val="24"/>
          <w:szCs w:val="24"/>
        </w:rPr>
        <w:t xml:space="preserve">Таблица </w:t>
      </w:r>
      <w:r>
        <w:rPr>
          <w:sz w:val="24"/>
          <w:szCs w:val="24"/>
          <w:lang w:val="ru-RU"/>
        </w:rPr>
        <w:t>2</w:t>
      </w:r>
      <w:r>
        <w:rPr>
          <w:sz w:val="24"/>
          <w:szCs w:val="24"/>
        </w:rPr>
        <w:t>.</w:t>
      </w:r>
      <w:r>
        <w:rPr>
          <w:sz w:val="24"/>
          <w:szCs w:val="24"/>
          <w:lang w:val="ru-RU"/>
        </w:rPr>
        <w:t>1</w:t>
      </w:r>
      <w:r>
        <w:rPr>
          <w:sz w:val="24"/>
          <w:szCs w:val="24"/>
        </w:rPr>
        <w:t xml:space="preserve"> </w:t>
      </w:r>
      <w:bookmarkStart w:id="41" w:name="_Hlk50465284"/>
      <w:r>
        <w:rPr>
          <w:sz w:val="24"/>
          <w:szCs w:val="24"/>
        </w:rPr>
        <w:t xml:space="preserve">Требования по срокам </w:t>
      </w:r>
      <w:bookmarkEnd w:id="38"/>
      <w:bookmarkEnd w:id="39"/>
      <w:bookmarkEnd w:id="41"/>
      <w:r>
        <w:rPr>
          <w:sz w:val="24"/>
          <w:szCs w:val="24"/>
          <w:lang w:val="ru-RU"/>
        </w:rPr>
        <w:t>поставки продукции</w:t>
      </w:r>
      <w:bookmarkEnd w:id="37"/>
      <w:r>
        <w:rPr>
          <w:sz w:val="24"/>
          <w:szCs w:val="24"/>
          <w:lang w:val="ru-RU"/>
        </w:rPr>
        <w:t xml:space="preserve"> </w:t>
      </w:r>
    </w:p>
    <w:tbl>
      <w:tblPr>
        <w:tblW w:w="977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129"/>
        <w:gridCol w:w="2551"/>
        <w:gridCol w:w="2978"/>
        <w:gridCol w:w="3117"/>
      </w:tblGrid>
      <w:tr>
        <w:trPr/>
        <w:tc>
          <w:tcPr>
            <w:tcW w:w="11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25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продукции / партии продукции</w:t>
            </w:r>
          </w:p>
        </w:tc>
        <w:tc>
          <w:tcPr>
            <w:tcW w:w="29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поставки продукции</w:t>
            </w:r>
          </w:p>
        </w:tc>
        <w:tc>
          <w:tcPr>
            <w:tcW w:w="31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поставки продукции</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1</w:t>
            </w:r>
          </w:p>
        </w:tc>
        <w:tc>
          <w:tcPr>
            <w:tcW w:w="25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2</w:t>
            </w:r>
          </w:p>
        </w:tc>
        <w:tc>
          <w:tcPr>
            <w:tcW w:w="2978"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sz w:val="24"/>
                <w:szCs w:val="24"/>
              </w:rPr>
            </w:pPr>
            <w:r>
              <w:rPr>
                <w:b/>
                <w:sz w:val="24"/>
                <w:szCs w:val="24"/>
              </w:rPr>
              <w:t>3</w:t>
            </w:r>
          </w:p>
        </w:tc>
        <w:tc>
          <w:tcPr>
            <w:tcW w:w="3117"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sz w:val="24"/>
                <w:szCs w:val="24"/>
              </w:rPr>
            </w:pPr>
            <w:r>
              <w:rPr>
                <w:b/>
                <w:sz w:val="24"/>
                <w:szCs w:val="24"/>
              </w:rPr>
              <w:t>4</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suppressAutoHyphens w:val="true"/>
              <w:jc w:val="center"/>
              <w:rPr/>
            </w:pPr>
            <w:r>
              <w:rPr/>
            </w:r>
          </w:p>
        </w:tc>
        <w:tc>
          <w:tcPr>
            <w:tcW w:w="25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sz w:val="24"/>
                <w:szCs w:val="24"/>
              </w:rPr>
              <w:t>Партия №1</w:t>
            </w:r>
          </w:p>
        </w:tc>
        <w:tc>
          <w:tcPr>
            <w:tcW w:w="297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заключения договора</w:t>
            </w:r>
          </w:p>
        </w:tc>
        <w:tc>
          <w:tcPr>
            <w:tcW w:w="31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szCs w:val="24"/>
              </w:rPr>
            </w:pPr>
            <w:bookmarkStart w:id="42" w:name="_Toc46743510"/>
            <w:r>
              <w:rPr>
                <w:sz w:val="24"/>
                <w:szCs w:val="24"/>
              </w:rPr>
              <w:t xml:space="preserve">До </w:t>
            </w:r>
            <w:bookmarkEnd w:id="42"/>
            <w:r>
              <w:rPr>
                <w:sz w:val="24"/>
                <w:szCs w:val="24"/>
              </w:rPr>
              <w:t>01 июня 2028 года</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suppressAutoHyphens w:val="true"/>
              <w:jc w:val="center"/>
              <w:rPr/>
            </w:pPr>
            <w:r>
              <w:rPr/>
            </w:r>
          </w:p>
        </w:tc>
        <w:tc>
          <w:tcPr>
            <w:tcW w:w="25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b/>
                <w:sz w:val="24"/>
                <w:szCs w:val="24"/>
              </w:rPr>
              <w:t>Партия №2</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szCs w:val="24"/>
              </w:rPr>
            </w:pPr>
            <w:r>
              <w:rPr>
                <w:sz w:val="24"/>
                <w:szCs w:val="24"/>
              </w:rPr>
              <w:t>С даты заключения договора</w:t>
            </w:r>
          </w:p>
        </w:tc>
        <w:tc>
          <w:tcPr>
            <w:tcW w:w="31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szCs w:val="24"/>
              </w:rPr>
            </w:pPr>
            <w:r>
              <w:rPr>
                <w:sz w:val="24"/>
                <w:szCs w:val="24"/>
              </w:rPr>
              <w:t>До 01 июня 2029 года</w:t>
            </w:r>
          </w:p>
        </w:tc>
      </w:tr>
    </w:tbl>
    <w:p>
      <w:pPr>
        <w:pStyle w:val="Heading1"/>
        <w:numPr>
          <w:ilvl w:val="0"/>
          <w:numId w:val="0"/>
        </w:numPr>
        <w:ind w:hanging="0" w:left="0"/>
        <w:rPr>
          <w:sz w:val="24"/>
          <w:szCs w:val="24"/>
        </w:rPr>
      </w:pPr>
      <w:r>
        <w:rPr>
          <w:sz w:val="24"/>
          <w:szCs w:val="24"/>
        </w:rPr>
      </w:r>
    </w:p>
    <w:p>
      <w:pPr>
        <w:pStyle w:val="Heading1"/>
        <w:numPr>
          <w:ilvl w:val="0"/>
          <w:numId w:val="0"/>
        </w:numPr>
        <w:ind w:hanging="0" w:left="0"/>
        <w:rPr>
          <w:sz w:val="24"/>
          <w:szCs w:val="24"/>
        </w:rPr>
      </w:pPr>
      <w:bookmarkStart w:id="43" w:name="_Toc75446580"/>
      <w:r>
        <w:rPr>
          <w:sz w:val="24"/>
          <w:szCs w:val="24"/>
        </w:rPr>
        <w:t xml:space="preserve">Таблица </w:t>
      </w:r>
      <w:r>
        <w:rPr>
          <w:sz w:val="24"/>
          <w:szCs w:val="24"/>
          <w:lang w:val="ru-RU"/>
        </w:rPr>
        <w:t>2</w:t>
      </w:r>
      <w:r>
        <w:rPr>
          <w:sz w:val="24"/>
          <w:szCs w:val="24"/>
        </w:rPr>
        <w:t>.</w:t>
      </w:r>
      <w:r>
        <w:rPr>
          <w:sz w:val="24"/>
          <w:szCs w:val="24"/>
          <w:lang w:val="ru-RU"/>
        </w:rPr>
        <w:t>2</w:t>
      </w:r>
      <w:r>
        <w:rPr>
          <w:sz w:val="24"/>
          <w:szCs w:val="24"/>
        </w:rPr>
        <w:t xml:space="preserve"> Требования по срокам </w:t>
      </w:r>
      <w:r>
        <w:rPr>
          <w:sz w:val="24"/>
          <w:szCs w:val="24"/>
          <w:lang w:val="ru-RU"/>
        </w:rPr>
        <w:t xml:space="preserve">оказания </w:t>
      </w:r>
      <w:r>
        <w:rPr>
          <w:sz w:val="24"/>
          <w:szCs w:val="24"/>
        </w:rPr>
        <w:t>сопутствующих услуг</w:t>
      </w:r>
      <w:bookmarkEnd w:id="43"/>
    </w:p>
    <w:tbl>
      <w:tblPr>
        <w:tblW w:w="991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124"/>
        <w:gridCol w:w="1990"/>
        <w:gridCol w:w="2410"/>
        <w:gridCol w:w="2121"/>
        <w:gridCol w:w="2273"/>
      </w:tblGrid>
      <w:tr>
        <w:trPr/>
        <w:tc>
          <w:tcPr>
            <w:tcW w:w="11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19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услуг</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Style30"/>
              <w:keepNext w:val="false"/>
              <w:widowControl w:val="false"/>
              <w:spacing w:before="40" w:after="40"/>
              <w:jc w:val="center"/>
              <w:rPr>
                <w:sz w:val="24"/>
                <w:szCs w:val="24"/>
              </w:rPr>
            </w:pPr>
            <w:r>
              <w:rPr>
                <w:sz w:val="24"/>
                <w:szCs w:val="24"/>
              </w:rPr>
              <w:t>Требования к началу срока оказания услуг</w:t>
            </w:r>
          </w:p>
        </w:tc>
        <w:tc>
          <w:tcPr>
            <w:tcW w:w="21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30"/>
              <w:keepNext w:val="false"/>
              <w:widowControl w:val="false"/>
              <w:spacing w:before="40" w:after="40"/>
              <w:jc w:val="center"/>
              <w:rPr>
                <w:sz w:val="24"/>
                <w:szCs w:val="24"/>
              </w:rPr>
            </w:pPr>
            <w:r>
              <w:rPr>
                <w:sz w:val="24"/>
                <w:szCs w:val="24"/>
              </w:rPr>
              <w:t>Требования к окончанию срока оказания услуг</w:t>
            </w:r>
          </w:p>
        </w:tc>
        <w:tc>
          <w:tcPr>
            <w:tcW w:w="2273"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sz w:val="24"/>
                <w:szCs w:val="24"/>
              </w:rPr>
            </w:pPr>
            <w:r>
              <w:rPr>
                <w:sz w:val="24"/>
                <w:szCs w:val="24"/>
              </w:rPr>
              <w:t>Примечание</w:t>
            </w:r>
          </w:p>
        </w:tc>
      </w:tr>
      <w:tr>
        <w:trPr/>
        <w:tc>
          <w:tcPr>
            <w:tcW w:w="1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1</w:t>
            </w:r>
          </w:p>
        </w:tc>
        <w:tc>
          <w:tcPr>
            <w:tcW w:w="19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2</w:t>
            </w:r>
          </w:p>
        </w:tc>
        <w:tc>
          <w:tcPr>
            <w:tcW w:w="2410"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sz w:val="24"/>
                <w:szCs w:val="24"/>
              </w:rPr>
            </w:pPr>
            <w:r>
              <w:rPr>
                <w:b/>
                <w:sz w:val="24"/>
                <w:szCs w:val="24"/>
              </w:rPr>
              <w:t>3</w:t>
            </w:r>
          </w:p>
        </w:tc>
        <w:tc>
          <w:tcPr>
            <w:tcW w:w="2121" w:type="dxa"/>
            <w:tcBorders>
              <w:top w:val="single" w:sz="4" w:space="0" w:color="000000"/>
              <w:left w:val="single" w:sz="4" w:space="0" w:color="000000"/>
              <w:bottom w:val="single" w:sz="4" w:space="0" w:color="000000"/>
              <w:right w:val="single" w:sz="4" w:space="0" w:color="000000"/>
            </w:tcBorders>
            <w:shd w:color="auto" w:fill="auto" w:val="clear"/>
          </w:tcPr>
          <w:p>
            <w:pPr>
              <w:pStyle w:val="Style30"/>
              <w:keepNext w:val="false"/>
              <w:widowControl w:val="false"/>
              <w:spacing w:before="40" w:after="40"/>
              <w:jc w:val="center"/>
              <w:rPr>
                <w:sz w:val="24"/>
                <w:szCs w:val="24"/>
              </w:rPr>
            </w:pPr>
            <w:r>
              <w:rPr>
                <w:b/>
                <w:sz w:val="24"/>
                <w:szCs w:val="24"/>
              </w:rPr>
              <w:t>4</w:t>
            </w:r>
          </w:p>
        </w:tc>
        <w:tc>
          <w:tcPr>
            <w:tcW w:w="2273"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b/>
                <w:sz w:val="24"/>
                <w:szCs w:val="24"/>
              </w:rPr>
            </w:pPr>
            <w:r>
              <w:rPr>
                <w:b/>
                <w:sz w:val="24"/>
                <w:szCs w:val="24"/>
              </w:rPr>
              <w:t>5</w:t>
            </w:r>
          </w:p>
        </w:tc>
      </w:tr>
      <w:tr>
        <w:trPr/>
        <w:tc>
          <w:tcPr>
            <w:tcW w:w="1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i/>
                <w:iCs/>
                <w:sz w:val="24"/>
                <w:szCs w:val="24"/>
              </w:rPr>
              <w:t>-</w:t>
            </w:r>
          </w:p>
        </w:tc>
        <w:tc>
          <w:tcPr>
            <w:tcW w:w="19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i/>
                <w:iCs/>
                <w:sz w:val="24"/>
                <w:szCs w:val="24"/>
              </w:rPr>
              <w:t>-</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i/>
                <w:iCs/>
                <w:sz w:val="24"/>
                <w:szCs w:val="24"/>
              </w:rPr>
              <w:t>-</w:t>
            </w:r>
          </w:p>
        </w:tc>
        <w:tc>
          <w:tcPr>
            <w:tcW w:w="21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i/>
                <w:iCs/>
                <w:sz w:val="24"/>
                <w:szCs w:val="24"/>
              </w:rPr>
              <w:t>-</w:t>
            </w:r>
          </w:p>
        </w:tc>
        <w:tc>
          <w:tcPr>
            <w:tcW w:w="22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iCs/>
                <w:sz w:val="24"/>
                <w:szCs w:val="24"/>
              </w:rPr>
            </w:pPr>
            <w:r>
              <w:rPr>
                <w:i/>
                <w:iCs/>
                <w:sz w:val="24"/>
                <w:szCs w:val="24"/>
              </w:rPr>
              <w:t>-</w:t>
            </w:r>
          </w:p>
        </w:tc>
      </w:tr>
    </w:tbl>
    <w:p>
      <w:pPr>
        <w:sectPr>
          <w:headerReference w:type="even" r:id="rId2"/>
          <w:headerReference w:type="default" r:id="rId3"/>
          <w:headerReference w:type="first" r:id="rId4"/>
          <w:type w:val="nextPage"/>
          <w:pgSz w:w="11906" w:h="16838"/>
          <w:pgMar w:left="1134" w:right="851" w:gutter="0" w:header="680" w:top="1134" w:footer="0" w:bottom="992"/>
          <w:pgNumType w:fmt="decimal"/>
          <w:formProt w:val="false"/>
          <w:titlePg/>
          <w:textDirection w:val="lrTb"/>
          <w:docGrid w:type="default" w:linePitch="360" w:charSpace="0"/>
        </w:sectPr>
      </w:pPr>
    </w:p>
    <w:p>
      <w:pPr>
        <w:pStyle w:val="Heading4"/>
        <w:numPr>
          <w:ilvl w:val="1"/>
          <w:numId w:val="3"/>
        </w:numPr>
        <w:rPr/>
      </w:pPr>
      <w:bookmarkStart w:id="44" w:name="_Toc51339698"/>
      <w:bookmarkStart w:id="45" w:name="_Toc75446581"/>
      <w:bookmarkStart w:id="46" w:name="_Toc46743511"/>
      <w:r>
        <w:rPr/>
        <w:t xml:space="preserve">Требования к </w:t>
      </w:r>
      <w:bookmarkEnd w:id="46"/>
      <w:r>
        <w:rPr>
          <w:lang w:val="ru-RU"/>
        </w:rPr>
        <w:t>качеству продукции</w:t>
      </w:r>
      <w:bookmarkEnd w:id="45"/>
    </w:p>
    <w:p>
      <w:pPr>
        <w:pStyle w:val="Heading1"/>
        <w:keepLines/>
        <w:numPr>
          <w:ilvl w:val="0"/>
          <w:numId w:val="0"/>
        </w:numPr>
        <w:spacing w:before="240" w:after="60"/>
        <w:ind w:hanging="0" w:left="0"/>
        <w:rPr>
          <w:rStyle w:val="Style8"/>
          <w:b/>
          <w:i w:val="false"/>
          <w:i w:val="false"/>
          <w:sz w:val="24"/>
          <w:szCs w:val="24"/>
          <w:shd w:fill="auto" w:val="clear"/>
        </w:rPr>
      </w:pPr>
      <w:r>
        <w:rPr>
          <w:sz w:val="24"/>
          <w:szCs w:val="24"/>
        </w:rPr>
        <w:t xml:space="preserve"> </w:t>
      </w:r>
      <w:bookmarkStart w:id="47" w:name="_Toc75446582"/>
      <w:r>
        <w:rPr>
          <w:sz w:val="24"/>
          <w:szCs w:val="24"/>
        </w:rPr>
        <w:t>Таблица </w:t>
      </w:r>
      <w:r>
        <w:rPr>
          <w:sz w:val="24"/>
          <w:szCs w:val="24"/>
          <w:lang w:val="ru-RU"/>
        </w:rPr>
        <w:t>3</w:t>
      </w:r>
      <w:r>
        <w:rPr>
          <w:sz w:val="24"/>
          <w:szCs w:val="24"/>
        </w:rPr>
        <w:t xml:space="preserve">. Требования к </w:t>
      </w:r>
      <w:r>
        <w:rPr>
          <w:sz w:val="24"/>
          <w:szCs w:val="24"/>
          <w:lang w:val="ru-RU"/>
        </w:rPr>
        <w:t>продукции</w:t>
      </w:r>
      <w:bookmarkEnd w:id="47"/>
      <w:r>
        <w:rPr>
          <w:sz w:val="24"/>
          <w:szCs w:val="24"/>
        </w:rPr>
        <w:t xml:space="preserve"> </w:t>
      </w:r>
      <w:bookmarkEnd w:id="44"/>
    </w:p>
    <w:p>
      <w:pPr>
        <w:pStyle w:val="Normal"/>
        <w:rPr>
          <w:rStyle w:val="Style8"/>
          <w:b w:val="false"/>
        </w:rPr>
      </w:pPr>
      <w:r>
        <w:rPr>
          <w:rStyle w:val="Style8"/>
          <w:b w:val="false"/>
        </w:rPr>
        <w:t xml:space="preserve"> </w:t>
      </w:r>
    </w:p>
    <w:p>
      <w:pPr>
        <w:pStyle w:val="Normal"/>
        <w:spacing w:before="0" w:after="240"/>
        <w:jc w:val="both"/>
        <w:rPr>
          <w:rStyle w:val="Style8"/>
          <w:b w:val="false"/>
          <w:iCs/>
          <w:sz w:val="24"/>
          <w:szCs w:val="24"/>
        </w:rPr>
      </w:pPr>
      <w:r>
        <w:rPr>
          <w:b/>
          <w:bCs/>
          <w:i/>
          <w:iCs/>
          <w:sz w:val="24"/>
          <w:szCs w:val="24"/>
        </w:rPr>
        <w:t xml:space="preserve">Наименование продукции (позиция №1-5 Таблицы 1.1): </w:t>
      </w:r>
      <w:r>
        <w:rPr>
          <w:bCs/>
          <w:i/>
          <w:iCs/>
          <w:sz w:val="24"/>
          <w:szCs w:val="24"/>
        </w:rPr>
        <w:t>Оборудование САУ ГА Чирюртской ГЭС-1</w:t>
      </w:r>
    </w:p>
    <w:tbl>
      <w:tblPr>
        <w:tblStyle w:val="af0"/>
        <w:tblW w:w="15309"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07"/>
        <w:gridCol w:w="2229"/>
        <w:gridCol w:w="29"/>
        <w:gridCol w:w="11"/>
        <w:gridCol w:w="12333"/>
      </w:tblGrid>
      <w:tr>
        <w:trPr>
          <w:trHeight w:val="1104" w:hRule="atLeast"/>
        </w:trPr>
        <w:tc>
          <w:tcPr>
            <w:tcW w:w="707"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2269" w:type="dxa"/>
            <w:gridSpan w:val="3"/>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Наименование параметра</w:t>
            </w:r>
          </w:p>
        </w:tc>
        <w:tc>
          <w:tcPr>
            <w:tcW w:w="12333"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Требование заказчика</w:t>
            </w:r>
          </w:p>
        </w:tc>
      </w:tr>
      <w:tr>
        <w:trPr/>
        <w:tc>
          <w:tcPr>
            <w:tcW w:w="707" w:type="dxa"/>
            <w:tcBorders/>
            <w:vAlign w:val="center"/>
          </w:tcPr>
          <w:p>
            <w:pPr>
              <w:pStyle w:val="Normal"/>
              <w:widowControl w:val="false"/>
              <w:suppressAutoHyphens w:val="true"/>
              <w:spacing w:before="60" w:after="6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1</w:t>
            </w:r>
          </w:p>
        </w:tc>
        <w:tc>
          <w:tcPr>
            <w:tcW w:w="2269" w:type="dxa"/>
            <w:gridSpan w:val="3"/>
            <w:tcBorders/>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2</w:t>
            </w:r>
          </w:p>
        </w:tc>
        <w:tc>
          <w:tcPr>
            <w:tcW w:w="12333" w:type="dxa"/>
            <w:tcBorders/>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3</w:t>
            </w:r>
          </w:p>
        </w:tc>
      </w:tr>
      <w:tr>
        <w:trPr/>
        <w:tc>
          <w:tcPr>
            <w:tcW w:w="2976" w:type="dxa"/>
            <w:gridSpan w:val="4"/>
            <w:tcBorders/>
            <w:vAlign w:val="center"/>
          </w:tcPr>
          <w:p>
            <w:pPr>
              <w:pStyle w:val="Normal"/>
              <w:widowControl w:val="false"/>
              <w:suppressAutoHyphens w:val="true"/>
              <w:spacing w:before="0" w:after="0"/>
              <w:jc w:val="center"/>
              <w:rPr>
                <w:b/>
                <w:sz w:val="24"/>
                <w:szCs w:val="24"/>
              </w:rPr>
            </w:pPr>
            <w:r>
              <w:rPr>
                <w:rFonts w:eastAsia="Times New Roman" w:cs="Times New Roman"/>
                <w:bCs/>
                <w:kern w:val="0"/>
                <w:sz w:val="24"/>
                <w:szCs w:val="24"/>
                <w:lang w:val="ru-RU" w:eastAsia="ru-RU" w:bidi="ar-SA"/>
              </w:rPr>
              <w:t>Общие требования</w:t>
            </w:r>
          </w:p>
        </w:tc>
        <w:tc>
          <w:tcPr>
            <w:tcW w:w="12333" w:type="dxa"/>
            <w:tcBorders/>
            <w:vAlign w:val="center"/>
          </w:tcPr>
          <w:p>
            <w:pPr>
              <w:pStyle w:val="Normal"/>
              <w:widowControl w:val="false"/>
              <w:suppressAutoHyphens w:val="true"/>
              <w:spacing w:lineRule="auto" w:line="276" w:before="0" w:after="0"/>
              <w:ind w:firstLine="459"/>
              <w:contextualSpacing/>
              <w:jc w:val="left"/>
              <w:rPr>
                <w:sz w:val="24"/>
                <w:szCs w:val="24"/>
              </w:rPr>
            </w:pPr>
            <w:r>
              <w:rPr>
                <w:rFonts w:eastAsia="Times New Roman" w:cs="Times New Roman"/>
                <w:kern w:val="0"/>
                <w:sz w:val="24"/>
                <w:szCs w:val="24"/>
                <w:lang w:val="ru-RU" w:eastAsia="ru-RU" w:bidi="ar-SA"/>
              </w:rPr>
              <w:t>Работы выполняются в соответствии с настоящими ТТ и с национальными, отраслевыми и корпоративными (ПАО «РусГидро») нормативно-техническими документами, действующими и вступающими в силу в период выполнения работ;</w:t>
            </w:r>
          </w:p>
          <w:p>
            <w:pPr>
              <w:pStyle w:val="Normal"/>
              <w:widowControl w:val="false"/>
              <w:tabs>
                <w:tab w:val="clear" w:pos="708"/>
                <w:tab w:val="left" w:pos="0" w:leader="none"/>
                <w:tab w:val="left" w:pos="900" w:leader="none"/>
                <w:tab w:val="left" w:pos="1260" w:leader="none"/>
              </w:tabs>
              <w:suppressAutoHyphens w:val="true"/>
              <w:spacing w:lineRule="auto" w:line="276" w:before="0" w:after="0"/>
              <w:ind w:firstLine="291"/>
              <w:jc w:val="left"/>
              <w:rPr>
                <w:sz w:val="24"/>
                <w:szCs w:val="24"/>
              </w:rPr>
            </w:pPr>
            <w:r>
              <w:rPr>
                <w:rFonts w:eastAsia="Times New Roman" w:cs="Times New Roman"/>
                <w:spacing w:val="-4"/>
                <w:kern w:val="0"/>
                <w:sz w:val="24"/>
                <w:szCs w:val="24"/>
                <w:lang w:val="ru-RU" w:eastAsia="ru-RU" w:bidi="ar-SA"/>
              </w:rPr>
              <w:t>Нормативно-технические документы</w:t>
            </w:r>
            <w:r>
              <w:rPr>
                <w:rFonts w:eastAsia="Times New Roman" w:cs="Times New Roman"/>
                <w:kern w:val="0"/>
                <w:sz w:val="24"/>
                <w:szCs w:val="24"/>
                <w:lang w:val="ru-RU" w:eastAsia="ru-RU" w:bidi="ar-SA"/>
              </w:rPr>
              <w:t xml:space="preserve"> (НТД), определяющие требования к оформлению и содержанию проекта:</w:t>
            </w:r>
          </w:p>
          <w:p>
            <w:pPr>
              <w:pStyle w:val="BodyTextIndent3"/>
              <w:widowControl w:val="false"/>
              <w:numPr>
                <w:ilvl w:val="0"/>
                <w:numId w:val="46"/>
              </w:numPr>
              <w:tabs>
                <w:tab w:val="clear" w:pos="708"/>
                <w:tab w:val="left" w:pos="-3240" w:leader="none"/>
                <w:tab w:val="left" w:pos="0" w:leader="none"/>
                <w:tab w:val="left" w:pos="1080" w:leader="none"/>
              </w:tabs>
              <w:suppressAutoHyphens w:val="true"/>
              <w:spacing w:before="0" w:after="0"/>
              <w:ind w:firstLine="291" w:left="0"/>
              <w:jc w:val="both"/>
              <w:rPr>
                <w:sz w:val="24"/>
              </w:rPr>
            </w:pPr>
            <w:r>
              <w:rPr>
                <w:rFonts w:eastAsia="Times New Roman" w:cs="Times New Roman"/>
                <w:kern w:val="0"/>
                <w:sz w:val="24"/>
                <w:lang w:val="ru-RU" w:eastAsia="ru-RU" w:bidi="ar-SA"/>
              </w:rPr>
              <w:t>Постановление Правительства Российской Федерации от 16.02.2008 № 87 (ред. От 26.03.2014) «О составе разделов проектной документации и требованиях к их содержанию»;</w:t>
            </w:r>
          </w:p>
          <w:p>
            <w:pPr>
              <w:pStyle w:val="BodyTextIndent3"/>
              <w:widowControl w:val="false"/>
              <w:numPr>
                <w:ilvl w:val="0"/>
                <w:numId w:val="46"/>
              </w:numPr>
              <w:tabs>
                <w:tab w:val="clear" w:pos="708"/>
                <w:tab w:val="left" w:pos="-3240" w:leader="none"/>
                <w:tab w:val="left" w:pos="0" w:leader="none"/>
                <w:tab w:val="left" w:pos="1080" w:leader="none"/>
              </w:tabs>
              <w:suppressAutoHyphens w:val="true"/>
              <w:spacing w:before="0" w:after="0"/>
              <w:ind w:firstLine="291" w:left="0"/>
              <w:jc w:val="both"/>
              <w:rPr>
                <w:sz w:val="24"/>
              </w:rPr>
            </w:pPr>
            <w:r>
              <w:rPr>
                <w:rFonts w:eastAsia="Times New Roman" w:cs="Times New Roman"/>
                <w:kern w:val="0"/>
                <w:sz w:val="24"/>
                <w:lang w:val="ru-RU" w:eastAsia="ru-RU" w:bidi="ar-SA"/>
              </w:rPr>
              <w:t>ГОСТ 34.201-2020 Информационные системы. Виды, комплектность и обозначение документов при создании автоматизированных систем;</w:t>
            </w:r>
          </w:p>
          <w:p>
            <w:pPr>
              <w:pStyle w:val="BodyTextIndent3"/>
              <w:widowControl w:val="false"/>
              <w:numPr>
                <w:ilvl w:val="0"/>
                <w:numId w:val="46"/>
              </w:numPr>
              <w:tabs>
                <w:tab w:val="clear" w:pos="708"/>
                <w:tab w:val="left" w:pos="-3240" w:leader="none"/>
                <w:tab w:val="left" w:pos="0" w:leader="none"/>
                <w:tab w:val="left" w:pos="1080" w:leader="none"/>
              </w:tabs>
              <w:suppressAutoHyphens w:val="true"/>
              <w:spacing w:before="0" w:after="240"/>
              <w:ind w:firstLine="291" w:left="0"/>
              <w:jc w:val="both"/>
              <w:rPr>
                <w:sz w:val="24"/>
              </w:rPr>
            </w:pPr>
            <w:r>
              <w:rPr>
                <w:rFonts w:eastAsia="Times New Roman" w:cs="Times New Roman"/>
                <w:kern w:val="0"/>
                <w:sz w:val="24"/>
                <w:lang w:val="ru-RU" w:eastAsia="ru-RU" w:bidi="ar-SA"/>
              </w:rPr>
              <w:t>Межгосударственный стандарт ГОСТ 21.101 – 2020 «Система проектной документации для строительства. Основные требования к проектной и рабочей документации»;</w:t>
            </w:r>
          </w:p>
          <w:p>
            <w:pPr>
              <w:pStyle w:val="Normal"/>
              <w:widowControl w:val="false"/>
              <w:tabs>
                <w:tab w:val="clear" w:pos="708"/>
                <w:tab w:val="left" w:pos="-4680" w:leader="none"/>
                <w:tab w:val="left" w:pos="1440" w:leader="none"/>
              </w:tabs>
              <w:suppressAutoHyphens w:val="true"/>
              <w:spacing w:before="0" w:after="0"/>
              <w:ind w:firstLine="291"/>
              <w:jc w:val="left"/>
              <w:rPr>
                <w:sz w:val="24"/>
                <w:szCs w:val="24"/>
              </w:rPr>
            </w:pPr>
            <w:r>
              <w:rPr>
                <w:rFonts w:eastAsia="Times New Roman" w:cs="Times New Roman"/>
                <w:kern w:val="0"/>
                <w:sz w:val="24"/>
                <w:szCs w:val="24"/>
                <w:lang w:val="ru-RU" w:eastAsia="ru-RU" w:bidi="ar-SA"/>
              </w:rPr>
              <w:t>Отраслевые НТД:</w:t>
            </w:r>
          </w:p>
          <w:p>
            <w:pPr>
              <w:pStyle w:val="BodyTextIndent3"/>
              <w:widowControl w:val="false"/>
              <w:numPr>
                <w:ilvl w:val="0"/>
                <w:numId w:val="46"/>
              </w:numPr>
              <w:tabs>
                <w:tab w:val="clear" w:pos="708"/>
                <w:tab w:val="left" w:pos="-3240" w:leader="none"/>
                <w:tab w:val="left" w:pos="0" w:leader="none"/>
                <w:tab w:val="left" w:pos="1080" w:leader="none"/>
              </w:tabs>
              <w:suppressAutoHyphens w:val="true"/>
              <w:spacing w:before="0" w:after="0"/>
              <w:ind w:firstLine="291" w:left="0"/>
              <w:jc w:val="both"/>
              <w:rPr>
                <w:sz w:val="24"/>
              </w:rPr>
            </w:pPr>
            <w:r>
              <w:rPr>
                <w:rFonts w:eastAsia="Times New Roman" w:cs="Times New Roman"/>
                <w:kern w:val="0"/>
                <w:sz w:val="24"/>
                <w:lang w:val="ru-RU" w:eastAsia="ru-RU" w:bidi="ar-SA"/>
              </w:rPr>
              <w:t>Правила устройства электроустановок (действующее издание);</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Times New Roman" w:cs="Times New Roman"/>
                <w:kern w:val="0"/>
                <w:sz w:val="24"/>
                <w:lang w:val="ru-RU" w:eastAsia="ru-RU" w:bidi="ar-SA"/>
              </w:rPr>
              <w:t>Правила технической эксплуатации (действующее издание);</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Приказ Минэнерго России от 13.09.2018 № 757 «Об утверждении Правил переключений в электроустановках»;</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Приказ Минэнерго России от 13.07.2020 № 556 «Об утверждении Правил создания (модернизации) комплексов и устройств релейной защиты и автоматики в энергосистеме и о внесении изменений в Правила взаимодействия субъектов электроэнергетики, потребителей электрической энергии при подготовке, выдаче и выполнении заданий по настройке устройств релейной защиты и автоматики, утвержденные приказом Минэнерго России от 13 февраля 2019 г. № 100»;</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ГОСТ Р 56302-2014 «Единая энергетическая система и изолированно работающие энергосистемы. Оперативно – диспетчерское управление. Диспетчерские наименования объектов электроэнергетики и оборудования объектов электроэнергетики. Общие требования» (утвержден приказом Росстандарта от 12.12.2014 № 1983-ст).;</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ГОСТ Р 56303-2014 «Единая энергетическая система и изолированно работающие энергосистемы. Оперативно – диспетчерское управление. Нормальные схемы электрических соединений объектов электроэнергетики. Общие требования к графическому исполнению» (утвержден приказом Росстандарта от 12.12.2014 № 1984-ст).;</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ГОСТ Р 56969-2016 «Единая энергетическая система и изолированно работающие энергосистемы. Оперативно-диспетчерское управление. Обеспечение согласованной работы централизованных систем автоматического регулирования частоты и перетоков активной мощности и автоматики управления активной мощностью гидравлических электростанций. Нормы и требования» (утвержден приказом Росстандарта от 16.06.2016 № 647-ст).;</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ГОСТ Р 57114-20122 «Единая энергетическая система и изолированно работающие энергосистемы. Электроэнергетические системы. Оперативно-диспетчерское управление в электроэнергетике и оперативно-технологическое управление. Термины и определения» (утвержден приказом Росстандарта от 04.10.2016 № 1302-ст).;</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ГОСТ Р 57382-2017 «Единая энергетическая система и изолированно работающие энергосистемы. Электроэнергетические системы. Оперативно-диспетчерское управление в электроэнергетике и оперативно-технологическое управление. Термины и определения;</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СТО РусГидро 02.02.105-2013 «Гидроэлектростанции. Системы оперативного постоянного тока. Технические требования, типовые технические решения»;</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szCs w:val="24"/>
              </w:rPr>
            </w:pPr>
            <w:r>
              <w:rPr>
                <w:rFonts w:eastAsia="Calibri" w:cs="Times New Roman"/>
                <w:kern w:val="0"/>
                <w:sz w:val="24"/>
                <w:lang w:val="ru-RU" w:eastAsia="ru-RU" w:bidi="ar-SA"/>
              </w:rPr>
              <w:t xml:space="preserve">СТО РусГидро 02.01.059-2011 «Гидроэлектростанции. Мониторинг технического состояния основного </w:t>
            </w:r>
            <w:r>
              <w:rPr>
                <w:rFonts w:eastAsia="Calibri" w:cs="Times New Roman"/>
                <w:kern w:val="0"/>
                <w:sz w:val="24"/>
                <w:szCs w:val="24"/>
                <w:lang w:val="ru-RU" w:eastAsia="ru-RU" w:bidi="ar-SA"/>
              </w:rPr>
              <w:t>оборудования. Нормы и требовани</w:t>
            </w:r>
            <w:r>
              <w:rPr>
                <w:rFonts w:eastAsia="Calibri" w:cs="Times New Roman"/>
                <w:color w:val="000000"/>
                <w:kern w:val="0"/>
                <w:sz w:val="24"/>
                <w:szCs w:val="24"/>
                <w:lang w:val="ru-RU" w:eastAsia="ru-RU" w:bidi="ar-SA"/>
              </w:rPr>
              <w:t>я»;</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szCs w:val="24"/>
              </w:rPr>
            </w:pPr>
            <w:r>
              <w:rPr>
                <w:rFonts w:eastAsia="Times New Roman" w:cs="Times New Roman"/>
                <w:color w:val="000000"/>
                <w:kern w:val="0"/>
                <w:sz w:val="24"/>
                <w:szCs w:val="24"/>
                <w:lang w:val="ru-RU" w:eastAsia="ru-RU" w:bidi="ar-SA"/>
              </w:rPr>
              <w:t>СТО РусГидро 02.02.060-2011. (с изменениями и дополнениями, введенными в действие приказом ПАО «РусГидро» от 18.07.2018 № 515) «Гидроэлектростанции. Технические и автоматизированные системы. Условия поставки. Нормы и требования.</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Стандарт ОАО «СО ЕЭС» СТО 59012820.29.160.20.004-2019 «Требования к системам возбуждения и автоматическим регуляторам возбуждения сильного действия синхронных генераторов» (утвержден и введен в действие приказом ОАО «СО ЕЭС» от 03.04.2012 № 139).;</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ГОСТ Р 58601-2019 Релейная защита и автоматика. Автономные регистраторы аварийных событий. Нормы и требования;</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Типовые проектные решения при создании (модернизации) РЗА присоединений главных схем всех классов напряжения ГЭС (утверждены приказом ПАО «РусГидро» от 19.08.2020 № 643 с изменениями, внесенными приказом ПАО «РусГидро» от 18.02.2022 №133);</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Типовые проектные решения при замене (модернизации) устройств локальной противоаварийной автоматики ГЭС» (Утв. приказом ПАО «РусГидро» от 13.12.2016 № 998);</w:t>
            </w:r>
          </w:p>
          <w:p>
            <w:pPr>
              <w:pStyle w:val="BodyText"/>
              <w:widowControl w:val="false"/>
              <w:numPr>
                <w:ilvl w:val="0"/>
                <w:numId w:val="46"/>
              </w:numPr>
              <w:tabs>
                <w:tab w:val="clear" w:pos="708"/>
                <w:tab w:val="left" w:pos="-4860" w:leader="none"/>
                <w:tab w:val="left" w:pos="-3240" w:leader="none"/>
                <w:tab w:val="left" w:pos="1080" w:leader="none"/>
              </w:tabs>
              <w:suppressAutoHyphens w:val="true"/>
              <w:spacing w:before="0" w:after="0"/>
              <w:ind w:firstLine="291" w:left="0"/>
              <w:jc w:val="both"/>
              <w:rPr>
                <w:sz w:val="24"/>
              </w:rPr>
            </w:pPr>
            <w:r>
              <w:rPr>
                <w:rFonts w:eastAsia="Calibri" w:cs="Times New Roman"/>
                <w:kern w:val="0"/>
                <w:sz w:val="24"/>
                <w:lang w:val="ru-RU" w:eastAsia="ru-RU" w:bidi="ar-SA"/>
              </w:rPr>
              <w:t>Типовые проектные решения по установкам противопожарной защиты (утверждены приказом ПАО «РусГидро» от 19.06.2017 № 392 «О вводе в действие типовых проектных решений по установкам противопожарной защиты» с изменениями, внесенными приказом ПАО «РусГидро» от 04.08.2020 №602);СТО 17330282.</w:t>
            </w:r>
            <w:r>
              <w:rPr>
                <w:rFonts w:eastAsia="Times New Roman" w:cs="Times New Roman"/>
                <w:kern w:val="0"/>
                <w:sz w:val="24"/>
                <w:lang w:val="ru-RU" w:eastAsia="ru-RU" w:bidi="ar-SA"/>
              </w:rPr>
              <w:t xml:space="preserve">27.140.004-2008 Контрольно-измерительные системы и аппаратура гидротехнических сооружений ГЭС. Условия создания. Нормы и требования. </w:t>
            </w:r>
          </w:p>
          <w:p>
            <w:pPr>
              <w:pStyle w:val="BodyTextIndent3"/>
              <w:widowControl w:val="false"/>
              <w:numPr>
                <w:ilvl w:val="0"/>
                <w:numId w:val="46"/>
              </w:numPr>
              <w:tabs>
                <w:tab w:val="clear" w:pos="708"/>
                <w:tab w:val="left" w:pos="1080" w:leader="none"/>
              </w:tabs>
              <w:suppressAutoHyphens w:val="true"/>
              <w:spacing w:before="0" w:after="0"/>
              <w:ind w:firstLine="291" w:left="0"/>
              <w:jc w:val="both"/>
              <w:rPr>
                <w:spacing w:val="-4"/>
                <w:sz w:val="24"/>
              </w:rPr>
            </w:pPr>
            <w:r>
              <w:rPr>
                <w:rFonts w:eastAsia="Times New Roman" w:cs="Times New Roman"/>
                <w:spacing w:val="-4"/>
                <w:kern w:val="0"/>
                <w:sz w:val="24"/>
                <w:lang w:val="ru-RU" w:eastAsia="ru-RU" w:bidi="ar-SA"/>
              </w:rPr>
              <w:t>Общие требования к системам противоаварийной и режимной автоматики, релейной защиты и автоматики, телеметрической информации, технологической связи в ЕЭС России, утвержденные приказом ОАО РАО «ЕЭС России» от 11.02.2008 № 57;</w:t>
            </w:r>
          </w:p>
          <w:p>
            <w:pPr>
              <w:pStyle w:val="Normal"/>
              <w:widowControl w:val="false"/>
              <w:tabs>
                <w:tab w:val="clear" w:pos="708"/>
                <w:tab w:val="left" w:pos="1080" w:leader="none"/>
              </w:tabs>
              <w:suppressAutoHyphens w:val="true"/>
              <w:spacing w:lineRule="auto" w:line="276" w:before="0" w:after="0"/>
              <w:ind w:firstLine="291"/>
              <w:jc w:val="left"/>
              <w:rPr>
                <w:spacing w:val="-4"/>
                <w:sz w:val="24"/>
                <w:szCs w:val="24"/>
              </w:rPr>
            </w:pPr>
            <w:r>
              <w:rPr>
                <w:rFonts w:eastAsia="Times New Roman" w:cs="Times New Roman"/>
                <w:spacing w:val="-4"/>
                <w:kern w:val="0"/>
                <w:sz w:val="24"/>
                <w:szCs w:val="24"/>
                <w:lang w:val="ru-RU" w:eastAsia="ru-RU" w:bidi="ar-SA"/>
              </w:rPr>
              <w:t xml:space="preserve">– </w:t>
            </w:r>
            <w:r>
              <w:rPr>
                <w:rFonts w:eastAsia="Times New Roman" w:cs="Times New Roman"/>
                <w:kern w:val="0"/>
                <w:sz w:val="24"/>
                <w:szCs w:val="24"/>
                <w:lang w:val="ru-RU" w:eastAsia="ru-RU" w:bidi="ar-SA"/>
              </w:rPr>
              <w:t>Стандарт организации ОАО РАО «ЕЭС России» СТО 17330282.27.140.010-2008 «Автоматизированные системы управления технологическим процессами ГЭС и ГАЭС. Условия создания. Нормы и требования»;</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Стандарт организации ОАО РАО «ЕЭС России» СТО 17330282.27.140.011-2008 «Гидроэлектростанции. Условия создания. Нормы и требования»;</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Техническая политика Группы «РусГидро»;</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Общие технические требования к верхнему уровню автоматизированных систем управления технологическими процессами ГЭС/ГАЭС Приложение к приказу ПАО «РусГидро» от 13.03.2020 №201;</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Типовые проектные решения по релейной защите и автоматике ПАО «РусГидро»;</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Типовые проектные решения на создание (модернизацию, замену) установок противопожарной защиты технологического оборудования, помещений и наружных установок 87-07-2015-ИСПБ.ТПР.</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Приложение к распоряжению ПАО «РусГидро» от 23.06.2016 №141р «Временные методические указания по мониторингу и контролю вибрационного состояния гидроагрегатов, оснащенных стационарными системами вибродиагностики».</w:t>
            </w:r>
          </w:p>
          <w:p>
            <w:pPr>
              <w:pStyle w:val="BodyTextIndent3"/>
              <w:widowControl w:val="false"/>
              <w:numPr>
                <w:ilvl w:val="0"/>
                <w:numId w:val="47"/>
              </w:numPr>
              <w:suppressAutoHyphens w:val="true"/>
              <w:spacing w:before="0" w:after="0"/>
              <w:ind w:firstLine="291" w:left="0"/>
              <w:jc w:val="both"/>
              <w:rPr>
                <w:i/>
                <w:i/>
                <w:spacing w:val="-4"/>
                <w:sz w:val="24"/>
              </w:rPr>
            </w:pPr>
            <w:r>
              <w:rPr>
                <w:rFonts w:eastAsia="Times New Roman" w:cs="Times New Roman"/>
                <w:kern w:val="0"/>
                <w:sz w:val="24"/>
                <w:lang w:val="ru-RU" w:eastAsia="ru-RU" w:bidi="ar-SA"/>
              </w:rPr>
              <w:t>СТО 17330282.27.140.004-2008 «Контрольно-измерительные системы и аппаратура гидротехнических сооружений ГЭС. Условия создания, нормы и требования» Стандарт организации ПАО «РусГидро» СТО 01.01.78-2012 «Гидроэлектростанции. Нормы технологического проектирования».</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Стандарт организации АО «СО ЕЭС» «Релейная защита и автоматика. Автоматизированный сбор, хранение и передача в диспетчерские центры АО «СО ЕЭС» информации об аварийных событиях с объектов электроэнергетики, оснащенных цифровыми устройствами регистрации аварийных событий. Нормы и требования», СТО 59012820.29.020.009-2016.</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СТО 59012820.29.240.002-2010 от 01.07.2010 «Обеспечение согласованной работы систем автоматического регулирования частоты и перетоков мощности ЕЭС России и автоматики управления мощностью гидроэлектростанций. Условия организации процесса. Условия создания объекта. Нормы и требования.».</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 xml:space="preserve">СТО 70238424.27.140.033-2010 «Гидроэлектростанции. Технические и автоматизированные системы. Условия поставка. Нормы и требования». </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Общие технические требования для подключения ГЭС к системе доведения плановых диспетчерских графиков и диспетчерских команд через каналы связи ГРАМ – ЦС (ЦКС) АРЧМ.</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СТО 70238424.27.140.027.2009 Гидроэлектростанции правила разработки схем территориального планирования и проектной документации.</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СТО ФСК ЕЭС 56947007-29.200.10.011-2008 «Система мониторинга силовых трансформаторов. Общие технические требования»</w:t>
            </w:r>
          </w:p>
          <w:p>
            <w:pPr>
              <w:pStyle w:val="BodyTextIndent3"/>
              <w:widowControl w:val="false"/>
              <w:numPr>
                <w:ilvl w:val="0"/>
                <w:numId w:val="47"/>
              </w:numPr>
              <w:suppressAutoHyphens w:val="true"/>
              <w:spacing w:before="0" w:after="0"/>
              <w:ind w:firstLine="291" w:left="0"/>
              <w:jc w:val="both"/>
              <w:rPr>
                <w:sz w:val="24"/>
              </w:rPr>
            </w:pPr>
            <w:r>
              <w:rPr>
                <w:rFonts w:eastAsia="Times New Roman" w:cs="Times New Roman"/>
                <w:kern w:val="0"/>
                <w:sz w:val="24"/>
                <w:lang w:val="ru-RU" w:eastAsia="ru-RU" w:bidi="ar-SA"/>
              </w:rPr>
              <w:t>ГОСТ 34.602-2020 «Информационные технологии. Комплекс стандартов на автоматизированные системы. Техническое задание на создание автоматизированной системы»;</w:t>
            </w:r>
          </w:p>
          <w:p>
            <w:pPr>
              <w:pStyle w:val="BodyTextIndent3"/>
              <w:widowControl w:val="false"/>
              <w:numPr>
                <w:ilvl w:val="0"/>
                <w:numId w:val="47"/>
              </w:numPr>
              <w:suppressAutoHyphens w:val="true"/>
              <w:spacing w:before="0" w:after="0"/>
              <w:ind w:firstLine="291" w:left="0"/>
              <w:jc w:val="both"/>
              <w:rPr>
                <w:sz w:val="24"/>
              </w:rPr>
            </w:pPr>
            <w:r>
              <w:rPr>
                <w:rFonts w:eastAsia="Calibri" w:cs="Times New Roman"/>
                <w:kern w:val="0"/>
                <w:sz w:val="24"/>
                <w:lang w:val="ru-RU" w:eastAsia="ru-RU" w:bidi="ar-SA"/>
              </w:rPr>
              <w:t>Типовые проектные решения по системам возбуждения ГЭС/ГАЭС, утвержденные приказом ПАО «РусГидро» от 13.05.2021 № 412</w:t>
            </w:r>
            <w:r>
              <w:rPr>
                <w:rFonts w:eastAsia="Times New Roman" w:cs="Times New Roman"/>
                <w:kern w:val="0"/>
                <w:sz w:val="24"/>
                <w:lang w:val="ru-RU" w:eastAsia="ru-RU" w:bidi="ar-SA"/>
              </w:rPr>
              <w:t>.</w:t>
            </w:r>
          </w:p>
          <w:p>
            <w:pPr>
              <w:pStyle w:val="Normal"/>
              <w:widowControl w:val="false"/>
              <w:suppressAutoHyphens w:val="true"/>
              <w:spacing w:before="0" w:after="0"/>
              <w:jc w:val="center"/>
              <w:rPr>
                <w:b/>
                <w:sz w:val="24"/>
                <w:szCs w:val="24"/>
              </w:rPr>
            </w:pPr>
            <w:r>
              <w:rPr>
                <w:rFonts w:eastAsia="Times New Roman" w:cs="Times New Roman"/>
                <w:kern w:val="0"/>
                <w:sz w:val="24"/>
                <w:szCs w:val="24"/>
                <w:lang w:val="ru-RU" w:eastAsia="ru-RU" w:bidi="ar-SA"/>
              </w:rPr>
              <w:t>При разработке рабочей документации необходимо руководствоваться последними редакциями документов, необходимых и действующих на момент разработки документации, в том числе, не указанных в данном приложении.</w:t>
            </w:r>
          </w:p>
        </w:tc>
      </w:tr>
      <w:tr>
        <w:trPr/>
        <w:tc>
          <w:tcPr>
            <w:tcW w:w="707" w:type="dxa"/>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Требования к техническим и функциональным характеристикам (включая гарантируемые показатели)</w:t>
            </w:r>
          </w:p>
        </w:tc>
      </w:tr>
      <w:tr>
        <w:trPr/>
        <w:tc>
          <w:tcPr>
            <w:tcW w:w="707" w:type="dxa"/>
            <w:tcBorders/>
            <w:vAlign w:val="center"/>
          </w:tcPr>
          <w:p>
            <w:pPr>
              <w:pStyle w:val="ListParagraph"/>
              <w:widowControl w:val="false"/>
              <w:numPr>
                <w:ilvl w:val="1"/>
                <w:numId w:val="6"/>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shd w:color="auto" w:fill="auto" w:val="clear"/>
          </w:tcPr>
          <w:p>
            <w:pPr>
              <w:pStyle w:val="Normal"/>
              <w:widowControl w:val="false"/>
              <w:suppressAutoHyphens w:val="true"/>
              <w:spacing w:before="0" w:after="0"/>
              <w:jc w:val="left"/>
              <w:rPr>
                <w:sz w:val="24"/>
                <w:szCs w:val="24"/>
              </w:rPr>
            </w:pPr>
            <w:r>
              <w:rPr>
                <w:rFonts w:eastAsia="Times New Roman" w:cs="Times New Roman"/>
                <w:i/>
                <w:kern w:val="0"/>
                <w:sz w:val="24"/>
                <w:szCs w:val="24"/>
                <w:lang w:val="ru-RU" w:eastAsia="ru-RU" w:bidi="ar-SA"/>
              </w:rPr>
              <w:t>ПТК ТАиУВО</w:t>
            </w:r>
          </w:p>
        </w:tc>
      </w:tr>
      <w:tr>
        <w:trPr/>
        <w:tc>
          <w:tcPr>
            <w:tcW w:w="707" w:type="dxa"/>
            <w:tcBorders/>
            <w:vAlign w:val="center"/>
          </w:tcPr>
          <w:p>
            <w:pPr>
              <w:pStyle w:val="ListParagraph"/>
              <w:widowControl w:val="false"/>
              <w:numPr>
                <w:ilvl w:val="2"/>
                <w:numId w:val="12"/>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Состав ПТК ТА и УВО</w:t>
            </w:r>
          </w:p>
        </w:tc>
        <w:tc>
          <w:tcPr>
            <w:tcW w:w="12333" w:type="dxa"/>
            <w:tcBorders/>
            <w:shd w:color="auto" w:fill="auto" w:val="clear"/>
            <w:vAlign w:val="center"/>
          </w:tcPr>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ПТК ТАиУВО должен включать следующие компоненты: шкаф контроллеров и шкафы устройства связи с объектами. </w:t>
            </w:r>
          </w:p>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Шкаф контроллеров является основной управляющей частью ПТК и обязательным элементом в составе ПТК. В шкаф контроллеров должны входить:</w:t>
            </w:r>
          </w:p>
          <w:p>
            <w:pPr>
              <w:pStyle w:val="ListParagraph"/>
              <w:widowControl w:val="false"/>
              <w:numPr>
                <w:ilvl w:val="0"/>
                <w:numId w:val="13"/>
              </w:numPr>
              <w:suppressAutoHyphens w:val="true"/>
              <w:spacing w:lineRule="auto" w:line="276" w:before="0" w:after="0"/>
              <w:ind w:hanging="284" w:left="348"/>
              <w:contextualSpacing/>
              <w:jc w:val="both"/>
              <w:rPr>
                <w:rFonts w:ascii="Times New Roman" w:hAnsi="Times New Roman" w:cs="Times New Roman"/>
                <w:kern w:val="0"/>
                <w:lang w:val="ru-RU" w:eastAsia="ru-RU" w:bidi="ar-SA"/>
              </w:rPr>
            </w:pPr>
            <w:r>
              <w:rPr>
                <w:rFonts w:cs="Times New Roman"/>
                <w:kern w:val="0"/>
                <w:lang w:val="ru-RU" w:eastAsia="ru-RU" w:bidi="ar-SA"/>
              </w:rPr>
              <w:t>схема электропитания шкафа;</w:t>
            </w:r>
          </w:p>
          <w:p>
            <w:pPr>
              <w:pStyle w:val="ListParagraph"/>
              <w:widowControl w:val="false"/>
              <w:numPr>
                <w:ilvl w:val="0"/>
                <w:numId w:val="13"/>
              </w:numPr>
              <w:suppressAutoHyphens w:val="true"/>
              <w:spacing w:lineRule="auto" w:line="276" w:before="0" w:after="0"/>
              <w:ind w:hanging="284" w:left="348"/>
              <w:contextualSpacing/>
              <w:jc w:val="both"/>
              <w:rPr>
                <w:rFonts w:ascii="Times New Roman" w:hAnsi="Times New Roman" w:cs="Times New Roman"/>
                <w:kern w:val="0"/>
                <w:lang w:val="ru-RU" w:eastAsia="ru-RU" w:bidi="ar-SA"/>
              </w:rPr>
            </w:pPr>
            <w:r>
              <w:rPr>
                <w:rFonts w:cs="Times New Roman"/>
                <w:kern w:val="0"/>
                <w:lang w:val="ru-RU" w:eastAsia="ru-RU" w:bidi="ar-SA"/>
              </w:rPr>
              <w:t>сетевые устройства;</w:t>
            </w:r>
          </w:p>
          <w:p>
            <w:pPr>
              <w:pStyle w:val="ListParagraph"/>
              <w:widowControl w:val="false"/>
              <w:numPr>
                <w:ilvl w:val="0"/>
                <w:numId w:val="13"/>
              </w:numPr>
              <w:suppressAutoHyphens w:val="true"/>
              <w:spacing w:lineRule="auto" w:line="276" w:before="0" w:after="0"/>
              <w:ind w:hanging="284" w:left="348"/>
              <w:contextualSpacing/>
              <w:jc w:val="both"/>
              <w:rPr>
                <w:rFonts w:ascii="Times New Roman" w:hAnsi="Times New Roman" w:cs="Times New Roman"/>
                <w:kern w:val="0"/>
                <w:lang w:val="ru-RU" w:eastAsia="ru-RU" w:bidi="ar-SA"/>
              </w:rPr>
            </w:pPr>
            <w:r>
              <w:rPr>
                <w:rFonts w:cs="Times New Roman"/>
                <w:kern w:val="0"/>
                <w:lang w:val="ru-RU" w:eastAsia="ru-RU" w:bidi="ar-SA"/>
              </w:rPr>
              <w:t>два промышленных контроллера (основной и резервный)</w:t>
            </w:r>
          </w:p>
          <w:p>
            <w:pPr>
              <w:pStyle w:val="ListParagraph"/>
              <w:widowControl w:val="false"/>
              <w:numPr>
                <w:ilvl w:val="0"/>
                <w:numId w:val="13"/>
              </w:numPr>
              <w:suppressAutoHyphens w:val="true"/>
              <w:spacing w:lineRule="auto" w:line="276" w:before="0" w:after="0"/>
              <w:ind w:hanging="284" w:left="348"/>
              <w:contextualSpacing/>
              <w:jc w:val="both"/>
              <w:rPr>
                <w:rFonts w:ascii="Times New Roman" w:hAnsi="Times New Roman" w:cs="Times New Roman"/>
                <w:kern w:val="0"/>
                <w:lang w:val="ru-RU" w:eastAsia="ru-RU" w:bidi="ar-SA"/>
              </w:rPr>
            </w:pPr>
            <w:r>
              <w:rPr>
                <w:rFonts w:cs="Times New Roman"/>
                <w:kern w:val="0"/>
                <w:lang w:val="ru-RU" w:eastAsia="ru-RU" w:bidi="ar-SA"/>
              </w:rPr>
              <w:t>модули ввода/вывода;</w:t>
            </w:r>
          </w:p>
          <w:p>
            <w:pPr>
              <w:pStyle w:val="ListParagraph"/>
              <w:widowControl w:val="false"/>
              <w:numPr>
                <w:ilvl w:val="0"/>
                <w:numId w:val="13"/>
              </w:numPr>
              <w:suppressAutoHyphens w:val="true"/>
              <w:spacing w:lineRule="auto" w:line="276" w:before="0" w:after="240"/>
              <w:ind w:hanging="284" w:left="348"/>
              <w:contextualSpacing/>
              <w:jc w:val="both"/>
              <w:rPr>
                <w:rFonts w:ascii="Times New Roman" w:hAnsi="Times New Roman" w:cs="Times New Roman"/>
                <w:kern w:val="0"/>
                <w:lang w:val="ru-RU" w:eastAsia="ru-RU" w:bidi="ar-SA"/>
              </w:rPr>
            </w:pPr>
            <w:r>
              <w:rPr>
                <w:rFonts w:cs="Times New Roman"/>
                <w:kern w:val="0"/>
                <w:lang w:val="ru-RU" w:eastAsia="ru-RU" w:bidi="ar-SA"/>
              </w:rPr>
              <w:t>схемы подключения к модулям ввода/вывода полевых устройств;</w:t>
            </w:r>
          </w:p>
          <w:p>
            <w:pPr>
              <w:pStyle w:val="Normal"/>
              <w:widowControl w:val="false"/>
              <w:suppressAutoHyphens w:val="true"/>
              <w:spacing w:lineRule="auto" w:line="276" w:before="0" w:after="0"/>
              <w:ind w:hanging="0" w:left="64"/>
              <w:jc w:val="both"/>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Шкаф УСО является вспомогательным шкафом ПТК, предназначен для расширения шкафа контроллера по количеству каналов ввода/вывода. Включает в себя:</w:t>
            </w:r>
          </w:p>
          <w:p>
            <w:pPr>
              <w:pStyle w:val="ListParagraph"/>
              <w:widowControl w:val="false"/>
              <w:numPr>
                <w:ilvl w:val="0"/>
                <w:numId w:val="14"/>
              </w:numPr>
              <w:tabs>
                <w:tab w:val="clear" w:pos="708"/>
                <w:tab w:val="left" w:pos="176" w:leader="none"/>
              </w:tabs>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 xml:space="preserve"> </w:t>
            </w:r>
            <w:r>
              <w:rPr>
                <w:rFonts w:cs="Times New Roman"/>
                <w:kern w:val="0"/>
                <w:lang w:val="ru-RU" w:eastAsia="ru-RU" w:bidi="ar-SA"/>
              </w:rPr>
              <w:t>схему электропитания шкафа;</w:t>
            </w:r>
          </w:p>
          <w:p>
            <w:pPr>
              <w:pStyle w:val="ListParagraph"/>
              <w:widowControl w:val="false"/>
              <w:numPr>
                <w:ilvl w:val="0"/>
                <w:numId w:val="14"/>
              </w:numPr>
              <w:tabs>
                <w:tab w:val="clear" w:pos="708"/>
                <w:tab w:val="left" w:pos="176" w:leader="none"/>
              </w:tabs>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 xml:space="preserve"> </w:t>
            </w:r>
            <w:r>
              <w:rPr>
                <w:rFonts w:cs="Times New Roman"/>
                <w:kern w:val="0"/>
                <w:lang w:val="ru-RU" w:eastAsia="ru-RU" w:bidi="ar-SA"/>
              </w:rPr>
              <w:t xml:space="preserve">станции распределенной периферии; </w:t>
            </w:r>
          </w:p>
          <w:p>
            <w:pPr>
              <w:pStyle w:val="ListParagraph"/>
              <w:widowControl w:val="false"/>
              <w:numPr>
                <w:ilvl w:val="0"/>
                <w:numId w:val="14"/>
              </w:numPr>
              <w:tabs>
                <w:tab w:val="clear" w:pos="708"/>
                <w:tab w:val="left" w:pos="176" w:leader="none"/>
              </w:tabs>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 xml:space="preserve"> </w:t>
            </w:r>
            <w:r>
              <w:rPr>
                <w:rFonts w:cs="Times New Roman"/>
                <w:kern w:val="0"/>
                <w:lang w:val="ru-RU" w:eastAsia="ru-RU" w:bidi="ar-SA"/>
              </w:rPr>
              <w:t>модули ввода/вывода;</w:t>
            </w:r>
          </w:p>
          <w:p>
            <w:pPr>
              <w:pStyle w:val="ListParagraph"/>
              <w:widowControl w:val="false"/>
              <w:numPr>
                <w:ilvl w:val="0"/>
                <w:numId w:val="14"/>
              </w:numPr>
              <w:tabs>
                <w:tab w:val="clear" w:pos="708"/>
                <w:tab w:val="left" w:pos="176" w:leader="none"/>
              </w:tabs>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схемы подключения к модулям ввода/вывода полевых устройств.</w:t>
            </w:r>
          </w:p>
          <w:p>
            <w:pPr>
              <w:pStyle w:val="Normal"/>
              <w:widowControl w:val="false"/>
              <w:tabs>
                <w:tab w:val="clear" w:pos="708"/>
                <w:tab w:val="left" w:pos="176" w:leader="none"/>
              </w:tabs>
              <w:suppressAutoHyphens w:val="true"/>
              <w:spacing w:lineRule="auto" w:line="276" w:before="0" w:after="0"/>
              <w:jc w:val="both"/>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p>
            <w:pPr>
              <w:pStyle w:val="Normal"/>
              <w:widowControl w:val="false"/>
              <w:tabs>
                <w:tab w:val="clear" w:pos="708"/>
                <w:tab w:val="left" w:pos="176" w:leader="none"/>
              </w:tabs>
              <w:suppressAutoHyphens w:val="true"/>
              <w:spacing w:lineRule="auto" w:line="276" w:before="0" w:after="0"/>
              <w:jc w:val="both"/>
              <w:rPr>
                <w:rFonts w:ascii="Times New Roman" w:hAnsi="Times New Roman" w:eastAsia="Times New Roman" w:cs="Times New Roman"/>
                <w:kern w:val="0"/>
                <w:lang w:val="ru-RU" w:eastAsia="ru-RU" w:bidi="ar-SA"/>
              </w:rPr>
            </w:pPr>
            <w:r>
              <w:rPr>
                <w:rFonts w:eastAsia="Times New Roman" w:cs="Times New Roman"/>
                <w:kern w:val="0"/>
                <w:sz w:val="24"/>
                <w:lang w:val="ru-RU" w:eastAsia="ru-RU" w:bidi="ar-SA"/>
              </w:rPr>
              <w:t xml:space="preserve">Шкафы ПТК АРЧМ и МНУ поставляются совместно с гидротурбиной, конструкторская. </w:t>
            </w:r>
          </w:p>
        </w:tc>
      </w:tr>
      <w:tr>
        <w:trPr/>
        <w:tc>
          <w:tcPr>
            <w:tcW w:w="707" w:type="dxa"/>
            <w:tcBorders/>
            <w:vAlign w:val="center"/>
          </w:tcPr>
          <w:p>
            <w:pPr>
              <w:pStyle w:val="ListParagraph"/>
              <w:widowControl w:val="false"/>
              <w:numPr>
                <w:ilvl w:val="2"/>
                <w:numId w:val="12"/>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Функции ПТК ТАиУВО</w:t>
            </w:r>
          </w:p>
        </w:tc>
        <w:tc>
          <w:tcPr>
            <w:tcW w:w="12333" w:type="dxa"/>
            <w:tcBorders/>
            <w:shd w:color="auto" w:fill="auto" w:val="clear"/>
            <w:vAlign w:val="center"/>
          </w:tcPr>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ПТК ТАиУВО должен обеспечивать:</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нормальный пуск гидроагрегата в генераторный режим методом точной автоматической и ручной синхронизации;</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экстренный пуск гидроагрегата в генераторный режим методом самосинхронизации;</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пуск гидроагрегата в режим холостого хода турбины;</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пуск гидроагрегата в режим холостого хода генератора;</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нормальный останов гидроагрегата;</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аварийный останов гидроагрегата;</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контроль технологического состояния гидроагрегата;</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 xml:space="preserve">защита гидроагрегата при неисправности его гидромеханической части; </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опрос и преобразование информации от датчиков температуры, то есть измерения текущих значений параметров температуры сердечника статора генератора, обмотки статора генератора, подпятника, подшипника, а также сред, обеспечивающих охлаждение этих частей (воздуха и масла);</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ввод информации от измерительных преобразователей, датчиков уровней, датчиков давления и др., установленных на оборудовании гидроагрегата, и не охваченных другими ПТК, микропроцессорными программируемыми устройствами (системами) контроля и управления оборудованием посредством физических связей;</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опрос дискретных датчиков состояния, аварийной и предупредительной сигнализации гидроагрегата посредством физических связей;</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контроль и автоматическое управление вспомогательным оборудованием гидроагрегата;</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управление устройствами звуковой сигнализации (звонки, гудки) и устройствами световой сигнализации (арматура сигнальная, световые индикаторы, световые плафоны), избирательно размещаемые на ГЭС;</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val="ru-RU" w:eastAsia="ru-RU" w:bidi="ar-SA"/>
              </w:rPr>
            </w:pPr>
            <w:r>
              <w:rPr>
                <w:rFonts w:cs="Times New Roman"/>
                <w:kern w:val="0"/>
                <w:lang w:val="ru-RU" w:eastAsia="ru-RU" w:bidi="ar-SA"/>
              </w:rPr>
              <w:t>обмен информацией (получение директив управления и выдача информации) с программно-техническими комплексами нижнего подуровня (ПТК АРЧМ, ПТК МНУ, ПТК ВК, СВ, электрические защиты генератора и т.д.);</w:t>
            </w:r>
          </w:p>
          <w:p>
            <w:pPr>
              <w:pStyle w:val="ListParagraph"/>
              <w:widowControl w:val="false"/>
              <w:numPr>
                <w:ilvl w:val="0"/>
                <w:numId w:val="15"/>
              </w:numPr>
              <w:suppressAutoHyphens w:val="true"/>
              <w:spacing w:lineRule="auto" w:line="276" w:before="0" w:after="0"/>
              <w:ind w:hanging="425" w:left="606"/>
              <w:contextualSpacing/>
              <w:jc w:val="both"/>
              <w:rPr>
                <w:rFonts w:ascii="Times New Roman" w:hAnsi="Times New Roman" w:cs="Times New Roman"/>
                <w:kern w:val="0"/>
                <w:lang w:eastAsia="ru-RU" w:bidi="ar-SA"/>
              </w:rPr>
            </w:pPr>
            <w:r>
              <w:rPr>
                <w:rFonts w:cs="Times New Roman"/>
                <w:kern w:val="0"/>
                <w:lang w:val="ru-RU" w:eastAsia="ru-RU" w:bidi="ar-SA"/>
              </w:rPr>
              <w:t xml:space="preserve">обмен информацией по станционной ТСПД через ПТК СКО1, ПТК СКО2 машинного зала с системой верхнего уровня контроля и управления АСУ ТП посредством применения сетевой технологии </w:t>
            </w:r>
            <w:r>
              <w:rPr>
                <w:rFonts w:cs="Times New Roman"/>
                <w:kern w:val="0"/>
                <w:lang w:val="en-US" w:eastAsia="ru-RU" w:bidi="ar-SA"/>
              </w:rPr>
              <w:t>Ethernet</w:t>
            </w:r>
            <w:r>
              <w:rPr>
                <w:rFonts w:cs="Times New Roman"/>
                <w:kern w:val="0"/>
                <w:lang w:val="ru-RU" w:eastAsia="ru-RU" w:bidi="ar-SA"/>
              </w:rPr>
              <w:t xml:space="preserve"> и протокола передачи данных МЭК 6070-5-104 или МЭК 61850.</w:t>
            </w:r>
          </w:p>
        </w:tc>
      </w:tr>
      <w:tr>
        <w:trPr>
          <w:trHeight w:val="2007" w:hRule="atLeast"/>
        </w:trPr>
        <w:tc>
          <w:tcPr>
            <w:tcW w:w="707" w:type="dxa"/>
            <w:tcBorders/>
            <w:vAlign w:val="center"/>
          </w:tcPr>
          <w:p>
            <w:pPr>
              <w:pStyle w:val="ListParagraph"/>
              <w:widowControl w:val="false"/>
              <w:numPr>
                <w:ilvl w:val="2"/>
                <w:numId w:val="12"/>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Требования к ПТК ТАиУВО</w:t>
            </w:r>
          </w:p>
        </w:tc>
        <w:tc>
          <w:tcPr>
            <w:tcW w:w="12333" w:type="dxa"/>
            <w:tcBorders/>
            <w:shd w:color="auto" w:fill="auto" w:val="clear"/>
            <w:vAlign w:val="center"/>
          </w:tcPr>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ab/>
              <w:t xml:space="preserve">Автоматическое управление гидроагрегатом сводится к изменению его состояния и обеспечению режимов работы, а также обеспечение безопасной работы гидроагрегата в соответствии с требованиями РЭ. </w:t>
            </w:r>
          </w:p>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 xml:space="preserve">Изменение режима работы гидроагрегата (реализация алгоритмов переходов между режимами гидроагрегата: пуски, нормальные или аварийные остановы, включение в сеть) производятся в ПТК ТАиУВО в автоматическом режиме. </w:t>
            </w:r>
          </w:p>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 xml:space="preserve">Для управления гидроагрегатом в непрерывном режиме в рамках ПТК ТАиУВО должны функционировать: </w:t>
            </w:r>
          </w:p>
          <w:p>
            <w:pPr>
              <w:pStyle w:val="Normal"/>
              <w:widowControl w:val="false"/>
              <w:numPr>
                <w:ilvl w:val="0"/>
                <w:numId w:val="16"/>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алгоритмы контроля технологических параметров; </w:t>
            </w:r>
          </w:p>
          <w:p>
            <w:pPr>
              <w:pStyle w:val="Normal"/>
              <w:widowControl w:val="false"/>
              <w:numPr>
                <w:ilvl w:val="0"/>
                <w:numId w:val="16"/>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алгоритмы теплового контроля;</w:t>
            </w:r>
          </w:p>
          <w:p>
            <w:pPr>
              <w:pStyle w:val="Normal"/>
              <w:widowControl w:val="false"/>
              <w:numPr>
                <w:ilvl w:val="0"/>
                <w:numId w:val="16"/>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алгоритмы сигнализации; </w:t>
            </w:r>
          </w:p>
          <w:p>
            <w:pPr>
              <w:pStyle w:val="Normal"/>
              <w:widowControl w:val="false"/>
              <w:numPr>
                <w:ilvl w:val="0"/>
                <w:numId w:val="16"/>
              </w:numPr>
              <w:suppressAutoHyphens w:val="true"/>
              <w:spacing w:lineRule="auto" w:line="276" w:before="0" w:after="183"/>
              <w:jc w:val="both"/>
              <w:rPr>
                <w:sz w:val="24"/>
                <w:szCs w:val="24"/>
              </w:rPr>
            </w:pPr>
            <w:r>
              <w:rPr>
                <w:rFonts w:eastAsia="Times New Roman" w:cs="Times New Roman"/>
                <w:kern w:val="0"/>
                <w:sz w:val="24"/>
                <w:szCs w:val="24"/>
                <w:lang w:val="ru-RU" w:eastAsia="ru-RU" w:bidi="ar-SA"/>
              </w:rPr>
              <w:t>алгоритмы технологических защит гидроагрегата.</w:t>
            </w:r>
          </w:p>
          <w:p>
            <w:pPr>
              <w:pStyle w:val="Normal"/>
              <w:widowControl w:val="false"/>
              <w:suppressAutoHyphens w:val="true"/>
              <w:spacing w:lineRule="auto" w:line="276" w:before="0" w:after="0"/>
              <w:ind w:firstLine="708" w:left="33"/>
              <w:jc w:val="both"/>
              <w:rPr>
                <w:sz w:val="24"/>
                <w:szCs w:val="24"/>
              </w:rPr>
            </w:pPr>
            <w:r>
              <w:rPr>
                <w:rFonts w:eastAsia="Times New Roman" w:cs="Times New Roman"/>
                <w:kern w:val="0"/>
                <w:sz w:val="24"/>
                <w:szCs w:val="24"/>
                <w:lang w:val="ru-RU" w:eastAsia="ru-RU" w:bidi="ar-SA"/>
              </w:rPr>
              <w:t>ПТК ТАиУВО предназначен для управления вспомогательным оборудованием (функции УВО):</w:t>
            </w:r>
          </w:p>
          <w:p>
            <w:pPr>
              <w:pStyle w:val="ListParagraph"/>
              <w:widowControl w:val="false"/>
              <w:numPr>
                <w:ilvl w:val="0"/>
                <w:numId w:val="20"/>
              </w:numPr>
              <w:suppressAutoHyphens w:val="true"/>
              <w:spacing w:lineRule="auto" w:line="276" w:before="0" w:after="0"/>
              <w:ind w:hanging="283" w:left="741"/>
              <w:contextualSpacing/>
              <w:jc w:val="both"/>
              <w:rPr>
                <w:rFonts w:ascii="Times New Roman" w:hAnsi="Times New Roman" w:cs="Times New Roman"/>
                <w:kern w:val="0"/>
                <w:lang w:val="ru-RU" w:eastAsia="ru-RU" w:bidi="ar-SA"/>
              </w:rPr>
            </w:pPr>
            <w:r>
              <w:rPr>
                <w:rFonts w:cs="Times New Roman"/>
                <w:kern w:val="0"/>
                <w:lang w:val="ru-RU" w:eastAsia="ru-RU" w:bidi="ar-SA"/>
              </w:rPr>
              <w:t>техническим водоснабжением;</w:t>
            </w:r>
          </w:p>
          <w:p>
            <w:pPr>
              <w:pStyle w:val="ListParagraph"/>
              <w:widowControl w:val="false"/>
              <w:numPr>
                <w:ilvl w:val="0"/>
                <w:numId w:val="20"/>
              </w:numPr>
              <w:suppressAutoHyphens w:val="true"/>
              <w:spacing w:lineRule="auto" w:line="276" w:before="0" w:after="0"/>
              <w:ind w:hanging="283" w:left="741"/>
              <w:contextualSpacing/>
              <w:jc w:val="both"/>
              <w:rPr>
                <w:rFonts w:ascii="Times New Roman" w:hAnsi="Times New Roman" w:cs="Times New Roman"/>
                <w:kern w:val="0"/>
                <w:lang w:val="ru-RU" w:eastAsia="ru-RU" w:bidi="ar-SA"/>
              </w:rPr>
            </w:pPr>
            <w:r>
              <w:rPr>
                <w:rFonts w:cs="Times New Roman"/>
                <w:kern w:val="0"/>
                <w:lang w:val="ru-RU" w:eastAsia="ru-RU" w:bidi="ar-SA"/>
              </w:rPr>
              <w:t>системой принудительной смазки подшипников;</w:t>
            </w:r>
          </w:p>
          <w:p>
            <w:pPr>
              <w:pStyle w:val="ListParagraph"/>
              <w:widowControl w:val="false"/>
              <w:numPr>
                <w:ilvl w:val="0"/>
                <w:numId w:val="20"/>
              </w:numPr>
              <w:suppressAutoHyphens w:val="true"/>
              <w:spacing w:lineRule="auto" w:line="276" w:before="0" w:after="0"/>
              <w:ind w:hanging="283" w:left="741"/>
              <w:contextualSpacing/>
              <w:jc w:val="both"/>
              <w:rPr>
                <w:rFonts w:ascii="Times New Roman" w:hAnsi="Times New Roman" w:cs="Times New Roman"/>
                <w:kern w:val="0"/>
                <w:lang w:val="ru-RU" w:eastAsia="ru-RU" w:bidi="ar-SA"/>
              </w:rPr>
            </w:pPr>
            <w:r>
              <w:rPr>
                <w:rFonts w:cs="Times New Roman"/>
                <w:kern w:val="0"/>
                <w:lang w:val="ru-RU" w:eastAsia="ru-RU" w:bidi="ar-SA"/>
              </w:rPr>
              <w:t>системой механического торможения гидроагрегата;</w:t>
            </w:r>
          </w:p>
          <w:p>
            <w:pPr>
              <w:pStyle w:val="ListParagraph"/>
              <w:widowControl w:val="false"/>
              <w:numPr>
                <w:ilvl w:val="0"/>
                <w:numId w:val="20"/>
              </w:numPr>
              <w:suppressAutoHyphens w:val="true"/>
              <w:spacing w:lineRule="auto" w:line="276" w:before="0" w:after="0"/>
              <w:ind w:hanging="283" w:left="741"/>
              <w:contextualSpacing/>
              <w:jc w:val="both"/>
              <w:rPr>
                <w:rFonts w:ascii="Times New Roman" w:hAnsi="Times New Roman" w:cs="Times New Roman"/>
                <w:kern w:val="0"/>
                <w:lang w:val="ru-RU" w:eastAsia="ru-RU" w:bidi="ar-SA"/>
              </w:rPr>
            </w:pPr>
            <w:r>
              <w:rPr>
                <w:rFonts w:cs="Times New Roman"/>
                <w:kern w:val="0"/>
                <w:lang w:val="ru-RU" w:eastAsia="ru-RU" w:bidi="ar-SA"/>
              </w:rPr>
              <w:t xml:space="preserve">системой отжатия воды из камеры РК. </w:t>
            </w:r>
          </w:p>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ab/>
              <w:t xml:space="preserve">ПТК ТАиУВО должен также обеспечивать контроль состояния вспомогательного оборудования, управляемого отдельными шкафами: </w:t>
            </w:r>
          </w:p>
          <w:p>
            <w:pPr>
              <w:pStyle w:val="Normal"/>
              <w:widowControl w:val="false"/>
              <w:numPr>
                <w:ilvl w:val="0"/>
                <w:numId w:val="17"/>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дренажная система; </w:t>
            </w:r>
          </w:p>
          <w:p>
            <w:pPr>
              <w:pStyle w:val="Normal"/>
              <w:widowControl w:val="false"/>
              <w:numPr>
                <w:ilvl w:val="0"/>
                <w:numId w:val="17"/>
              </w:numPr>
              <w:suppressAutoHyphens w:val="true"/>
              <w:spacing w:lineRule="auto" w:line="276" w:before="0" w:after="181"/>
              <w:jc w:val="both"/>
              <w:rPr>
                <w:sz w:val="24"/>
                <w:szCs w:val="24"/>
              </w:rPr>
            </w:pPr>
            <w:r>
              <w:rPr>
                <w:rFonts w:eastAsia="Times New Roman" w:cs="Times New Roman"/>
                <w:kern w:val="0"/>
                <w:sz w:val="24"/>
                <w:szCs w:val="24"/>
                <w:lang w:val="ru-RU" w:eastAsia="ru-RU" w:bidi="ar-SA"/>
              </w:rPr>
              <w:t xml:space="preserve">лекажный агрегат. </w:t>
            </w:r>
          </w:p>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ab/>
              <w:t xml:space="preserve">Дренажная система выполнена на аппаратно- независимой базе. ПТК ТАиУВО осуществляет только контроль за работой данных систем: </w:t>
            </w:r>
          </w:p>
          <w:p>
            <w:pPr>
              <w:pStyle w:val="Normal"/>
              <w:widowControl w:val="false"/>
              <w:numPr>
                <w:ilvl w:val="0"/>
                <w:numId w:val="18"/>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контроль исправности схемы управления; </w:t>
            </w:r>
          </w:p>
          <w:p>
            <w:pPr>
              <w:pStyle w:val="Normal"/>
              <w:widowControl w:val="false"/>
              <w:numPr>
                <w:ilvl w:val="0"/>
                <w:numId w:val="18"/>
              </w:numPr>
              <w:suppressAutoHyphens w:val="true"/>
              <w:spacing w:lineRule="auto" w:line="276" w:before="0" w:after="240"/>
              <w:jc w:val="both"/>
              <w:rPr>
                <w:sz w:val="24"/>
                <w:szCs w:val="24"/>
              </w:rPr>
            </w:pPr>
            <w:r>
              <w:rPr>
                <w:rFonts w:eastAsia="Times New Roman" w:cs="Times New Roman"/>
                <w:kern w:val="0"/>
                <w:sz w:val="24"/>
                <w:szCs w:val="24"/>
                <w:lang w:val="ru-RU" w:eastAsia="ru-RU" w:bidi="ar-SA"/>
              </w:rPr>
              <w:t xml:space="preserve">контроль уровня дренажной воды. </w:t>
            </w:r>
          </w:p>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 xml:space="preserve">Лекажный агрегат выполнен на аппаратно- независимой базе. ТАиУВО осуществляет только контроль за работой данной системы: </w:t>
            </w:r>
          </w:p>
          <w:p>
            <w:pPr>
              <w:pStyle w:val="Normal"/>
              <w:widowControl w:val="false"/>
              <w:numPr>
                <w:ilvl w:val="0"/>
                <w:numId w:val="19"/>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контроль исправности схемы управления; </w:t>
            </w:r>
          </w:p>
          <w:p>
            <w:pPr>
              <w:pStyle w:val="Normal"/>
              <w:widowControl w:val="false"/>
              <w:numPr>
                <w:ilvl w:val="0"/>
                <w:numId w:val="19"/>
              </w:numPr>
              <w:suppressAutoHyphens w:val="true"/>
              <w:spacing w:lineRule="auto" w:line="276" w:before="0" w:after="181"/>
              <w:jc w:val="both"/>
              <w:rPr>
                <w:sz w:val="24"/>
                <w:szCs w:val="24"/>
              </w:rPr>
            </w:pPr>
            <w:r>
              <w:rPr>
                <w:rFonts w:eastAsia="Times New Roman" w:cs="Times New Roman"/>
                <w:kern w:val="0"/>
                <w:sz w:val="24"/>
                <w:szCs w:val="24"/>
                <w:lang w:val="ru-RU" w:eastAsia="ru-RU" w:bidi="ar-SA"/>
              </w:rPr>
              <w:t xml:space="preserve">уровня масла в лекажном баке. </w:t>
            </w:r>
          </w:p>
          <w:p>
            <w:pPr>
              <w:pStyle w:val="Normal"/>
              <w:widowControl w:val="false"/>
              <w:suppressAutoHyphens w:val="true"/>
              <w:spacing w:lineRule="auto" w:line="276" w:before="0" w:after="0"/>
              <w:ind w:firstLine="567" w:left="33"/>
              <w:jc w:val="left"/>
              <w:rPr>
                <w:sz w:val="24"/>
                <w:szCs w:val="24"/>
                <w:u w:val="single"/>
              </w:rPr>
            </w:pPr>
            <w:r>
              <w:rPr>
                <w:rFonts w:eastAsia="Times New Roman" w:cs="Times New Roman"/>
                <w:kern w:val="0"/>
                <w:sz w:val="24"/>
                <w:szCs w:val="24"/>
                <w:lang w:val="ru-RU" w:eastAsia="ru-RU" w:bidi="ar-SA"/>
              </w:rPr>
              <w:t xml:space="preserve">ПТК </w:t>
            </w:r>
            <w:r>
              <w:rPr>
                <w:rFonts w:eastAsia="Times New Roman" w:cs="Times New Roman"/>
                <w:kern w:val="0"/>
                <w:sz w:val="24"/>
                <w:szCs w:val="24"/>
                <w:u w:val="single"/>
                <w:lang w:val="ru-RU" w:eastAsia="ru-RU" w:bidi="ar-SA"/>
              </w:rPr>
              <w:t xml:space="preserve">ТАиУВО должен осуществлять расчет статистических параметров: </w:t>
            </w:r>
          </w:p>
          <w:p>
            <w:pPr>
              <w:pStyle w:val="Normal"/>
              <w:widowControl w:val="false"/>
              <w:numPr>
                <w:ilvl w:val="0"/>
                <w:numId w:val="21"/>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количество пусков гидроагрегата  </w:t>
            </w:r>
          </w:p>
          <w:p>
            <w:pPr>
              <w:pStyle w:val="Normal"/>
              <w:widowControl w:val="false"/>
              <w:numPr>
                <w:ilvl w:val="0"/>
                <w:numId w:val="21"/>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количество остановов гидроагрегата; </w:t>
            </w:r>
          </w:p>
          <w:p>
            <w:pPr>
              <w:pStyle w:val="Normal"/>
              <w:widowControl w:val="false"/>
              <w:numPr>
                <w:ilvl w:val="0"/>
                <w:numId w:val="21"/>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время работы в режиме генератора; </w:t>
            </w:r>
          </w:p>
          <w:p>
            <w:pPr>
              <w:pStyle w:val="Normal"/>
              <w:widowControl w:val="false"/>
              <w:numPr>
                <w:ilvl w:val="0"/>
                <w:numId w:val="21"/>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время работы в режиме ХХГ; </w:t>
            </w:r>
          </w:p>
          <w:p>
            <w:pPr>
              <w:pStyle w:val="Normal"/>
              <w:widowControl w:val="false"/>
              <w:numPr>
                <w:ilvl w:val="0"/>
                <w:numId w:val="21"/>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время работы в режиме ХХТ. </w:t>
            </w:r>
          </w:p>
          <w:p>
            <w:pPr>
              <w:pStyle w:val="Normal"/>
              <w:widowControl w:val="false"/>
              <w:suppressAutoHyphens w:val="true"/>
              <w:spacing w:lineRule="auto" w:line="276" w:before="0" w:after="0"/>
              <w:jc w:val="left"/>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 xml:space="preserve">Каждый из перечисленных параметров рассчитывается за следующие периоды времени: </w:t>
            </w:r>
          </w:p>
          <w:p>
            <w:pPr>
              <w:pStyle w:val="Normal"/>
              <w:widowControl w:val="false"/>
              <w:numPr>
                <w:ilvl w:val="0"/>
                <w:numId w:val="22"/>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с начала эксплуатации; </w:t>
            </w:r>
          </w:p>
          <w:p>
            <w:pPr>
              <w:pStyle w:val="Normal"/>
              <w:widowControl w:val="false"/>
              <w:numPr>
                <w:ilvl w:val="0"/>
                <w:numId w:val="22"/>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с последнего капитального ремонта; </w:t>
            </w:r>
          </w:p>
          <w:p>
            <w:pPr>
              <w:pStyle w:val="Normal"/>
              <w:widowControl w:val="false"/>
              <w:numPr>
                <w:ilvl w:val="0"/>
                <w:numId w:val="22"/>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с начала месяца; </w:t>
            </w:r>
          </w:p>
          <w:p>
            <w:pPr>
              <w:pStyle w:val="Normal"/>
              <w:widowControl w:val="false"/>
              <w:numPr>
                <w:ilvl w:val="0"/>
                <w:numId w:val="22"/>
              </w:numPr>
              <w:suppressAutoHyphens w:val="true"/>
              <w:spacing w:lineRule="auto" w:line="276" w:before="0" w:after="240"/>
              <w:jc w:val="both"/>
              <w:rPr>
                <w:sz w:val="24"/>
                <w:szCs w:val="24"/>
              </w:rPr>
            </w:pPr>
            <w:r>
              <w:rPr>
                <w:rFonts w:eastAsia="Times New Roman" w:cs="Times New Roman"/>
                <w:kern w:val="0"/>
                <w:sz w:val="24"/>
                <w:szCs w:val="24"/>
                <w:lang w:val="ru-RU" w:eastAsia="ru-RU" w:bidi="ar-SA"/>
              </w:rPr>
              <w:t xml:space="preserve">с начала суток. </w:t>
            </w:r>
          </w:p>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ab/>
              <w:t>Гидроагрегат, эксплуатационная характеристика которого содержит одну или несколько зон запрещенной работы, должен быть оборудован средствами автоматического формирования и регистрации следующих событий и показателей:</w:t>
            </w:r>
          </w:p>
          <w:p>
            <w:pPr>
              <w:pStyle w:val="Normal"/>
              <w:widowControl w:val="false"/>
              <w:numPr>
                <w:ilvl w:val="2"/>
                <w:numId w:val="23"/>
              </w:numPr>
              <w:suppressAutoHyphens w:val="true"/>
              <w:spacing w:lineRule="auto" w:line="276" w:before="0" w:after="0"/>
              <w:ind w:firstLine="567" w:left="0" w:right="40"/>
              <w:jc w:val="both"/>
              <w:rPr>
                <w:sz w:val="24"/>
                <w:szCs w:val="24"/>
              </w:rPr>
            </w:pPr>
            <w:r>
              <w:rPr>
                <w:rFonts w:eastAsia="Times New Roman" w:cs="Times New Roman"/>
                <w:kern w:val="0"/>
                <w:sz w:val="24"/>
                <w:szCs w:val="24"/>
                <w:lang w:val="ru-RU" w:eastAsia="ru-RU" w:bidi="ar-SA"/>
              </w:rPr>
              <w:t>Вход в зону ограниченной работы в соответствии с эксплуатационной характеристикой гидроагрегата.</w:t>
            </w:r>
          </w:p>
          <w:p>
            <w:pPr>
              <w:pStyle w:val="Normal"/>
              <w:widowControl w:val="false"/>
              <w:numPr>
                <w:ilvl w:val="2"/>
                <w:numId w:val="23"/>
              </w:numPr>
              <w:suppressAutoHyphens w:val="true"/>
              <w:spacing w:lineRule="auto" w:line="276" w:before="0" w:after="0"/>
              <w:ind w:firstLine="567" w:left="0" w:right="40"/>
              <w:jc w:val="both"/>
              <w:rPr>
                <w:sz w:val="24"/>
                <w:szCs w:val="24"/>
              </w:rPr>
            </w:pPr>
            <w:r>
              <w:rPr>
                <w:rFonts w:eastAsia="Times New Roman" w:cs="Times New Roman"/>
                <w:kern w:val="0"/>
                <w:sz w:val="24"/>
                <w:szCs w:val="24"/>
                <w:lang w:val="ru-RU" w:eastAsia="ru-RU" w:bidi="ar-SA"/>
              </w:rPr>
              <w:t>Выход из зоны ограниченной работы в соответствии с эксплуатационной характеристикой гидроагрегата.</w:t>
            </w:r>
          </w:p>
          <w:p>
            <w:pPr>
              <w:pStyle w:val="Normal"/>
              <w:widowControl w:val="false"/>
              <w:numPr>
                <w:ilvl w:val="2"/>
                <w:numId w:val="23"/>
              </w:numPr>
              <w:suppressAutoHyphens w:val="true"/>
              <w:spacing w:lineRule="auto" w:line="276" w:before="0" w:after="0"/>
              <w:ind w:firstLine="567" w:left="0" w:right="40"/>
              <w:jc w:val="both"/>
              <w:rPr>
                <w:sz w:val="24"/>
                <w:szCs w:val="24"/>
              </w:rPr>
            </w:pPr>
            <w:r>
              <w:rPr>
                <w:rFonts w:eastAsia="Times New Roman" w:cs="Times New Roman"/>
                <w:kern w:val="0"/>
                <w:sz w:val="24"/>
                <w:szCs w:val="24"/>
                <w:lang w:val="ru-RU" w:eastAsia="ru-RU" w:bidi="ar-SA"/>
              </w:rPr>
              <w:t>Аварийной сигнализацией об исчерпании суммарного допустимого времени работы гидроагрегата в зоне ограниченной работы за установленный заводом изготовителем гидротурбины период.</w:t>
            </w:r>
          </w:p>
          <w:p>
            <w:pPr>
              <w:pStyle w:val="Normal"/>
              <w:widowControl w:val="false"/>
              <w:numPr>
                <w:ilvl w:val="2"/>
                <w:numId w:val="23"/>
              </w:numPr>
              <w:suppressAutoHyphens w:val="true"/>
              <w:spacing w:lineRule="auto" w:line="276" w:before="0" w:after="0"/>
              <w:ind w:firstLine="567" w:left="0" w:right="40"/>
              <w:jc w:val="both"/>
              <w:rPr>
                <w:sz w:val="24"/>
                <w:szCs w:val="24"/>
              </w:rPr>
            </w:pPr>
            <w:r>
              <w:rPr>
                <w:rFonts w:eastAsia="Times New Roman" w:cs="Times New Roman"/>
                <w:kern w:val="0"/>
                <w:sz w:val="24"/>
                <w:szCs w:val="24"/>
                <w:lang w:val="ru-RU" w:eastAsia="ru-RU" w:bidi="ar-SA"/>
              </w:rPr>
              <w:t>Длительность суммарного времени работы в зоне ограниченной работы (с начала эксплуатации, с начала эксплуатации после завершения последнего капитального ремонта, с начала текущего года, с начала текущих суток, с начала иного периода, установленного заводом изготовителем гидротурбины).</w:t>
            </w:r>
          </w:p>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ab/>
              <w:t xml:space="preserve">Допустимое количество пусков/остановов определяется заводом-изготовителем турбины. </w:t>
            </w:r>
          </w:p>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При исчерпании допустимого количества пусков/остановов и исчерпании допустимого времени работы гидроагрегата в зоне ограниченной работы в пределах установленного заводом изготовителем гидротурбины периода, блокируется автоматический пуск гидроагрегата (отсутствует готовность к пуску гидроагрегата). Алгоритмами предусмотрена возможность отключения проверки по количеству пусков/остановов гидроагрегата оператором с помощью программного ключа.</w:t>
            </w:r>
          </w:p>
          <w:p>
            <w:pPr>
              <w:pStyle w:val="Normal"/>
              <w:widowControl w:val="false"/>
              <w:shd w:val="clear" w:color="auto" w:fill="FFFFFF"/>
              <w:suppressAutoHyphens w:val="true"/>
              <w:spacing w:lineRule="auto" w:line="276" w:before="120" w:after="0"/>
              <w:ind w:firstLine="709"/>
              <w:jc w:val="both"/>
              <w:rPr>
                <w:b/>
                <w:color w:val="000000"/>
                <w:sz w:val="24"/>
                <w:szCs w:val="24"/>
                <w:u w:val="single"/>
              </w:rPr>
            </w:pPr>
            <w:r>
              <w:rPr>
                <w:rFonts w:eastAsia="Times New Roman" w:cs="Times New Roman"/>
                <w:b/>
                <w:color w:val="000000"/>
                <w:kern w:val="0"/>
                <w:sz w:val="24"/>
                <w:szCs w:val="24"/>
                <w:u w:val="single"/>
                <w:lang w:val="ru-RU" w:eastAsia="ru-RU" w:bidi="ar-SA"/>
              </w:rPr>
              <w:t>Требование к технологической автоматике ГА</w:t>
            </w:r>
          </w:p>
          <w:p>
            <w:pPr>
              <w:pStyle w:val="Normal"/>
              <w:widowControl w:val="false"/>
              <w:shd w:val="clear" w:color="auto" w:fill="FFFFFF"/>
              <w:suppressAutoHyphens w:val="true"/>
              <w:spacing w:lineRule="auto" w:line="276" w:before="120" w:after="0"/>
              <w:ind w:firstLine="709"/>
              <w:jc w:val="both"/>
              <w:rPr>
                <w:sz w:val="24"/>
                <w:szCs w:val="24"/>
              </w:rPr>
            </w:pPr>
            <w:r>
              <w:rPr>
                <w:rFonts w:eastAsia="Times New Roman" w:cs="Times New Roman"/>
                <w:color w:val="000000"/>
                <w:kern w:val="0"/>
                <w:sz w:val="24"/>
                <w:szCs w:val="24"/>
                <w:lang w:val="ru-RU" w:eastAsia="ru-RU" w:bidi="ar-SA"/>
              </w:rPr>
              <w:t>САУ ГА должна обеспечивать автоматическое выполнение</w:t>
            </w:r>
            <w:r>
              <w:rPr>
                <w:rFonts w:eastAsia="Times New Roman" w:cs="Times New Roman"/>
                <w:kern w:val="0"/>
                <w:sz w:val="24"/>
                <w:szCs w:val="24"/>
                <w:lang w:val="ru-RU" w:eastAsia="ru-RU" w:bidi="ar-SA"/>
              </w:rPr>
              <w:t xml:space="preserve"> в соответствии с заложенной программой (алгоритмом работы) следующих технологических операций:</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sz w:val="24"/>
                <w:szCs w:val="24"/>
              </w:rPr>
            </w:pPr>
            <w:r>
              <w:rPr>
                <w:rFonts w:eastAsia="Times New Roman" w:cs="Times New Roman"/>
                <w:kern w:val="0"/>
                <w:sz w:val="24"/>
                <w:szCs w:val="24"/>
                <w:lang w:val="ru-RU" w:eastAsia="ru-RU" w:bidi="ar-SA"/>
              </w:rPr>
              <w:t>определение готовности устройств регулирования, автоматики, возбуждения ГА к пуску;</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sz w:val="24"/>
                <w:szCs w:val="24"/>
              </w:rPr>
            </w:pPr>
            <w:r>
              <w:rPr>
                <w:rFonts w:eastAsia="Times New Roman" w:cs="Times New Roman"/>
                <w:kern w:val="0"/>
                <w:sz w:val="24"/>
                <w:szCs w:val="24"/>
                <w:lang w:val="ru-RU" w:eastAsia="ru-RU" w:bidi="ar-SA"/>
              </w:rPr>
              <w:t>пуск ГА на холостой ход и поддержание синхронной частоты;</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sz w:val="24"/>
                <w:szCs w:val="24"/>
              </w:rPr>
            </w:pPr>
            <w:r>
              <w:rPr>
                <w:rFonts w:eastAsia="Times New Roman" w:cs="Times New Roman"/>
                <w:kern w:val="0"/>
                <w:sz w:val="24"/>
                <w:szCs w:val="24"/>
                <w:lang w:val="ru-RU" w:eastAsia="ru-RU" w:bidi="ar-SA"/>
              </w:rPr>
              <w:t>пуск ГА в режим холостого хода с возбуждением;</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sz w:val="24"/>
                <w:szCs w:val="24"/>
              </w:rPr>
            </w:pPr>
            <w:r>
              <w:rPr>
                <w:rFonts w:eastAsia="Times New Roman" w:cs="Times New Roman"/>
                <w:kern w:val="0"/>
                <w:sz w:val="24"/>
                <w:szCs w:val="24"/>
                <w:lang w:val="ru-RU" w:eastAsia="ru-RU" w:bidi="ar-SA"/>
              </w:rPr>
              <w:t>пуск ГА в режим синхронного генератора в сеть методом автоматической точной синхронизации;</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color w:val="000000"/>
                <w:sz w:val="24"/>
                <w:szCs w:val="24"/>
              </w:rPr>
            </w:pPr>
            <w:r>
              <w:rPr>
                <w:rFonts w:eastAsia="Times New Roman" w:cs="Times New Roman"/>
                <w:kern w:val="0"/>
                <w:sz w:val="24"/>
                <w:szCs w:val="24"/>
                <w:lang w:val="ru-RU" w:eastAsia="ru-RU" w:bidi="ar-SA"/>
              </w:rPr>
              <w:t xml:space="preserve">включение синхронного генератора методом ручной точной синхронизации или самосинхронизации с подачей команды на включение выключателя г/а при достижении ГА подсинхронных оборотов с точностью 0,1 Гц; </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color w:val="000000"/>
                <w:sz w:val="24"/>
                <w:szCs w:val="24"/>
              </w:rPr>
            </w:pPr>
            <w:r>
              <w:rPr>
                <w:rFonts w:eastAsia="Times New Roman" w:cs="Times New Roman"/>
                <w:kern w:val="0"/>
                <w:sz w:val="24"/>
                <w:szCs w:val="24"/>
                <w:lang w:val="ru-RU" w:eastAsia="ru-RU" w:bidi="ar-SA"/>
              </w:rPr>
              <w:t>автоматическое поддержание заданной частоты вращения гидроагрегата с заданным статизмом, зоной нечувствительности, быстродействием при работе на холостом ходу</w:t>
            </w:r>
            <w:r>
              <w:rPr>
                <w:rFonts w:eastAsia="Times New Roman" w:cs="Times New Roman"/>
                <w:color w:val="000000"/>
                <w:kern w:val="0"/>
                <w:sz w:val="24"/>
                <w:szCs w:val="24"/>
                <w:lang w:val="ru-RU" w:eastAsia="ru-RU" w:bidi="ar-SA"/>
              </w:rPr>
              <w:t xml:space="preserve"> и в сети, при работе на изолированный район, в том числе и параллельно с другими агрегатами, при сбросах и набросах нагрузки, обеспечивающее участие в ОПРЧ;</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sz w:val="24"/>
                <w:szCs w:val="24"/>
              </w:rPr>
            </w:pPr>
            <w:r>
              <w:rPr>
                <w:rFonts w:eastAsia="Times New Roman" w:cs="Times New Roman"/>
                <w:color w:val="000000"/>
                <w:kern w:val="0"/>
                <w:sz w:val="24"/>
                <w:szCs w:val="24"/>
                <w:lang w:val="ru-RU" w:eastAsia="ru-RU" w:bidi="ar-SA"/>
              </w:rPr>
              <w:t>управление</w:t>
            </w:r>
            <w:r>
              <w:rPr>
                <w:rFonts w:eastAsia="Times New Roman" w:cs="Times New Roman"/>
                <w:kern w:val="0"/>
                <w:sz w:val="24"/>
                <w:szCs w:val="24"/>
                <w:lang w:val="ru-RU" w:eastAsia="ru-RU" w:bidi="ar-SA"/>
              </w:rPr>
              <w:t xml:space="preserve"> активной мощностью (открытием НА) ГА в полном диапазоне регулирования с необходимыми параметрами качества и КПД. Максимальная мощность г/а должна ограничиваться в соответствии с линией ограничения максимальной мощности на экс</w:t>
              <w:softHyphen/>
              <w:t>плуатационной характеристике турбины при данном напоре или с установ</w:t>
              <w:softHyphen/>
              <w:t xml:space="preserve">ленным технологическим ограничением по состоянию гидроагрегата; </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color w:val="000000"/>
                <w:sz w:val="24"/>
                <w:szCs w:val="24"/>
              </w:rPr>
            </w:pPr>
            <w:r>
              <w:rPr>
                <w:rFonts w:eastAsia="Times New Roman" w:cs="Times New Roman"/>
                <w:color w:val="000000"/>
                <w:kern w:val="0"/>
                <w:sz w:val="24"/>
                <w:szCs w:val="24"/>
                <w:lang w:val="ru-RU" w:eastAsia="ru-RU" w:bidi="ar-SA"/>
              </w:rPr>
              <w:t>автоматическое прохождение зон нерекомендованной или запрещённой работы, указанных производителем гидротурбины, с максимально допустимой скоростью перемещения регулирующих органов;</w:t>
            </w:r>
          </w:p>
          <w:p>
            <w:pPr>
              <w:pStyle w:val="Normal"/>
              <w:widowControl w:val="false"/>
              <w:numPr>
                <w:ilvl w:val="1"/>
                <w:numId w:val="24"/>
              </w:numPr>
              <w:shd w:val="clear" w:color="auto" w:fill="FFFFFF"/>
              <w:tabs>
                <w:tab w:val="clear" w:pos="708"/>
                <w:tab w:val="left" w:pos="606" w:leader="none"/>
              </w:tabs>
              <w:suppressAutoHyphens w:val="true"/>
              <w:spacing w:lineRule="auto" w:line="276" w:before="60" w:after="0"/>
              <w:ind w:hanging="283" w:left="464"/>
              <w:jc w:val="both"/>
              <w:rPr>
                <w:sz w:val="24"/>
                <w:szCs w:val="24"/>
              </w:rPr>
            </w:pPr>
            <w:r>
              <w:rPr>
                <w:rFonts w:eastAsia="Times New Roman" w:cs="Times New Roman"/>
                <w:kern w:val="0"/>
                <w:sz w:val="24"/>
                <w:szCs w:val="24"/>
                <w:lang w:val="ru-RU" w:eastAsia="ru-RU" w:bidi="ar-SA"/>
              </w:rPr>
              <w:t>поддержание заданной мощности при работе гидроагрегата в энергосистеме;</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sz w:val="24"/>
                <w:szCs w:val="24"/>
              </w:rPr>
            </w:pPr>
            <w:r>
              <w:rPr>
                <w:rFonts w:eastAsia="Times New Roman" w:cs="Times New Roman"/>
                <w:kern w:val="0"/>
                <w:sz w:val="24"/>
                <w:szCs w:val="24"/>
                <w:lang w:val="ru-RU" w:eastAsia="ru-RU" w:bidi="ar-SA"/>
              </w:rPr>
              <w:t>нормальный и аварийный останов ГА из всех режимов его работы и из переходных режимов;</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color w:val="000000"/>
                <w:sz w:val="24"/>
                <w:szCs w:val="24"/>
              </w:rPr>
            </w:pPr>
            <w:r>
              <w:rPr>
                <w:rFonts w:eastAsia="Times New Roman" w:cs="Times New Roman"/>
                <w:color w:val="000000"/>
                <w:kern w:val="0"/>
                <w:sz w:val="24"/>
                <w:szCs w:val="24"/>
                <w:lang w:val="ru-RU" w:eastAsia="ru-RU" w:bidi="ar-SA"/>
              </w:rPr>
              <w:t>технологические защиты ГА;</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color w:val="000000"/>
                <w:sz w:val="24"/>
                <w:szCs w:val="24"/>
              </w:rPr>
            </w:pPr>
            <w:r>
              <w:rPr>
                <w:rFonts w:eastAsia="Times New Roman" w:cs="Times New Roman"/>
                <w:color w:val="000000"/>
                <w:kern w:val="0"/>
                <w:sz w:val="24"/>
                <w:szCs w:val="24"/>
                <w:lang w:val="ru-RU" w:eastAsia="ru-RU" w:bidi="ar-SA"/>
              </w:rPr>
              <w:t>тепловой контроль ГА;</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color w:val="000000"/>
                <w:sz w:val="24"/>
                <w:szCs w:val="24"/>
              </w:rPr>
            </w:pPr>
            <w:r>
              <w:rPr>
                <w:rFonts w:eastAsia="Times New Roman" w:cs="Times New Roman"/>
                <w:color w:val="000000"/>
                <w:kern w:val="0"/>
                <w:sz w:val="24"/>
                <w:szCs w:val="24"/>
                <w:lang w:val="ru-RU" w:eastAsia="ru-RU" w:bidi="ar-SA"/>
              </w:rPr>
              <w:t>выполнение управляющих воздействий от противоаварийной автоматики;</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color w:val="000000"/>
                <w:sz w:val="24"/>
                <w:szCs w:val="24"/>
              </w:rPr>
            </w:pPr>
            <w:r>
              <w:rPr>
                <w:rFonts w:eastAsia="Times New Roman" w:cs="Times New Roman"/>
                <w:color w:val="000000"/>
                <w:kern w:val="0"/>
                <w:sz w:val="24"/>
                <w:szCs w:val="24"/>
                <w:lang w:val="ru-RU" w:eastAsia="ru-RU" w:bidi="ar-SA"/>
              </w:rPr>
              <w:t xml:space="preserve">управление вспомогательным оборудованием гидроагрегата; </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color w:val="000000"/>
                <w:sz w:val="24"/>
                <w:szCs w:val="24"/>
              </w:rPr>
            </w:pPr>
            <w:r>
              <w:rPr>
                <w:rFonts w:eastAsia="Times New Roman" w:cs="Times New Roman"/>
                <w:color w:val="000000"/>
                <w:kern w:val="0"/>
                <w:sz w:val="24"/>
                <w:szCs w:val="24"/>
                <w:lang w:val="ru-RU" w:eastAsia="ru-RU" w:bidi="ar-SA"/>
              </w:rPr>
              <w:t>определение величины допустимой перегрузки по току статора в зависимости от текущего теплового состояния ГА;</w:t>
            </w:r>
          </w:p>
          <w:p>
            <w:pPr>
              <w:pStyle w:val="Normal"/>
              <w:widowControl w:val="false"/>
              <w:numPr>
                <w:ilvl w:val="1"/>
                <w:numId w:val="24"/>
              </w:numPr>
              <w:shd w:val="clear" w:color="auto" w:fill="FFFFFF"/>
              <w:tabs>
                <w:tab w:val="clear" w:pos="708"/>
                <w:tab w:val="left" w:pos="606" w:leader="none"/>
                <w:tab w:val="left" w:pos="720" w:leader="none"/>
              </w:tabs>
              <w:suppressAutoHyphens w:val="true"/>
              <w:spacing w:lineRule="auto" w:line="276" w:before="60" w:after="0"/>
              <w:ind w:hanging="283" w:left="464"/>
              <w:jc w:val="both"/>
              <w:rPr>
                <w:color w:val="000000"/>
                <w:sz w:val="24"/>
                <w:szCs w:val="24"/>
              </w:rPr>
            </w:pPr>
            <w:r>
              <w:rPr>
                <w:rFonts w:eastAsia="Times New Roman" w:cs="Times New Roman"/>
                <w:color w:val="000000"/>
                <w:kern w:val="0"/>
                <w:sz w:val="24"/>
                <w:szCs w:val="24"/>
                <w:lang w:val="ru-RU" w:eastAsia="ru-RU" w:bidi="ar-SA"/>
              </w:rPr>
              <w:t>определение величины номинальной нагрузки при данном напоре по рабочей характеристике ГА.</w:t>
            </w:r>
          </w:p>
          <w:p>
            <w:pPr>
              <w:pStyle w:val="Normal"/>
              <w:widowControl w:val="false"/>
              <w:shd w:val="clear" w:color="auto" w:fill="FFFFFF"/>
              <w:suppressAutoHyphens w:val="true"/>
              <w:spacing w:lineRule="auto" w:line="276" w:before="60" w:after="0"/>
              <w:ind w:firstLine="709"/>
              <w:jc w:val="both"/>
              <w:rPr>
                <w:color w:val="000000"/>
                <w:sz w:val="24"/>
                <w:szCs w:val="24"/>
              </w:rPr>
            </w:pPr>
            <w:r>
              <w:rPr>
                <w:rFonts w:eastAsia="Times New Roman" w:cs="Times New Roman"/>
                <w:color w:val="000000"/>
                <w:kern w:val="0"/>
                <w:sz w:val="24"/>
                <w:szCs w:val="24"/>
                <w:lang w:val="ru-RU" w:eastAsia="ru-RU" w:bidi="ar-SA"/>
              </w:rPr>
              <w:t xml:space="preserve">Указанные функции должны выполняться как в автоматическом, так и в режиме ручного управления. </w:t>
            </w:r>
          </w:p>
          <w:p>
            <w:pPr>
              <w:pStyle w:val="Normal"/>
              <w:widowControl w:val="false"/>
              <w:shd w:val="clear" w:color="auto" w:fill="FFFFFF"/>
              <w:suppressAutoHyphens w:val="true"/>
              <w:spacing w:lineRule="auto" w:line="276" w:before="60" w:after="0"/>
              <w:ind w:firstLine="709"/>
              <w:jc w:val="both"/>
              <w:rPr>
                <w:color w:val="000000"/>
                <w:sz w:val="24"/>
                <w:szCs w:val="24"/>
              </w:rPr>
            </w:pPr>
            <w:r>
              <w:rPr>
                <w:rFonts w:eastAsia="Times New Roman" w:cs="Times New Roman"/>
                <w:color w:val="000000"/>
                <w:kern w:val="0"/>
                <w:sz w:val="24"/>
                <w:szCs w:val="24"/>
                <w:lang w:val="ru-RU" w:eastAsia="ru-RU" w:bidi="ar-SA"/>
              </w:rPr>
              <w:t>При выполнении операций по пуску, останову и переводу агрегата из одного режима в другой должен производиться контроль времени исполнения как самой команды, так и отдельных операций. При превышении контрольного времени должно быть сформировано сообщение и подан предупредительный сигнал.</w:t>
            </w:r>
          </w:p>
          <w:p>
            <w:pPr>
              <w:pStyle w:val="Normal"/>
              <w:keepNext w:val="true"/>
              <w:widowControl w:val="false"/>
              <w:numPr>
                <w:ilvl w:val="0"/>
                <w:numId w:val="0"/>
              </w:numPr>
              <w:tabs>
                <w:tab w:val="clear" w:pos="708"/>
                <w:tab w:val="left" w:pos="720" w:leader="none"/>
                <w:tab w:val="left" w:pos="9923" w:leader="none"/>
              </w:tabs>
              <w:suppressAutoHyphens w:val="true"/>
              <w:spacing w:lineRule="auto" w:line="276" w:before="120" w:after="120"/>
              <w:ind w:hanging="720" w:left="720" w:right="-6"/>
              <w:jc w:val="both"/>
              <w:outlineLvl w:val="2"/>
              <w:rPr>
                <w:sz w:val="24"/>
                <w:szCs w:val="24"/>
                <w:u w:val="single"/>
              </w:rPr>
            </w:pPr>
            <w:r>
              <w:rPr>
                <w:rFonts w:eastAsia="Times New Roman" w:cs="Times New Roman"/>
                <w:kern w:val="0"/>
                <w:sz w:val="24"/>
                <w:szCs w:val="24"/>
                <w:lang w:val="ru-RU" w:eastAsia="ru-RU" w:bidi="ar-SA"/>
              </w:rPr>
              <w:tab/>
            </w:r>
            <w:r>
              <w:rPr>
                <w:rFonts w:eastAsia="Times New Roman" w:cs="Times New Roman"/>
                <w:kern w:val="0"/>
                <w:sz w:val="24"/>
                <w:szCs w:val="24"/>
                <w:u w:val="single"/>
                <w:lang w:val="ru-RU" w:eastAsia="ru-RU" w:bidi="ar-SA"/>
              </w:rPr>
              <w:t>Определение готовности к пуску</w:t>
            </w:r>
          </w:p>
          <w:p>
            <w:pPr>
              <w:pStyle w:val="Normal"/>
              <w:widowControl w:val="false"/>
              <w:suppressAutoHyphens w:val="true"/>
              <w:spacing w:lineRule="auto" w:line="276" w:before="0" w:after="0"/>
              <w:jc w:val="both"/>
              <w:rPr>
                <w:sz w:val="24"/>
                <w:szCs w:val="24"/>
              </w:rPr>
            </w:pPr>
            <w:r>
              <w:rPr>
                <w:rFonts w:eastAsia="Times New Roman" w:cs="Times New Roman"/>
                <w:kern w:val="0"/>
                <w:sz w:val="24"/>
                <w:szCs w:val="24"/>
                <w:lang w:val="ru-RU" w:eastAsia="ru-RU" w:bidi="ar-SA"/>
              </w:rPr>
              <w:t>САУ ГА для автоматического пуска на холостой ход турбины должна обеспечивать:</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давление масла в МНУ не менее допустимого;</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нормальный уровень масла в ваннах подшипников;</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температура масла не ниже допустимой;</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давление воды в системе охлаждения не менее допустимого;</w:t>
            </w:r>
          </w:p>
          <w:p>
            <w:pPr>
              <w:pStyle w:val="Normal"/>
              <w:widowControl w:val="false"/>
              <w:numPr>
                <w:ilvl w:val="0"/>
                <w:numId w:val="26"/>
              </w:numPr>
              <w:suppressAutoHyphens w:val="true"/>
              <w:spacing w:lineRule="auto" w:line="276" w:before="0" w:after="0"/>
              <w:ind w:hanging="360" w:left="540" w:right="-7"/>
              <w:jc w:val="both"/>
              <w:rPr>
                <w:color w:val="000000"/>
                <w:sz w:val="24"/>
                <w:szCs w:val="24"/>
              </w:rPr>
            </w:pPr>
            <w:r>
              <w:rPr>
                <w:rFonts w:eastAsia="Times New Roman" w:cs="Times New Roman"/>
                <w:color w:val="000000"/>
                <w:kern w:val="0"/>
                <w:sz w:val="24"/>
                <w:szCs w:val="24"/>
                <w:lang w:val="ru-RU" w:eastAsia="ru-RU" w:bidi="ar-SA"/>
              </w:rPr>
              <w:t>достаточное давление воды на уплотнение вала;</w:t>
            </w:r>
          </w:p>
          <w:p>
            <w:pPr>
              <w:pStyle w:val="Normal"/>
              <w:widowControl w:val="false"/>
              <w:numPr>
                <w:ilvl w:val="0"/>
                <w:numId w:val="26"/>
              </w:numPr>
              <w:suppressAutoHyphens w:val="true"/>
              <w:spacing w:lineRule="auto" w:line="276" w:before="0" w:after="0"/>
              <w:ind w:hanging="360" w:left="540" w:right="-7"/>
              <w:jc w:val="both"/>
              <w:rPr>
                <w:color w:val="000000"/>
                <w:sz w:val="24"/>
                <w:szCs w:val="24"/>
              </w:rPr>
            </w:pPr>
            <w:r>
              <w:rPr>
                <w:rFonts w:eastAsia="Times New Roman" w:cs="Times New Roman"/>
                <w:color w:val="000000"/>
                <w:kern w:val="0"/>
                <w:sz w:val="24"/>
                <w:szCs w:val="24"/>
                <w:lang w:val="ru-RU" w:eastAsia="ru-RU" w:bidi="ar-SA"/>
              </w:rPr>
              <w:t>достаточный расход на уплотнение вала;</w:t>
            </w:r>
          </w:p>
          <w:p>
            <w:pPr>
              <w:pStyle w:val="Normal"/>
              <w:widowControl w:val="false"/>
              <w:numPr>
                <w:ilvl w:val="0"/>
                <w:numId w:val="26"/>
              </w:numPr>
              <w:suppressAutoHyphens w:val="true"/>
              <w:spacing w:lineRule="auto" w:line="276" w:before="0" w:after="0"/>
              <w:ind w:hanging="360" w:left="540" w:right="-7"/>
              <w:jc w:val="both"/>
              <w:rPr>
                <w:color w:val="000000"/>
                <w:sz w:val="24"/>
                <w:szCs w:val="24"/>
              </w:rPr>
            </w:pPr>
            <w:r>
              <w:rPr>
                <w:rFonts w:eastAsia="Times New Roman" w:cs="Times New Roman"/>
                <w:color w:val="000000"/>
                <w:kern w:val="0"/>
                <w:sz w:val="24"/>
                <w:szCs w:val="24"/>
                <w:lang w:val="ru-RU" w:eastAsia="ru-RU" w:bidi="ar-SA"/>
              </w:rPr>
              <w:t>механический стопор НА поднят;</w:t>
            </w:r>
          </w:p>
          <w:p>
            <w:pPr>
              <w:pStyle w:val="Normal"/>
              <w:widowControl w:val="false"/>
              <w:numPr>
                <w:ilvl w:val="0"/>
                <w:numId w:val="26"/>
              </w:numPr>
              <w:suppressAutoHyphens w:val="true"/>
              <w:spacing w:lineRule="auto" w:line="276" w:before="0" w:after="0"/>
              <w:ind w:hanging="360" w:left="540" w:right="-7"/>
              <w:jc w:val="both"/>
              <w:rPr>
                <w:color w:val="000000"/>
                <w:sz w:val="24"/>
                <w:szCs w:val="24"/>
              </w:rPr>
            </w:pPr>
            <w:r>
              <w:rPr>
                <w:rFonts w:eastAsia="Times New Roman" w:cs="Times New Roman"/>
                <w:color w:val="000000"/>
                <w:kern w:val="0"/>
                <w:sz w:val="24"/>
                <w:szCs w:val="24"/>
                <w:lang w:val="ru-RU" w:eastAsia="ru-RU" w:bidi="ar-SA"/>
              </w:rPr>
              <w:t>нет среза пальца НА;</w:t>
            </w:r>
          </w:p>
          <w:p>
            <w:pPr>
              <w:pStyle w:val="Normal"/>
              <w:widowControl w:val="false"/>
              <w:numPr>
                <w:ilvl w:val="0"/>
                <w:numId w:val="26"/>
              </w:numPr>
              <w:suppressAutoHyphens w:val="true"/>
              <w:spacing w:lineRule="auto" w:line="276" w:before="0" w:after="0"/>
              <w:ind w:hanging="360" w:left="540" w:right="-7"/>
              <w:jc w:val="both"/>
              <w:rPr>
                <w:color w:val="000000"/>
                <w:sz w:val="24"/>
                <w:szCs w:val="24"/>
              </w:rPr>
            </w:pPr>
            <w:r>
              <w:rPr>
                <w:rFonts w:eastAsia="Times New Roman" w:cs="Times New Roman"/>
                <w:color w:val="000000"/>
                <w:kern w:val="0"/>
                <w:sz w:val="24"/>
                <w:szCs w:val="24"/>
                <w:lang w:val="ru-RU" w:eastAsia="ru-RU" w:bidi="ar-SA"/>
              </w:rPr>
              <w:t>нет срабатывания технологических защит;</w:t>
            </w:r>
          </w:p>
          <w:p>
            <w:pPr>
              <w:pStyle w:val="Normal"/>
              <w:widowControl w:val="false"/>
              <w:numPr>
                <w:ilvl w:val="0"/>
                <w:numId w:val="26"/>
              </w:numPr>
              <w:suppressAutoHyphens w:val="true"/>
              <w:spacing w:lineRule="auto" w:line="276" w:before="0" w:after="0"/>
              <w:ind w:hanging="360" w:left="540" w:right="-7"/>
              <w:jc w:val="both"/>
              <w:rPr>
                <w:color w:val="000000"/>
                <w:sz w:val="24"/>
                <w:szCs w:val="24"/>
              </w:rPr>
            </w:pPr>
            <w:r>
              <w:rPr>
                <w:rFonts w:eastAsia="Times New Roman" w:cs="Times New Roman"/>
                <w:color w:val="000000"/>
                <w:kern w:val="0"/>
                <w:sz w:val="24"/>
                <w:szCs w:val="24"/>
                <w:lang w:val="ru-RU" w:eastAsia="ru-RU" w:bidi="ar-SA"/>
              </w:rPr>
              <w:t>затвор открыт (если открытие затвора не входит в технологическую операцию пуска);</w:t>
            </w:r>
          </w:p>
          <w:p>
            <w:pPr>
              <w:pStyle w:val="Normal"/>
              <w:widowControl w:val="false"/>
              <w:numPr>
                <w:ilvl w:val="0"/>
                <w:numId w:val="26"/>
              </w:numPr>
              <w:suppressAutoHyphens w:val="true"/>
              <w:spacing w:lineRule="auto" w:line="276" w:before="0" w:after="0"/>
              <w:ind w:hanging="360" w:left="540" w:right="-7"/>
              <w:jc w:val="both"/>
              <w:rPr>
                <w:color w:val="000000"/>
                <w:sz w:val="24"/>
                <w:szCs w:val="24"/>
              </w:rPr>
            </w:pPr>
            <w:r>
              <w:rPr>
                <w:rFonts w:eastAsia="Times New Roman" w:cs="Times New Roman"/>
                <w:color w:val="000000"/>
                <w:kern w:val="0"/>
                <w:sz w:val="24"/>
                <w:szCs w:val="24"/>
                <w:lang w:val="ru-RU" w:eastAsia="ru-RU" w:bidi="ar-SA"/>
              </w:rPr>
              <w:t>нет давления в системе торможения ГА;</w:t>
            </w:r>
          </w:p>
          <w:p>
            <w:pPr>
              <w:pStyle w:val="Normal"/>
              <w:widowControl w:val="false"/>
              <w:numPr>
                <w:ilvl w:val="0"/>
                <w:numId w:val="26"/>
              </w:numPr>
              <w:suppressAutoHyphens w:val="true"/>
              <w:spacing w:lineRule="auto" w:line="276" w:before="0" w:after="0"/>
              <w:ind w:hanging="360" w:left="540" w:right="-7"/>
              <w:jc w:val="both"/>
              <w:rPr>
                <w:color w:val="000000"/>
                <w:sz w:val="24"/>
                <w:szCs w:val="24"/>
              </w:rPr>
            </w:pPr>
            <w:r>
              <w:rPr>
                <w:rFonts w:eastAsia="Times New Roman" w:cs="Times New Roman"/>
                <w:color w:val="000000"/>
                <w:kern w:val="0"/>
                <w:sz w:val="24"/>
                <w:szCs w:val="24"/>
                <w:lang w:val="ru-RU" w:eastAsia="ru-RU" w:bidi="ar-SA"/>
              </w:rPr>
              <w:t>тормозные колодки не подняты;</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 xml:space="preserve">напор в пределах допустимого; </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есть готовность прочих устройств САУ ГА и защит (по результатам самодиагностики);</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ключ синхронизации в положении «отключено»;</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на статоре генератора нет напряжения;</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нет сигнала «останов»;</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включены автоматические выключатели оперативного тока регулятора.</w:t>
            </w:r>
          </w:p>
          <w:p>
            <w:pPr>
              <w:pStyle w:val="Normal"/>
              <w:widowControl w:val="false"/>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Система управления должна обеспечивать пуск гидроагрегата в условиях отсутствия напряжения переменного тока в системе собственных нужд ГЭС и при наличии давления в МНУ выше уставки пуска резервного насоса (СТО 17330282.27.140.018-2008 «Гидротурбинные установки. Условия поставки. Нормы и требования»).</w:t>
            </w:r>
          </w:p>
          <w:p>
            <w:pPr>
              <w:pStyle w:val="Normal"/>
              <w:widowControl w:val="false"/>
              <w:suppressAutoHyphens w:val="true"/>
              <w:spacing w:lineRule="auto" w:line="276" w:before="0" w:after="0"/>
              <w:ind w:firstLine="709" w:right="-7"/>
              <w:jc w:val="both"/>
              <w:rPr>
                <w:sz w:val="24"/>
                <w:szCs w:val="24"/>
              </w:rPr>
            </w:pPr>
            <w:r>
              <w:rPr>
                <w:rFonts w:eastAsia="Times New Roman" w:cs="Times New Roman"/>
                <w:kern w:val="0"/>
                <w:sz w:val="24"/>
                <w:szCs w:val="24"/>
                <w:lang w:val="ru-RU" w:eastAsia="ru-RU" w:bidi="ar-SA"/>
              </w:rPr>
              <w:t xml:space="preserve">В случае неисправности измерительной или сигнальной цепи САУ ГА или невозможности автоматического управления исполнительными устройствами с электроприводом оперативный персонал должен иметь возможность вручную выполнить необходимую технологическую операцию, подтвердить допустимое состояние контролируемого параметра, предварительно убедившись в исправности оборудования. В этом случае факт ручного исполнения команды, подтверждения операции должен регистрироваться в журнале событий САУ ГА с идентификацией лица, выполнившего ручное подтверждение. </w:t>
            </w:r>
          </w:p>
          <w:p>
            <w:pPr>
              <w:pStyle w:val="Normal"/>
              <w:keepNext w:val="true"/>
              <w:widowControl w:val="false"/>
              <w:numPr>
                <w:ilvl w:val="0"/>
                <w:numId w:val="0"/>
              </w:numPr>
              <w:tabs>
                <w:tab w:val="clear" w:pos="708"/>
                <w:tab w:val="left" w:pos="864" w:leader="none"/>
              </w:tabs>
              <w:suppressAutoHyphens w:val="true"/>
              <w:spacing w:lineRule="auto" w:line="276" w:before="120" w:after="120"/>
              <w:ind w:hanging="864" w:left="864"/>
              <w:jc w:val="both"/>
              <w:outlineLvl w:val="3"/>
              <w:rPr>
                <w:sz w:val="24"/>
                <w:szCs w:val="24"/>
                <w:u w:val="single"/>
              </w:rPr>
            </w:pPr>
            <w:r>
              <w:rPr>
                <w:rFonts w:eastAsia="Times New Roman" w:cs="Times New Roman"/>
                <w:b/>
                <w:kern w:val="0"/>
                <w:sz w:val="24"/>
                <w:szCs w:val="24"/>
                <w:lang w:val="ru-RU" w:eastAsia="ru-RU" w:bidi="ar-SA"/>
              </w:rPr>
              <w:tab/>
              <w:tab/>
            </w:r>
            <w:r>
              <w:rPr>
                <w:rFonts w:eastAsia="Times New Roman" w:cs="Times New Roman"/>
                <w:kern w:val="0"/>
                <w:sz w:val="24"/>
                <w:szCs w:val="24"/>
                <w:u w:val="single"/>
                <w:lang w:val="ru-RU" w:eastAsia="ru-RU" w:bidi="ar-SA"/>
              </w:rPr>
              <w:t>Определение готовности к включению в сеть</w:t>
            </w:r>
          </w:p>
          <w:p>
            <w:pPr>
              <w:pStyle w:val="Normal"/>
              <w:widowControl w:val="false"/>
              <w:suppressAutoHyphens w:val="true"/>
              <w:spacing w:lineRule="auto" w:line="276" w:before="0" w:after="0"/>
              <w:ind w:firstLine="360" w:left="180" w:right="-7"/>
              <w:jc w:val="both"/>
              <w:rPr>
                <w:sz w:val="24"/>
                <w:szCs w:val="24"/>
              </w:rPr>
            </w:pPr>
            <w:r>
              <w:rPr>
                <w:rFonts w:eastAsia="Times New Roman" w:cs="Times New Roman"/>
                <w:kern w:val="0"/>
                <w:sz w:val="24"/>
                <w:szCs w:val="24"/>
                <w:lang w:val="ru-RU" w:eastAsia="ru-RU" w:bidi="ar-SA"/>
              </w:rPr>
              <w:t>САУ ГА для автоматического пуска на холостой ход с последующим включением должна обеспечивать проверку:</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Ключ синхронизации в положении «ручное» или «самосинхронизация» или «автоматическая»</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 xml:space="preserve">возбуждение снято; </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Есть готовность системы возбуждения;</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Электрическая схема собрана (отключен ЗН, включен шинный разъединитель, выключатель генератора отключен)</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 xml:space="preserve">Исправны цепи автоматики, управления и защит (включены автоматические выключатели оперативного тока, цепей напряжения, целостность цепей соленоидов включения и отключения выключателя), </w:t>
            </w:r>
          </w:p>
          <w:p>
            <w:pPr>
              <w:pStyle w:val="Normal"/>
              <w:widowControl w:val="false"/>
              <w:numPr>
                <w:ilvl w:val="0"/>
                <w:numId w:val="26"/>
              </w:numPr>
              <w:suppressAutoHyphens w:val="true"/>
              <w:spacing w:lineRule="auto" w:line="276" w:before="0" w:after="0"/>
              <w:ind w:hanging="360" w:left="540" w:right="-7"/>
              <w:jc w:val="both"/>
              <w:rPr>
                <w:sz w:val="24"/>
                <w:szCs w:val="24"/>
              </w:rPr>
            </w:pPr>
            <w:r>
              <w:rPr>
                <w:rFonts w:eastAsia="Times New Roman" w:cs="Times New Roman"/>
                <w:kern w:val="0"/>
                <w:sz w:val="24"/>
                <w:szCs w:val="24"/>
                <w:lang w:val="ru-RU" w:eastAsia="ru-RU" w:bidi="ar-SA"/>
              </w:rPr>
              <w:t>Нет предупредительных сигналов от устройств электрических защит.</w:t>
            </w:r>
          </w:p>
          <w:p>
            <w:pPr>
              <w:pStyle w:val="Normal"/>
              <w:keepNext w:val="true"/>
              <w:widowControl w:val="false"/>
              <w:numPr>
                <w:ilvl w:val="0"/>
                <w:numId w:val="0"/>
              </w:numPr>
              <w:tabs>
                <w:tab w:val="clear" w:pos="708"/>
                <w:tab w:val="left" w:pos="720" w:leader="none"/>
                <w:tab w:val="left" w:pos="9923" w:leader="none"/>
              </w:tabs>
              <w:suppressAutoHyphens w:val="true"/>
              <w:spacing w:lineRule="auto" w:line="276" w:before="120" w:after="120"/>
              <w:ind w:hanging="720" w:left="720" w:right="-6"/>
              <w:jc w:val="both"/>
              <w:outlineLvl w:val="2"/>
              <w:rPr>
                <w:sz w:val="24"/>
                <w:szCs w:val="24"/>
                <w:u w:val="single"/>
              </w:rPr>
            </w:pPr>
            <w:r>
              <w:rPr>
                <w:rFonts w:eastAsia="Times New Roman" w:cs="Times New Roman"/>
                <w:b/>
                <w:i/>
                <w:kern w:val="0"/>
                <w:sz w:val="24"/>
                <w:szCs w:val="24"/>
                <w:lang w:val="ru-RU" w:eastAsia="ru-RU" w:bidi="ar-SA"/>
              </w:rPr>
              <w:tab/>
            </w:r>
            <w:r>
              <w:rPr>
                <w:rFonts w:eastAsia="Times New Roman" w:cs="Times New Roman"/>
                <w:kern w:val="0"/>
                <w:sz w:val="24"/>
                <w:szCs w:val="24"/>
                <w:u w:val="single"/>
                <w:lang w:val="ru-RU" w:eastAsia="ru-RU" w:bidi="ar-SA"/>
              </w:rPr>
              <w:t>Пуск и холостой ход</w:t>
            </w:r>
          </w:p>
          <w:p>
            <w:pPr>
              <w:pStyle w:val="Normal"/>
              <w:widowControl w:val="false"/>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САУ ГА должна обеспечивать:</w:t>
            </w:r>
          </w:p>
          <w:p>
            <w:pPr>
              <w:pStyle w:val="Normal"/>
              <w:widowControl w:val="false"/>
              <w:numPr>
                <w:ilvl w:val="0"/>
                <w:numId w:val="25"/>
              </w:numPr>
              <w:tabs>
                <w:tab w:val="clear" w:pos="708"/>
                <w:tab w:val="left" w:pos="284" w:leader="none"/>
              </w:tabs>
              <w:suppressAutoHyphens w:val="true"/>
              <w:spacing w:lineRule="auto" w:line="276" w:before="0" w:after="0"/>
              <w:ind w:hanging="284" w:left="284"/>
              <w:jc w:val="both"/>
              <w:rPr>
                <w:sz w:val="24"/>
                <w:szCs w:val="24"/>
              </w:rPr>
            </w:pPr>
            <w:r>
              <w:rPr>
                <w:rFonts w:eastAsia="Times New Roman" w:cs="Times New Roman"/>
                <w:kern w:val="0"/>
                <w:sz w:val="24"/>
                <w:szCs w:val="24"/>
                <w:lang w:val="ru-RU" w:eastAsia="ru-RU" w:bidi="ar-SA"/>
              </w:rPr>
              <w:t>автоматическое от</w:t>
              <w:softHyphen/>
              <w:t>крытие направляющего аппарата до пускового открытия с учетом величины текущего напора;</w:t>
            </w:r>
          </w:p>
          <w:p>
            <w:pPr>
              <w:pStyle w:val="Normal"/>
              <w:widowControl w:val="false"/>
              <w:numPr>
                <w:ilvl w:val="0"/>
                <w:numId w:val="25"/>
              </w:numPr>
              <w:tabs>
                <w:tab w:val="clear" w:pos="708"/>
                <w:tab w:val="left" w:pos="284" w:leader="none"/>
              </w:tabs>
              <w:suppressAutoHyphens w:val="true"/>
              <w:spacing w:lineRule="auto" w:line="276" w:before="0" w:after="0"/>
              <w:ind w:hanging="284" w:left="284"/>
              <w:jc w:val="both"/>
              <w:rPr>
                <w:sz w:val="24"/>
                <w:szCs w:val="24"/>
              </w:rPr>
            </w:pPr>
            <w:r>
              <w:rPr>
                <w:rFonts w:eastAsia="Times New Roman" w:cs="Times New Roman"/>
                <w:kern w:val="0"/>
                <w:sz w:val="24"/>
                <w:szCs w:val="24"/>
                <w:lang w:val="ru-RU" w:eastAsia="ru-RU" w:bidi="ar-SA"/>
              </w:rPr>
              <w:t>автома</w:t>
              <w:softHyphen/>
              <w:t>тическую подгонку к заданной частоте вращения при апериодическом переходном процессе;</w:t>
            </w:r>
          </w:p>
          <w:p>
            <w:pPr>
              <w:pStyle w:val="Normal"/>
              <w:widowControl w:val="false"/>
              <w:numPr>
                <w:ilvl w:val="0"/>
                <w:numId w:val="25"/>
              </w:numPr>
              <w:tabs>
                <w:tab w:val="clear" w:pos="708"/>
                <w:tab w:val="left" w:pos="284" w:leader="none"/>
              </w:tabs>
              <w:suppressAutoHyphens w:val="true"/>
              <w:spacing w:lineRule="auto" w:line="276" w:before="0" w:after="0"/>
              <w:ind w:hanging="284" w:left="284"/>
              <w:jc w:val="both"/>
              <w:rPr>
                <w:sz w:val="24"/>
                <w:szCs w:val="24"/>
              </w:rPr>
            </w:pPr>
            <w:r>
              <w:rPr>
                <w:rFonts w:eastAsia="Times New Roman" w:cs="Times New Roman"/>
                <w:kern w:val="0"/>
                <w:sz w:val="24"/>
                <w:szCs w:val="24"/>
                <w:lang w:val="ru-RU" w:eastAsia="ru-RU" w:bidi="ar-SA"/>
              </w:rPr>
              <w:t>стабилизацию частоты на холостом ходу с отклонениями от уставки частоты не выше ±0,1 Гц при апериодическом переходном процессе, с заданным скольжением или регулирование частоты вращения по командам автосинхронизатора;</w:t>
            </w:r>
          </w:p>
          <w:p>
            <w:pPr>
              <w:pStyle w:val="Normal"/>
              <w:widowControl w:val="false"/>
              <w:numPr>
                <w:ilvl w:val="0"/>
                <w:numId w:val="25"/>
              </w:numPr>
              <w:tabs>
                <w:tab w:val="clear" w:pos="708"/>
                <w:tab w:val="left" w:pos="284" w:leader="none"/>
              </w:tabs>
              <w:suppressAutoHyphens w:val="true"/>
              <w:spacing w:lineRule="auto" w:line="276" w:before="0" w:after="0"/>
              <w:ind w:hanging="284" w:left="284"/>
              <w:jc w:val="both"/>
              <w:rPr>
                <w:sz w:val="24"/>
                <w:szCs w:val="24"/>
              </w:rPr>
            </w:pPr>
            <w:r>
              <w:rPr>
                <w:rFonts w:eastAsia="Times New Roman" w:cs="Times New Roman"/>
                <w:kern w:val="0"/>
                <w:sz w:val="24"/>
                <w:szCs w:val="24"/>
                <w:lang w:val="ru-RU" w:eastAsia="ru-RU" w:bidi="ar-SA"/>
              </w:rPr>
              <w:t>минимальный интервал времени с момента подачи команды на пуск до установления заданной частоты вращения, с учётом напора, допустимой скорости перемещения регулирующего органа, ограничения на быстроту набора скорости, накладываемого техническим состоянием гидроагрегата. При этом могут быть заданы различные уставки открытия НА, обеспечивающие быстрый набор скорости на начальном этапе и его замедление при подходе к подсинхронной частоте вращения.</w:t>
            </w:r>
          </w:p>
          <w:p>
            <w:pPr>
              <w:pStyle w:val="Normal"/>
              <w:keepNext w:val="true"/>
              <w:widowControl w:val="false"/>
              <w:numPr>
                <w:ilvl w:val="0"/>
                <w:numId w:val="0"/>
              </w:numPr>
              <w:tabs>
                <w:tab w:val="clear" w:pos="708"/>
                <w:tab w:val="left" w:pos="720" w:leader="none"/>
                <w:tab w:val="left" w:pos="9923" w:leader="none"/>
              </w:tabs>
              <w:suppressAutoHyphens w:val="true"/>
              <w:spacing w:lineRule="auto" w:line="276" w:before="120" w:after="120"/>
              <w:ind w:hanging="720" w:left="720" w:right="-6"/>
              <w:jc w:val="both"/>
              <w:outlineLvl w:val="2"/>
              <w:rPr>
                <w:sz w:val="24"/>
                <w:szCs w:val="24"/>
                <w:u w:val="single"/>
              </w:rPr>
            </w:pPr>
            <w:r>
              <w:rPr>
                <w:rFonts w:eastAsia="Times New Roman" w:cs="Times New Roman"/>
                <w:b/>
                <w:kern w:val="0"/>
                <w:sz w:val="24"/>
                <w:szCs w:val="24"/>
                <w:lang w:val="ru-RU" w:eastAsia="ru-RU" w:bidi="ar-SA"/>
              </w:rPr>
              <w:tab/>
            </w:r>
            <w:r>
              <w:rPr>
                <w:rFonts w:eastAsia="Times New Roman" w:cs="Times New Roman"/>
                <w:kern w:val="0"/>
                <w:sz w:val="24"/>
                <w:szCs w:val="24"/>
                <w:u w:val="single"/>
                <w:lang w:val="ru-RU" w:eastAsia="ru-RU" w:bidi="ar-SA"/>
              </w:rPr>
              <w:t>Включение в сеть</w:t>
            </w:r>
          </w:p>
          <w:p>
            <w:pPr>
              <w:pStyle w:val="Normal"/>
              <w:widowControl w:val="false"/>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Непосредственно после выхода на подсинхронную частоту вращения ГА может быть включен в сеть способом ручной точной синхронизации, самосинхронизации или автоматической точной синхронизации при соответствующих положениях ключа синхронизации. Функцию автоматической точной синхронизации должен выполнять автосинхронизатор.</w:t>
            </w:r>
          </w:p>
          <w:p>
            <w:pPr>
              <w:pStyle w:val="Normal"/>
              <w:widowControl w:val="false"/>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После включения в сеть набирается нагрузка, соответствующая уставке. Уставка нагрузки должна соответствовать одному из следующих значений:</w:t>
            </w:r>
          </w:p>
          <w:p>
            <w:pPr>
              <w:pStyle w:val="Normal"/>
              <w:widowControl w:val="false"/>
              <w:numPr>
                <w:ilvl w:val="0"/>
                <w:numId w:val="31"/>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мощности, при которой был инициирован сигнал «останов»;</w:t>
            </w:r>
          </w:p>
          <w:p>
            <w:pPr>
              <w:pStyle w:val="Normal"/>
              <w:widowControl w:val="false"/>
              <w:numPr>
                <w:ilvl w:val="0"/>
                <w:numId w:val="31"/>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верхнему ограничению мощности по эксплуатационной характеристике при данном напоре при пуске действием АЧВР;</w:t>
            </w:r>
          </w:p>
          <w:p>
            <w:pPr>
              <w:pStyle w:val="Normal"/>
              <w:widowControl w:val="false"/>
              <w:numPr>
                <w:ilvl w:val="0"/>
                <w:numId w:val="31"/>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заданию, установленному оперативным персоналом через АРМ или органы ручного управления.</w:t>
            </w:r>
          </w:p>
          <w:p>
            <w:pPr>
              <w:pStyle w:val="Normal"/>
              <w:widowControl w:val="false"/>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В случае автоматического задания нагрузки уставка не должна находиться в зоне нерекомендованной или недопустимой работы. Скорость набора заданной нагрузки должна быть максимальной, с допустимой скоростью перемещения регулирующего органа, с учётом ограничения, накладываемого техническим состоянием гидроагрегата.</w:t>
            </w:r>
          </w:p>
          <w:p>
            <w:pPr>
              <w:pStyle w:val="Normal"/>
              <w:keepNext w:val="true"/>
              <w:widowControl w:val="false"/>
              <w:numPr>
                <w:ilvl w:val="0"/>
                <w:numId w:val="0"/>
              </w:numPr>
              <w:tabs>
                <w:tab w:val="clear" w:pos="708"/>
                <w:tab w:val="left" w:pos="720" w:leader="none"/>
                <w:tab w:val="left" w:pos="9923" w:leader="none"/>
              </w:tabs>
              <w:suppressAutoHyphens w:val="true"/>
              <w:spacing w:lineRule="auto" w:line="276" w:before="120" w:after="120"/>
              <w:ind w:hanging="720" w:left="720" w:right="-6"/>
              <w:jc w:val="both"/>
              <w:outlineLvl w:val="2"/>
              <w:rPr>
                <w:sz w:val="24"/>
                <w:szCs w:val="24"/>
                <w:u w:val="single"/>
              </w:rPr>
            </w:pPr>
            <w:r>
              <w:rPr>
                <w:rFonts w:eastAsia="Times New Roman" w:cs="Times New Roman"/>
                <w:b/>
                <w:kern w:val="0"/>
                <w:sz w:val="24"/>
                <w:szCs w:val="24"/>
                <w:lang w:val="ru-RU" w:eastAsia="ru-RU" w:bidi="ar-SA"/>
              </w:rPr>
              <w:tab/>
            </w:r>
            <w:r>
              <w:rPr>
                <w:rFonts w:eastAsia="Times New Roman" w:cs="Times New Roman"/>
                <w:kern w:val="0"/>
                <w:sz w:val="24"/>
                <w:szCs w:val="24"/>
                <w:u w:val="single"/>
                <w:lang w:val="ru-RU" w:eastAsia="ru-RU" w:bidi="ar-SA"/>
              </w:rPr>
              <w:t>Останов</w:t>
            </w:r>
          </w:p>
          <w:p>
            <w:pPr>
              <w:pStyle w:val="Normal"/>
              <w:widowControl w:val="false"/>
              <w:shd w:val="clear" w:color="auto" w:fill="FFFFFF"/>
              <w:suppressAutoHyphens w:val="true"/>
              <w:spacing w:lineRule="auto" w:line="276" w:before="120" w:after="0"/>
              <w:jc w:val="both"/>
              <w:rPr>
                <w:sz w:val="24"/>
                <w:szCs w:val="24"/>
              </w:rPr>
            </w:pPr>
            <w:r>
              <w:rPr>
                <w:rFonts w:eastAsia="Times New Roman" w:cs="Times New Roman"/>
                <w:kern w:val="0"/>
                <w:sz w:val="24"/>
                <w:szCs w:val="24"/>
                <w:lang w:val="ru-RU" w:eastAsia="ru-RU" w:bidi="ar-SA"/>
              </w:rPr>
              <w:t>Различаются автоматические операции нормального останова (СТОП1) и аварийного останова, включающего разные последовательности действий при определённых повреждениях или их сочетаниях (СТОП2-СТОП4).</w:t>
            </w:r>
          </w:p>
          <w:p>
            <w:pPr>
              <w:pStyle w:val="Normal"/>
              <w:widowControl w:val="false"/>
              <w:shd w:val="clear" w:color="auto" w:fill="FFFFFF"/>
              <w:suppressAutoHyphens w:val="true"/>
              <w:spacing w:lineRule="auto" w:line="276" w:before="120" w:after="0"/>
              <w:ind w:firstLine="709"/>
              <w:jc w:val="both"/>
              <w:rPr>
                <w:sz w:val="24"/>
                <w:szCs w:val="24"/>
              </w:rPr>
            </w:pPr>
            <w:r>
              <w:rPr>
                <w:rFonts w:eastAsia="Times New Roman" w:cs="Times New Roman"/>
                <w:kern w:val="0"/>
                <w:sz w:val="24"/>
                <w:szCs w:val="24"/>
                <w:lang w:val="ru-RU" w:eastAsia="ru-RU" w:bidi="ar-SA"/>
              </w:rPr>
              <w:t>Автоматический останов гидроагрегата может быть выполнен по команде оперативного персонала из любого предшествующего рабочего режима (ХХ, ХХ с возбуждением, работы в сети в генераторном или режиме СК)</w:t>
            </w:r>
          </w:p>
          <w:p>
            <w:pPr>
              <w:pStyle w:val="Normal"/>
              <w:widowControl w:val="false"/>
              <w:shd w:val="clear" w:color="auto" w:fill="FFFFFF"/>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САУ ГА должна обеспечивать при выполнении нормального останова (СТОП1):</w:t>
            </w:r>
          </w:p>
          <w:p>
            <w:pPr>
              <w:pStyle w:val="Normal"/>
              <w:widowControl w:val="false"/>
              <w:numPr>
                <w:ilvl w:val="0"/>
                <w:numId w:val="27"/>
              </w:numPr>
              <w:shd w:val="clear" w:color="auto" w:fill="FFFFFF"/>
              <w:tabs>
                <w:tab w:val="clear" w:pos="708"/>
                <w:tab w:val="left" w:pos="284" w:leader="none"/>
              </w:tabs>
              <w:suppressAutoHyphens w:val="true"/>
              <w:spacing w:lineRule="auto" w:line="276" w:before="0" w:after="0"/>
              <w:ind w:hanging="284" w:left="284"/>
              <w:jc w:val="both"/>
              <w:rPr>
                <w:sz w:val="24"/>
                <w:szCs w:val="24"/>
              </w:rPr>
            </w:pPr>
            <w:r>
              <w:rPr>
                <w:rFonts w:eastAsia="Times New Roman" w:cs="Times New Roman"/>
                <w:kern w:val="0"/>
                <w:sz w:val="24"/>
                <w:szCs w:val="24"/>
                <w:lang w:val="ru-RU" w:eastAsia="ru-RU" w:bidi="ar-SA"/>
              </w:rPr>
              <w:t>закрытие направляющего аппарата (разгрузку по активной мощности) до полного закрытия с допустимой скоростью перемещения регулирующего органа и давлением в спиральной камере;</w:t>
            </w:r>
          </w:p>
          <w:p>
            <w:pPr>
              <w:pStyle w:val="Normal"/>
              <w:widowControl w:val="false"/>
              <w:numPr>
                <w:ilvl w:val="0"/>
                <w:numId w:val="27"/>
              </w:numPr>
              <w:shd w:val="clear" w:color="auto" w:fill="FFFFFF"/>
              <w:tabs>
                <w:tab w:val="clear" w:pos="708"/>
                <w:tab w:val="left" w:pos="284" w:leader="none"/>
              </w:tabs>
              <w:suppressAutoHyphens w:val="true"/>
              <w:spacing w:lineRule="auto" w:line="276" w:before="0" w:after="0"/>
              <w:ind w:hanging="284" w:left="284"/>
              <w:jc w:val="both"/>
              <w:rPr>
                <w:sz w:val="24"/>
                <w:szCs w:val="24"/>
              </w:rPr>
            </w:pPr>
            <w:r>
              <w:rPr>
                <w:rFonts w:eastAsia="Times New Roman" w:cs="Times New Roman"/>
                <w:kern w:val="0"/>
                <w:sz w:val="24"/>
                <w:szCs w:val="24"/>
                <w:lang w:val="ru-RU" w:eastAsia="ru-RU" w:bidi="ar-SA"/>
              </w:rPr>
              <w:t>развозбуждение;</w:t>
            </w:r>
          </w:p>
          <w:p>
            <w:pPr>
              <w:pStyle w:val="Normal"/>
              <w:widowControl w:val="false"/>
              <w:numPr>
                <w:ilvl w:val="0"/>
                <w:numId w:val="27"/>
              </w:numPr>
              <w:shd w:val="clear" w:color="auto" w:fill="FFFFFF"/>
              <w:tabs>
                <w:tab w:val="clear" w:pos="708"/>
                <w:tab w:val="left" w:pos="284" w:leader="none"/>
              </w:tabs>
              <w:suppressAutoHyphens w:val="true"/>
              <w:spacing w:lineRule="auto" w:line="276" w:before="0" w:after="0"/>
              <w:ind w:hanging="284" w:left="284"/>
              <w:jc w:val="both"/>
              <w:rPr>
                <w:sz w:val="24"/>
                <w:szCs w:val="24"/>
              </w:rPr>
            </w:pPr>
            <w:r>
              <w:rPr>
                <w:rFonts w:eastAsia="Times New Roman" w:cs="Times New Roman"/>
                <w:kern w:val="0"/>
                <w:sz w:val="24"/>
                <w:szCs w:val="24"/>
                <w:lang w:val="ru-RU" w:eastAsia="ru-RU" w:bidi="ar-SA"/>
              </w:rPr>
              <w:t>при закрытии НА и разгрузке до 0 МВт - формирование команды на отключение выключателя;</w:t>
            </w:r>
          </w:p>
          <w:p>
            <w:pPr>
              <w:pStyle w:val="Normal"/>
              <w:widowControl w:val="false"/>
              <w:numPr>
                <w:ilvl w:val="0"/>
                <w:numId w:val="27"/>
              </w:numPr>
              <w:shd w:val="clear" w:color="auto" w:fill="FFFFFF"/>
              <w:tabs>
                <w:tab w:val="clear" w:pos="708"/>
                <w:tab w:val="left" w:pos="284" w:leader="none"/>
              </w:tabs>
              <w:suppressAutoHyphens w:val="true"/>
              <w:spacing w:lineRule="auto" w:line="276" w:before="0" w:after="0"/>
              <w:ind w:hanging="284" w:left="284"/>
              <w:jc w:val="both"/>
              <w:rPr>
                <w:sz w:val="24"/>
                <w:szCs w:val="24"/>
              </w:rPr>
            </w:pPr>
            <w:r>
              <w:rPr>
                <w:rFonts w:eastAsia="Times New Roman" w:cs="Times New Roman"/>
                <w:kern w:val="0"/>
                <w:sz w:val="24"/>
                <w:szCs w:val="24"/>
                <w:lang w:val="ru-RU" w:eastAsia="ru-RU" w:bidi="ar-SA"/>
              </w:rPr>
              <w:t xml:space="preserve">при снижении скорости до уставки торможения – формирование команды на открытие клапана торможения.  </w:t>
            </w:r>
          </w:p>
          <w:p>
            <w:pPr>
              <w:pStyle w:val="Normal"/>
              <w:widowControl w:val="false"/>
              <w:numPr>
                <w:ilvl w:val="0"/>
                <w:numId w:val="27"/>
              </w:numPr>
              <w:shd w:val="clear" w:color="auto" w:fill="FFFFFF"/>
              <w:tabs>
                <w:tab w:val="clear" w:pos="708"/>
                <w:tab w:val="left" w:pos="284" w:leader="none"/>
              </w:tabs>
              <w:suppressAutoHyphens w:val="true"/>
              <w:spacing w:lineRule="auto" w:line="276" w:before="0" w:after="0"/>
              <w:ind w:hanging="284" w:left="284"/>
              <w:jc w:val="both"/>
              <w:rPr>
                <w:sz w:val="24"/>
                <w:szCs w:val="24"/>
              </w:rPr>
            </w:pPr>
            <w:r>
              <w:rPr>
                <w:rFonts w:eastAsia="Times New Roman" w:cs="Times New Roman"/>
                <w:kern w:val="0"/>
                <w:sz w:val="24"/>
                <w:szCs w:val="24"/>
                <w:lang w:val="ru-RU" w:eastAsia="ru-RU" w:bidi="ar-SA"/>
              </w:rPr>
              <w:t>при прекращении вращения ротора – формирование команды на закрытие клапана торможения, прекращение подачи воды на охлаждение масла и генератора.</w:t>
            </w:r>
          </w:p>
          <w:p>
            <w:pPr>
              <w:pStyle w:val="Normal"/>
              <w:widowControl w:val="false"/>
              <w:shd w:val="clear" w:color="auto" w:fill="FFFFFF"/>
              <w:suppressAutoHyphens w:val="true"/>
              <w:spacing w:lineRule="auto" w:line="276" w:before="120" w:after="0"/>
              <w:ind w:firstLine="709"/>
              <w:jc w:val="both"/>
              <w:rPr>
                <w:sz w:val="24"/>
                <w:szCs w:val="24"/>
              </w:rPr>
            </w:pPr>
            <w:r>
              <w:rPr>
                <w:rFonts w:eastAsia="Times New Roman" w:cs="Times New Roman"/>
                <w:kern w:val="0"/>
                <w:sz w:val="24"/>
                <w:szCs w:val="24"/>
                <w:lang w:val="ru-RU" w:eastAsia="ru-RU" w:bidi="ar-SA"/>
              </w:rPr>
              <w:t>Быстрота снижения скорости вращения должна контролироваться.</w:t>
            </w:r>
          </w:p>
          <w:p>
            <w:pPr>
              <w:pStyle w:val="Normal"/>
              <w:widowControl w:val="false"/>
              <w:shd w:val="clear" w:color="auto" w:fill="FFFFFF"/>
              <w:suppressAutoHyphens w:val="true"/>
              <w:spacing w:lineRule="auto" w:line="276" w:before="120" w:after="0"/>
              <w:ind w:firstLine="709"/>
              <w:jc w:val="both"/>
              <w:rPr>
                <w:sz w:val="24"/>
                <w:szCs w:val="24"/>
              </w:rPr>
            </w:pPr>
            <w:r>
              <w:rPr>
                <w:rFonts w:eastAsia="Times New Roman" w:cs="Times New Roman"/>
                <w:kern w:val="0"/>
                <w:sz w:val="24"/>
                <w:szCs w:val="24"/>
                <w:lang w:val="ru-RU" w:eastAsia="ru-RU" w:bidi="ar-SA"/>
              </w:rPr>
              <w:t>Окончание операции останова производится при наличии всех сигналов готовности к пуску на ХХ турбины или при наличии сигнала на пуск от ПА (АЧВР).</w:t>
            </w:r>
          </w:p>
          <w:p>
            <w:pPr>
              <w:pStyle w:val="Normal"/>
              <w:keepNext w:val="true"/>
              <w:widowControl w:val="false"/>
              <w:numPr>
                <w:ilvl w:val="0"/>
                <w:numId w:val="0"/>
              </w:numPr>
              <w:tabs>
                <w:tab w:val="clear" w:pos="708"/>
                <w:tab w:val="left" w:pos="720" w:leader="none"/>
                <w:tab w:val="left" w:pos="9923" w:leader="none"/>
              </w:tabs>
              <w:suppressAutoHyphens w:val="true"/>
              <w:spacing w:lineRule="auto" w:line="276" w:before="0" w:after="0"/>
              <w:ind w:hanging="720" w:left="720" w:right="-6"/>
              <w:jc w:val="both"/>
              <w:outlineLvl w:val="2"/>
              <w:rPr>
                <w:sz w:val="24"/>
                <w:szCs w:val="24"/>
                <w:u w:val="single"/>
              </w:rPr>
            </w:pPr>
            <w:r>
              <w:rPr>
                <w:rFonts w:eastAsia="Times New Roman" w:cs="Times New Roman"/>
                <w:b/>
                <w:kern w:val="0"/>
                <w:sz w:val="24"/>
                <w:szCs w:val="24"/>
                <w:lang w:val="ru-RU" w:eastAsia="ru-RU" w:bidi="ar-SA"/>
              </w:rPr>
              <w:tab/>
            </w:r>
            <w:r>
              <w:rPr>
                <w:rFonts w:eastAsia="Times New Roman" w:cs="Times New Roman"/>
                <w:kern w:val="0"/>
                <w:sz w:val="24"/>
                <w:szCs w:val="24"/>
                <w:u w:val="single"/>
                <w:lang w:val="ru-RU" w:eastAsia="ru-RU" w:bidi="ar-SA"/>
              </w:rPr>
              <w:t>Аварийный останов СТОП2÷4</w:t>
            </w:r>
          </w:p>
          <w:p>
            <w:pPr>
              <w:pStyle w:val="Normal"/>
              <w:widowControl w:val="false"/>
              <w:shd w:val="clear" w:color="auto" w:fill="FFFFFF"/>
              <w:suppressAutoHyphens w:val="true"/>
              <w:spacing w:lineRule="auto" w:line="276" w:before="0" w:after="0"/>
              <w:jc w:val="both"/>
              <w:rPr>
                <w:sz w:val="24"/>
                <w:szCs w:val="24"/>
              </w:rPr>
            </w:pPr>
            <w:r>
              <w:rPr>
                <w:rFonts w:eastAsia="Times New Roman" w:cs="Times New Roman"/>
                <w:kern w:val="0"/>
                <w:sz w:val="24"/>
                <w:szCs w:val="24"/>
                <w:lang w:val="ru-RU" w:eastAsia="ru-RU" w:bidi="ar-SA"/>
              </w:rPr>
              <w:t>Аварийный останов производится:</w:t>
            </w:r>
          </w:p>
          <w:p>
            <w:pPr>
              <w:pStyle w:val="Normal"/>
              <w:widowControl w:val="false"/>
              <w:numPr>
                <w:ilvl w:val="0"/>
                <w:numId w:val="28"/>
              </w:numPr>
              <w:shd w:val="clear" w:color="auto" w:fill="FFFFFF"/>
              <w:suppressAutoHyphens w:val="true"/>
              <w:spacing w:lineRule="auto" w:line="276" w:before="0" w:after="0"/>
              <w:jc w:val="both"/>
              <w:rPr>
                <w:sz w:val="24"/>
                <w:szCs w:val="24"/>
              </w:rPr>
            </w:pPr>
            <w:r>
              <w:rPr>
                <w:rFonts w:eastAsia="Times New Roman" w:cs="Times New Roman"/>
                <w:kern w:val="0"/>
                <w:sz w:val="24"/>
                <w:szCs w:val="24"/>
                <w:lang w:val="ru-RU" w:eastAsia="ru-RU" w:bidi="ar-SA"/>
              </w:rPr>
              <w:t>при действии электрических защит, требующих останова ГА;</w:t>
            </w:r>
          </w:p>
          <w:p>
            <w:pPr>
              <w:pStyle w:val="Normal"/>
              <w:widowControl w:val="false"/>
              <w:numPr>
                <w:ilvl w:val="0"/>
                <w:numId w:val="28"/>
              </w:numPr>
              <w:shd w:val="clear" w:color="auto" w:fill="FFFFFF"/>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при действии технологических защит; </w:t>
            </w:r>
          </w:p>
          <w:p>
            <w:pPr>
              <w:pStyle w:val="Normal"/>
              <w:widowControl w:val="false"/>
              <w:numPr>
                <w:ilvl w:val="0"/>
                <w:numId w:val="28"/>
              </w:numPr>
              <w:shd w:val="clear" w:color="auto" w:fill="FFFFFF"/>
              <w:suppressAutoHyphens w:val="true"/>
              <w:spacing w:lineRule="auto" w:line="276" w:before="0" w:after="0"/>
              <w:jc w:val="both"/>
              <w:rPr>
                <w:sz w:val="24"/>
                <w:szCs w:val="24"/>
              </w:rPr>
            </w:pPr>
            <w:r>
              <w:rPr>
                <w:rFonts w:eastAsia="Times New Roman" w:cs="Times New Roman"/>
                <w:kern w:val="0"/>
                <w:sz w:val="24"/>
                <w:szCs w:val="24"/>
                <w:lang w:val="ru-RU" w:eastAsia="ru-RU" w:bidi="ar-SA"/>
              </w:rPr>
              <w:t>при недостаточной скорости снижения частоты вращения в ходе нормального останова;</w:t>
            </w:r>
          </w:p>
          <w:p>
            <w:pPr>
              <w:pStyle w:val="Normal"/>
              <w:widowControl w:val="false"/>
              <w:numPr>
                <w:ilvl w:val="0"/>
                <w:numId w:val="28"/>
              </w:numPr>
              <w:shd w:val="clear" w:color="auto" w:fill="FFFFFF"/>
              <w:suppressAutoHyphens w:val="true"/>
              <w:spacing w:lineRule="auto" w:line="276" w:before="0" w:after="0"/>
              <w:jc w:val="both"/>
              <w:rPr>
                <w:sz w:val="24"/>
                <w:szCs w:val="24"/>
              </w:rPr>
            </w:pPr>
            <w:r>
              <w:rPr>
                <w:rFonts w:eastAsia="Times New Roman" w:cs="Times New Roman"/>
                <w:kern w:val="0"/>
                <w:sz w:val="24"/>
                <w:szCs w:val="24"/>
                <w:lang w:val="ru-RU" w:eastAsia="ru-RU" w:bidi="ar-SA"/>
              </w:rPr>
              <w:t>от кнопки аварийного останова.</w:t>
            </w:r>
          </w:p>
          <w:p>
            <w:pPr>
              <w:pStyle w:val="Normal"/>
              <w:widowControl w:val="false"/>
              <w:shd w:val="clear" w:color="auto" w:fill="FFFFFF"/>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Повторный пуск ГА после аварийного останова должен допускаться только после проведения необходимых проверочных операций и деблокирования аварийного останова оперативным персоналом.</w:t>
            </w:r>
          </w:p>
          <w:p>
            <w:pPr>
              <w:pStyle w:val="Normal"/>
              <w:widowControl w:val="false"/>
              <w:shd w:val="clear" w:color="auto" w:fill="FFFFFF"/>
              <w:suppressAutoHyphens w:val="true"/>
              <w:spacing w:lineRule="auto" w:line="276" w:before="120" w:after="0"/>
              <w:ind w:firstLine="709"/>
              <w:jc w:val="both"/>
              <w:rPr>
                <w:b/>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u w:val="single"/>
                <w:lang w:val="ru-RU" w:eastAsia="ru-RU" w:bidi="ar-SA"/>
              </w:rPr>
              <w:t xml:space="preserve">Перечень технологических защит гидроагрегата </w:t>
            </w:r>
          </w:p>
          <w:p>
            <w:pPr>
              <w:pStyle w:val="Normal"/>
              <w:widowControl w:val="false"/>
              <w:numPr>
                <w:ilvl w:val="0"/>
                <w:numId w:val="29"/>
              </w:numPr>
              <w:suppressAutoHyphens w:val="true"/>
              <w:spacing w:lineRule="auto" w:line="276" w:before="0" w:after="0"/>
              <w:ind w:hanging="121" w:left="426"/>
              <w:jc w:val="both"/>
              <w:rPr>
                <w:sz w:val="24"/>
                <w:szCs w:val="24"/>
              </w:rPr>
            </w:pPr>
            <w:r>
              <w:rPr>
                <w:rFonts w:eastAsia="Times New Roman" w:cs="Times New Roman"/>
                <w:kern w:val="0"/>
                <w:sz w:val="24"/>
                <w:szCs w:val="24"/>
                <w:lang w:val="ru-RU" w:eastAsia="ru-RU" w:bidi="ar-SA"/>
              </w:rPr>
              <w:t>Перегрев сегмента подшипника и подпятника;</w:t>
            </w:r>
          </w:p>
          <w:p>
            <w:pPr>
              <w:pStyle w:val="Normal"/>
              <w:widowControl w:val="false"/>
              <w:numPr>
                <w:ilvl w:val="0"/>
                <w:numId w:val="29"/>
              </w:numPr>
              <w:suppressAutoHyphens w:val="true"/>
              <w:spacing w:lineRule="auto" w:line="276" w:before="0" w:after="0"/>
              <w:ind w:hanging="121" w:left="426"/>
              <w:jc w:val="both"/>
              <w:rPr>
                <w:sz w:val="24"/>
                <w:szCs w:val="24"/>
              </w:rPr>
            </w:pPr>
            <w:r>
              <w:rPr>
                <w:rFonts w:eastAsia="Times New Roman" w:cs="Times New Roman"/>
                <w:kern w:val="0"/>
                <w:sz w:val="24"/>
                <w:szCs w:val="24"/>
                <w:lang w:val="ru-RU" w:eastAsia="ru-RU" w:bidi="ar-SA"/>
              </w:rPr>
              <w:t>Перегрев масла в ванне подшипника;</w:t>
            </w:r>
          </w:p>
          <w:p>
            <w:pPr>
              <w:pStyle w:val="Normal"/>
              <w:widowControl w:val="false"/>
              <w:numPr>
                <w:ilvl w:val="0"/>
                <w:numId w:val="29"/>
              </w:numPr>
              <w:suppressAutoHyphens w:val="true"/>
              <w:spacing w:lineRule="auto" w:line="276" w:before="0" w:after="0"/>
              <w:ind w:hanging="121" w:left="426"/>
              <w:jc w:val="both"/>
              <w:rPr>
                <w:sz w:val="24"/>
                <w:szCs w:val="24"/>
              </w:rPr>
            </w:pPr>
            <w:r>
              <w:rPr>
                <w:rFonts w:eastAsia="Times New Roman" w:cs="Times New Roman"/>
                <w:kern w:val="0"/>
                <w:sz w:val="24"/>
                <w:szCs w:val="24"/>
                <w:lang w:val="ru-RU" w:eastAsia="ru-RU" w:bidi="ar-SA"/>
              </w:rPr>
              <w:t>Высокая температура охлаждающего воздуха;</w:t>
            </w:r>
          </w:p>
          <w:p>
            <w:pPr>
              <w:pStyle w:val="Normal"/>
              <w:widowControl w:val="false"/>
              <w:numPr>
                <w:ilvl w:val="0"/>
                <w:numId w:val="29"/>
              </w:numPr>
              <w:suppressAutoHyphens w:val="true"/>
              <w:spacing w:lineRule="auto" w:line="276" w:before="0" w:after="0"/>
              <w:ind w:hanging="121" w:left="426"/>
              <w:jc w:val="both"/>
              <w:rPr>
                <w:sz w:val="24"/>
                <w:szCs w:val="24"/>
              </w:rPr>
            </w:pPr>
            <w:r>
              <w:rPr>
                <w:rFonts w:eastAsia="Times New Roman" w:cs="Times New Roman"/>
                <w:kern w:val="0"/>
                <w:sz w:val="24"/>
                <w:szCs w:val="24"/>
                <w:lang w:val="ru-RU" w:eastAsia="ru-RU" w:bidi="ar-SA"/>
              </w:rPr>
              <w:t>Понижение расхода воды на уплотнение вала;</w:t>
            </w:r>
          </w:p>
          <w:p>
            <w:pPr>
              <w:pStyle w:val="Normal"/>
              <w:widowControl w:val="false"/>
              <w:numPr>
                <w:ilvl w:val="0"/>
                <w:numId w:val="29"/>
              </w:numPr>
              <w:suppressAutoHyphens w:val="true"/>
              <w:spacing w:lineRule="auto" w:line="276" w:before="0" w:after="0"/>
              <w:ind w:hanging="121" w:left="426"/>
              <w:jc w:val="both"/>
              <w:rPr>
                <w:sz w:val="24"/>
                <w:szCs w:val="24"/>
              </w:rPr>
            </w:pPr>
            <w:r>
              <w:rPr>
                <w:rFonts w:eastAsia="Times New Roman" w:cs="Times New Roman"/>
                <w:kern w:val="0"/>
                <w:sz w:val="24"/>
                <w:szCs w:val="24"/>
                <w:lang w:val="ru-RU" w:eastAsia="ru-RU" w:bidi="ar-SA"/>
              </w:rPr>
              <w:t xml:space="preserve">Защита от разгона: </w:t>
            </w:r>
          </w:p>
          <w:p>
            <w:pPr>
              <w:pStyle w:val="Normal"/>
              <w:widowControl w:val="false"/>
              <w:numPr>
                <w:ilvl w:val="0"/>
                <w:numId w:val="30"/>
              </w:numPr>
              <w:suppressAutoHyphens w:val="true"/>
              <w:spacing w:lineRule="auto" w:line="276" w:before="0" w:after="0"/>
              <w:ind w:hanging="283" w:left="883"/>
              <w:jc w:val="both"/>
              <w:rPr>
                <w:sz w:val="24"/>
                <w:szCs w:val="24"/>
              </w:rPr>
            </w:pPr>
            <w:r>
              <w:rPr>
                <w:rFonts w:eastAsia="Times New Roman" w:cs="Times New Roman"/>
                <w:kern w:val="0"/>
                <w:sz w:val="24"/>
                <w:szCs w:val="24"/>
                <w:lang w:val="ru-RU" w:eastAsia="ru-RU" w:bidi="ar-SA"/>
              </w:rPr>
              <w:t xml:space="preserve">первая ступень - повышение частоты вращения до 115% при отсутствии смещения НА на закрытие </w:t>
            </w:r>
          </w:p>
          <w:p>
            <w:pPr>
              <w:pStyle w:val="Normal"/>
              <w:widowControl w:val="false"/>
              <w:numPr>
                <w:ilvl w:val="0"/>
                <w:numId w:val="30"/>
              </w:numPr>
              <w:suppressAutoHyphens w:val="true"/>
              <w:spacing w:lineRule="auto" w:line="276" w:before="0" w:after="0"/>
              <w:ind w:hanging="283" w:left="883"/>
              <w:jc w:val="both"/>
              <w:rPr>
                <w:sz w:val="24"/>
                <w:szCs w:val="24"/>
              </w:rPr>
            </w:pPr>
            <w:r>
              <w:rPr>
                <w:rFonts w:eastAsia="Times New Roman" w:cs="Times New Roman"/>
                <w:kern w:val="0"/>
                <w:sz w:val="24"/>
                <w:szCs w:val="24"/>
                <w:lang w:val="ru-RU" w:eastAsia="ru-RU" w:bidi="ar-SA"/>
              </w:rPr>
              <w:t>вторая ступень - повышение частоты до 150 %, без выдержки времени;</w:t>
            </w:r>
          </w:p>
          <w:p>
            <w:pPr>
              <w:pStyle w:val="Normal"/>
              <w:widowControl w:val="false"/>
              <w:numPr>
                <w:ilvl w:val="0"/>
                <w:numId w:val="30"/>
              </w:numPr>
              <w:suppressAutoHyphens w:val="true"/>
              <w:spacing w:lineRule="auto" w:line="276" w:before="0" w:after="0"/>
              <w:ind w:hanging="283" w:left="883"/>
              <w:jc w:val="both"/>
              <w:rPr>
                <w:sz w:val="24"/>
                <w:szCs w:val="24"/>
              </w:rPr>
            </w:pPr>
            <w:r>
              <w:rPr>
                <w:rFonts w:eastAsia="Times New Roman" w:cs="Times New Roman"/>
                <w:kern w:val="0"/>
                <w:sz w:val="24"/>
                <w:szCs w:val="24"/>
                <w:lang w:val="ru-RU" w:eastAsia="ru-RU" w:bidi="ar-SA"/>
              </w:rPr>
              <w:t>механическая центробежная защита от разгона гидроагрегата, действующая на закрытие аварийного затвора, действием на КАЗ, с уставкой срабатывания по частоте вращения, равной наибольшей допустимой производителем гидроагрегата частоте вращения (153 %).</w:t>
            </w:r>
          </w:p>
          <w:p>
            <w:pPr>
              <w:pStyle w:val="Normal"/>
              <w:widowControl w:val="false"/>
              <w:numPr>
                <w:ilvl w:val="0"/>
                <w:numId w:val="29"/>
              </w:numPr>
              <w:suppressAutoHyphens w:val="true"/>
              <w:spacing w:lineRule="auto" w:line="276" w:before="0" w:after="0"/>
              <w:ind w:hanging="121" w:left="426"/>
              <w:jc w:val="both"/>
              <w:rPr>
                <w:sz w:val="24"/>
                <w:szCs w:val="24"/>
              </w:rPr>
            </w:pPr>
            <w:r>
              <w:rPr>
                <w:rFonts w:eastAsia="Times New Roman" w:cs="Times New Roman"/>
                <w:kern w:val="0"/>
                <w:sz w:val="24"/>
                <w:szCs w:val="24"/>
                <w:lang w:val="ru-RU" w:eastAsia="ru-RU" w:bidi="ar-SA"/>
              </w:rPr>
              <w:t>Срез пальца НА</w:t>
            </w:r>
          </w:p>
          <w:p>
            <w:pPr>
              <w:pStyle w:val="Normal"/>
              <w:widowControl w:val="false"/>
              <w:numPr>
                <w:ilvl w:val="0"/>
                <w:numId w:val="29"/>
              </w:numPr>
              <w:suppressAutoHyphens w:val="true"/>
              <w:spacing w:lineRule="auto" w:line="276" w:before="0" w:after="0"/>
              <w:ind w:hanging="121" w:left="426"/>
              <w:jc w:val="both"/>
              <w:rPr>
                <w:sz w:val="24"/>
                <w:szCs w:val="24"/>
              </w:rPr>
            </w:pPr>
            <w:r>
              <w:rPr>
                <w:rFonts w:eastAsia="Times New Roman" w:cs="Times New Roman"/>
                <w:kern w:val="0"/>
                <w:sz w:val="24"/>
                <w:szCs w:val="24"/>
                <w:lang w:val="ru-RU" w:eastAsia="ru-RU" w:bidi="ar-SA"/>
              </w:rPr>
              <w:t>Неисправность системы регулирования (в т.ч. отсутствие питания оперативного постоянного тока. Необходимо предусмотреть закрытие направляющего аппарата при потере питания на колонке золотников)</w:t>
            </w:r>
          </w:p>
          <w:p>
            <w:pPr>
              <w:pStyle w:val="Normal"/>
              <w:widowControl w:val="false"/>
              <w:numPr>
                <w:ilvl w:val="0"/>
                <w:numId w:val="29"/>
              </w:numPr>
              <w:suppressAutoHyphens w:val="true"/>
              <w:spacing w:lineRule="auto" w:line="276" w:before="0" w:after="0"/>
              <w:ind w:hanging="283" w:left="588"/>
              <w:jc w:val="both"/>
              <w:rPr>
                <w:sz w:val="24"/>
                <w:szCs w:val="24"/>
              </w:rPr>
            </w:pPr>
            <w:r>
              <w:rPr>
                <w:rFonts w:eastAsia="Times New Roman" w:cs="Times New Roman"/>
                <w:kern w:val="0"/>
                <w:sz w:val="24"/>
                <w:szCs w:val="24"/>
                <w:lang w:val="ru-RU" w:eastAsia="ru-RU" w:bidi="ar-SA"/>
              </w:rPr>
              <w:t>Защита от самопроизвольного открытия направляющего аппарата без наличия команды «пуск», действием на КАЗ при выявлении открытия НА, превышающего заданную уставку.</w:t>
            </w:r>
          </w:p>
          <w:p>
            <w:pPr>
              <w:pStyle w:val="ListParagraph"/>
              <w:widowControl w:val="false"/>
              <w:numPr>
                <w:ilvl w:val="0"/>
                <w:numId w:val="29"/>
              </w:numPr>
              <w:shd w:val="clear" w:color="auto" w:fill="FFFFFF"/>
              <w:suppressAutoHyphens w:val="true"/>
              <w:spacing w:lineRule="auto" w:line="276" w:before="120" w:after="0"/>
              <w:contextualSpacing/>
              <w:jc w:val="both"/>
              <w:rPr>
                <w:rFonts w:ascii="Times New Roman" w:hAnsi="Times New Roman" w:cs="Times New Roman"/>
                <w:kern w:val="0"/>
                <w:lang w:val="ru-RU" w:eastAsia="ru-RU" w:bidi="ar-SA"/>
              </w:rPr>
            </w:pPr>
            <w:r>
              <w:rPr>
                <w:rFonts w:cs="Times New Roman"/>
                <w:kern w:val="0"/>
                <w:lang w:val="ru-RU" w:eastAsia="ru-RU" w:bidi="ar-SA"/>
              </w:rPr>
              <w:t>Пониженное давление в котле МНУ;</w:t>
            </w:r>
          </w:p>
          <w:p>
            <w:pPr>
              <w:pStyle w:val="ListParagraph"/>
              <w:widowControl w:val="false"/>
              <w:numPr>
                <w:ilvl w:val="0"/>
                <w:numId w:val="29"/>
              </w:numPr>
              <w:shd w:val="clear" w:color="auto" w:fill="FFFFFF"/>
              <w:suppressAutoHyphens w:val="true"/>
              <w:spacing w:lineRule="auto" w:line="276" w:before="120" w:after="0"/>
              <w:contextualSpacing/>
              <w:jc w:val="both"/>
              <w:rPr>
                <w:rFonts w:ascii="Times New Roman" w:hAnsi="Times New Roman" w:cs="Times New Roman"/>
                <w:kern w:val="0"/>
                <w:lang w:val="ru-RU" w:eastAsia="ru-RU" w:bidi="ar-SA"/>
              </w:rPr>
            </w:pPr>
            <w:r>
              <w:rPr>
                <w:rFonts w:cs="Times New Roman"/>
                <w:kern w:val="0"/>
                <w:lang w:val="ru-RU" w:eastAsia="ru-RU" w:bidi="ar-SA"/>
              </w:rPr>
              <w:t>Низкий уровень масла в котле МНУ;</w:t>
            </w:r>
          </w:p>
          <w:p>
            <w:pPr>
              <w:pStyle w:val="ListParagraph"/>
              <w:widowControl w:val="false"/>
              <w:numPr>
                <w:ilvl w:val="0"/>
                <w:numId w:val="29"/>
              </w:numPr>
              <w:shd w:val="clear" w:color="auto" w:fill="FFFFFF"/>
              <w:suppressAutoHyphens w:val="true"/>
              <w:spacing w:lineRule="auto" w:line="276" w:before="120" w:after="0"/>
              <w:contextualSpacing/>
              <w:jc w:val="both"/>
              <w:rPr>
                <w:rFonts w:ascii="Times New Roman" w:hAnsi="Times New Roman" w:cs="Times New Roman"/>
                <w:kern w:val="0"/>
                <w:lang w:val="ru-RU" w:eastAsia="ru-RU" w:bidi="ar-SA"/>
              </w:rPr>
            </w:pPr>
            <w:r>
              <w:rPr>
                <w:rFonts w:cs="Times New Roman"/>
                <w:kern w:val="0"/>
                <w:lang w:val="ru-RU" w:eastAsia="ru-RU" w:bidi="ar-SA"/>
              </w:rPr>
              <w:t>Повышение уровня масла в лекажном баке (предупредительная сигнализация);</w:t>
            </w:r>
          </w:p>
          <w:p>
            <w:pPr>
              <w:pStyle w:val="ListParagraph"/>
              <w:widowControl w:val="false"/>
              <w:numPr>
                <w:ilvl w:val="0"/>
                <w:numId w:val="29"/>
              </w:numPr>
              <w:shd w:val="clear" w:color="auto" w:fill="FFFFFF"/>
              <w:suppressAutoHyphens w:val="true"/>
              <w:spacing w:lineRule="auto" w:line="276" w:before="120" w:after="0"/>
              <w:contextualSpacing/>
              <w:jc w:val="both"/>
              <w:rPr>
                <w:rFonts w:ascii="Times New Roman" w:hAnsi="Times New Roman" w:cs="Times New Roman"/>
                <w:kern w:val="0"/>
                <w:lang w:val="ru-RU" w:eastAsia="ru-RU" w:bidi="ar-SA"/>
              </w:rPr>
            </w:pPr>
            <w:r>
              <w:rPr>
                <w:rFonts w:cs="Times New Roman"/>
                <w:kern w:val="0"/>
                <w:lang w:val="ru-RU" w:eastAsia="ru-RU" w:bidi="ar-SA"/>
              </w:rPr>
              <w:t>Повышение уровня воды на крышке турбины (предупредительная сигнализация);</w:t>
            </w:r>
          </w:p>
          <w:p>
            <w:pPr>
              <w:pStyle w:val="ListParagraph"/>
              <w:widowControl w:val="false"/>
              <w:numPr>
                <w:ilvl w:val="0"/>
                <w:numId w:val="29"/>
              </w:numPr>
              <w:shd w:val="clear" w:color="auto" w:fill="FFFFFF"/>
              <w:suppressAutoHyphens w:val="true"/>
              <w:spacing w:lineRule="auto" w:line="276" w:before="120" w:after="0"/>
              <w:contextualSpacing/>
              <w:jc w:val="both"/>
              <w:rPr>
                <w:rFonts w:ascii="Times New Roman" w:hAnsi="Times New Roman" w:cs="Times New Roman"/>
                <w:kern w:val="0"/>
                <w:lang w:val="ru-RU" w:eastAsia="ru-RU" w:bidi="ar-SA"/>
              </w:rPr>
            </w:pPr>
            <w:r>
              <w:rPr>
                <w:rFonts w:cs="Times New Roman"/>
                <w:kern w:val="0"/>
                <w:lang w:val="ru-RU" w:eastAsia="ru-RU" w:bidi="ar-SA"/>
              </w:rPr>
              <w:t>Отказ включения основного и/или резервного насоса МНУ;</w:t>
            </w:r>
          </w:p>
          <w:p>
            <w:pPr>
              <w:pStyle w:val="ListParagraph"/>
              <w:widowControl w:val="false"/>
              <w:numPr>
                <w:ilvl w:val="0"/>
                <w:numId w:val="29"/>
              </w:numPr>
              <w:shd w:val="clear" w:color="auto" w:fill="FFFFFF"/>
              <w:suppressAutoHyphens w:val="true"/>
              <w:spacing w:lineRule="auto" w:line="276" w:before="120" w:after="0"/>
              <w:contextualSpacing/>
              <w:jc w:val="both"/>
              <w:rPr>
                <w:rFonts w:ascii="Times New Roman" w:hAnsi="Times New Roman" w:cs="Times New Roman"/>
                <w:kern w:val="0"/>
                <w:lang w:val="ru-RU" w:eastAsia="ru-RU" w:bidi="ar-SA"/>
              </w:rPr>
            </w:pPr>
            <w:r>
              <w:rPr>
                <w:rFonts w:cs="Times New Roman"/>
                <w:kern w:val="0"/>
                <w:lang w:val="ru-RU" w:eastAsia="ru-RU" w:bidi="ar-SA"/>
              </w:rPr>
              <w:t>Понижение давление воздуха в системе торможения (предупредительная сигнализация);</w:t>
            </w:r>
          </w:p>
          <w:p>
            <w:pPr>
              <w:pStyle w:val="Normal"/>
              <w:widowControl w:val="false"/>
              <w:numPr>
                <w:ilvl w:val="0"/>
                <w:numId w:val="29"/>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Понижение давления в воздухосборнике ВД (предупредительная сигнализация).</w:t>
            </w:r>
          </w:p>
          <w:p>
            <w:pPr>
              <w:pStyle w:val="Normal"/>
              <w:widowControl w:val="false"/>
              <w:suppressAutoHyphens w:val="true"/>
              <w:spacing w:lineRule="auto" w:line="276" w:before="0" w:after="0"/>
              <w:jc w:val="both"/>
              <w:rPr>
                <w:sz w:val="24"/>
                <w:szCs w:val="24"/>
                <w:highlight w:val="yellow"/>
              </w:rPr>
            </w:pPr>
            <w:r>
              <w:rPr>
                <w:sz w:val="24"/>
                <w:szCs w:val="24"/>
                <w:highlight w:val="yellow"/>
              </w:rPr>
            </w:r>
          </w:p>
          <w:p>
            <w:pPr>
              <w:pStyle w:val="Normal"/>
              <w:widowControl w:val="false"/>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В качестве источников информации для САУ ГА используются различные датчики информации – измерительные преобразователи электрических величин, датчики давления, датчики уровня, датчики перемещения, имеющие унифицированные токовые выходы и выходы напряжения, а также термопреобразователи сопротивлений, акселерометры, датчики приближения и др., подключаемые к устройствам обработки физическими цепями (посредством контрольных кабелей или кабелей управления).</w:t>
            </w:r>
          </w:p>
          <w:p>
            <w:pPr>
              <w:pStyle w:val="Normal"/>
              <w:widowControl w:val="false"/>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Вышеперечисленные датчики поставляются комплектно с основным технологическим оборудованием (гидротурбиной, гидрогенератором, маслонапорной установкой и др.). Также в комплект поставки входят датчики виброконтроля с элементами крепления.</w:t>
            </w:r>
          </w:p>
          <w:p>
            <w:pPr>
              <w:pStyle w:val="Normal"/>
              <w:widowControl w:val="false"/>
              <w:suppressAutoHyphens w:val="true"/>
              <w:spacing w:lineRule="auto" w:line="276" w:before="0" w:after="0"/>
              <w:jc w:val="both"/>
              <w:rPr>
                <w:sz w:val="24"/>
                <w:szCs w:val="24"/>
                <w:highlight w:val="yellow"/>
              </w:rPr>
            </w:pPr>
            <w:r>
              <w:rPr>
                <w:sz w:val="24"/>
                <w:szCs w:val="24"/>
                <w:highlight w:val="yellow"/>
              </w:rPr>
            </w:r>
          </w:p>
          <w:p>
            <w:pPr>
              <w:pStyle w:val="Normal"/>
              <w:widowControl w:val="false"/>
              <w:suppressAutoHyphens w:val="true"/>
              <w:spacing w:lineRule="auto" w:line="276" w:before="0" w:after="0"/>
              <w:jc w:val="both"/>
              <w:rPr>
                <w:sz w:val="24"/>
                <w:szCs w:val="24"/>
                <w:highlight w:val="yellow"/>
              </w:rPr>
            </w:pPr>
            <w:r>
              <w:rPr>
                <w:sz w:val="24"/>
                <w:szCs w:val="24"/>
                <w:highlight w:val="yellow"/>
              </w:rPr>
            </w:r>
          </w:p>
          <w:p>
            <w:pPr>
              <w:pStyle w:val="Normal"/>
              <w:widowControl w:val="false"/>
              <w:suppressAutoHyphens w:val="true"/>
              <w:spacing w:lineRule="auto" w:line="276" w:before="0" w:after="0"/>
              <w:jc w:val="both"/>
              <w:rPr>
                <w:sz w:val="24"/>
                <w:szCs w:val="24"/>
                <w:highlight w:val="yellow"/>
              </w:rPr>
            </w:pPr>
            <w:r>
              <w:rPr>
                <w:sz w:val="24"/>
                <w:szCs w:val="24"/>
                <w:highlight w:val="yellow"/>
              </w:rPr>
            </w:r>
          </w:p>
          <w:p>
            <w:pPr>
              <w:pStyle w:val="Normal"/>
              <w:widowControl w:val="false"/>
              <w:suppressAutoHyphens w:val="true"/>
              <w:spacing w:lineRule="auto" w:line="276" w:before="0" w:after="0"/>
              <w:jc w:val="both"/>
              <w:rPr>
                <w:sz w:val="24"/>
                <w:szCs w:val="24"/>
                <w:highlight w:val="yellow"/>
              </w:rPr>
            </w:pPr>
            <w:r>
              <w:rPr>
                <w:sz w:val="24"/>
                <w:szCs w:val="24"/>
                <w:highlight w:val="yellow"/>
              </w:rPr>
            </w:r>
          </w:p>
          <w:p>
            <w:pPr>
              <w:pStyle w:val="Normal"/>
              <w:widowControl w:val="false"/>
              <w:suppressAutoHyphens w:val="true"/>
              <w:spacing w:lineRule="auto" w:line="276" w:before="0" w:after="0"/>
              <w:jc w:val="both"/>
              <w:rPr>
                <w:b/>
                <w:sz w:val="24"/>
                <w:szCs w:val="24"/>
                <w:u w:val="single"/>
              </w:rPr>
            </w:pPr>
            <w:r>
              <w:rPr>
                <w:rFonts w:eastAsia="Times New Roman" w:cs="Times New Roman"/>
                <w:b/>
                <w:kern w:val="0"/>
                <w:sz w:val="24"/>
                <w:szCs w:val="24"/>
                <w:u w:val="single"/>
                <w:lang w:val="ru-RU" w:eastAsia="ru-RU" w:bidi="ar-SA"/>
              </w:rPr>
              <w:t>Требования к управлению вспомогательным оборудованием гидроагрегата</w:t>
            </w:r>
          </w:p>
          <w:p>
            <w:pPr>
              <w:pStyle w:val="Normal"/>
              <w:widowControl w:val="false"/>
              <w:shd w:val="clear" w:color="auto" w:fill="FFFFFF"/>
              <w:suppressAutoHyphens w:val="true"/>
              <w:spacing w:lineRule="auto" w:line="276" w:before="0" w:after="0"/>
              <w:ind w:firstLine="851"/>
              <w:jc w:val="both"/>
              <w:rPr>
                <w:color w:val="000000"/>
                <w:sz w:val="24"/>
                <w:szCs w:val="24"/>
              </w:rPr>
            </w:pPr>
            <w:r>
              <w:rPr>
                <w:rFonts w:eastAsia="Times New Roman" w:cs="Times New Roman"/>
                <w:color w:val="000000"/>
                <w:kern w:val="0"/>
                <w:sz w:val="24"/>
                <w:szCs w:val="24"/>
                <w:lang w:val="ru-RU" w:eastAsia="ru-RU" w:bidi="ar-SA"/>
              </w:rPr>
              <w:t xml:space="preserve">В нормальном режиме эксплуатации функции контроля параметров (уровня, давления, температуры, состояния исполнительных механизмов) и автоматического программного управления исполнительными механизмами ВО должны выполняться средствами ТАиУВО </w:t>
            </w:r>
          </w:p>
          <w:p>
            <w:pPr>
              <w:pStyle w:val="Normal"/>
              <w:widowControl w:val="false"/>
              <w:shd w:val="clear" w:color="auto" w:fill="FFFFFF"/>
              <w:suppressAutoHyphens w:val="true"/>
              <w:spacing w:lineRule="auto" w:line="276" w:before="0" w:after="0"/>
              <w:ind w:firstLine="851"/>
              <w:jc w:val="both"/>
              <w:rPr>
                <w:color w:val="000000"/>
                <w:sz w:val="24"/>
                <w:szCs w:val="24"/>
              </w:rPr>
            </w:pPr>
            <w:r>
              <w:rPr>
                <w:rFonts w:eastAsia="Times New Roman" w:cs="Times New Roman"/>
                <w:color w:val="000000"/>
                <w:kern w:val="0"/>
                <w:sz w:val="24"/>
                <w:szCs w:val="24"/>
                <w:lang w:val="ru-RU" w:eastAsia="ru-RU" w:bidi="ar-SA"/>
              </w:rPr>
              <w:t xml:space="preserve">ТАиУВО должна представлять на АРМ (операторской панели) необходимую информацию о состоянии, режиме и параметрах работы, неисправностях ВО. Органы управления ВО на панели ТАиУВО и АРМ оперативного персонала должны обеспечивать ввод-вывод оборудования, переключение «работа-резерв», </w:t>
            </w:r>
            <w:r>
              <w:rPr>
                <w:rFonts w:eastAsia="Times New Roman" w:cs="Times New Roman"/>
                <w:kern w:val="0"/>
                <w:sz w:val="24"/>
                <w:szCs w:val="24"/>
                <w:lang w:val="ru-RU" w:eastAsia="ru-RU" w:bidi="ar-SA"/>
              </w:rPr>
              <w:t>ручное дистанционное управление вспомогательного оборудования</w:t>
            </w:r>
            <w:r>
              <w:rPr>
                <w:rFonts w:eastAsia="Times New Roman" w:cs="Times New Roman"/>
                <w:color w:val="000000"/>
                <w:kern w:val="0"/>
                <w:sz w:val="24"/>
                <w:szCs w:val="24"/>
                <w:lang w:val="ru-RU" w:eastAsia="ru-RU" w:bidi="ar-SA"/>
              </w:rPr>
              <w:t>.</w:t>
            </w:r>
          </w:p>
          <w:p>
            <w:pPr>
              <w:pStyle w:val="Normal"/>
              <w:widowControl w:val="false"/>
              <w:suppressAutoHyphens w:val="true"/>
              <w:spacing w:lineRule="auto" w:line="276" w:before="120" w:after="0"/>
              <w:ind w:firstLine="709"/>
              <w:jc w:val="both"/>
              <w:rPr>
                <w:color w:val="000000"/>
                <w:sz w:val="24"/>
                <w:szCs w:val="24"/>
              </w:rPr>
            </w:pPr>
            <w:r>
              <w:rPr>
                <w:rFonts w:eastAsia="Times New Roman" w:cs="Times New Roman"/>
                <w:color w:val="000000"/>
                <w:kern w:val="0"/>
                <w:sz w:val="24"/>
                <w:szCs w:val="24"/>
                <w:lang w:val="ru-RU" w:eastAsia="ru-RU" w:bidi="ar-SA"/>
              </w:rPr>
              <w:t xml:space="preserve">Вывод оборудования из работы, перевод с автоматического на ручное местное управление должен выполняться ключом «отключено-автоматическое-ручное» на местном щите управления. Положение ключа должно контролироваться средствами ТАиУВО и индицироваться на АРМ оперативного персонала. </w:t>
            </w:r>
          </w:p>
          <w:p>
            <w:pPr>
              <w:pStyle w:val="Normal"/>
              <w:widowControl w:val="false"/>
              <w:suppressAutoHyphens w:val="true"/>
              <w:spacing w:lineRule="auto" w:line="276" w:before="120" w:after="0"/>
              <w:ind w:firstLine="709"/>
              <w:jc w:val="both"/>
              <w:rPr>
                <w:sz w:val="24"/>
                <w:szCs w:val="24"/>
              </w:rPr>
            </w:pPr>
            <w:r>
              <w:rPr>
                <w:rFonts w:eastAsia="Times New Roman" w:cs="Times New Roman"/>
                <w:color w:val="000000"/>
                <w:kern w:val="0"/>
                <w:sz w:val="24"/>
                <w:szCs w:val="24"/>
                <w:lang w:val="ru-RU" w:eastAsia="ru-RU" w:bidi="ar-SA"/>
              </w:rPr>
              <w:t>Вывод оборудования из работы, перевод на ручное управление, неисправность системы управления, неисправность привода должны сопровождаться предупредительным сообщением.</w:t>
            </w:r>
            <w:r>
              <w:rPr>
                <w:rFonts w:eastAsia="Times New Roman" w:cs="Times New Roman"/>
                <w:kern w:val="0"/>
                <w:sz w:val="24"/>
                <w:szCs w:val="24"/>
                <w:lang w:val="ru-RU" w:eastAsia="ru-RU" w:bidi="ar-SA"/>
              </w:rPr>
              <w:t xml:space="preserve"> </w:t>
            </w:r>
          </w:p>
          <w:p>
            <w:pPr>
              <w:pStyle w:val="Normal"/>
              <w:keepNext w:val="true"/>
              <w:widowControl w:val="false"/>
              <w:numPr>
                <w:ilvl w:val="0"/>
                <w:numId w:val="0"/>
              </w:numPr>
              <w:suppressAutoHyphens w:val="true"/>
              <w:spacing w:lineRule="auto" w:line="276" w:before="120" w:after="120"/>
              <w:ind w:hanging="0" w:left="0" w:right="-6"/>
              <w:jc w:val="both"/>
              <w:outlineLvl w:val="2"/>
              <w:rPr>
                <w:sz w:val="24"/>
                <w:szCs w:val="24"/>
                <w:u w:val="single"/>
              </w:rPr>
            </w:pPr>
            <w:r>
              <w:rPr>
                <w:rFonts w:eastAsia="Times New Roman" w:cs="Times New Roman"/>
                <w:kern w:val="0"/>
                <w:sz w:val="24"/>
                <w:szCs w:val="24"/>
                <w:u w:val="single"/>
                <w:lang w:val="ru-RU" w:eastAsia="ru-RU" w:bidi="ar-SA"/>
              </w:rPr>
              <w:tab/>
              <w:t>Требования к управлению приводами ВО</w:t>
            </w:r>
          </w:p>
          <w:p>
            <w:pPr>
              <w:pStyle w:val="Normal"/>
              <w:widowControl w:val="false"/>
              <w:suppressAutoHyphens w:val="true"/>
              <w:spacing w:lineRule="auto" w:line="276" w:before="120" w:after="0"/>
              <w:jc w:val="both"/>
              <w:rPr>
                <w:color w:val="000000"/>
                <w:sz w:val="24"/>
                <w:szCs w:val="24"/>
              </w:rPr>
            </w:pPr>
            <w:r>
              <w:rPr>
                <w:rFonts w:eastAsia="Times New Roman" w:cs="Times New Roman"/>
                <w:color w:val="000000"/>
                <w:kern w:val="0"/>
                <w:sz w:val="24"/>
                <w:szCs w:val="24"/>
                <w:lang w:val="ru-RU" w:eastAsia="ru-RU" w:bidi="ar-SA"/>
              </w:rPr>
              <w:t>ТАиУВО и отдельные системы управления ВО должны обеспечивать:</w:t>
            </w:r>
          </w:p>
          <w:p>
            <w:pPr>
              <w:pStyle w:val="Normal"/>
              <w:widowControl w:val="false"/>
              <w:numPr>
                <w:ilvl w:val="0"/>
                <w:numId w:val="33"/>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Технологические защиты насосов, двигателей электроприводов;</w:t>
            </w:r>
          </w:p>
          <w:p>
            <w:pPr>
              <w:pStyle w:val="Normal"/>
              <w:widowControl w:val="false"/>
              <w:numPr>
                <w:ilvl w:val="0"/>
                <w:numId w:val="33"/>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Регистрацию параметров работы двигателей (ток нагрузки);</w:t>
            </w:r>
          </w:p>
          <w:p>
            <w:pPr>
              <w:pStyle w:val="Normal"/>
              <w:widowControl w:val="false"/>
              <w:numPr>
                <w:ilvl w:val="0"/>
                <w:numId w:val="33"/>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Регистрацию времени работы (моточасов, моментов пуска, останова);</w:t>
            </w:r>
          </w:p>
          <w:p>
            <w:pPr>
              <w:pStyle w:val="Normal"/>
              <w:widowControl w:val="false"/>
              <w:numPr>
                <w:ilvl w:val="0"/>
                <w:numId w:val="33"/>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Контроль исправности привода;</w:t>
            </w:r>
          </w:p>
          <w:p>
            <w:pPr>
              <w:pStyle w:val="Normal"/>
              <w:widowControl w:val="false"/>
              <w:numPr>
                <w:ilvl w:val="0"/>
                <w:numId w:val="33"/>
              </w:numPr>
              <w:suppressAutoHyphens w:val="true"/>
              <w:spacing w:lineRule="auto" w:line="276" w:before="0" w:after="0"/>
              <w:jc w:val="both"/>
              <w:rPr>
                <w:sz w:val="24"/>
                <w:szCs w:val="24"/>
              </w:rPr>
            </w:pPr>
            <w:r>
              <w:rPr>
                <w:rFonts w:eastAsia="Times New Roman" w:cs="Times New Roman"/>
                <w:kern w:val="0"/>
                <w:sz w:val="24"/>
                <w:szCs w:val="24"/>
                <w:lang w:val="ru-RU" w:eastAsia="ru-RU" w:bidi="ar-SA"/>
              </w:rPr>
              <w:t>Контроль отсутствие параметров электропитания (наличие напряжения, чередование фаз).</w:t>
            </w:r>
          </w:p>
          <w:p>
            <w:pPr>
              <w:pStyle w:val="Normal"/>
              <w:keepNext w:val="true"/>
              <w:widowControl w:val="false"/>
              <w:numPr>
                <w:ilvl w:val="0"/>
                <w:numId w:val="0"/>
              </w:numPr>
              <w:tabs>
                <w:tab w:val="clear" w:pos="708"/>
                <w:tab w:val="left" w:pos="864" w:leader="none"/>
              </w:tabs>
              <w:suppressAutoHyphens w:val="true"/>
              <w:spacing w:lineRule="auto" w:line="276" w:before="120" w:after="120"/>
              <w:ind w:hanging="864" w:left="864"/>
              <w:jc w:val="both"/>
              <w:outlineLvl w:val="3"/>
              <w:rPr>
                <w:bCs/>
                <w:sz w:val="24"/>
                <w:szCs w:val="24"/>
                <w:u w:val="single"/>
              </w:rPr>
            </w:pPr>
            <w:r>
              <w:rPr>
                <w:rFonts w:eastAsia="Times New Roman" w:cs="Times New Roman"/>
                <w:b/>
                <w:kern w:val="0"/>
                <w:sz w:val="24"/>
                <w:szCs w:val="24"/>
                <w:lang w:val="ru-RU" w:eastAsia="ru-RU" w:bidi="ar-SA"/>
              </w:rPr>
              <w:tab/>
            </w:r>
            <w:r>
              <w:rPr>
                <w:rFonts w:eastAsia="Times New Roman" w:cs="Times New Roman"/>
                <w:kern w:val="0"/>
                <w:sz w:val="24"/>
                <w:szCs w:val="24"/>
                <w:u w:val="single"/>
                <w:lang w:val="ru-RU" w:eastAsia="ru-RU" w:bidi="ar-SA"/>
              </w:rPr>
              <w:t>Управление задвижками подачи воды</w:t>
            </w:r>
          </w:p>
          <w:p>
            <w:pPr>
              <w:pStyle w:val="Normal"/>
              <w:widowControl w:val="false"/>
              <w:shd w:val="clear" w:color="auto" w:fill="FFFFFF"/>
              <w:suppressAutoHyphens w:val="true"/>
              <w:spacing w:lineRule="auto" w:line="276" w:before="0" w:after="0"/>
              <w:ind w:firstLine="709"/>
              <w:jc w:val="both"/>
              <w:rPr>
                <w:color w:val="000000"/>
                <w:sz w:val="24"/>
                <w:szCs w:val="24"/>
              </w:rPr>
            </w:pPr>
            <w:r>
              <w:rPr>
                <w:rFonts w:eastAsia="Times New Roman" w:cs="Times New Roman"/>
                <w:color w:val="000000"/>
                <w:kern w:val="0"/>
                <w:sz w:val="24"/>
                <w:szCs w:val="24"/>
                <w:lang w:val="ru-RU" w:eastAsia="ru-RU" w:bidi="ar-SA"/>
              </w:rPr>
              <w:t>ТАиУВО должна обеспечивать при пуске г/а автоматическое открытие задвижек воды на:</w:t>
            </w:r>
          </w:p>
          <w:p>
            <w:pPr>
              <w:pStyle w:val="Normal"/>
              <w:widowControl w:val="false"/>
              <w:numPr>
                <w:ilvl w:val="0"/>
                <w:numId w:val="34"/>
              </w:numPr>
              <w:shd w:val="clear" w:color="auto" w:fill="FFFFFF"/>
              <w:suppressAutoHyphens w:val="true"/>
              <w:spacing w:lineRule="auto" w:line="276" w:before="0" w:after="0"/>
              <w:jc w:val="both"/>
              <w:rPr>
                <w:color w:val="000000"/>
                <w:sz w:val="24"/>
                <w:szCs w:val="24"/>
              </w:rPr>
            </w:pPr>
            <w:r>
              <w:rPr>
                <w:rFonts w:eastAsia="Times New Roman" w:cs="Times New Roman"/>
                <w:color w:val="000000"/>
                <w:kern w:val="0"/>
                <w:sz w:val="24"/>
                <w:szCs w:val="24"/>
                <w:lang w:val="ru-RU" w:eastAsia="ru-RU" w:bidi="ar-SA"/>
              </w:rPr>
              <w:t>ох</w:t>
              <w:softHyphen/>
              <w:t>лаждение генератора</w:t>
            </w:r>
          </w:p>
          <w:p>
            <w:pPr>
              <w:pStyle w:val="Normal"/>
              <w:widowControl w:val="false"/>
              <w:numPr>
                <w:ilvl w:val="0"/>
                <w:numId w:val="34"/>
              </w:numPr>
              <w:shd w:val="clear" w:color="auto" w:fill="FFFFFF"/>
              <w:suppressAutoHyphens w:val="true"/>
              <w:spacing w:lineRule="auto" w:line="276" w:before="0" w:after="0"/>
              <w:jc w:val="both"/>
              <w:rPr>
                <w:color w:val="000000"/>
                <w:sz w:val="24"/>
                <w:szCs w:val="24"/>
              </w:rPr>
            </w:pPr>
            <w:r>
              <w:rPr>
                <w:rFonts w:eastAsia="Times New Roman" w:cs="Times New Roman"/>
                <w:color w:val="000000"/>
                <w:kern w:val="0"/>
                <w:sz w:val="24"/>
                <w:szCs w:val="24"/>
                <w:lang w:val="ru-RU" w:eastAsia="ru-RU" w:bidi="ar-SA"/>
              </w:rPr>
              <w:t>охлаждение масла в ваннах подшипников</w:t>
            </w:r>
          </w:p>
          <w:p>
            <w:pPr>
              <w:pStyle w:val="Normal"/>
              <w:widowControl w:val="false"/>
              <w:numPr>
                <w:ilvl w:val="0"/>
                <w:numId w:val="34"/>
              </w:numPr>
              <w:shd w:val="clear" w:color="auto" w:fill="FFFFFF"/>
              <w:suppressAutoHyphens w:val="true"/>
              <w:spacing w:lineRule="auto" w:line="276" w:before="0" w:after="0"/>
              <w:jc w:val="both"/>
              <w:rPr>
                <w:color w:val="000000"/>
                <w:sz w:val="24"/>
                <w:szCs w:val="24"/>
              </w:rPr>
            </w:pPr>
            <w:r>
              <w:rPr>
                <w:rFonts w:eastAsia="Times New Roman" w:cs="Times New Roman"/>
                <w:color w:val="000000"/>
                <w:kern w:val="0"/>
                <w:sz w:val="24"/>
                <w:szCs w:val="24"/>
                <w:lang w:val="ru-RU" w:eastAsia="ru-RU" w:bidi="ar-SA"/>
              </w:rPr>
              <w:t>уплотнение вала</w:t>
            </w:r>
          </w:p>
          <w:p>
            <w:pPr>
              <w:pStyle w:val="Normal"/>
              <w:widowControl w:val="false"/>
              <w:shd w:val="clear" w:color="auto" w:fill="FFFFFF"/>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Закрытие задвижек должно происходить после остановки вращения г/а.</w:t>
            </w:r>
          </w:p>
          <w:p>
            <w:pPr>
              <w:pStyle w:val="Normal"/>
              <w:widowControl w:val="false"/>
              <w:shd w:val="clear" w:color="auto" w:fill="FFFFFF"/>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ТАиУВО должна контролировать и отображать давление и расход воды в каждой магистрали, выдавать предупредительные сигналы при их снижении.</w:t>
            </w:r>
          </w:p>
          <w:p>
            <w:pPr>
              <w:pStyle w:val="Normal"/>
              <w:widowControl w:val="false"/>
              <w:shd w:val="clear" w:color="auto" w:fill="FFFFFF"/>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Приведение параметров воды к требуемым (фильтрация, осветление) должны выполняться соответствующими станционными системами.</w:t>
            </w:r>
          </w:p>
          <w:p>
            <w:pPr>
              <w:pStyle w:val="Normal"/>
              <w:keepNext w:val="true"/>
              <w:widowControl w:val="false"/>
              <w:numPr>
                <w:ilvl w:val="0"/>
                <w:numId w:val="0"/>
              </w:numPr>
              <w:tabs>
                <w:tab w:val="clear" w:pos="708"/>
                <w:tab w:val="left" w:pos="993" w:leader="none"/>
                <w:tab w:val="left" w:pos="9923" w:leader="none"/>
              </w:tabs>
              <w:suppressAutoHyphens w:val="true"/>
              <w:spacing w:lineRule="auto" w:line="276" w:before="120" w:after="120"/>
              <w:ind w:firstLine="851" w:left="0" w:right="-6"/>
              <w:jc w:val="both"/>
              <w:outlineLvl w:val="2"/>
              <w:rPr>
                <w:sz w:val="24"/>
                <w:szCs w:val="24"/>
                <w:u w:val="single"/>
              </w:rPr>
            </w:pPr>
            <w:r>
              <w:rPr>
                <w:rFonts w:eastAsia="Times New Roman" w:cs="Times New Roman"/>
                <w:kern w:val="0"/>
                <w:sz w:val="24"/>
                <w:szCs w:val="24"/>
                <w:u w:val="single"/>
                <w:lang w:val="ru-RU" w:eastAsia="ru-RU" w:bidi="ar-SA"/>
              </w:rPr>
              <w:t>Управление клапаном торможения</w:t>
            </w:r>
          </w:p>
          <w:p>
            <w:pPr>
              <w:pStyle w:val="Normal"/>
              <w:widowControl w:val="false"/>
              <w:shd w:val="clear" w:color="auto" w:fill="FFFFFF"/>
              <w:suppressAutoHyphens w:val="true"/>
              <w:spacing w:lineRule="auto" w:line="276" w:before="0" w:after="0"/>
              <w:ind w:firstLine="709"/>
              <w:jc w:val="both"/>
              <w:rPr>
                <w:color w:val="000000"/>
                <w:sz w:val="24"/>
                <w:szCs w:val="24"/>
              </w:rPr>
            </w:pPr>
            <w:r>
              <w:rPr>
                <w:rFonts w:eastAsia="Times New Roman" w:cs="Times New Roman"/>
                <w:color w:val="000000"/>
                <w:kern w:val="0"/>
                <w:sz w:val="24"/>
                <w:szCs w:val="24"/>
                <w:lang w:val="ru-RU" w:eastAsia="ru-RU" w:bidi="ar-SA"/>
              </w:rPr>
              <w:t>ТАиУВО должна обеспечивать автоматическое управление клапаном торможения ГА при останове г/а.</w:t>
            </w:r>
          </w:p>
          <w:p>
            <w:pPr>
              <w:pStyle w:val="Normal"/>
              <w:widowControl w:val="false"/>
              <w:shd w:val="clear" w:color="auto" w:fill="FFFFFF"/>
              <w:suppressAutoHyphens w:val="true"/>
              <w:spacing w:lineRule="auto" w:line="276" w:before="0" w:after="0"/>
              <w:ind w:firstLine="709"/>
              <w:jc w:val="both"/>
              <w:rPr>
                <w:color w:val="000000"/>
                <w:sz w:val="24"/>
                <w:szCs w:val="24"/>
              </w:rPr>
            </w:pPr>
            <w:r>
              <w:rPr>
                <w:rFonts w:eastAsia="Times New Roman" w:cs="Times New Roman"/>
                <w:kern w:val="0"/>
                <w:sz w:val="24"/>
                <w:szCs w:val="24"/>
                <w:lang w:val="ru-RU" w:eastAsia="ru-RU" w:bidi="ar-SA"/>
              </w:rPr>
              <w:t>Предусмотреть возможность вывода управления торможением при останове г/а (перевод на электрическое торможение).</w:t>
            </w:r>
            <w:r>
              <w:rPr>
                <w:rFonts w:eastAsia="Times New Roman" w:cs="Times New Roman"/>
                <w:color w:val="000000"/>
                <w:kern w:val="0"/>
                <w:sz w:val="24"/>
                <w:szCs w:val="24"/>
                <w:lang w:val="ru-RU" w:eastAsia="ru-RU" w:bidi="ar-SA"/>
              </w:rPr>
              <w:t xml:space="preserve"> </w:t>
            </w:r>
          </w:p>
          <w:p>
            <w:pPr>
              <w:pStyle w:val="Normal"/>
              <w:widowControl w:val="false"/>
              <w:shd w:val="clear" w:color="auto" w:fill="FFFFFF"/>
              <w:suppressAutoHyphens w:val="true"/>
              <w:spacing w:lineRule="auto" w:line="276" w:before="0" w:after="0"/>
              <w:ind w:firstLine="709"/>
              <w:jc w:val="both"/>
              <w:rPr>
                <w:color w:val="000000"/>
                <w:sz w:val="24"/>
                <w:szCs w:val="24"/>
              </w:rPr>
            </w:pPr>
            <w:r>
              <w:rPr>
                <w:rFonts w:eastAsia="Times New Roman" w:cs="Times New Roman"/>
                <w:color w:val="000000"/>
                <w:kern w:val="0"/>
                <w:sz w:val="24"/>
                <w:szCs w:val="24"/>
                <w:lang w:val="ru-RU" w:eastAsia="ru-RU" w:bidi="ar-SA"/>
              </w:rPr>
              <w:t>В зависимости от требования производителя гидротурбины могут быть предусмотрены разные уставки включения торможения при нормальном и аварийном останове.</w:t>
            </w:r>
          </w:p>
          <w:p>
            <w:pPr>
              <w:pStyle w:val="Normal"/>
              <w:widowControl w:val="false"/>
              <w:shd w:val="clear" w:color="auto" w:fill="FFFFFF"/>
              <w:suppressAutoHyphens w:val="true"/>
              <w:spacing w:lineRule="auto" w:line="276" w:before="0" w:after="0"/>
              <w:ind w:firstLine="709"/>
              <w:jc w:val="both"/>
              <w:rPr>
                <w:color w:val="000000"/>
                <w:sz w:val="24"/>
                <w:szCs w:val="24"/>
              </w:rPr>
            </w:pPr>
            <w:r>
              <w:rPr>
                <w:rFonts w:eastAsia="Times New Roman" w:cs="Times New Roman"/>
                <w:color w:val="000000"/>
                <w:kern w:val="0"/>
                <w:sz w:val="24"/>
                <w:szCs w:val="24"/>
                <w:lang w:val="ru-RU" w:eastAsia="ru-RU" w:bidi="ar-SA"/>
              </w:rPr>
              <w:t>Отключение торможения должно производиться после полной остановки ГА, при необходимости дополнительно может быть предусмотрена выдержка времени на отключение.</w:t>
            </w:r>
          </w:p>
          <w:p>
            <w:pPr>
              <w:pStyle w:val="Normal"/>
              <w:widowControl w:val="false"/>
              <w:shd w:val="clear" w:color="auto" w:fill="FFFFFF"/>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САУ ГА должна контролировать и отображать давление воздуха в магистрали торможения, выдавать предупредительные сигналы при его снижении.</w:t>
            </w:r>
          </w:p>
          <w:p>
            <w:pPr>
              <w:pStyle w:val="Normal"/>
              <w:widowControl w:val="false"/>
              <w:shd w:val="clear" w:color="auto" w:fill="FFFFFF"/>
              <w:suppressAutoHyphens w:val="true"/>
              <w:spacing w:lineRule="auto" w:line="276" w:before="0" w:after="0"/>
              <w:jc w:val="both"/>
              <w:rPr>
                <w:sz w:val="24"/>
                <w:szCs w:val="24"/>
              </w:rPr>
            </w:pPr>
            <w:r>
              <w:rPr>
                <w:rFonts w:eastAsia="Times New Roman" w:cs="Times New Roman"/>
                <w:kern w:val="0"/>
                <w:sz w:val="24"/>
                <w:szCs w:val="24"/>
                <w:lang w:val="ru-RU" w:eastAsia="ru-RU" w:bidi="ar-SA"/>
              </w:rPr>
              <w:t>Положение каждой тормозной колодки и клапана должно индицироваться на АРМ.</w:t>
            </w:r>
          </w:p>
          <w:p>
            <w:pPr>
              <w:pStyle w:val="Normal"/>
              <w:keepNext w:val="true"/>
              <w:widowControl w:val="false"/>
              <w:numPr>
                <w:ilvl w:val="0"/>
                <w:numId w:val="0"/>
              </w:numPr>
              <w:tabs>
                <w:tab w:val="clear" w:pos="708"/>
                <w:tab w:val="left" w:pos="576" w:leader="none"/>
              </w:tabs>
              <w:suppressAutoHyphens w:val="true"/>
              <w:spacing w:lineRule="auto" w:line="276" w:before="120" w:after="120"/>
              <w:ind w:hanging="576" w:left="576"/>
              <w:jc w:val="both"/>
              <w:outlineLvl w:val="1"/>
              <w:rPr>
                <w:sz w:val="24"/>
                <w:szCs w:val="24"/>
                <w:u w:val="single"/>
              </w:rPr>
            </w:pPr>
            <w:r>
              <w:rPr>
                <w:rFonts w:eastAsia="Times New Roman" w:cs="Times New Roman"/>
                <w:b/>
                <w:kern w:val="0"/>
                <w:sz w:val="24"/>
                <w:szCs w:val="24"/>
                <w:lang w:val="ru-RU" w:eastAsia="ru-RU" w:bidi="ar-SA"/>
              </w:rPr>
              <w:tab/>
            </w:r>
            <w:r>
              <w:rPr>
                <w:rFonts w:eastAsia="Times New Roman" w:cs="Times New Roman"/>
                <w:kern w:val="0"/>
                <w:sz w:val="24"/>
                <w:szCs w:val="24"/>
                <w:u w:val="single"/>
                <w:lang w:val="ru-RU" w:eastAsia="ru-RU" w:bidi="ar-SA"/>
              </w:rPr>
              <w:t>Управление ВО для обеспечения ремонтных работ</w:t>
            </w:r>
          </w:p>
          <w:p>
            <w:pPr>
              <w:pStyle w:val="Normal"/>
              <w:widowControl w:val="false"/>
              <w:shd w:val="clear" w:color="auto" w:fill="FFFFFF"/>
              <w:suppressAutoHyphens w:val="true"/>
              <w:spacing w:lineRule="auto" w:line="276" w:before="0" w:after="0"/>
              <w:ind w:firstLine="576"/>
              <w:jc w:val="both"/>
              <w:rPr>
                <w:color w:val="000000"/>
                <w:sz w:val="24"/>
                <w:szCs w:val="24"/>
              </w:rPr>
            </w:pPr>
            <w:r>
              <w:rPr>
                <w:rFonts w:eastAsia="Times New Roman" w:cs="Times New Roman"/>
                <w:color w:val="000000"/>
                <w:kern w:val="0"/>
                <w:sz w:val="24"/>
                <w:szCs w:val="24"/>
                <w:lang w:val="ru-RU" w:eastAsia="ru-RU" w:bidi="ar-SA"/>
              </w:rPr>
              <w:t xml:space="preserve">Сигналы о неисправности данных устройств должны подаваться в общестанционную систему сигнализации, независимо от ТАиУВО.  </w:t>
            </w:r>
          </w:p>
          <w:p>
            <w:pPr>
              <w:pStyle w:val="Normal"/>
              <w:widowControl w:val="false"/>
              <w:shd w:val="clear" w:color="auto" w:fill="FFFFFF"/>
              <w:suppressAutoHyphens w:val="true"/>
              <w:spacing w:lineRule="auto" w:line="276" w:before="0" w:after="0"/>
              <w:ind w:firstLine="576"/>
              <w:jc w:val="both"/>
              <w:rPr>
                <w:color w:val="000000"/>
                <w:sz w:val="24"/>
                <w:szCs w:val="24"/>
              </w:rPr>
            </w:pPr>
            <w:r>
              <w:rPr>
                <w:rFonts w:eastAsia="Times New Roman" w:cs="Times New Roman"/>
                <w:color w:val="000000"/>
                <w:kern w:val="0"/>
                <w:sz w:val="24"/>
                <w:szCs w:val="24"/>
                <w:lang w:val="ru-RU" w:eastAsia="ru-RU" w:bidi="ar-SA"/>
              </w:rPr>
              <w:t xml:space="preserve">Информация о состоянии, режиме и параметрах работы этого ВО в нормальном режиме эксплуатации САУ ГА должна отображаться средствами ТАиУВО. Связь между отдельными устройствами управления ВО и ТАиУВО должна строиться по общим правилами информационного обмену в ТСПД САУ ГА. </w:t>
            </w:r>
          </w:p>
          <w:p>
            <w:pPr>
              <w:pStyle w:val="Normal"/>
              <w:keepNext w:val="true"/>
              <w:widowControl w:val="false"/>
              <w:numPr>
                <w:ilvl w:val="0"/>
                <w:numId w:val="0"/>
              </w:numPr>
              <w:tabs>
                <w:tab w:val="clear" w:pos="708"/>
                <w:tab w:val="left" w:pos="0" w:leader="none"/>
                <w:tab w:val="left" w:pos="9923" w:leader="none"/>
              </w:tabs>
              <w:suppressAutoHyphens w:val="true"/>
              <w:spacing w:lineRule="auto" w:line="276" w:before="120" w:after="120"/>
              <w:ind w:hanging="0" w:left="0" w:right="-6"/>
              <w:jc w:val="both"/>
              <w:outlineLvl w:val="2"/>
              <w:rPr>
                <w:bCs/>
                <w:sz w:val="24"/>
                <w:szCs w:val="24"/>
              </w:rPr>
            </w:pPr>
            <w:r>
              <w:rPr>
                <w:rFonts w:eastAsia="Times New Roman" w:cs="Times New Roman"/>
                <w:kern w:val="0"/>
                <w:sz w:val="24"/>
                <w:szCs w:val="24"/>
                <w:lang w:val="ru-RU" w:eastAsia="ru-RU" w:bidi="ar-SA"/>
              </w:rPr>
              <w:t>Должна быть предусмотрена возможность ручного местного управления.</w:t>
            </w:r>
          </w:p>
          <w:p>
            <w:pPr>
              <w:pStyle w:val="Normal"/>
              <w:keepNext w:val="true"/>
              <w:widowControl w:val="false"/>
              <w:numPr>
                <w:ilvl w:val="0"/>
                <w:numId w:val="0"/>
              </w:numPr>
              <w:tabs>
                <w:tab w:val="clear" w:pos="708"/>
                <w:tab w:val="left" w:pos="720" w:leader="none"/>
                <w:tab w:val="left" w:pos="9923" w:leader="none"/>
              </w:tabs>
              <w:suppressAutoHyphens w:val="true"/>
              <w:spacing w:lineRule="auto" w:line="276" w:before="120" w:after="120"/>
              <w:ind w:hanging="720" w:left="720" w:right="-6"/>
              <w:jc w:val="both"/>
              <w:outlineLvl w:val="2"/>
              <w:rPr>
                <w:sz w:val="24"/>
                <w:szCs w:val="24"/>
                <w:u w:val="single"/>
              </w:rPr>
            </w:pPr>
            <w:r>
              <w:rPr>
                <w:rFonts w:eastAsia="Times New Roman" w:cs="Times New Roman"/>
                <w:b/>
                <w:i/>
                <w:kern w:val="0"/>
                <w:sz w:val="24"/>
                <w:szCs w:val="24"/>
                <w:lang w:val="ru-RU" w:eastAsia="ru-RU" w:bidi="ar-SA"/>
              </w:rPr>
              <w:tab/>
            </w:r>
            <w:r>
              <w:rPr>
                <w:rFonts w:eastAsia="Times New Roman" w:cs="Times New Roman"/>
                <w:kern w:val="0"/>
                <w:sz w:val="24"/>
                <w:szCs w:val="24"/>
                <w:u w:val="single"/>
                <w:lang w:val="ru-RU" w:eastAsia="ru-RU" w:bidi="ar-SA"/>
              </w:rPr>
              <w:t>Управление клапаном подачи воздуха в ремонтное уплотнение</w:t>
            </w:r>
          </w:p>
          <w:p>
            <w:pPr>
              <w:pStyle w:val="Normal"/>
              <w:widowControl w:val="false"/>
              <w:suppressAutoHyphens w:val="true"/>
              <w:spacing w:lineRule="auto" w:line="276" w:before="0" w:after="0"/>
              <w:ind w:firstLine="709"/>
              <w:jc w:val="both"/>
              <w:rPr>
                <w:sz w:val="24"/>
                <w:szCs w:val="24"/>
              </w:rPr>
            </w:pPr>
            <w:r>
              <w:rPr>
                <w:rFonts w:eastAsia="Times New Roman" w:cs="Times New Roman"/>
                <w:kern w:val="0"/>
                <w:sz w:val="24"/>
                <w:szCs w:val="24"/>
                <w:lang w:val="ru-RU" w:eastAsia="ru-RU" w:bidi="ar-SA"/>
              </w:rPr>
              <w:t>Система управления должна обеспечивать поддержание нормального давления воздуха в ремонтном уплотнении путём автоматического открытия/закрытия клапана на магистрали подачи от технологической магистрали воздухоснабжения (воздушного ресивера).</w:t>
            </w:r>
          </w:p>
          <w:p>
            <w:pPr>
              <w:pStyle w:val="Normal"/>
              <w:widowControl w:val="false"/>
              <w:suppressAutoHyphens w:val="true"/>
              <w:spacing w:lineRule="auto" w:line="276" w:before="0" w:after="0"/>
              <w:jc w:val="both"/>
              <w:rPr>
                <w:sz w:val="24"/>
                <w:szCs w:val="24"/>
              </w:rPr>
            </w:pPr>
            <w:r>
              <w:rPr>
                <w:rFonts w:eastAsia="Times New Roman" w:cs="Times New Roman"/>
                <w:color w:val="000000"/>
                <w:kern w:val="0"/>
                <w:sz w:val="24"/>
                <w:szCs w:val="24"/>
                <w:lang w:val="ru-RU" w:eastAsia="ru-RU" w:bidi="ar-SA"/>
              </w:rPr>
              <w:t>Алгоритм должен формировать следующие сигналы:</w:t>
            </w:r>
          </w:p>
          <w:p>
            <w:pPr>
              <w:pStyle w:val="Normal"/>
              <w:widowControl w:val="false"/>
              <w:numPr>
                <w:ilvl w:val="0"/>
                <w:numId w:val="32"/>
              </w:numPr>
              <w:shd w:val="clear" w:color="auto" w:fill="FFFFFF"/>
              <w:tabs>
                <w:tab w:val="clear" w:pos="708"/>
                <w:tab w:val="left" w:pos="284" w:leader="none"/>
                <w:tab w:val="left" w:pos="786" w:leader="none"/>
              </w:tabs>
              <w:suppressAutoHyphens w:val="true"/>
              <w:spacing w:lineRule="auto" w:line="276" w:before="0" w:after="0"/>
              <w:ind w:hanging="0" w:left="0"/>
              <w:jc w:val="both"/>
              <w:rPr>
                <w:color w:val="000000"/>
                <w:sz w:val="24"/>
                <w:szCs w:val="24"/>
              </w:rPr>
            </w:pPr>
            <w:r>
              <w:rPr>
                <w:rFonts w:eastAsia="Times New Roman" w:cs="Times New Roman"/>
                <w:color w:val="000000"/>
                <w:kern w:val="0"/>
                <w:sz w:val="24"/>
                <w:szCs w:val="24"/>
                <w:lang w:val="ru-RU" w:eastAsia="ru-RU" w:bidi="ar-SA"/>
              </w:rPr>
              <w:t xml:space="preserve">включение клапана; </w:t>
            </w:r>
          </w:p>
          <w:p>
            <w:pPr>
              <w:pStyle w:val="Normal"/>
              <w:widowControl w:val="false"/>
              <w:numPr>
                <w:ilvl w:val="0"/>
                <w:numId w:val="32"/>
              </w:numPr>
              <w:shd w:val="clear" w:color="auto" w:fill="FFFFFF"/>
              <w:tabs>
                <w:tab w:val="clear" w:pos="708"/>
                <w:tab w:val="left" w:pos="284" w:leader="none"/>
                <w:tab w:val="left" w:pos="786" w:leader="none"/>
              </w:tabs>
              <w:suppressAutoHyphens w:val="true"/>
              <w:spacing w:lineRule="auto" w:line="276" w:before="0" w:after="0"/>
              <w:ind w:hanging="0" w:left="0"/>
              <w:jc w:val="both"/>
              <w:rPr>
                <w:color w:val="000000"/>
                <w:sz w:val="24"/>
                <w:szCs w:val="24"/>
              </w:rPr>
            </w:pPr>
            <w:r>
              <w:rPr>
                <w:rFonts w:eastAsia="Times New Roman" w:cs="Times New Roman"/>
                <w:color w:val="000000"/>
                <w:kern w:val="0"/>
                <w:sz w:val="24"/>
                <w:szCs w:val="24"/>
                <w:lang w:val="ru-RU" w:eastAsia="ru-RU" w:bidi="ar-SA"/>
              </w:rPr>
              <w:t>аварийно-низкое давление.</w:t>
            </w:r>
          </w:p>
          <w:p>
            <w:pPr>
              <w:pStyle w:val="Normal"/>
              <w:widowControl w:val="false"/>
              <w:suppressAutoHyphens w:val="true"/>
              <w:spacing w:lineRule="auto" w:line="276" w:before="0" w:after="0"/>
              <w:jc w:val="left"/>
              <w:rPr>
                <w:color w:val="000000"/>
                <w:sz w:val="24"/>
                <w:szCs w:val="24"/>
              </w:rPr>
            </w:pPr>
            <w:r>
              <w:rPr>
                <w:rFonts w:eastAsia="Times New Roman" w:cs="Times New Roman"/>
                <w:color w:val="000000"/>
                <w:kern w:val="0"/>
                <w:sz w:val="24"/>
                <w:szCs w:val="24"/>
                <w:lang w:val="ru-RU" w:eastAsia="ru-RU" w:bidi="ar-SA"/>
              </w:rPr>
              <w:t>Должна быть предусмотрена местная сигнализация положения клапана и отображение величины давления в магистрали, органы ручного местного управления клапаном подачи воздуха.</w:t>
            </w:r>
          </w:p>
        </w:tc>
      </w:tr>
      <w:tr>
        <w:trPr>
          <w:trHeight w:val="450" w:hRule="atLeast"/>
        </w:trPr>
        <w:tc>
          <w:tcPr>
            <w:tcW w:w="707" w:type="dxa"/>
            <w:tcBorders>
              <w:top w:val="nil"/>
            </w:tcBorders>
            <w:vAlign w:val="center"/>
          </w:tcPr>
          <w:p>
            <w:pPr>
              <w:pStyle w:val="ListParagraph"/>
              <w:widowControl w:val="false"/>
              <w:suppressAutoHyphens w:val="true"/>
              <w:spacing w:before="60" w:after="60"/>
              <w:ind w:hanging="0" w:left="720"/>
              <w:contextualSpacing/>
              <w:jc w:val="center"/>
              <w:rPr>
                <w:rFonts w:ascii="Times New Roman" w:hAnsi="Times New Roman" w:cs="Times New Roman"/>
                <w:kern w:val="0"/>
                <w:lang w:val="ru-RU" w:eastAsia="ru-RU" w:bidi="ar-SA"/>
              </w:rPr>
            </w:pPr>
            <w:r>
              <w:rPr>
                <w:rFonts w:cs="Times New Roman"/>
                <w:kern w:val="0"/>
                <w:lang w:val="ru-RU" w:eastAsia="ru-RU" w:bidi="ar-SA"/>
              </w:rPr>
              <w:t>1.2</w:t>
            </w:r>
          </w:p>
        </w:tc>
        <w:tc>
          <w:tcPr>
            <w:tcW w:w="14602" w:type="dxa"/>
            <w:gridSpan w:val="4"/>
            <w:tcBorders>
              <w:top w:val="nil"/>
            </w:tcBorders>
            <w:shd w:color="auto" w:fill="auto" w:val="clear"/>
            <w:vAlign w:val="center"/>
          </w:tcPr>
          <w:p>
            <w:pPr>
              <w:pStyle w:val="Normal"/>
              <w:widowControl w:val="false"/>
              <w:suppressAutoHyphens w:val="true"/>
              <w:rPr>
                <w:b/>
                <w:bCs/>
                <w:i w:val="false"/>
                <w:i w:val="false"/>
                <w:iCs w:val="false"/>
                <w:sz w:val="24"/>
                <w:szCs w:val="24"/>
              </w:rPr>
            </w:pPr>
            <w:r>
              <w:rPr>
                <w:b/>
                <w:bCs/>
                <w:i w:val="false"/>
                <w:iCs w:val="false"/>
                <w:sz w:val="24"/>
                <w:szCs w:val="24"/>
              </w:rPr>
              <w:t>ПТК вибрационного контроля</w:t>
            </w:r>
          </w:p>
        </w:tc>
      </w:tr>
      <w:tr>
        <w:trPr>
          <w:trHeight w:val="2007" w:hRule="atLeast"/>
        </w:trPr>
        <w:tc>
          <w:tcPr>
            <w:tcW w:w="707" w:type="dxa"/>
            <w:tcBorders>
              <w:top w:val="nil"/>
            </w:tcBorders>
            <w:vAlign w:val="center"/>
          </w:tcPr>
          <w:p>
            <w:pPr>
              <w:pStyle w:val="ListParagraph"/>
              <w:widowControl w:val="false"/>
              <w:suppressAutoHyphens w:val="true"/>
              <w:spacing w:before="60" w:after="60"/>
              <w:ind w:hanging="0" w:left="720"/>
              <w:contextualSpacing/>
              <w:jc w:val="center"/>
              <w:rPr>
                <w:rFonts w:ascii="Times New Roman" w:hAnsi="Times New Roman" w:cs="Times New Roman"/>
                <w:kern w:val="0"/>
                <w:lang w:val="ru-RU" w:eastAsia="ru-RU" w:bidi="ar-SA"/>
              </w:rPr>
            </w:pPr>
            <w:r>
              <w:rPr>
                <w:rFonts w:cs="Times New Roman"/>
                <w:kern w:val="0"/>
                <w:lang w:val="ru-RU" w:eastAsia="ru-RU" w:bidi="ar-SA"/>
              </w:rPr>
              <w:t>1.2.1</w:t>
            </w:r>
          </w:p>
        </w:tc>
        <w:tc>
          <w:tcPr>
            <w:tcW w:w="2269" w:type="dxa"/>
            <w:gridSpan w:val="3"/>
            <w:tcBorders>
              <w:top w:val="nil"/>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Требования к ПТК ВК</w:t>
            </w:r>
          </w:p>
        </w:tc>
        <w:tc>
          <w:tcPr>
            <w:tcW w:w="12333" w:type="dxa"/>
            <w:tcBorders>
              <w:top w:val="nil"/>
            </w:tcBorders>
            <w:shd w:color="auto" w:fill="auto" w:val="clear"/>
            <w:vAlign w:val="center"/>
          </w:tcPr>
          <w:p>
            <w:pPr>
              <w:pStyle w:val="Normal"/>
              <w:widowControl w:val="false"/>
              <w:suppressAutoHyphens w:val="true"/>
              <w:spacing w:lineRule="auto" w:line="276" w:before="0" w:after="0"/>
              <w:jc w:val="both"/>
              <w:rPr>
                <w:sz w:val="24"/>
                <w:szCs w:val="24"/>
              </w:rPr>
            </w:pPr>
            <w:r>
              <w:rPr>
                <w:kern w:val="0"/>
                <w:sz w:val="24"/>
                <w:szCs w:val="24"/>
                <w:lang w:val="ru-RU" w:bidi="ar-SA"/>
              </w:rPr>
              <w:t xml:space="preserve">ПТК ВК должен соответствовать следующим документам: </w:t>
            </w:r>
          </w:p>
          <w:p>
            <w:pPr>
              <w:pStyle w:val="ListParagraph"/>
              <w:widowControl w:val="false"/>
              <w:numPr>
                <w:ilvl w:val="0"/>
                <w:numId w:val="37"/>
              </w:numPr>
              <w:suppressAutoHyphens w:val="true"/>
              <w:spacing w:lineRule="auto" w:line="276" w:before="0" w:after="0"/>
              <w:contextualSpacing/>
              <w:jc w:val="both"/>
              <w:rPr>
                <w:sz w:val="24"/>
                <w:szCs w:val="24"/>
              </w:rPr>
            </w:pPr>
            <w:r>
              <w:rPr>
                <w:kern w:val="0"/>
                <w:sz w:val="24"/>
                <w:szCs w:val="24"/>
                <w:lang w:val="ru-RU" w:bidi="ar-SA"/>
              </w:rPr>
              <w:t>Приложение А к СТО РусГидро 02.01.059-2011 «основные требования к мониторингу в части применения результатов показаний в подсистеме автоматизированного технического диагностирования гидроагрегатов» (приложение 1 к ТТ)</w:t>
            </w:r>
          </w:p>
          <w:p>
            <w:pPr>
              <w:pStyle w:val="ListParagraph"/>
              <w:widowControl w:val="false"/>
              <w:numPr>
                <w:ilvl w:val="0"/>
                <w:numId w:val="37"/>
              </w:numPr>
              <w:suppressAutoHyphens w:val="true"/>
              <w:spacing w:lineRule="auto" w:line="276" w:before="0" w:after="0"/>
              <w:contextualSpacing/>
              <w:jc w:val="both"/>
              <w:rPr>
                <w:sz w:val="24"/>
                <w:szCs w:val="24"/>
              </w:rPr>
            </w:pPr>
            <w:r>
              <w:rPr>
                <w:kern w:val="0"/>
                <w:sz w:val="24"/>
                <w:szCs w:val="24"/>
                <w:lang w:val="ru-RU" w:bidi="ar-SA"/>
              </w:rPr>
              <w:t>Временные методические указания по мониторингу и контролю вибрационного состояния гидроагрегатов, оснащенных стационарными системами вибродиагностики (приложение 2 к ТТ).</w:t>
            </w:r>
          </w:p>
          <w:p>
            <w:pPr>
              <w:pStyle w:val="ListParagraph"/>
              <w:widowControl w:val="false"/>
              <w:numPr>
                <w:ilvl w:val="0"/>
                <w:numId w:val="37"/>
              </w:numPr>
              <w:suppressAutoHyphens w:val="true"/>
              <w:spacing w:lineRule="auto" w:line="276" w:before="0" w:after="0"/>
              <w:contextualSpacing/>
              <w:jc w:val="both"/>
              <w:rPr>
                <w:sz w:val="24"/>
                <w:szCs w:val="24"/>
              </w:rPr>
            </w:pPr>
            <w:r>
              <w:rPr>
                <w:kern w:val="0"/>
                <w:lang w:val="ru-RU" w:bidi="ar-SA"/>
              </w:rPr>
              <w:t>ГОСТ Р 70810 – 2023 «Гидроэлектростанции. Гидрогенераторы. Эксплуатационный контроль вибрационного состояния опорных узлов»</w:t>
            </w:r>
          </w:p>
          <w:p>
            <w:pPr>
              <w:pStyle w:val="Normal"/>
              <w:widowControl w:val="false"/>
              <w:suppressAutoHyphens w:val="true"/>
              <w:spacing w:lineRule="auto" w:line="276" w:before="0" w:after="0"/>
              <w:jc w:val="both"/>
              <w:rPr>
                <w:sz w:val="24"/>
                <w:szCs w:val="24"/>
              </w:rPr>
            </w:pPr>
            <w:r>
              <w:rPr>
                <w:kern w:val="0"/>
                <w:sz w:val="24"/>
                <w:szCs w:val="24"/>
                <w:lang w:val="ru-RU" w:bidi="ar-SA"/>
              </w:rPr>
              <w:tab/>
              <w:t>Перечень точек измерения вибрации, характеристики измерительных каналов вибрации, контролируемые параметры должны соответствовать указаниям эксплуатационной документации производителей гидротурбины и гидрогенератора, а при отсутствии таких указаний – требованиям ВМУ (Приложение 2 к ТТ), в части, необходимой для автоматического действия на автоматический останов, прекращение участия гидроагрегата в АВРЧМ.</w:t>
            </w:r>
          </w:p>
          <w:p>
            <w:pPr>
              <w:pStyle w:val="Normal"/>
              <w:widowControl w:val="false"/>
              <w:suppressAutoHyphens w:val="true"/>
              <w:spacing w:before="0" w:after="0"/>
              <w:jc w:val="both"/>
              <w:rPr>
                <w:sz w:val="24"/>
                <w:szCs w:val="24"/>
              </w:rPr>
            </w:pPr>
            <w:r>
              <w:rPr>
                <w:kern w:val="0"/>
                <w:sz w:val="24"/>
                <w:szCs w:val="24"/>
                <w:lang w:val="ru-RU" w:bidi="ar-SA"/>
              </w:rPr>
              <w:tab/>
              <w:t>В ПТК ВК должна быть техническая возможность формирования и передачи в технологическую автоматику выходных предупредительных и аварийных сигналов при отклонении измеренных параметров вибрации по каждому каналу измерения, в соответствии с указаниям эксплуатационной документации производителей гидротурбины и гидрогенератора, а при отсутствии таких указаний – требованиям ВМУ (приложение 2 к ТТ), в части, необходимой для автоматического действия на автоматический останов, прекращение участия гидроагрегата в НПРЧ  и АВРЧМ.</w:t>
            </w:r>
          </w:p>
        </w:tc>
      </w:tr>
      <w:tr>
        <w:trPr/>
        <w:tc>
          <w:tcPr>
            <w:tcW w:w="707" w:type="dxa"/>
            <w:tcBorders/>
            <w:vAlign w:val="center"/>
          </w:tcPr>
          <w:p>
            <w:pPr>
              <w:pStyle w:val="Normal"/>
              <w:widowControl w:val="false"/>
              <w:suppressAutoHyphens w:val="true"/>
              <w:spacing w:before="60" w:after="60"/>
              <w:jc w:val="center"/>
              <w:rPr>
                <w:sz w:val="24"/>
              </w:rPr>
            </w:pPr>
            <w:r>
              <w:rPr>
                <w:rFonts w:eastAsia="Times New Roman" w:cs="Times New Roman"/>
                <w:kern w:val="0"/>
                <w:sz w:val="24"/>
                <w:lang w:val="ru-RU" w:eastAsia="ru-RU" w:bidi="ar-SA"/>
              </w:rPr>
              <w:t>1.3</w:t>
            </w:r>
          </w:p>
        </w:tc>
        <w:tc>
          <w:tcPr>
            <w:tcW w:w="14602" w:type="dxa"/>
            <w:gridSpan w:val="4"/>
            <w:tcBorders/>
            <w:shd w:color="auto" w:fill="auto" w:val="clear"/>
            <w:vAlign w:val="center"/>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Местная панель управления МПУ</w:t>
            </w:r>
          </w:p>
        </w:tc>
      </w:tr>
      <w:tr>
        <w:trPr/>
        <w:tc>
          <w:tcPr>
            <w:tcW w:w="707" w:type="dxa"/>
            <w:tcBorders/>
            <w:vAlign w:val="center"/>
          </w:tcPr>
          <w:p>
            <w:pPr>
              <w:pStyle w:val="ListParagraph"/>
              <w:widowControl w:val="false"/>
              <w:numPr>
                <w:ilvl w:val="2"/>
                <w:numId w:val="35"/>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Состав МПУ</w:t>
            </w:r>
          </w:p>
        </w:tc>
        <w:tc>
          <w:tcPr>
            <w:tcW w:w="12333" w:type="dxa"/>
            <w:tcBorders/>
            <w:shd w:color="auto" w:fill="auto" w:val="clear"/>
            <w:vAlign w:val="center"/>
          </w:tcPr>
          <w:p>
            <w:pPr>
              <w:pStyle w:val="Normal"/>
              <w:widowControl w:val="false"/>
              <w:suppressAutoHyphens w:val="true"/>
              <w:spacing w:lineRule="auto" w:line="276" w:before="0" w:after="0"/>
              <w:jc w:val="both"/>
              <w:rPr>
                <w:rFonts w:eastAsia="TimesNewRomanPSMT"/>
                <w:sz w:val="24"/>
                <w:szCs w:val="24"/>
              </w:rPr>
            </w:pPr>
            <w:r>
              <w:rPr>
                <w:rFonts w:eastAsia="TimesNewRomanPSMT" w:cs="Times New Roman"/>
                <w:kern w:val="0"/>
                <w:sz w:val="24"/>
                <w:szCs w:val="24"/>
                <w:lang w:val="ru-RU" w:eastAsia="ru-RU" w:bidi="ar-SA"/>
              </w:rPr>
              <w:t>МПУ выполняется в виде шкафа напольного исполнения, одностороннего или двухстороннего обслуживания, оснащенного механическими блокираторами дверей, исключающими их самопроизвольное или несанкционированное открытие и со степенью защиты не ниже IP54.</w:t>
            </w:r>
          </w:p>
          <w:p>
            <w:pPr>
              <w:pStyle w:val="Normal"/>
              <w:widowControl w:val="false"/>
              <w:suppressAutoHyphens w:val="true"/>
              <w:spacing w:lineRule="auto" w:line="276" w:before="0" w:after="0"/>
              <w:jc w:val="both"/>
              <w:rPr>
                <w:rFonts w:eastAsia="TimesNewRomanPSMT"/>
                <w:i/>
                <w:i/>
                <w:sz w:val="24"/>
                <w:szCs w:val="24"/>
              </w:rPr>
            </w:pPr>
            <w:r>
              <w:rPr>
                <w:rFonts w:eastAsia="TimesNewRomanPSMT" w:cs="Times New Roman"/>
                <w:i/>
                <w:kern w:val="0"/>
                <w:sz w:val="24"/>
                <w:szCs w:val="24"/>
                <w:lang w:val="ru-RU" w:eastAsia="ru-RU" w:bidi="ar-SA"/>
              </w:rPr>
              <w:t>В состав МПУ входят:</w:t>
            </w:r>
          </w:p>
          <w:p>
            <w:pPr>
              <w:pStyle w:val="ListParagraph"/>
              <w:widowControl w:val="false"/>
              <w:numPr>
                <w:ilvl w:val="0"/>
                <w:numId w:val="36"/>
              </w:numPr>
              <w:suppressAutoHyphens w:val="true"/>
              <w:spacing w:lineRule="auto" w:line="276" w:before="0" w:after="0"/>
              <w:ind w:hanging="316" w:left="316"/>
              <w:contextualSpacing/>
              <w:jc w:val="both"/>
              <w:rPr>
                <w:rFonts w:eastAsia="TimesNewRomanPSMT"/>
              </w:rPr>
            </w:pPr>
            <w:r>
              <w:rPr>
                <w:rFonts w:eastAsia="TimesNewRomanPSMT" w:cs="Times New Roman"/>
                <w:kern w:val="0"/>
                <w:lang w:val="ru-RU" w:eastAsia="ru-RU" w:bidi="ar-SA"/>
              </w:rPr>
              <w:t>средства ввода и отображения информации (ключи, кнопки, переключатели, дисплей с сенсорным управлением);</w:t>
            </w:r>
          </w:p>
          <w:p>
            <w:pPr>
              <w:pStyle w:val="Normal"/>
              <w:widowControl w:val="false"/>
              <w:suppressAutoHyphens w:val="true"/>
              <w:spacing w:lineRule="auto" w:line="276" w:before="0" w:after="0"/>
              <w:jc w:val="left"/>
              <w:rPr>
                <w:rFonts w:eastAsia="TimesNewRomanPSMT"/>
                <w:sz w:val="24"/>
                <w:szCs w:val="24"/>
              </w:rPr>
            </w:pPr>
            <w:r>
              <w:rPr>
                <w:rFonts w:eastAsia="TimesNewRomanPSMT" w:cs="Times New Roman"/>
                <w:kern w:val="0"/>
                <w:sz w:val="24"/>
                <w:szCs w:val="24"/>
                <w:lang w:val="ru-RU" w:eastAsia="ru-RU" w:bidi="ar-SA"/>
              </w:rPr>
              <w:t>показывающие приборы (амперметры, вольтметры частотомер);</w:t>
            </w:r>
          </w:p>
          <w:p>
            <w:pPr>
              <w:pStyle w:val="ListParagraph"/>
              <w:widowControl w:val="false"/>
              <w:numPr>
                <w:ilvl w:val="0"/>
                <w:numId w:val="13"/>
              </w:numPr>
              <w:suppressAutoHyphens w:val="true"/>
              <w:spacing w:lineRule="auto" w:line="276" w:before="0" w:after="240"/>
              <w:ind w:hanging="284" w:left="348"/>
              <w:contextualSpacing/>
              <w:jc w:val="both"/>
              <w:rPr>
                <w:rFonts w:ascii="Times New Roman" w:hAnsi="Times New Roman" w:cs="Times New Roman"/>
                <w:kern w:val="0"/>
                <w:lang w:val="ru-RU" w:eastAsia="ru-RU" w:bidi="ar-SA"/>
              </w:rPr>
            </w:pPr>
            <w:r>
              <w:rPr>
                <w:rFonts w:cs="Times New Roman"/>
                <w:kern w:val="0"/>
                <w:lang w:val="ru-RU" w:eastAsia="ru-RU" w:bidi="ar-SA"/>
              </w:rPr>
              <w:t>автосинхронизатор.</w:t>
            </w:r>
          </w:p>
        </w:tc>
      </w:tr>
      <w:tr>
        <w:trPr/>
        <w:tc>
          <w:tcPr>
            <w:tcW w:w="707" w:type="dxa"/>
            <w:tcBorders/>
            <w:vAlign w:val="center"/>
          </w:tcPr>
          <w:p>
            <w:pPr>
              <w:pStyle w:val="ListParagraph"/>
              <w:widowControl w:val="false"/>
              <w:numPr>
                <w:ilvl w:val="2"/>
                <w:numId w:val="35"/>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Требования к МПУ</w:t>
            </w:r>
          </w:p>
        </w:tc>
        <w:tc>
          <w:tcPr>
            <w:tcW w:w="12333" w:type="dxa"/>
            <w:tcBorders/>
            <w:shd w:color="auto" w:fill="auto" w:val="clear"/>
            <w:vAlign w:val="center"/>
          </w:tcPr>
          <w:p>
            <w:pPr>
              <w:pStyle w:val="Normal"/>
              <w:widowControl w:val="false"/>
              <w:suppressAutoHyphens w:val="true"/>
              <w:spacing w:lineRule="auto" w:line="276" w:before="0" w:after="0"/>
              <w:jc w:val="left"/>
              <w:rPr>
                <w:sz w:val="24"/>
                <w:szCs w:val="24"/>
              </w:rPr>
            </w:pPr>
            <w:r>
              <w:rPr>
                <w:rFonts w:eastAsia="Times New Roman" w:cs="Times New Roman"/>
                <w:kern w:val="0"/>
                <w:sz w:val="24"/>
                <w:szCs w:val="24"/>
                <w:lang w:val="ru-RU" w:eastAsia="ru-RU" w:bidi="ar-SA"/>
              </w:rPr>
              <w:t>Рекомендуемая конструкция шкафа МПУ представлена в приложении №3 к ТТ.</w:t>
            </w:r>
          </w:p>
          <w:p>
            <w:pPr>
              <w:pStyle w:val="Normal"/>
              <w:widowControl w:val="false"/>
              <w:suppressAutoHyphens w:val="true"/>
              <w:spacing w:lineRule="auto" w:line="276" w:before="0" w:after="0"/>
              <w:jc w:val="left"/>
              <w:rPr>
                <w:i/>
                <w:i/>
                <w:sz w:val="24"/>
                <w:szCs w:val="24"/>
              </w:rPr>
            </w:pPr>
            <w:r>
              <w:rPr>
                <w:rFonts w:eastAsia="Times New Roman" w:cs="Times New Roman"/>
                <w:i/>
                <w:kern w:val="0"/>
                <w:sz w:val="24"/>
                <w:szCs w:val="24"/>
                <w:lang w:val="ru-RU" w:eastAsia="ru-RU" w:bidi="ar-SA"/>
              </w:rPr>
              <w:t>Примечание:</w:t>
            </w:r>
          </w:p>
          <w:p>
            <w:pPr>
              <w:pStyle w:val="Normal"/>
              <w:widowControl w:val="false"/>
              <w:suppressAutoHyphens w:val="true"/>
              <w:spacing w:lineRule="auto" w:line="276" w:before="0" w:after="0"/>
              <w:jc w:val="left"/>
              <w:rPr>
                <w:i/>
                <w:i/>
                <w:sz w:val="24"/>
                <w:szCs w:val="24"/>
              </w:rPr>
            </w:pPr>
            <w:r>
              <w:rPr>
                <w:rFonts w:eastAsia="Times New Roman" w:cs="Times New Roman"/>
                <w:i/>
                <w:kern w:val="0"/>
                <w:sz w:val="24"/>
                <w:szCs w:val="24"/>
                <w:lang w:val="ru-RU" w:eastAsia="ru-RU" w:bidi="ar-SA"/>
              </w:rPr>
              <w:t>В шкафу МПУ исключить размещение терминала АУВ.</w:t>
            </w:r>
          </w:p>
          <w:p>
            <w:pPr>
              <w:pStyle w:val="Normal"/>
              <w:widowControl w:val="false"/>
              <w:suppressAutoHyphens w:val="true"/>
              <w:spacing w:lineRule="auto" w:line="276" w:before="0" w:after="0"/>
              <w:jc w:val="left"/>
              <w:rPr>
                <w:i/>
                <w:i/>
                <w:sz w:val="24"/>
                <w:szCs w:val="24"/>
              </w:rPr>
            </w:pPr>
            <w:r>
              <w:rPr>
                <w:rFonts w:eastAsia="Times New Roman" w:cs="Times New Roman"/>
                <w:i/>
                <w:kern w:val="0"/>
                <w:sz w:val="24"/>
                <w:szCs w:val="24"/>
                <w:lang w:val="ru-RU" w:eastAsia="ru-RU" w:bidi="ar-SA"/>
              </w:rPr>
              <w:t xml:space="preserve">Предусмотреть установку автосинхронизатора в шкафу МПУ </w:t>
            </w:r>
            <w:r>
              <w:rPr>
                <w:rFonts w:eastAsia="Calibri" w:cs="Times New Roman" w:eastAsiaTheme="minorHAnsi"/>
                <w:i/>
                <w:kern w:val="0"/>
                <w:sz w:val="24"/>
                <w:szCs w:val="24"/>
                <w:lang w:val="ru-RU" w:eastAsia="en-US" w:bidi="ar-SA"/>
              </w:rPr>
              <w:t>для включения гидроагрегата в сеть методом точной и ручной синхронизации, а также для блокировки от несинхронного включения в сеть.</w:t>
            </w:r>
            <w:r>
              <w:rPr>
                <w:rFonts w:eastAsia="Times New Roman" w:cs="Times New Roman"/>
                <w:i/>
                <w:kern w:val="0"/>
                <w:sz w:val="24"/>
                <w:szCs w:val="24"/>
                <w:lang w:val="ru-RU" w:eastAsia="ru-RU" w:bidi="ar-SA"/>
              </w:rPr>
              <w:t xml:space="preserve">. </w:t>
            </w:r>
          </w:p>
        </w:tc>
      </w:tr>
      <w:tr>
        <w:trPr/>
        <w:tc>
          <w:tcPr>
            <w:tcW w:w="707" w:type="dxa"/>
            <w:tcBorders/>
            <w:vAlign w:val="center"/>
          </w:tcPr>
          <w:p>
            <w:pPr>
              <w:pStyle w:val="ListParagraph"/>
              <w:widowControl w:val="false"/>
              <w:numPr>
                <w:ilvl w:val="1"/>
                <w:numId w:val="35"/>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shd w:color="auto" w:fill="auto" w:val="clear"/>
            <w:vAlign w:val="center"/>
          </w:tcPr>
          <w:p>
            <w:pPr>
              <w:pStyle w:val="Normal"/>
              <w:widowControl w:val="false"/>
              <w:suppressAutoHyphens w:val="true"/>
              <w:spacing w:before="0" w:after="0"/>
              <w:jc w:val="both"/>
              <w:rPr>
                <w:b/>
                <w:sz w:val="24"/>
                <w:szCs w:val="24"/>
              </w:rPr>
            </w:pPr>
            <w:r>
              <w:rPr>
                <w:rFonts w:eastAsia="Times New Roman" w:cs="Times New Roman"/>
                <w:b/>
                <w:kern w:val="0"/>
                <w:sz w:val="24"/>
                <w:szCs w:val="24"/>
                <w:lang w:val="ru-RU" w:eastAsia="ru-RU" w:bidi="ar-SA"/>
              </w:rPr>
              <w:t>ПТК общестанционной системы (ОС)</w:t>
            </w:r>
          </w:p>
        </w:tc>
      </w:tr>
      <w:tr>
        <w:trPr/>
        <w:tc>
          <w:tcPr>
            <w:tcW w:w="707" w:type="dxa"/>
            <w:tcBorders/>
            <w:vAlign w:val="center"/>
          </w:tcPr>
          <w:p>
            <w:pPr>
              <w:pStyle w:val="ListParagraph"/>
              <w:widowControl w:val="false"/>
              <w:numPr>
                <w:ilvl w:val="2"/>
                <w:numId w:val="35"/>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shd w:color="auto" w:fill="auto" w:val="clear"/>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Состав ПТК ОС</w:t>
            </w:r>
          </w:p>
        </w:tc>
        <w:tc>
          <w:tcPr>
            <w:tcW w:w="12333" w:type="dxa"/>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В состав ПТК ОС входят:</w:t>
            </w:r>
          </w:p>
          <w:p>
            <w:pPr>
              <w:pStyle w:val="ListParagraph"/>
              <w:widowControl w:val="false"/>
              <w:numPr>
                <w:ilvl w:val="0"/>
                <w:numId w:val="38"/>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Контроллер;</w:t>
            </w:r>
          </w:p>
          <w:p>
            <w:pPr>
              <w:pStyle w:val="ListParagraph"/>
              <w:widowControl w:val="false"/>
              <w:numPr>
                <w:ilvl w:val="0"/>
                <w:numId w:val="38"/>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средства ввода и отображения информации (ключи, кнопки, переключатели, дисплей с сенсорным управлением);</w:t>
            </w:r>
          </w:p>
          <w:p>
            <w:pPr>
              <w:pStyle w:val="ListParagraph"/>
              <w:widowControl w:val="false"/>
              <w:numPr>
                <w:ilvl w:val="0"/>
                <w:numId w:val="38"/>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устройства связи с объектом (промежуточные реле, кроссировочные узлы);</w:t>
            </w:r>
          </w:p>
          <w:p>
            <w:pPr>
              <w:pStyle w:val="ListParagraph"/>
              <w:widowControl w:val="false"/>
              <w:numPr>
                <w:ilvl w:val="0"/>
                <w:numId w:val="38"/>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устройства приема-передачи данных (адаптеры и коммутаторы сетей Ethernet);</w:t>
            </w:r>
          </w:p>
          <w:p>
            <w:pPr>
              <w:pStyle w:val="ListParagraph"/>
              <w:widowControl w:val="false"/>
              <w:numPr>
                <w:ilvl w:val="0"/>
                <w:numId w:val="38"/>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схема бесперебойного питания, выполненная по схеме резервированного электропитания, подключаемая к щитам питания 220В, 50Гц (основной ввод) и СОПТ (резервный ввод) ГЭС, обеспечивающая безударное переключения с одного источника на другой;</w:t>
            </w:r>
          </w:p>
          <w:p>
            <w:pPr>
              <w:pStyle w:val="ListParagraph"/>
              <w:widowControl w:val="false"/>
              <w:numPr>
                <w:ilvl w:val="0"/>
                <w:numId w:val="38"/>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программное обеспечение в виде установленных на контроллере программных пакетов, обеспечивающих его функционирование.</w:t>
            </w:r>
          </w:p>
        </w:tc>
      </w:tr>
      <w:tr>
        <w:trPr/>
        <w:tc>
          <w:tcPr>
            <w:tcW w:w="707" w:type="dxa"/>
            <w:tcBorders/>
            <w:vAlign w:val="center"/>
          </w:tcPr>
          <w:p>
            <w:pPr>
              <w:pStyle w:val="ListParagraph"/>
              <w:widowControl w:val="false"/>
              <w:numPr>
                <w:ilvl w:val="2"/>
                <w:numId w:val="35"/>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shd w:color="auto" w:fill="auto" w:val="clear"/>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Функции ПТК ОС</w:t>
            </w:r>
          </w:p>
        </w:tc>
        <w:tc>
          <w:tcPr>
            <w:tcW w:w="12333" w:type="dxa"/>
            <w:tcBorders/>
            <w:shd w:color="auto" w:fill="auto" w:val="clear"/>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ПТК ОС обеспечивает:</w:t>
            </w:r>
          </w:p>
          <w:p>
            <w:pPr>
              <w:pStyle w:val="ListParagraph"/>
              <w:widowControl w:val="false"/>
              <w:numPr>
                <w:ilvl w:val="0"/>
                <w:numId w:val="39"/>
              </w:numPr>
              <w:suppressAutoHyphens w:val="true"/>
              <w:spacing w:before="0" w:after="0"/>
              <w:contextualSpacing/>
              <w:jc w:val="both"/>
              <w:rPr>
                <w:rFonts w:ascii="Times New Roman" w:hAnsi="Times New Roman" w:cs="Times New Roman"/>
                <w:kern w:val="0"/>
                <w:lang w:val="ru-RU" w:eastAsia="ru-RU" w:bidi="ar-SA"/>
              </w:rPr>
            </w:pPr>
            <w:r>
              <w:rPr>
                <w:rFonts w:cs="Times New Roman"/>
                <w:kern w:val="0"/>
                <w:lang w:val="ru-RU" w:eastAsia="ru-RU" w:bidi="ar-SA"/>
              </w:rPr>
              <w:t>опрос дискретных датчиков состояния и предупредительной сигнализации посредством физических связей неавтоматизированных общестанционных систем и устройств (распределительные шкафы системы освещения, оборудование масляного хозяйства, систем пожарной сигнализации и пожаротушения, систем отопления, вентиляции, кондиционирования и др.);</w:t>
            </w:r>
          </w:p>
          <w:p>
            <w:pPr>
              <w:pStyle w:val="ListParagraph"/>
              <w:widowControl w:val="false"/>
              <w:numPr>
                <w:ilvl w:val="0"/>
                <w:numId w:val="39"/>
              </w:numPr>
              <w:suppressAutoHyphens w:val="true"/>
              <w:spacing w:before="0" w:after="0"/>
              <w:contextualSpacing/>
              <w:jc w:val="both"/>
              <w:rPr>
                <w:rFonts w:ascii="Times New Roman" w:hAnsi="Times New Roman" w:cs="Times New Roman"/>
                <w:kern w:val="0"/>
                <w:lang w:val="ru-RU" w:eastAsia="ru-RU" w:bidi="ar-SA"/>
              </w:rPr>
            </w:pPr>
            <w:r>
              <w:rPr>
                <w:rFonts w:cs="Times New Roman"/>
                <w:kern w:val="0"/>
                <w:lang w:val="ru-RU" w:eastAsia="ru-RU" w:bidi="ar-SA"/>
              </w:rPr>
              <w:t>управление устройствами звуковой сигнализации;</w:t>
            </w:r>
          </w:p>
          <w:p>
            <w:pPr>
              <w:pStyle w:val="ListParagraph"/>
              <w:widowControl w:val="false"/>
              <w:numPr>
                <w:ilvl w:val="0"/>
                <w:numId w:val="39"/>
              </w:numPr>
              <w:suppressAutoHyphens w:val="true"/>
              <w:spacing w:before="0" w:after="0"/>
              <w:contextualSpacing/>
              <w:jc w:val="both"/>
              <w:rPr>
                <w:rFonts w:ascii="Times New Roman" w:hAnsi="Times New Roman" w:cs="Times New Roman"/>
                <w:kern w:val="0"/>
                <w:lang w:val="ru-RU" w:eastAsia="ru-RU" w:bidi="ar-SA"/>
              </w:rPr>
            </w:pPr>
            <w:r>
              <w:rPr>
                <w:rFonts w:cs="Times New Roman"/>
                <w:kern w:val="0"/>
                <w:lang w:val="ru-RU" w:eastAsia="ru-RU" w:bidi="ar-SA"/>
              </w:rPr>
              <w:t xml:space="preserve">обмен информацией по станционной ТСПД с комплексами сетевого коммутационного оборудования станционного уровня АСУТП посредством применения сетевой технологии Ethernet и протокола МЭК 60870-5-104. </w:t>
            </w:r>
          </w:p>
        </w:tc>
      </w:tr>
      <w:tr>
        <w:trPr/>
        <w:tc>
          <w:tcPr>
            <w:tcW w:w="707" w:type="dxa"/>
            <w:tcBorders/>
            <w:vAlign w:val="center"/>
          </w:tcPr>
          <w:p>
            <w:pPr>
              <w:pStyle w:val="ListParagraph"/>
              <w:widowControl w:val="false"/>
              <w:numPr>
                <w:ilvl w:val="2"/>
                <w:numId w:val="35"/>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shd w:color="auto" w:fill="auto" w:val="clear"/>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Требования к ПТК ОС</w:t>
            </w:r>
          </w:p>
        </w:tc>
        <w:tc>
          <w:tcPr>
            <w:tcW w:w="12333" w:type="dxa"/>
            <w:tcBorders/>
            <w:shd w:color="auto" w:fill="auto" w:val="clear"/>
            <w:vAlign w:val="center"/>
          </w:tcPr>
          <w:p>
            <w:pPr>
              <w:pStyle w:val="Normal"/>
              <w:widowControl w:val="false"/>
              <w:suppressAutoHyphens w:val="true"/>
              <w:spacing w:lineRule="auto" w:line="276" w:before="0" w:after="0"/>
              <w:jc w:val="left"/>
              <w:rPr>
                <w:sz w:val="24"/>
                <w:szCs w:val="24"/>
              </w:rPr>
            </w:pPr>
            <w:r>
              <w:rPr>
                <w:rFonts w:eastAsia="Times New Roman" w:cs="Times New Roman"/>
                <w:kern w:val="0"/>
                <w:sz w:val="24"/>
                <w:szCs w:val="24"/>
                <w:lang w:val="ru-RU" w:eastAsia="ru-RU" w:bidi="ar-SA"/>
              </w:rPr>
              <w:tab/>
              <w:t>Под общестанционными системами и устройствами в данном случае следует понимать различные системы и отдельные устройства, обеспечивающие безаварийную работу основного технологического оборудования ГЭС и «неохваченные» другими программно- техническими комплексами. К таковым относятся распределительные шкафы системы освещения, система оперативного постоянного тока, компрессорные высокого и низкого давления, насосные откачки воды и др. САУ ОС предназначена для контроля и своевременного предупреждения оперативного персонала обо всех неисправностях, возникших в данных системах и устройствах.</w:t>
            </w:r>
          </w:p>
          <w:p>
            <w:pPr>
              <w:pStyle w:val="Normal"/>
              <w:widowControl w:val="false"/>
              <w:suppressAutoHyphens w:val="true"/>
              <w:spacing w:before="0" w:after="0"/>
              <w:jc w:val="left"/>
              <w:rPr>
                <w:i/>
                <w:i/>
                <w:sz w:val="24"/>
                <w:szCs w:val="24"/>
                <w:u w:val="single"/>
              </w:rPr>
            </w:pPr>
            <w:r>
              <w:rPr>
                <w:rFonts w:eastAsia="Times New Roman" w:cs="Times New Roman"/>
                <w:i/>
                <w:kern w:val="0"/>
                <w:sz w:val="24"/>
                <w:szCs w:val="24"/>
                <w:u w:val="single"/>
                <w:lang w:val="ru-RU" w:eastAsia="ru-RU" w:bidi="ar-SA"/>
              </w:rPr>
              <w:t>К общестанционным системам относятся:</w:t>
            </w:r>
          </w:p>
          <w:p>
            <w:pPr>
              <w:pStyle w:val="ListParagraph"/>
              <w:widowControl w:val="false"/>
              <w:numPr>
                <w:ilvl w:val="0"/>
                <w:numId w:val="40"/>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Система оперативного постоянного тока.</w:t>
            </w:r>
          </w:p>
          <w:p>
            <w:pPr>
              <w:pStyle w:val="ListParagraph"/>
              <w:widowControl w:val="false"/>
              <w:numPr>
                <w:ilvl w:val="0"/>
                <w:numId w:val="40"/>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Распределительные шкафы системы освещения.</w:t>
            </w:r>
          </w:p>
          <w:p>
            <w:pPr>
              <w:pStyle w:val="ListParagraph"/>
              <w:widowControl w:val="false"/>
              <w:numPr>
                <w:ilvl w:val="0"/>
                <w:numId w:val="40"/>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Системы откачки воды из проточной части турбин, водосбросов и дренажных вод.</w:t>
            </w:r>
          </w:p>
          <w:p>
            <w:pPr>
              <w:pStyle w:val="ListParagraph"/>
              <w:widowControl w:val="false"/>
              <w:numPr>
                <w:ilvl w:val="0"/>
                <w:numId w:val="40"/>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Компрессорная высокого давления.</w:t>
            </w:r>
          </w:p>
          <w:p>
            <w:pPr>
              <w:pStyle w:val="ListParagraph"/>
              <w:widowControl w:val="false"/>
              <w:numPr>
                <w:ilvl w:val="0"/>
                <w:numId w:val="40"/>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Компрессорная низкого давления.</w:t>
            </w:r>
          </w:p>
          <w:p>
            <w:pPr>
              <w:pStyle w:val="ListParagraph"/>
              <w:widowControl w:val="false"/>
              <w:numPr>
                <w:ilvl w:val="0"/>
                <w:numId w:val="40"/>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Система водоподготовки.</w:t>
            </w:r>
          </w:p>
          <w:p>
            <w:pPr>
              <w:pStyle w:val="ListParagraph"/>
              <w:widowControl w:val="false"/>
              <w:numPr>
                <w:ilvl w:val="0"/>
                <w:numId w:val="40"/>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Система пожарной сигнализации и пожаротушения.</w:t>
            </w:r>
          </w:p>
          <w:p>
            <w:pPr>
              <w:pStyle w:val="ListParagraph"/>
              <w:widowControl w:val="false"/>
              <w:numPr>
                <w:ilvl w:val="0"/>
                <w:numId w:val="40"/>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Системы отопления, вентиляции и кондиционирования.</w:t>
            </w:r>
          </w:p>
          <w:p>
            <w:pPr>
              <w:pStyle w:val="ListParagraph"/>
              <w:widowControl w:val="false"/>
              <w:numPr>
                <w:ilvl w:val="0"/>
                <w:numId w:val="40"/>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Система измерения уровней бьефов.</w:t>
            </w:r>
          </w:p>
          <w:p>
            <w:pPr>
              <w:pStyle w:val="ListParagraph"/>
              <w:widowControl w:val="false"/>
              <w:numPr>
                <w:ilvl w:val="0"/>
                <w:numId w:val="40"/>
              </w:numPr>
              <w:suppressAutoHyphens w:val="true"/>
              <w:spacing w:before="0" w:after="0"/>
              <w:contextualSpacing/>
              <w:jc w:val="left"/>
              <w:rPr>
                <w:rFonts w:ascii="Times New Roman" w:hAnsi="Times New Roman" w:cs="Times New Roman"/>
                <w:kern w:val="0"/>
                <w:lang w:val="ru-RU" w:eastAsia="ru-RU" w:bidi="ar-SA"/>
              </w:rPr>
            </w:pPr>
            <w:r>
              <w:rPr>
                <w:rFonts w:cs="Times New Roman"/>
                <w:kern w:val="0"/>
                <w:lang w:val="ru-RU" w:eastAsia="ru-RU" w:bidi="ar-SA"/>
              </w:rPr>
              <w:t>Система измерений метеорологических данных.</w:t>
            </w:r>
          </w:p>
          <w:p>
            <w:pPr>
              <w:pStyle w:val="Normal"/>
              <w:widowControl w:val="false"/>
              <w:suppressAutoHyphens w:val="true"/>
              <w:spacing w:lineRule="auto" w:line="276" w:before="0" w:after="0"/>
              <w:jc w:val="left"/>
              <w:rPr>
                <w:sz w:val="24"/>
                <w:szCs w:val="24"/>
              </w:rPr>
            </w:pPr>
            <w:r>
              <w:rPr>
                <w:sz w:val="24"/>
                <w:szCs w:val="24"/>
              </w:rPr>
            </w:r>
          </w:p>
        </w:tc>
      </w:tr>
      <w:tr>
        <w:trPr/>
        <w:tc>
          <w:tcPr>
            <w:tcW w:w="707" w:type="dxa"/>
            <w:tcBorders/>
            <w:vAlign w:val="center"/>
          </w:tcPr>
          <w:p>
            <w:pPr>
              <w:pStyle w:val="ListParagraph"/>
              <w:widowControl w:val="false"/>
              <w:numPr>
                <w:ilvl w:val="0"/>
                <w:numId w:val="35"/>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0" w:after="0"/>
              <w:jc w:val="left"/>
              <w:rPr>
                <w:b/>
                <w:bCs/>
                <w:sz w:val="24"/>
                <w:szCs w:val="24"/>
              </w:rPr>
            </w:pPr>
            <w:r>
              <w:rPr>
                <w:rFonts w:eastAsia="Times New Roman" w:cs="Times New Roman"/>
                <w:b/>
                <w:kern w:val="0"/>
                <w:sz w:val="24"/>
                <w:szCs w:val="24"/>
                <w:lang w:val="ru-RU" w:eastAsia="ru-RU" w:bidi="ar-SA"/>
              </w:rPr>
              <w:t>Требования к импортозамещению</w:t>
            </w:r>
          </w:p>
        </w:tc>
      </w:tr>
      <w:tr>
        <w:trPr/>
        <w:tc>
          <w:tcPr>
            <w:tcW w:w="707" w:type="dxa"/>
            <w:tcBorders/>
            <w:vAlign w:val="center"/>
          </w:tcPr>
          <w:p>
            <w:pPr>
              <w:pStyle w:val="ListParagraph"/>
              <w:widowControl w:val="false"/>
              <w:numPr>
                <w:ilvl w:val="1"/>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58" w:type="dxa"/>
            <w:gridSpan w:val="2"/>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Требование по импортозамещению</w:t>
            </w:r>
          </w:p>
        </w:tc>
        <w:tc>
          <w:tcPr>
            <w:tcW w:w="12344" w:type="dxa"/>
            <w:gridSpan w:val="2"/>
            <w:tcBorders/>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ab/>
              <w:t>Программное обеспечение, закупаемое в целях реализации АСУТП, СДТУ, АИИСКУЭ, должно быть включено в Единый реестр российских программ для электронных вычислительных машин и баз данных https://reestr.digital.gov.ru/.</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ab/>
              <w:t>Оборудование, закупаемое в целях реализации АСУТП, СДТУ, АИИСКУЭ должно быть включено в реестр промышленной продукции, произведенной на территории Российской Федерации или произведенной на территории государства - члена Евразийского экономического союза, предусмотренный постановлением Правительства Российской Федерации от 30 апреля 2020 г. N 616, включено в единый реестр российской радиоэлектронной продукции, предусмотренный постановлением Правительства Российской Федерации от 10 июля 2019 г. N 878.</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ab/>
              <w:t>Минимальный объем закупаемого оборудования российского происхождения должен соответствовать постановлению Правительства Российской Федерации от 3 декабря 2020 г. N 2013. Для подтверждения выполнения требований постановления Правительства Российской Федерации от 3 декабря 2020 г. N 2013 необходимо к спецификации поставляемого промышленного, в том числе телекоммуникационного оборудования, прикладывать выписки из реестра российской промышленной продукции или реестра евразийской промышленной продукции, единого реестра российской радиоэлектронной продукции с указанием номеров реестровых записей соответствующих реестров и отчетный документ, показывающую долю товаров российского происхождения, определенную в процентном отношении к объему закупок товаров соответствующего вида.</w:t>
            </w:r>
          </w:p>
          <w:p>
            <w:pPr>
              <w:pStyle w:val="Normal"/>
              <w:widowControl w:val="false"/>
              <w:suppressAutoHyphens w:val="true"/>
              <w:spacing w:before="0" w:after="0"/>
              <w:jc w:val="both"/>
              <w:rPr>
                <w:b/>
                <w:sz w:val="24"/>
                <w:szCs w:val="24"/>
              </w:rPr>
            </w:pPr>
            <w:r>
              <w:rPr>
                <w:rFonts w:eastAsia="Times New Roman" w:cs="Times New Roman"/>
                <w:kern w:val="0"/>
                <w:sz w:val="24"/>
                <w:szCs w:val="24"/>
                <w:lang w:val="ru-RU" w:eastAsia="ru-RU" w:bidi="ar-SA"/>
              </w:rPr>
              <w:tab/>
              <w:t>Оборудование и комплектующие заграничных производителей допускается применять только в случае отсутствия аналогов, произведенных в РФ, отвечающих всем техническим требованиям, предъявляемым к ним Заказчиком.</w:t>
            </w:r>
          </w:p>
        </w:tc>
      </w:tr>
      <w:tr>
        <w:trPr/>
        <w:tc>
          <w:tcPr>
            <w:tcW w:w="707" w:type="dxa"/>
            <w:tcBorders/>
            <w:vAlign w:val="center"/>
          </w:tcPr>
          <w:p>
            <w:pPr>
              <w:pStyle w:val="ListParagraph"/>
              <w:widowControl w:val="false"/>
              <w:numPr>
                <w:ilvl w:val="0"/>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интеграции</w:t>
            </w:r>
          </w:p>
        </w:tc>
      </w:tr>
      <w:tr>
        <w:trPr/>
        <w:tc>
          <w:tcPr>
            <w:tcW w:w="707" w:type="dxa"/>
            <w:tcBorders/>
            <w:vAlign w:val="center"/>
          </w:tcPr>
          <w:p>
            <w:pPr>
              <w:pStyle w:val="ListParagraph"/>
              <w:widowControl w:val="false"/>
              <w:numPr>
                <w:ilvl w:val="1"/>
                <w:numId w:val="34"/>
              </w:numPr>
              <w:suppressAutoHyphens w:val="true"/>
              <w:spacing w:before="60" w:after="60"/>
              <w:contextualSpacing/>
              <w:jc w:val="left"/>
              <w:rPr>
                <w:rFonts w:ascii="Times New Roman" w:hAnsi="Times New Roman" w:cs="Times New Roman"/>
                <w:kern w:val="0"/>
                <w:lang w:val="ru-RU" w:eastAsia="ru-RU" w:bidi="ar-SA"/>
              </w:rPr>
            </w:pPr>
            <w:r>
              <w:rPr>
                <w:rFonts w:cs="Times New Roman"/>
                <w:kern w:val="0"/>
                <w:lang w:val="ru-RU" w:eastAsia="ru-RU" w:bidi="ar-SA"/>
              </w:rPr>
            </w:r>
          </w:p>
        </w:tc>
        <w:tc>
          <w:tcPr>
            <w:tcW w:w="2258" w:type="dxa"/>
            <w:gridSpan w:val="2"/>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Требование по интеграции шкафов ПТК</w:t>
            </w:r>
          </w:p>
        </w:tc>
        <w:tc>
          <w:tcPr>
            <w:tcW w:w="12344" w:type="dxa"/>
            <w:gridSpan w:val="2"/>
            <w:tcBorders/>
            <w:vAlign w:val="center"/>
          </w:tcPr>
          <w:p>
            <w:pPr>
              <w:pStyle w:val="Normal"/>
              <w:widowControl w:val="false"/>
              <w:suppressAutoHyphens w:val="true"/>
              <w:spacing w:before="0" w:after="0"/>
              <w:jc w:val="both"/>
              <w:rPr>
                <w:color w:val="000000"/>
                <w:sz w:val="24"/>
              </w:rPr>
            </w:pPr>
            <w:r>
              <w:rPr>
                <w:rFonts w:eastAsia="Times New Roman" w:cs="Times New Roman"/>
                <w:color w:val="000000"/>
                <w:kern w:val="0"/>
                <w:sz w:val="24"/>
                <w:lang w:val="ru-RU" w:eastAsia="ru-RU" w:bidi="ar-SA"/>
              </w:rPr>
              <w:tab/>
              <w:t>Взаимодействие между отдельными функциональными подсистемами или компонентами ПТК в составе САУ должно выполняться по стандартным протоколам информационного обмена (</w:t>
            </w:r>
            <w:bookmarkStart w:id="48" w:name="_Hlk99799358"/>
            <w:r>
              <w:rPr>
                <w:rFonts w:eastAsia="Times New Roman" w:cs="Times New Roman"/>
                <w:color w:val="000000"/>
                <w:kern w:val="0"/>
                <w:sz w:val="24"/>
                <w:lang w:val="ru-RU" w:eastAsia="ru-RU" w:bidi="ar-SA"/>
              </w:rPr>
              <w:t>серии стандартов МЭК 61850, ГОСТ Р МЭК 60870-5-104)</w:t>
            </w:r>
            <w:bookmarkEnd w:id="48"/>
            <w:r>
              <w:rPr>
                <w:rFonts w:eastAsia="Times New Roman" w:cs="Times New Roman"/>
                <w:color w:val="000000"/>
                <w:kern w:val="0"/>
                <w:sz w:val="24"/>
                <w:lang w:val="ru-RU" w:eastAsia="ru-RU" w:bidi="ar-SA"/>
              </w:rPr>
              <w:t>. В обоснованных случаях должна применяться передача управляющих сигналов посредством «сухих контактов».</w:t>
            </w:r>
          </w:p>
          <w:p>
            <w:pPr>
              <w:pStyle w:val="Normal"/>
              <w:widowControl w:val="false"/>
              <w:suppressAutoHyphens w:val="true"/>
              <w:spacing w:before="0" w:after="0"/>
              <w:jc w:val="both"/>
              <w:rPr>
                <w:color w:val="000000"/>
                <w:sz w:val="24"/>
              </w:rPr>
            </w:pPr>
            <w:r>
              <w:rPr>
                <w:rFonts w:eastAsia="Times New Roman" w:cs="Times New Roman"/>
                <w:color w:val="000000"/>
                <w:kern w:val="0"/>
                <w:sz w:val="24"/>
                <w:lang w:val="ru-RU" w:eastAsia="ru-RU" w:bidi="ar-SA"/>
              </w:rPr>
              <w:tab/>
              <w:t>Взаимодействие с устройствами режимной автоматики, микропроцессорными устройствами РЗА, средствами измерений, а также интеграция в верхний уровень АСУТП должны выполняться по стандартным протоколам информационного обмена (серии стандартов МЭК 61850, ГОСТ Р МЭК 60870-5-104).</w:t>
            </w:r>
          </w:p>
          <w:p>
            <w:pPr>
              <w:pStyle w:val="Normal"/>
              <w:widowControl w:val="false"/>
              <w:suppressAutoHyphens w:val="true"/>
              <w:spacing w:before="0" w:after="0"/>
              <w:jc w:val="both"/>
              <w:rPr>
                <w:color w:val="000000"/>
                <w:sz w:val="24"/>
              </w:rPr>
            </w:pPr>
            <w:r>
              <w:rPr>
                <w:rFonts w:eastAsia="Times New Roman" w:cs="Times New Roman"/>
                <w:color w:val="000000"/>
                <w:kern w:val="0"/>
                <w:sz w:val="24"/>
                <w:lang w:val="ru-RU" w:eastAsia="ru-RU" w:bidi="ar-SA"/>
              </w:rPr>
              <w:tab/>
              <w:t>Каждое устройство РЗА должно интегрироваться в верхний уровень АСУТП объекта по двум независимым цифровым каналам связи без использования промежуточных конверторов протоколов и коммуникационных серверов.</w:t>
            </w:r>
          </w:p>
          <w:p>
            <w:pPr>
              <w:pStyle w:val="Normal"/>
              <w:widowControl w:val="false"/>
              <w:suppressAutoHyphens w:val="true"/>
              <w:spacing w:before="0" w:after="0"/>
              <w:jc w:val="both"/>
              <w:rPr>
                <w:color w:val="000000"/>
                <w:sz w:val="24"/>
              </w:rPr>
            </w:pPr>
            <w:r>
              <w:rPr>
                <w:rFonts w:eastAsia="Times New Roman" w:cs="Times New Roman"/>
                <w:color w:val="000000"/>
                <w:kern w:val="0"/>
                <w:sz w:val="24"/>
                <w:lang w:val="ru-RU" w:eastAsia="ru-RU" w:bidi="ar-SA"/>
              </w:rPr>
              <w:t xml:space="preserve">Информационный обмен должен выполняться в соответствии с технической политикой группы РусГидро (приложение №5 к ТТ), за исключением существующих систем где нет возможности применение протокола обмена указанные в приложение №5. </w:t>
            </w:r>
          </w:p>
        </w:tc>
      </w:tr>
      <w:tr>
        <w:trPr/>
        <w:tc>
          <w:tcPr>
            <w:tcW w:w="707" w:type="dxa"/>
            <w:tcBorders/>
            <w:vAlign w:val="center"/>
          </w:tcPr>
          <w:p>
            <w:pPr>
              <w:pStyle w:val="ListParagraph"/>
              <w:widowControl w:val="false"/>
              <w:numPr>
                <w:ilvl w:val="0"/>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безопасности</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Default"/>
              <w:widowControl w:val="false"/>
              <w:suppressAutoHyphens w:val="true"/>
              <w:spacing w:before="0" w:after="0"/>
              <w:jc w:val="left"/>
              <w:rPr>
                <w:color w:val="auto"/>
                <w:sz w:val="23"/>
                <w:szCs w:val="23"/>
              </w:rPr>
            </w:pPr>
            <w:r>
              <w:rPr>
                <w:rFonts w:eastAsia="Times New Roman" w:cs="Times New Roman"/>
                <w:bCs/>
                <w:color w:val="auto"/>
                <w:kern w:val="0"/>
                <w:sz w:val="23"/>
                <w:szCs w:val="23"/>
                <w:lang w:val="ru-RU" w:eastAsia="ru-RU" w:bidi="ar-SA"/>
              </w:rPr>
              <w:t>Требования электробезопасности</w:t>
            </w:r>
          </w:p>
        </w:tc>
        <w:tc>
          <w:tcPr>
            <w:tcW w:w="12333" w:type="dxa"/>
            <w:tcBorders/>
          </w:tcPr>
          <w:p>
            <w:pPr>
              <w:pStyle w:val="Default"/>
              <w:widowControl w:val="false"/>
              <w:suppressAutoHyphens w:val="true"/>
              <w:spacing w:before="0" w:after="0"/>
              <w:jc w:val="left"/>
              <w:rPr>
                <w:color w:val="auto"/>
                <w:sz w:val="23"/>
                <w:szCs w:val="23"/>
              </w:rPr>
            </w:pPr>
            <w:r>
              <w:rPr>
                <w:rFonts w:eastAsia="Times New Roman" w:cs="Times New Roman"/>
                <w:color w:val="auto"/>
                <w:kern w:val="0"/>
                <w:sz w:val="23"/>
                <w:szCs w:val="23"/>
                <w:lang w:val="ru-RU" w:eastAsia="ru-RU" w:bidi="ar-SA"/>
              </w:rPr>
              <w:tab/>
              <w:t xml:space="preserve">Расположение оборудования и цепей в шкафах должно быть таким, чтобы исключить возможность прямого прикосновения к опасным токоведущим частям. </w:t>
            </w:r>
          </w:p>
          <w:p>
            <w:pPr>
              <w:pStyle w:val="Default"/>
              <w:widowControl w:val="false"/>
              <w:suppressAutoHyphens w:val="true"/>
              <w:spacing w:before="0" w:after="0"/>
              <w:jc w:val="left"/>
              <w:rPr>
                <w:color w:val="auto"/>
                <w:sz w:val="23"/>
                <w:szCs w:val="23"/>
              </w:rPr>
            </w:pPr>
            <w:r>
              <w:rPr>
                <w:rFonts w:eastAsia="Times New Roman" w:cs="Times New Roman"/>
                <w:color w:val="auto"/>
                <w:kern w:val="0"/>
                <w:sz w:val="23"/>
                <w:szCs w:val="23"/>
                <w:lang w:val="ru-RU" w:eastAsia="ru-RU" w:bidi="ar-SA"/>
              </w:rPr>
              <w:tab/>
              <w:t xml:space="preserve">Опасные токоведущие части должны быть полностью покрыты изоляцией, которая может быть снята только ее разрушением или с помощью инструмента, изоляция должна быть выполнена из соответствующих материалов, способных выдерживать механические, электрические и тепловые нагрузки, которые могут иметь место при эксплуатации. </w:t>
            </w:r>
          </w:p>
          <w:p>
            <w:pPr>
              <w:pStyle w:val="Default"/>
              <w:widowControl w:val="false"/>
              <w:suppressAutoHyphens w:val="true"/>
              <w:spacing w:before="0" w:after="0"/>
              <w:jc w:val="left"/>
              <w:rPr>
                <w:color w:val="auto"/>
                <w:sz w:val="16"/>
                <w:szCs w:val="16"/>
              </w:rPr>
            </w:pPr>
            <w:r>
              <w:rPr>
                <w:rFonts w:eastAsia="Times New Roman" w:cs="Times New Roman"/>
                <w:color w:val="auto"/>
                <w:kern w:val="0"/>
                <w:sz w:val="23"/>
                <w:szCs w:val="23"/>
                <w:lang w:val="ru-RU" w:eastAsia="ru-RU" w:bidi="ar-SA"/>
              </w:rPr>
              <w:tab/>
              <w:t>Для защиты от поражения электрическим током в случае повреждения изоляции кабелей (проводов) открытые проводящие элементы шкафа (боковые стенки, двери, крыша, и задняя стенка в шкафах одностороннего обслуживания) заземляются на каркас шкафа проводом сечением не менее 4 мм</w:t>
            </w:r>
            <w:r>
              <w:rPr>
                <w:rFonts w:eastAsia="Times New Roman" w:cs="Times New Roman"/>
                <w:color w:val="auto"/>
                <w:kern w:val="0"/>
                <w:sz w:val="16"/>
                <w:szCs w:val="16"/>
                <w:lang w:val="ru-RU" w:eastAsia="ru-RU" w:bidi="ar-SA"/>
              </w:rPr>
              <w:t>2 (</w:t>
            </w:r>
            <w:r>
              <w:rPr>
                <w:rFonts w:eastAsia="Times New Roman" w:cs="Times New Roman"/>
                <w:color w:val="auto"/>
                <w:kern w:val="0"/>
                <w:lang w:val="ru-RU" w:eastAsia="ru-RU" w:bidi="ar-SA"/>
              </w:rPr>
              <w:t>указан на рисунке)</w:t>
            </w:r>
          </w:p>
          <w:p>
            <w:pPr>
              <w:pStyle w:val="Default"/>
              <w:widowControl w:val="false"/>
              <w:tabs>
                <w:tab w:val="clear" w:pos="708"/>
                <w:tab w:val="center" w:pos="6058" w:leader="none"/>
              </w:tabs>
              <w:suppressAutoHyphens w:val="true"/>
              <w:spacing w:before="0" w:after="0"/>
              <w:jc w:val="left"/>
              <w:rPr>
                <w:color w:val="auto"/>
                <w:sz w:val="23"/>
                <w:szCs w:val="23"/>
                <w:lang w:val="en-US"/>
              </w:rPr>
            </w:pPr>
            <w:r>
              <w:rPr/>
              <w:drawing>
                <wp:inline distT="0" distB="0" distL="0" distR="0">
                  <wp:extent cx="2782570" cy="2185035"/>
                  <wp:effectExtent l="0" t="0" r="0" b="0"/>
                  <wp:docPr id="3"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
                          <pic:cNvPicPr>
                            <a:picLocks noChangeAspect="1" noChangeArrowheads="1"/>
                          </pic:cNvPicPr>
                        </pic:nvPicPr>
                        <pic:blipFill>
                          <a:blip r:embed="rId5"/>
                          <a:stretch>
                            <a:fillRect/>
                          </a:stretch>
                        </pic:blipFill>
                        <pic:spPr bwMode="auto">
                          <a:xfrm>
                            <a:off x="0" y="0"/>
                            <a:ext cx="2782570" cy="2185035"/>
                          </a:xfrm>
                          <a:prstGeom prst="rect">
                            <a:avLst/>
                          </a:prstGeom>
                        </pic:spPr>
                      </pic:pic>
                    </a:graphicData>
                  </a:graphic>
                </wp:inline>
              </w:drawing>
            </w:r>
          </w:p>
          <w:p>
            <w:pPr>
              <w:pStyle w:val="Default"/>
              <w:widowControl w:val="false"/>
              <w:suppressAutoHyphens w:val="true"/>
              <w:spacing w:before="0" w:after="0"/>
              <w:jc w:val="left"/>
              <w:rPr>
                <w:color w:val="auto"/>
                <w:sz w:val="23"/>
                <w:szCs w:val="23"/>
              </w:rPr>
            </w:pPr>
            <w:r>
              <w:rPr>
                <w:rFonts w:eastAsia="Times New Roman" w:cs="Times New Roman"/>
                <w:color w:val="auto"/>
                <w:kern w:val="0"/>
                <w:sz w:val="23"/>
                <w:szCs w:val="23"/>
                <w:lang w:val="en-US" w:eastAsia="ru-RU" w:bidi="ar-SA"/>
              </w:rPr>
              <w:tab/>
            </w:r>
            <w:r>
              <w:rPr>
                <w:rFonts w:eastAsia="Times New Roman" w:cs="Times New Roman"/>
                <w:color w:val="auto"/>
                <w:kern w:val="0"/>
                <w:sz w:val="23"/>
                <w:szCs w:val="23"/>
                <w:lang w:val="ru-RU" w:eastAsia="ru-RU" w:bidi="ar-SA"/>
              </w:rPr>
              <w:t xml:space="preserve">Для заземления оборудования шкафа должна быть предусмотрена шина защитного заземления, установленная в нижней части шкафа в горизонтальной плоскости. </w:t>
            </w:r>
          </w:p>
          <w:p>
            <w:pPr>
              <w:pStyle w:val="Default"/>
              <w:widowControl w:val="false"/>
              <w:suppressAutoHyphens w:val="true"/>
              <w:spacing w:before="0" w:after="0"/>
              <w:jc w:val="left"/>
              <w:rPr>
                <w:color w:val="auto"/>
                <w:sz w:val="16"/>
                <w:szCs w:val="16"/>
              </w:rPr>
            </w:pPr>
            <w:r>
              <w:rPr>
                <w:rFonts w:eastAsia="Times New Roman" w:cs="Times New Roman"/>
                <w:color w:val="auto"/>
                <w:kern w:val="0"/>
                <w:sz w:val="23"/>
                <w:szCs w:val="23"/>
                <w:lang w:val="ru-RU" w:eastAsia="ru-RU" w:bidi="ar-SA"/>
              </w:rPr>
              <w:t>Каркас шкафа соединяется с шиной защитного заземления проводом сечением не менее 4 мм</w:t>
            </w:r>
            <w:r>
              <w:rPr>
                <w:rFonts w:eastAsia="Times New Roman" w:cs="Times New Roman"/>
                <w:color w:val="auto"/>
                <w:kern w:val="0"/>
                <w:sz w:val="16"/>
                <w:szCs w:val="16"/>
                <w:lang w:val="ru-RU" w:eastAsia="ru-RU" w:bidi="ar-SA"/>
              </w:rPr>
              <w:t>2 (</w:t>
            </w:r>
            <w:r>
              <w:rPr>
                <w:rFonts w:eastAsia="Times New Roman" w:cs="Times New Roman"/>
                <w:color w:val="auto"/>
                <w:kern w:val="0"/>
                <w:lang w:val="ru-RU" w:eastAsia="ru-RU" w:bidi="ar-SA"/>
              </w:rPr>
              <w:t>указан на рисунке)</w:t>
            </w:r>
          </w:p>
          <w:p>
            <w:pPr>
              <w:pStyle w:val="Default"/>
              <w:widowControl w:val="false"/>
              <w:suppressAutoHyphens w:val="true"/>
              <w:spacing w:before="0" w:after="0"/>
              <w:jc w:val="left"/>
              <w:rPr>
                <w:color w:val="auto"/>
                <w:sz w:val="23"/>
                <w:szCs w:val="23"/>
              </w:rPr>
            </w:pPr>
            <w:r>
              <w:rPr>
                <w:color w:val="auto"/>
                <w:sz w:val="23"/>
                <w:szCs w:val="23"/>
              </w:rPr>
            </w:r>
          </w:p>
          <w:p>
            <w:pPr>
              <w:pStyle w:val="Default"/>
              <w:widowControl w:val="false"/>
              <w:tabs>
                <w:tab w:val="clear" w:pos="708"/>
                <w:tab w:val="center" w:pos="6058" w:leader="none"/>
              </w:tabs>
              <w:suppressAutoHyphens w:val="true"/>
              <w:spacing w:before="0" w:after="0"/>
              <w:jc w:val="left"/>
              <w:rPr>
                <w:color w:val="auto"/>
                <w:sz w:val="23"/>
                <w:szCs w:val="23"/>
              </w:rPr>
            </w:pPr>
            <w:r>
              <w:rPr/>
              <w:drawing>
                <wp:inline distT="0" distB="0" distL="0" distR="0">
                  <wp:extent cx="3435350" cy="2520950"/>
                  <wp:effectExtent l="0" t="0" r="0" b="0"/>
                  <wp:docPr id="4"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
                          <pic:cNvPicPr>
                            <a:picLocks noChangeAspect="1" noChangeArrowheads="1"/>
                          </pic:cNvPicPr>
                        </pic:nvPicPr>
                        <pic:blipFill>
                          <a:blip r:embed="rId6"/>
                          <a:stretch>
                            <a:fillRect/>
                          </a:stretch>
                        </pic:blipFill>
                        <pic:spPr bwMode="auto">
                          <a:xfrm>
                            <a:off x="0" y="0"/>
                            <a:ext cx="3435350" cy="2520950"/>
                          </a:xfrm>
                          <a:prstGeom prst="rect">
                            <a:avLst/>
                          </a:prstGeom>
                        </pic:spPr>
                      </pic:pic>
                    </a:graphicData>
                  </a:graphic>
                </wp:inline>
              </w:drawing>
            </w:r>
          </w:p>
          <w:p>
            <w:pPr>
              <w:pStyle w:val="Default"/>
              <w:widowControl w:val="false"/>
              <w:tabs>
                <w:tab w:val="clear" w:pos="708"/>
                <w:tab w:val="center" w:pos="6058" w:leader="none"/>
              </w:tabs>
              <w:suppressAutoHyphens w:val="true"/>
              <w:spacing w:before="0" w:after="0"/>
              <w:jc w:val="left"/>
              <w:rPr>
                <w:color w:val="auto"/>
                <w:sz w:val="23"/>
                <w:szCs w:val="23"/>
              </w:rPr>
            </w:pPr>
            <w:r>
              <w:rPr>
                <w:color w:val="auto"/>
                <w:sz w:val="23"/>
                <w:szCs w:val="23"/>
              </w:rPr>
            </w:r>
          </w:p>
          <w:p>
            <w:pPr>
              <w:pStyle w:val="Default"/>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p>
            <w:pPr>
              <w:pStyle w:val="Default"/>
              <w:widowControl w:val="false"/>
              <w:suppressAutoHyphens w:val="true"/>
              <w:spacing w:before="0" w:after="0"/>
              <w:jc w:val="left"/>
              <w:rPr>
                <w:color w:val="auto"/>
              </w:rPr>
            </w:pPr>
            <w:r>
              <w:rPr>
                <w:color w:val="auto"/>
              </w:rPr>
            </w:r>
          </w:p>
          <w:p>
            <w:pPr>
              <w:pStyle w:val="Default"/>
              <w:widowControl w:val="false"/>
              <w:suppressAutoHyphens w:val="true"/>
              <w:spacing w:before="0" w:after="0"/>
              <w:jc w:val="both"/>
              <w:rPr>
                <w:color w:val="auto"/>
                <w:sz w:val="23"/>
                <w:szCs w:val="23"/>
              </w:rPr>
            </w:pPr>
            <w:r>
              <w:rPr>
                <w:rFonts w:eastAsia="Times New Roman" w:cs="Times New Roman"/>
                <w:color w:val="auto"/>
                <w:kern w:val="0"/>
                <w:sz w:val="23"/>
                <w:szCs w:val="23"/>
                <w:lang w:val="ru-RU" w:eastAsia="ru-RU" w:bidi="ar-SA"/>
              </w:rPr>
              <w:tab/>
              <w:t>Оборудование внутри шкафов, требующее заземления, должно быть присоединено к внутренней шине защитного заземления проводом сечением не менее 2,5 мм</w:t>
            </w:r>
            <w:r>
              <w:rPr>
                <w:rFonts w:eastAsia="Times New Roman" w:cs="Times New Roman"/>
                <w:color w:val="auto"/>
                <w:kern w:val="0"/>
                <w:sz w:val="16"/>
                <w:szCs w:val="16"/>
                <w:lang w:val="ru-RU" w:eastAsia="ru-RU" w:bidi="ar-SA"/>
              </w:rPr>
              <w:t>2</w:t>
            </w:r>
            <w:r>
              <w:rPr>
                <w:rFonts w:eastAsia="Times New Roman" w:cs="Times New Roman"/>
                <w:color w:val="auto"/>
                <w:kern w:val="0"/>
                <w:sz w:val="23"/>
                <w:szCs w:val="23"/>
                <w:lang w:val="ru-RU" w:eastAsia="ru-RU" w:bidi="ar-SA"/>
              </w:rPr>
              <w:t xml:space="preserve">, все точки и шина защитного заземления должны быть помечены знаком </w:t>
            </w:r>
          </w:p>
          <w:p>
            <w:pPr>
              <w:pStyle w:val="Default"/>
              <w:widowControl w:val="false"/>
              <w:suppressAutoHyphens w:val="true"/>
              <w:spacing w:before="0" w:after="0"/>
              <w:jc w:val="both"/>
              <w:rPr>
                <w:color w:val="auto"/>
                <w:sz w:val="23"/>
                <w:szCs w:val="23"/>
              </w:rPr>
            </w:pPr>
            <w:r>
              <w:rPr>
                <w:rFonts w:eastAsia="Times New Roman" w:cs="Times New Roman"/>
                <w:color w:val="auto"/>
                <w:kern w:val="0"/>
                <w:sz w:val="23"/>
                <w:szCs w:val="23"/>
                <w:lang w:val="ru-RU" w:eastAsia="ru-RU" w:bidi="ar-SA"/>
              </w:rPr>
              <w:tab/>
              <w:t>Заземление шкафов выполняется на общую шину заземления ГЭС.</w:t>
            </w:r>
          </w:p>
          <w:p>
            <w:pPr>
              <w:pStyle w:val="Default"/>
              <w:widowControl w:val="false"/>
              <w:suppressAutoHyphens w:val="true"/>
              <w:spacing w:before="0" w:after="0"/>
              <w:jc w:val="both"/>
              <w:rPr>
                <w:color w:val="auto"/>
                <w:sz w:val="23"/>
                <w:szCs w:val="23"/>
              </w:rPr>
            </w:pPr>
            <w:r>
              <w:rPr>
                <w:rFonts w:eastAsia="Times New Roman" w:cs="Times New Roman"/>
                <w:color w:val="auto"/>
                <w:kern w:val="0"/>
                <w:sz w:val="23"/>
                <w:szCs w:val="23"/>
                <w:lang w:val="ru-RU" w:eastAsia="ru-RU" w:bidi="ar-SA"/>
              </w:rPr>
              <w:tab/>
              <w:t>Заземление шкафов должно быть выполнено гибкими заземляющими защитными проводниками сечением не менее 10 мм</w:t>
            </w:r>
            <w:r>
              <w:rPr>
                <w:rFonts w:eastAsia="Times New Roman" w:cs="Times New Roman"/>
                <w:color w:val="auto"/>
                <w:kern w:val="0"/>
                <w:sz w:val="16"/>
                <w:szCs w:val="16"/>
                <w:lang w:val="ru-RU" w:eastAsia="ru-RU" w:bidi="ar-SA"/>
              </w:rPr>
              <w:t xml:space="preserve">2 </w:t>
            </w:r>
            <w:r>
              <w:rPr>
                <w:rFonts w:eastAsia="Times New Roman" w:cs="Times New Roman"/>
                <w:color w:val="auto"/>
                <w:kern w:val="0"/>
                <w:sz w:val="23"/>
                <w:szCs w:val="23"/>
                <w:lang w:val="ru-RU" w:eastAsia="ru-RU" w:bidi="ar-SA"/>
              </w:rPr>
              <w:t xml:space="preserve">через болтовые соединения, при этом должны быть приняты меры против ослабления и коррозии контактного соединения. </w:t>
            </w:r>
          </w:p>
          <w:p>
            <w:pPr>
              <w:pStyle w:val="Normal"/>
              <w:widowControl w:val="false"/>
              <w:suppressAutoHyphens w:val="true"/>
              <w:spacing w:before="0" w:after="0"/>
              <w:jc w:val="center"/>
              <w:rPr>
                <w:b/>
                <w:sz w:val="24"/>
                <w:szCs w:val="24"/>
              </w:rPr>
            </w:pPr>
            <w:r>
              <w:rPr>
                <w:b/>
                <w:sz w:val="24"/>
                <w:szCs w:val="24"/>
              </w:rPr>
            </w:r>
          </w:p>
        </w:tc>
      </w:tr>
      <w:tr>
        <w:trPr/>
        <w:tc>
          <w:tcPr>
            <w:tcW w:w="707" w:type="dxa"/>
            <w:tcBorders/>
            <w:vAlign w:val="center"/>
          </w:tcPr>
          <w:p>
            <w:pPr>
              <w:pStyle w:val="ListParagraph"/>
              <w:widowControl w:val="false"/>
              <w:numPr>
                <w:ilvl w:val="0"/>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0" w:after="0"/>
              <w:jc w:val="left"/>
              <w:rPr>
                <w:b/>
                <w:bCs/>
                <w:sz w:val="24"/>
                <w:szCs w:val="24"/>
              </w:rPr>
            </w:pPr>
            <w:r>
              <w:rPr>
                <w:rFonts w:eastAsia="Times New Roman" w:cs="Times New Roman"/>
                <w:b/>
                <w:kern w:val="0"/>
                <w:sz w:val="24"/>
                <w:szCs w:val="24"/>
                <w:lang w:val="ru-RU" w:eastAsia="ru-RU" w:bidi="ar-SA"/>
              </w:rPr>
              <w:t>Требования к конструкции, изготовлению и материалам</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Default"/>
              <w:widowControl w:val="false"/>
              <w:suppressAutoHyphens w:val="true"/>
              <w:spacing w:before="0" w:after="0"/>
              <w:jc w:val="left"/>
              <w:rPr>
                <w:color w:val="auto"/>
              </w:rPr>
            </w:pPr>
            <w:r>
              <w:rPr>
                <w:rFonts w:eastAsia="Times New Roman" w:cs="Times New Roman"/>
                <w:bCs/>
                <w:color w:val="auto"/>
                <w:kern w:val="0"/>
                <w:lang w:val="ru-RU" w:eastAsia="ru-RU" w:bidi="ar-SA"/>
              </w:rPr>
              <w:t xml:space="preserve">Требования к внешнему виду и конструктиву шкафов </w:t>
            </w:r>
          </w:p>
        </w:tc>
        <w:tc>
          <w:tcPr>
            <w:tcW w:w="12333" w:type="dxa"/>
            <w:tcBorders/>
            <w:vAlign w:val="center"/>
          </w:tcPr>
          <w:p>
            <w:pPr>
              <w:pStyle w:val="Default"/>
              <w:widowControl w:val="false"/>
              <w:suppressAutoHyphens w:val="true"/>
              <w:spacing w:before="0" w:after="0"/>
              <w:jc w:val="both"/>
              <w:rPr>
                <w:color w:val="auto"/>
              </w:rPr>
            </w:pPr>
            <w:r>
              <w:rPr>
                <w:rFonts w:eastAsia="Times New Roman" w:cs="Times New Roman"/>
                <w:color w:val="auto"/>
                <w:kern w:val="0"/>
                <w:lang w:val="ru-RU" w:eastAsia="ru-RU" w:bidi="ar-SA"/>
              </w:rPr>
              <w:tab/>
              <w:t xml:space="preserve">Высота шкафов полноразмерного исполнения, расположенных в одном помещении, должна быть одинаковой. Глубина шкафов, расположенных в одном ряду, должна быть одинаковой. </w:t>
            </w:r>
          </w:p>
          <w:p>
            <w:pPr>
              <w:pStyle w:val="Default"/>
              <w:widowControl w:val="false"/>
              <w:suppressAutoHyphens w:val="true"/>
              <w:spacing w:before="0" w:after="0"/>
              <w:jc w:val="both"/>
              <w:rPr>
                <w:color w:val="auto"/>
              </w:rPr>
            </w:pPr>
            <w:r>
              <w:rPr>
                <w:rFonts w:eastAsia="Times New Roman" w:cs="Times New Roman"/>
                <w:color w:val="auto"/>
                <w:kern w:val="0"/>
                <w:lang w:val="ru-RU" w:eastAsia="ru-RU" w:bidi="ar-SA"/>
              </w:rPr>
              <w:tab/>
              <w:t xml:space="preserve">Шкафы, расположенные в одном ряду, должны быть разделены между собой металлической перегородкой (возможно разделение боковыми стенками, комплектуемыми заводом изготовителем), крайние шкафы должны иметь боковые стенки. </w:t>
            </w:r>
            <w:r>
              <w:rPr>
                <w:rFonts w:eastAsia="Times New Roman" w:cs="Times New Roman"/>
                <w:color w:val="auto"/>
                <w:kern w:val="0"/>
                <w:sz w:val="23"/>
                <w:szCs w:val="23"/>
                <w:lang w:val="ru-RU" w:eastAsia="ru-RU" w:bidi="ar-SA"/>
              </w:rPr>
              <w:t xml:space="preserve">Шкафы, расположенные в одном ряду, должны быть скреплены между собой соединительными элементами. Цвет шкафов должен соответствовать RAL7035 (светло-серый). Применение другого цвета допускается по согласованию с заказчиком. </w:t>
            </w:r>
          </w:p>
          <w:p>
            <w:pPr>
              <w:pStyle w:val="Default"/>
              <w:widowControl w:val="false"/>
              <w:suppressAutoHyphens w:val="true"/>
              <w:spacing w:before="0" w:after="167"/>
              <w:jc w:val="left"/>
              <w:rPr>
                <w:color w:val="auto"/>
                <w:sz w:val="23"/>
                <w:szCs w:val="23"/>
              </w:rPr>
            </w:pPr>
            <w:r>
              <w:rPr>
                <w:rFonts w:eastAsia="Times New Roman" w:cs="Times New Roman"/>
                <w:color w:val="auto"/>
                <w:kern w:val="0"/>
                <w:sz w:val="23"/>
                <w:szCs w:val="23"/>
                <w:lang w:val="ru-RU" w:eastAsia="ru-RU" w:bidi="ar-SA"/>
              </w:rPr>
              <w:tab/>
              <w:t xml:space="preserve">Шкафы должны устанавливаться на цоколь высотой 100 мм. Применение другого размера цоколя допускается при наличии технического обоснования и должно быть согласовано с заказчиком. Цвет цоколя шкафа должен соответствовать RAL7022 (темно-серый). Применение другого цвета допускается по согласованию с заказчиком.  </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Normal"/>
              <w:widowControl w:val="false"/>
              <w:suppressAutoHyphens w:val="true"/>
              <w:spacing w:before="0" w:after="0"/>
              <w:jc w:val="left"/>
              <w:rPr>
                <w:bCs/>
                <w:sz w:val="24"/>
                <w:szCs w:val="24"/>
              </w:rPr>
            </w:pPr>
            <w:r>
              <w:rPr>
                <w:rFonts w:eastAsia="Times New Roman" w:cs="Times New Roman"/>
                <w:bCs/>
                <w:kern w:val="0"/>
                <w:sz w:val="24"/>
                <w:szCs w:val="24"/>
                <w:lang w:val="ru-RU" w:eastAsia="ru-RU" w:bidi="ar-SA"/>
              </w:rPr>
              <w:t>Требования  к удобству обслуживания</w:t>
            </w:r>
          </w:p>
        </w:tc>
        <w:tc>
          <w:tcPr>
            <w:tcW w:w="12333" w:type="dxa"/>
            <w:tcBorders/>
            <w:vAlign w:val="center"/>
          </w:tcPr>
          <w:p>
            <w:pPr>
              <w:pStyle w:val="Default"/>
              <w:widowControl w:val="false"/>
              <w:suppressAutoHyphens w:val="true"/>
              <w:spacing w:lineRule="auto" w:line="276" w:before="0" w:after="0"/>
              <w:jc w:val="both"/>
              <w:rPr>
                <w:color w:val="auto"/>
                <w:sz w:val="23"/>
                <w:szCs w:val="23"/>
              </w:rPr>
            </w:pPr>
            <w:r>
              <w:rPr>
                <w:rFonts w:eastAsia="Times New Roman" w:cs="Times New Roman"/>
                <w:color w:val="auto"/>
                <w:kern w:val="0"/>
                <w:sz w:val="23"/>
                <w:szCs w:val="23"/>
                <w:lang w:val="ru-RU" w:eastAsia="ru-RU" w:bidi="ar-SA"/>
              </w:rPr>
              <w:tab/>
              <w:t xml:space="preserve">Конструкция шкафов должна обеспечивать возможность и удобство проведения их монтажа и ремонта с минимально возможными затратами времени. Все двери должны закрываться стандартным (комплектуемым заводом изготовителем) замком. Шкафы должны быть сконструированы таким образом, чтобы отдельные операции можно было выполнять в процессе эксплуатации и под напряжением. </w:t>
            </w:r>
          </w:p>
          <w:p>
            <w:pPr>
              <w:pStyle w:val="Default"/>
              <w:widowControl w:val="false"/>
              <w:suppressAutoHyphens w:val="true"/>
              <w:spacing w:lineRule="auto" w:line="276" w:before="0" w:after="0"/>
              <w:jc w:val="both"/>
              <w:rPr>
                <w:color w:val="auto"/>
                <w:sz w:val="23"/>
                <w:szCs w:val="23"/>
              </w:rPr>
            </w:pPr>
            <w:r>
              <w:rPr>
                <w:rFonts w:eastAsia="Times New Roman" w:cs="Times New Roman"/>
                <w:color w:val="auto"/>
                <w:kern w:val="0"/>
                <w:sz w:val="23"/>
                <w:szCs w:val="23"/>
                <w:lang w:val="ru-RU" w:eastAsia="ru-RU" w:bidi="ar-SA"/>
              </w:rPr>
              <w:t xml:space="preserve">К таким операциям относятся: </w:t>
            </w:r>
          </w:p>
          <w:p>
            <w:pPr>
              <w:pStyle w:val="Default"/>
              <w:widowControl w:val="false"/>
              <w:numPr>
                <w:ilvl w:val="0"/>
                <w:numId w:val="41"/>
              </w:numPr>
              <w:suppressAutoHyphens w:val="true"/>
              <w:spacing w:lineRule="auto" w:line="276" w:before="0" w:after="0"/>
              <w:jc w:val="both"/>
              <w:rPr>
                <w:color w:val="auto"/>
                <w:sz w:val="23"/>
                <w:szCs w:val="23"/>
              </w:rPr>
            </w:pPr>
            <w:r>
              <w:rPr>
                <w:rFonts w:eastAsia="Times New Roman" w:cs="Times New Roman"/>
                <w:color w:val="auto"/>
                <w:kern w:val="0"/>
                <w:sz w:val="23"/>
                <w:szCs w:val="23"/>
                <w:lang w:val="ru-RU" w:eastAsia="ru-RU" w:bidi="ar-SA"/>
              </w:rPr>
              <w:t xml:space="preserve">визуальная проверка: </w:t>
            </w:r>
          </w:p>
          <w:p>
            <w:pPr>
              <w:pStyle w:val="Default"/>
              <w:widowControl w:val="false"/>
              <w:numPr>
                <w:ilvl w:val="0"/>
                <w:numId w:val="42"/>
              </w:numPr>
              <w:suppressAutoHyphens w:val="true"/>
              <w:spacing w:lineRule="auto" w:line="276" w:before="0" w:after="0"/>
              <w:ind w:hanging="283" w:left="889"/>
              <w:jc w:val="both"/>
              <w:rPr>
                <w:color w:val="auto"/>
                <w:sz w:val="23"/>
                <w:szCs w:val="23"/>
              </w:rPr>
            </w:pPr>
            <w:r>
              <w:rPr>
                <w:rFonts w:eastAsia="Times New Roman" w:cs="Times New Roman"/>
                <w:color w:val="auto"/>
                <w:kern w:val="0"/>
                <w:sz w:val="23"/>
                <w:szCs w:val="23"/>
                <w:lang w:val="ru-RU" w:eastAsia="ru-RU" w:bidi="ar-SA"/>
              </w:rPr>
              <w:t>коммутационных устройств и другого оборудования;</w:t>
            </w:r>
          </w:p>
          <w:p>
            <w:pPr>
              <w:pStyle w:val="Default"/>
              <w:widowControl w:val="false"/>
              <w:numPr>
                <w:ilvl w:val="0"/>
                <w:numId w:val="42"/>
              </w:numPr>
              <w:suppressAutoHyphens w:val="true"/>
              <w:spacing w:lineRule="auto" w:line="276" w:before="0" w:after="0"/>
              <w:ind w:hanging="283" w:left="889"/>
              <w:jc w:val="both"/>
              <w:rPr>
                <w:color w:val="auto"/>
                <w:sz w:val="23"/>
                <w:szCs w:val="23"/>
              </w:rPr>
            </w:pPr>
            <w:r>
              <w:rPr>
                <w:rFonts w:eastAsia="Times New Roman" w:cs="Times New Roman"/>
                <w:color w:val="auto"/>
                <w:kern w:val="0"/>
                <w:sz w:val="23"/>
                <w:szCs w:val="23"/>
                <w:lang w:val="ru-RU" w:eastAsia="ru-RU" w:bidi="ar-SA"/>
              </w:rPr>
              <w:t>уставок и индикаторов оборудования;</w:t>
            </w:r>
          </w:p>
          <w:p>
            <w:pPr>
              <w:pStyle w:val="Default"/>
              <w:widowControl w:val="false"/>
              <w:numPr>
                <w:ilvl w:val="0"/>
                <w:numId w:val="42"/>
              </w:numPr>
              <w:suppressAutoHyphens w:val="true"/>
              <w:spacing w:lineRule="auto" w:line="276" w:before="0" w:after="148"/>
              <w:ind w:hanging="283" w:left="889"/>
              <w:jc w:val="both"/>
              <w:rPr>
                <w:color w:val="auto"/>
                <w:sz w:val="23"/>
                <w:szCs w:val="23"/>
              </w:rPr>
            </w:pPr>
            <w:r>
              <w:rPr>
                <w:rFonts w:eastAsia="Times New Roman" w:cs="Times New Roman"/>
                <w:color w:val="auto"/>
                <w:kern w:val="0"/>
                <w:sz w:val="23"/>
                <w:szCs w:val="23"/>
                <w:lang w:val="ru-RU" w:eastAsia="ru-RU" w:bidi="ar-SA"/>
              </w:rPr>
              <w:t>соединений и маркировки проводов.</w:t>
            </w:r>
          </w:p>
          <w:p>
            <w:pPr>
              <w:pStyle w:val="Default"/>
              <w:widowControl w:val="false"/>
              <w:numPr>
                <w:ilvl w:val="0"/>
                <w:numId w:val="41"/>
              </w:numPr>
              <w:suppressAutoHyphens w:val="true"/>
              <w:spacing w:lineRule="auto" w:line="276" w:before="0" w:after="0"/>
              <w:jc w:val="both"/>
              <w:rPr>
                <w:color w:val="auto"/>
                <w:sz w:val="23"/>
                <w:szCs w:val="23"/>
              </w:rPr>
            </w:pPr>
            <w:r>
              <w:rPr>
                <w:rFonts w:eastAsia="Times New Roman" w:cs="Times New Roman"/>
                <w:color w:val="auto"/>
                <w:kern w:val="0"/>
                <w:sz w:val="23"/>
                <w:szCs w:val="23"/>
                <w:lang w:val="ru-RU" w:eastAsia="ru-RU" w:bidi="ar-SA"/>
              </w:rPr>
              <w:t>регулировка и калибровка оборудования;</w:t>
            </w:r>
          </w:p>
          <w:p>
            <w:pPr>
              <w:pStyle w:val="Default"/>
              <w:widowControl w:val="false"/>
              <w:numPr>
                <w:ilvl w:val="0"/>
                <w:numId w:val="41"/>
              </w:numPr>
              <w:suppressAutoHyphens w:val="true"/>
              <w:spacing w:lineRule="auto" w:line="276" w:before="0" w:after="148"/>
              <w:jc w:val="both"/>
              <w:rPr>
                <w:color w:val="auto"/>
                <w:sz w:val="23"/>
                <w:szCs w:val="23"/>
              </w:rPr>
            </w:pPr>
            <w:r>
              <w:rPr>
                <w:rFonts w:eastAsia="Times New Roman" w:cs="Times New Roman"/>
                <w:color w:val="auto"/>
                <w:kern w:val="0"/>
                <w:sz w:val="23"/>
                <w:szCs w:val="23"/>
                <w:lang w:val="ru-RU" w:eastAsia="ru-RU" w:bidi="ar-SA"/>
              </w:rPr>
              <w:t>замена плавких вставок предохранителей.</w:t>
            </w:r>
          </w:p>
          <w:p>
            <w:pPr>
              <w:pStyle w:val="Default"/>
              <w:widowControl w:val="false"/>
              <w:suppressAutoHyphens w:val="true"/>
              <w:spacing w:lineRule="auto" w:line="276" w:before="0" w:after="0"/>
              <w:jc w:val="both"/>
              <w:rPr>
                <w:color w:val="auto"/>
                <w:sz w:val="23"/>
                <w:szCs w:val="23"/>
              </w:rPr>
            </w:pPr>
            <w:r>
              <w:rPr>
                <w:rFonts w:eastAsia="Times New Roman" w:cs="Times New Roman"/>
                <w:color w:val="auto"/>
                <w:kern w:val="0"/>
                <w:sz w:val="23"/>
                <w:szCs w:val="23"/>
                <w:lang w:val="ru-RU" w:eastAsia="ru-RU" w:bidi="ar-SA"/>
              </w:rPr>
              <w:tab/>
              <w:t xml:space="preserve">Должна быть обеспечена возможность проведения текущего обслуживания функционального блока или группы блоков при сохранении под напряжением соседних блоков или групп. Для этого необходимо предусмотреть разделения оборудования на потенциальные группы по питанию с возможностью селективного отключения одной или нескольких групп. Для удобства монтажа и обслуживания шкафов должно быть предусмотрено внутреннее освещение и сервисная розетка. </w:t>
            </w:r>
          </w:p>
          <w:p>
            <w:pPr>
              <w:pStyle w:val="Default"/>
              <w:widowControl w:val="false"/>
              <w:suppressAutoHyphens w:val="true"/>
              <w:spacing w:lineRule="auto" w:line="276" w:before="0" w:after="167"/>
              <w:jc w:val="both"/>
              <w:rPr>
                <w:color w:val="auto"/>
                <w:sz w:val="23"/>
                <w:szCs w:val="23"/>
              </w:rPr>
            </w:pPr>
            <w:r>
              <w:rPr>
                <w:rFonts w:eastAsia="Times New Roman" w:cs="Times New Roman"/>
                <w:color w:val="auto"/>
                <w:kern w:val="0"/>
                <w:sz w:val="23"/>
                <w:szCs w:val="23"/>
                <w:lang w:val="ru-RU" w:eastAsia="ru-RU" w:bidi="ar-SA"/>
              </w:rPr>
              <w:tab/>
              <w:t xml:space="preserve">Если шкаф двустороннего обслуживания, плафон освещения и сервисную розетку необходимо устанавливать с каждой из сторон обслуживания. Освещение должно включаться автоматически при открытии двери шкафа, а также должны быть предусмотрены ручные выключатели освещения в шкафу.  Освещение шкафа и сервисные розетки должны подключаться к сети переменного тока напряжением 220 В и частотой 50 Гц через отдельный автоматический выключатель. </w:t>
            </w:r>
          </w:p>
          <w:p>
            <w:pPr>
              <w:pStyle w:val="Default"/>
              <w:widowControl w:val="false"/>
              <w:suppressAutoHyphens w:val="true"/>
              <w:spacing w:lineRule="auto" w:line="276" w:before="0" w:after="164"/>
              <w:jc w:val="both"/>
              <w:rPr>
                <w:color w:val="auto"/>
                <w:sz w:val="23"/>
                <w:szCs w:val="23"/>
              </w:rPr>
            </w:pPr>
            <w:r>
              <w:rPr>
                <w:rFonts w:eastAsia="Times New Roman" w:cs="Times New Roman"/>
                <w:color w:val="auto"/>
                <w:kern w:val="0"/>
                <w:sz w:val="23"/>
                <w:szCs w:val="23"/>
                <w:lang w:val="ru-RU" w:eastAsia="ru-RU" w:bidi="ar-SA"/>
              </w:rPr>
              <w:tab/>
              <w:t xml:space="preserve">На двери (для шкафов двустороннего обслуживания на передней двери) должен быть предусмотрен карман для документации, необходимой для эксплуатации и обслуживания шкафа. </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Normal"/>
              <w:widowControl w:val="false"/>
              <w:suppressAutoHyphens w:val="true"/>
              <w:spacing w:before="0" w:after="0"/>
              <w:jc w:val="left"/>
              <w:rPr>
                <w:bCs/>
                <w:sz w:val="24"/>
                <w:szCs w:val="24"/>
              </w:rPr>
            </w:pPr>
            <w:r>
              <w:rPr>
                <w:rFonts w:eastAsia="Times New Roman" w:cs="Times New Roman"/>
                <w:bCs/>
                <w:kern w:val="0"/>
                <w:sz w:val="24"/>
                <w:szCs w:val="24"/>
                <w:lang w:val="ru-RU" w:eastAsia="ru-RU" w:bidi="ar-SA"/>
              </w:rPr>
              <w:t>Требования к температурному контролю</w:t>
            </w:r>
          </w:p>
        </w:tc>
        <w:tc>
          <w:tcPr>
            <w:tcW w:w="12333" w:type="dxa"/>
            <w:tcBorders/>
            <w:vAlign w:val="center"/>
          </w:tcPr>
          <w:p>
            <w:pPr>
              <w:pStyle w:val="Default"/>
              <w:widowControl w:val="false"/>
              <w:suppressAutoHyphens w:val="true"/>
              <w:spacing w:lineRule="auto" w:line="276" w:before="0" w:after="0"/>
              <w:jc w:val="both"/>
              <w:rPr>
                <w:color w:val="auto"/>
              </w:rPr>
            </w:pPr>
            <w:r>
              <w:rPr>
                <w:rFonts w:eastAsia="Times New Roman" w:cs="Times New Roman"/>
                <w:color w:val="auto"/>
                <w:kern w:val="0"/>
                <w:lang w:val="ru-RU" w:eastAsia="ru-RU" w:bidi="ar-SA"/>
              </w:rPr>
              <w:tab/>
              <w:t xml:space="preserve">Для необходимости поддержания микроклимата в шкафу должна быть предусмотрена система терморегулирования шкафа, включающая в себя систему вентиляции и при необходимости систему обогрева. Система обогрева должна использоваться при условии, что в помещении, где планируется установить шкаф, возможно понижение температуры ниже 10 °С. Терморегулирование шкафа должно предусматривать изменение уставок температуры включения вентилятора и обогревателя, а также выдачу сигнала о превышении уставки разрешенной температуры внутри шкафа. Температурные датчики, отвечающие за включение вентилятора и формирование сигнала превышения температуры, должны располагаться в верхней части шкафа, измерение температуры должно происходить в разных точках (например, датчик включения вентилятора с левой стороны шкафа, а датчик превышения температуры с правой, таким образом осуществляется контроль температуры в большей зоне). Температурный датчик включения обогревателя должен располагаться в нижней части шкафа. </w:t>
            </w:r>
          </w:p>
          <w:p>
            <w:pPr>
              <w:pStyle w:val="Default"/>
              <w:widowControl w:val="false"/>
              <w:suppressAutoHyphens w:val="true"/>
              <w:spacing w:lineRule="auto" w:line="276" w:before="0" w:after="0"/>
              <w:jc w:val="both"/>
              <w:rPr>
                <w:color w:val="auto"/>
              </w:rPr>
            </w:pPr>
            <w:r>
              <w:rPr>
                <w:rFonts w:eastAsia="Times New Roman" w:cs="Times New Roman"/>
                <w:color w:val="auto"/>
                <w:kern w:val="0"/>
                <w:lang w:val="ru-RU" w:eastAsia="ru-RU" w:bidi="ar-SA"/>
              </w:rPr>
              <w:tab/>
              <w:t xml:space="preserve">При принудительной вентиляции вентилятор должен устанавливаться на передней двери в нижней ее части и настраиваться на вдув воздуха (таким образом исключается возможность возникновения пониженного давления в шкафу в следствии которого через конструкционные зазоры может затягиваться пыль), вентиляционная решетка для отвода горячего воздуха должна располагаться на задней двери в верхней ее части (для шкафов одностороннего обслуживания вентиляционную решетку допускается устанавливать на дверь шкафа в верхней ее части или на крышу шкафа). Вентилятор и вентиляционная решетка должны быть оснащены фильтрующими элементами. Для шкафов навесного исполнения допускается установка вентилятора и вентиляционной решетки на боковину, причем вентилятор должен располагаться в нижней части шкафа, а решетка максимально близко к верху шкафа. </w:t>
            </w:r>
          </w:p>
          <w:p>
            <w:pPr>
              <w:pStyle w:val="Default"/>
              <w:widowControl w:val="false"/>
              <w:suppressAutoHyphens w:val="true"/>
              <w:spacing w:lineRule="auto" w:line="276" w:before="0" w:after="0"/>
              <w:jc w:val="both"/>
              <w:rPr>
                <w:color w:val="auto"/>
              </w:rPr>
            </w:pPr>
            <w:r>
              <w:rPr>
                <w:rFonts w:eastAsia="Times New Roman" w:cs="Times New Roman"/>
                <w:color w:val="auto"/>
                <w:kern w:val="0"/>
                <w:lang w:val="ru-RU" w:eastAsia="ru-RU" w:bidi="ar-SA"/>
              </w:rPr>
              <w:tab/>
              <w:t xml:space="preserve">Система контроля микроклимата в шкафу должна подключаться к сети переменного тока напряжением 220 В и частотой 50 Гц через отдельный автоматический выключатель. Типовая схема контроля микроклимата в шкафу приведена в электрических схемах на типовые шкафы. </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Default"/>
              <w:widowControl w:val="false"/>
              <w:suppressAutoHyphens w:val="true"/>
              <w:spacing w:before="0" w:after="0"/>
              <w:jc w:val="left"/>
              <w:rPr>
                <w:color w:val="auto"/>
                <w:sz w:val="23"/>
                <w:szCs w:val="23"/>
              </w:rPr>
            </w:pPr>
            <w:r>
              <w:rPr>
                <w:rFonts w:eastAsia="Times New Roman" w:cs="Times New Roman"/>
                <w:bCs/>
                <w:color w:val="auto"/>
                <w:kern w:val="0"/>
                <w:szCs w:val="23"/>
                <w:lang w:val="ru-RU" w:eastAsia="ru-RU" w:bidi="ar-SA"/>
              </w:rPr>
              <w:t xml:space="preserve">Требования к клеммным рядам </w:t>
            </w:r>
          </w:p>
        </w:tc>
        <w:tc>
          <w:tcPr>
            <w:tcW w:w="12333" w:type="dxa"/>
            <w:tcBorders/>
            <w:vAlign w:val="center"/>
          </w:tcPr>
          <w:p>
            <w:pPr>
              <w:pStyle w:val="Default"/>
              <w:widowControl w:val="false"/>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ab/>
            </w:r>
            <w:r>
              <w:rPr>
                <w:rFonts w:eastAsia="Times New Roman" w:cs="Times New Roman"/>
                <w:color w:val="auto"/>
                <w:kern w:val="0"/>
                <w:lang w:val="ru-RU" w:eastAsia="ru-RU" w:bidi="ar-SA"/>
              </w:rPr>
              <w:t xml:space="preserve">Конструкция клеммы должна обеспечивать возможность снятия и замены без разбора клеммного ряда. Все зажимы клеммного ряда должны быть выполнены в пружинном исполнении. Клеммные зажимы, установленные для связи внутренних проводников с внешним кабелем, должны иметь по 2 точки подключения с каждой из сторон, а также разъем для установки соединительных мостиков. При исполнении клеммных зажимов с открытой с торца контактной частью должны быть установлены концевые крышки, исключающие прикосновение и попадание инородных тел на открытую контактную часть. Для визуального логического разделения цепей в клеммный ряд должны устанавливаться разделительные пластины. </w:t>
            </w:r>
          </w:p>
          <w:p>
            <w:pPr>
              <w:pStyle w:val="Default"/>
              <w:widowControl w:val="false"/>
              <w:suppressAutoHyphens w:val="true"/>
              <w:spacing w:before="0" w:after="0"/>
              <w:jc w:val="both"/>
              <w:rPr>
                <w:color w:val="auto"/>
                <w:sz w:val="23"/>
                <w:szCs w:val="23"/>
              </w:rPr>
            </w:pPr>
            <w:r>
              <w:rPr>
                <w:rFonts w:eastAsia="Times New Roman" w:cs="Times New Roman"/>
                <w:color w:val="auto"/>
                <w:kern w:val="0"/>
                <w:lang w:val="ru-RU" w:eastAsia="ru-RU" w:bidi="ar-SA"/>
              </w:rPr>
              <w:tab/>
            </w:r>
            <w:r>
              <w:rPr>
                <w:rFonts w:eastAsia="Times New Roman" w:cs="Times New Roman"/>
                <w:color w:val="auto"/>
                <w:kern w:val="0"/>
                <w:sz w:val="23"/>
                <w:szCs w:val="23"/>
                <w:lang w:val="ru-RU" w:eastAsia="ru-RU" w:bidi="ar-SA"/>
              </w:rPr>
              <w:t xml:space="preserve">Для разделения и изоляции соседних соединительных мостиков в клеммный ряд должны устанавливаться разделительные пластины либо разделительные перегородки, либо концевые крышки. В каждом клеммном ряду должна предусматриваться маркировочная колодка для нанесения позиционного обозначения. В начале и конце клеммного рада должны устанавливаться концевые держатели. Маркировка зажимов должна производится маркировочными приспособлениями, изготавливаемыми производителем зажимов, либо их аналогами. Рукописная маркировка зажимов не допускается. </w:t>
            </w:r>
          </w:p>
          <w:p>
            <w:pPr>
              <w:pStyle w:val="Default"/>
              <w:widowControl w:val="false"/>
              <w:suppressAutoHyphens w:val="true"/>
              <w:spacing w:before="0" w:after="0"/>
              <w:jc w:val="both"/>
              <w:rPr>
                <w:color w:val="auto"/>
                <w:sz w:val="23"/>
                <w:szCs w:val="23"/>
              </w:rPr>
            </w:pPr>
            <w:r>
              <w:rPr>
                <w:rFonts w:eastAsia="Times New Roman" w:cs="Times New Roman"/>
                <w:color w:val="auto"/>
                <w:kern w:val="0"/>
                <w:sz w:val="23"/>
                <w:szCs w:val="23"/>
                <w:lang w:val="ru-RU" w:eastAsia="ru-RU" w:bidi="ar-SA"/>
              </w:rPr>
              <w:tab/>
              <w:t xml:space="preserve">Ряды зажимов должны формироваться в функциональные группы с вертикальным размещением (при необходимости допускается горизонтальное размещение зажимов). Количество зажимов в одном ряду определяется полезной площадью монтажной поверхности. </w:t>
            </w:r>
          </w:p>
          <w:p>
            <w:pPr>
              <w:pStyle w:val="Default"/>
              <w:widowControl w:val="false"/>
              <w:suppressAutoHyphens w:val="true"/>
              <w:spacing w:before="0" w:after="0"/>
              <w:jc w:val="both"/>
              <w:rPr>
                <w:color w:val="auto"/>
                <w:sz w:val="23"/>
                <w:szCs w:val="23"/>
              </w:rPr>
            </w:pPr>
            <w:r>
              <w:rPr>
                <w:rFonts w:eastAsia="Times New Roman" w:cs="Times New Roman"/>
                <w:color w:val="auto"/>
                <w:kern w:val="0"/>
                <w:sz w:val="23"/>
                <w:szCs w:val="23"/>
                <w:lang w:val="ru-RU" w:eastAsia="ru-RU" w:bidi="ar-SA"/>
              </w:rPr>
              <w:tab/>
              <w:t xml:space="preserve">В пределах одной функциональной группы зажимов должна быть выполнена сквозная нумерация всех зажимов, начиная с единицы, сверху вниз и слева направо. </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Default"/>
              <w:widowControl w:val="false"/>
              <w:suppressAutoHyphens w:val="true"/>
              <w:spacing w:before="0" w:after="0"/>
              <w:jc w:val="left"/>
              <w:rPr>
                <w:color w:val="auto"/>
                <w:sz w:val="23"/>
                <w:szCs w:val="23"/>
              </w:rPr>
            </w:pPr>
            <w:r>
              <w:rPr>
                <w:rFonts w:eastAsia="Times New Roman" w:cs="Times New Roman"/>
                <w:bCs/>
                <w:color w:val="auto"/>
                <w:kern w:val="0"/>
                <w:szCs w:val="23"/>
                <w:lang w:val="ru-RU" w:eastAsia="ru-RU" w:bidi="ar-SA"/>
              </w:rPr>
              <w:t xml:space="preserve">Требования к электропитанию </w:t>
            </w:r>
          </w:p>
        </w:tc>
        <w:tc>
          <w:tcPr>
            <w:tcW w:w="12333" w:type="dxa"/>
            <w:tcBorders/>
            <w:vAlign w:val="center"/>
          </w:tcPr>
          <w:p>
            <w:pPr>
              <w:pStyle w:val="Default"/>
              <w:widowControl w:val="false"/>
              <w:suppressAutoHyphens w:val="true"/>
              <w:spacing w:before="0" w:after="0"/>
              <w:jc w:val="both"/>
              <w:rPr>
                <w:color w:val="auto"/>
              </w:rPr>
            </w:pPr>
            <w:r>
              <w:rPr>
                <w:rFonts w:eastAsia="Times New Roman" w:cs="Times New Roman"/>
                <w:color w:val="auto"/>
                <w:kern w:val="0"/>
                <w:lang w:val="ru-RU" w:eastAsia="ru-RU" w:bidi="ar-SA"/>
              </w:rPr>
              <w:tab/>
              <w:t xml:space="preserve">Для питания каждого из ПТК необходимо организовать 4 ввода питания: 1 ввод питания освещения и сервисных розеток 220 В АС, 1 ввод питания ПТК от системы гарантированного питания ГЭС 220 В АС, 2 ввода питания от щита постоянного тока (ЩПТ) ГЭС (секция 1 и секция 2) 220 В DC. </w:t>
            </w:r>
          </w:p>
          <w:p>
            <w:pPr>
              <w:pStyle w:val="Default"/>
              <w:widowControl w:val="false"/>
              <w:suppressAutoHyphens w:val="true"/>
              <w:spacing w:before="0" w:after="0"/>
              <w:jc w:val="both"/>
              <w:rPr>
                <w:color w:val="auto"/>
              </w:rPr>
            </w:pPr>
            <w:r>
              <w:rPr>
                <w:rFonts w:eastAsia="Times New Roman" w:cs="Times New Roman"/>
                <w:color w:val="auto"/>
                <w:kern w:val="0"/>
                <w:lang w:val="ru-RU" w:eastAsia="ru-RU" w:bidi="ar-SA"/>
              </w:rPr>
              <w:tab/>
              <w:t xml:space="preserve">Ввод питания освещения и сервисных розеток не должен использоваться для питания иных устройств в шкафу.  Питание контроля температуры в шкафу осуществляется от ввода системы гарантированного питания ГЭС 220 В АС. Напряжение питания оборудования внутри шкафа 24 В постоянного тока. Источники питания оборудования должны быть резервированы. </w:t>
            </w:r>
          </w:p>
          <w:p>
            <w:pPr>
              <w:pStyle w:val="Default"/>
              <w:widowControl w:val="false"/>
              <w:suppressAutoHyphens w:val="true"/>
              <w:spacing w:before="0" w:after="0"/>
              <w:jc w:val="both"/>
              <w:rPr>
                <w:color w:val="auto"/>
              </w:rPr>
            </w:pPr>
            <w:r>
              <w:rPr>
                <w:rFonts w:eastAsia="Times New Roman" w:cs="Times New Roman"/>
                <w:color w:val="auto"/>
                <w:kern w:val="0"/>
                <w:lang w:val="ru-RU" w:eastAsia="ru-RU" w:bidi="ar-SA"/>
              </w:rPr>
              <w:tab/>
              <w:t xml:space="preserve">Цепи питания оборудования, установленного внутри шкафа, и цепи питания полевого оборудования, датчиков и сухих контактов должны быть гальванически развязаны. Для этого устанавливаются 2 резервированных блока питания для оборудования внутри шкафа и 2 резервированных блока питания для оборудования, датчиков и сухих контактов вне шкафа. </w:t>
            </w:r>
          </w:p>
          <w:p>
            <w:pPr>
              <w:pStyle w:val="Default"/>
              <w:widowControl w:val="false"/>
              <w:suppressAutoHyphens w:val="true"/>
              <w:spacing w:before="0" w:after="0"/>
              <w:jc w:val="both"/>
              <w:rPr>
                <w:color w:val="auto"/>
              </w:rPr>
            </w:pPr>
            <w:r>
              <w:rPr>
                <w:rFonts w:eastAsia="Times New Roman" w:cs="Times New Roman"/>
                <w:color w:val="auto"/>
                <w:kern w:val="0"/>
                <w:lang w:val="ru-RU" w:eastAsia="ru-RU" w:bidi="ar-SA"/>
              </w:rPr>
              <w:tab/>
              <w:t xml:space="preserve">Номинал блоков питания рассчитывается исходя из максимального потребления всего оборудования внутри шкафа (либо полевого оборудования) с 20 % запасом. </w:t>
            </w:r>
          </w:p>
          <w:p>
            <w:pPr>
              <w:pStyle w:val="Default"/>
              <w:widowControl w:val="false"/>
              <w:suppressAutoHyphens w:val="true"/>
              <w:spacing w:before="0" w:after="0"/>
              <w:jc w:val="both"/>
              <w:rPr>
                <w:color w:val="auto"/>
              </w:rPr>
            </w:pPr>
            <w:r>
              <w:rPr>
                <w:rFonts w:eastAsia="Times New Roman" w:cs="Times New Roman"/>
                <w:kern w:val="0"/>
                <w:lang w:val="ru-RU" w:eastAsia="ru-RU" w:bidi="ar-SA"/>
              </w:rPr>
              <w:tab/>
            </w:r>
            <w:r>
              <w:rPr>
                <w:rFonts w:eastAsia="Times New Roman" w:cs="Times New Roman"/>
                <w:color w:val="auto"/>
                <w:kern w:val="0"/>
                <w:lang w:val="ru-RU" w:eastAsia="ru-RU" w:bidi="ar-SA"/>
              </w:rPr>
              <w:t xml:space="preserve">Питание первого блока питания из резервированной пары необходимо осуществлять от ввода 220 В АС от системы гарантированного питания ГЭС, а питание второго блока питания – от ввода 220 В DC от ЩПТ ГЭС. </w:t>
            </w:r>
          </w:p>
          <w:p>
            <w:pPr>
              <w:pStyle w:val="Default"/>
              <w:widowControl w:val="false"/>
              <w:suppressAutoHyphens w:val="true"/>
              <w:spacing w:before="0" w:after="164"/>
              <w:jc w:val="both"/>
              <w:rPr>
                <w:color w:val="auto"/>
              </w:rPr>
            </w:pPr>
            <w:r>
              <w:rPr>
                <w:rFonts w:eastAsia="Times New Roman" w:cs="Times New Roman"/>
                <w:color w:val="auto"/>
                <w:kern w:val="0"/>
                <w:lang w:val="ru-RU" w:eastAsia="ru-RU" w:bidi="ar-SA"/>
              </w:rPr>
              <w:tab/>
              <w:t xml:space="preserve">Для защиты цепей питания 24 В рекомендуется использовать быстродействующие электронные защитные выключатели с ограничением максимального тока. </w:t>
            </w:r>
          </w:p>
        </w:tc>
      </w:tr>
      <w:tr>
        <w:trPr/>
        <w:tc>
          <w:tcPr>
            <w:tcW w:w="707" w:type="dxa"/>
            <w:tcBorders/>
            <w:vAlign w:val="center"/>
          </w:tcPr>
          <w:p>
            <w:pPr>
              <w:pStyle w:val="ListParagraph"/>
              <w:widowControl w:val="false"/>
              <w:numPr>
                <w:ilvl w:val="0"/>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0" w:after="0"/>
              <w:jc w:val="left"/>
              <w:rPr>
                <w:b/>
                <w:bCs/>
                <w:sz w:val="24"/>
                <w:szCs w:val="24"/>
              </w:rPr>
            </w:pPr>
            <w:r>
              <w:rPr>
                <w:rFonts w:eastAsia="Times New Roman" w:cs="Times New Roman"/>
                <w:b/>
                <w:kern w:val="0"/>
                <w:sz w:val="24"/>
                <w:szCs w:val="24"/>
                <w:lang w:val="ru-RU" w:eastAsia="ru-RU" w:bidi="ar-SA"/>
              </w:rPr>
              <w:t>Требования к защите информации от несанкционированного доступа</w:t>
            </w:r>
          </w:p>
        </w:tc>
      </w:tr>
      <w:tr>
        <w:trPr/>
        <w:tc>
          <w:tcPr>
            <w:tcW w:w="707" w:type="dxa"/>
            <w:tcBorders/>
            <w:vAlign w:val="center"/>
          </w:tcPr>
          <w:p>
            <w:pPr>
              <w:pStyle w:val="ListParagraph"/>
              <w:widowControl w:val="false"/>
              <w:numPr>
                <w:ilvl w:val="1"/>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29" w:type="dxa"/>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Требования к защите информации от несанкционированного доступа</w:t>
            </w:r>
          </w:p>
        </w:tc>
        <w:tc>
          <w:tcPr>
            <w:tcW w:w="12373" w:type="dxa"/>
            <w:gridSpan w:val="3"/>
            <w:tcBorders/>
            <w:vAlign w:val="center"/>
          </w:tcPr>
          <w:p>
            <w:pPr>
              <w:pStyle w:val="Normal"/>
              <w:widowControl w:val="false"/>
              <w:shd w:val="clear" w:color="auto" w:fill="FFFFFF"/>
              <w:suppressAutoHyphens w:val="true"/>
              <w:spacing w:before="0" w:after="0"/>
              <w:jc w:val="both"/>
              <w:rPr>
                <w:sz w:val="24"/>
                <w:szCs w:val="24"/>
              </w:rPr>
            </w:pPr>
            <w:r>
              <w:rPr>
                <w:rFonts w:eastAsia="Times New Roman" w:cs="Times New Roman"/>
                <w:kern w:val="0"/>
                <w:sz w:val="24"/>
                <w:szCs w:val="24"/>
                <w:lang w:val="ru-RU" w:eastAsia="ru-RU" w:bidi="ar-SA"/>
              </w:rPr>
              <w:tab/>
              <w:t>Защита информации от несанкционированного доступа должна обеспечиваться разделением сегмента технологической сети передачи информации, в которой функционируют средства ПТК, от внешних информационных систем - локальной вычислительной сети филиала, ЛВС РусГидро. Разделение должно выполняться на программно-аппаратном уровне с применением технических средств (межсетевых экранов), удовлетворяющих требованиям ФСТЭК.</w:t>
            </w:r>
          </w:p>
          <w:p>
            <w:pPr>
              <w:pStyle w:val="Normal"/>
              <w:widowControl w:val="false"/>
              <w:shd w:val="clear" w:color="auto" w:fill="FFFFFF"/>
              <w:suppressAutoHyphens w:val="true"/>
              <w:spacing w:before="0" w:after="0"/>
              <w:jc w:val="both"/>
              <w:rPr>
                <w:sz w:val="24"/>
                <w:szCs w:val="24"/>
              </w:rPr>
            </w:pPr>
            <w:r>
              <w:rPr>
                <w:rFonts w:eastAsia="Times New Roman" w:cs="Times New Roman"/>
                <w:kern w:val="0"/>
                <w:sz w:val="24"/>
                <w:szCs w:val="24"/>
                <w:lang w:val="ru-RU" w:eastAsia="ru-RU" w:bidi="ar-SA"/>
              </w:rPr>
              <w:tab/>
              <w:t>Комплекс программно-технических средств и организационных мер для защиты информации должен включать в себя:</w:t>
            </w:r>
          </w:p>
          <w:p>
            <w:pPr>
              <w:pStyle w:val="Style35"/>
              <w:widowControl w:val="false"/>
              <w:numPr>
                <w:ilvl w:val="0"/>
                <w:numId w:val="50"/>
              </w:numPr>
              <w:suppressAutoHyphens w:val="true"/>
              <w:spacing w:before="0" w:after="0"/>
              <w:rPr>
                <w:rFonts w:ascii="Times New Roman" w:hAnsi="Times New Roman"/>
                <w:sz w:val="24"/>
              </w:rPr>
            </w:pPr>
            <w:r>
              <w:rPr>
                <w:rFonts w:cs="Times New Roman" w:ascii="Times New Roman" w:hAnsi="Times New Roman"/>
                <w:kern w:val="0"/>
                <w:sz w:val="24"/>
                <w:lang w:bidi="ar-SA"/>
              </w:rPr>
              <w:t>Идентификацию и проверку подлинности субъектов доступа при входе в систему по паролю условно постоянного действия длиной не менее шести символов;</w:t>
            </w:r>
          </w:p>
          <w:p>
            <w:pPr>
              <w:pStyle w:val="Style35"/>
              <w:widowControl w:val="false"/>
              <w:numPr>
                <w:ilvl w:val="0"/>
                <w:numId w:val="50"/>
              </w:numPr>
              <w:suppressAutoHyphens w:val="true"/>
              <w:spacing w:before="0" w:after="0"/>
              <w:rPr>
                <w:rFonts w:ascii="Times New Roman" w:hAnsi="Times New Roman"/>
                <w:sz w:val="24"/>
              </w:rPr>
            </w:pPr>
            <w:r>
              <w:rPr>
                <w:rFonts w:cs="Times New Roman" w:ascii="Times New Roman" w:hAnsi="Times New Roman"/>
                <w:kern w:val="0"/>
                <w:sz w:val="24"/>
                <w:lang w:bidi="ar-SA"/>
              </w:rPr>
              <w:t>Регистрацию событий входа/выхода субъектов доступа в систему/из системы с меткой времени, учетной записью, под которой осуществлялась попытка входа, результатом попытки;</w:t>
            </w:r>
          </w:p>
          <w:p>
            <w:pPr>
              <w:pStyle w:val="Style35"/>
              <w:widowControl w:val="false"/>
              <w:numPr>
                <w:ilvl w:val="0"/>
                <w:numId w:val="50"/>
              </w:numPr>
              <w:suppressAutoHyphens w:val="true"/>
              <w:spacing w:before="0" w:after="0"/>
              <w:rPr>
                <w:rFonts w:ascii="Times New Roman" w:hAnsi="Times New Roman"/>
                <w:sz w:val="24"/>
              </w:rPr>
            </w:pPr>
            <w:r>
              <w:rPr>
                <w:rFonts w:cs="Times New Roman" w:ascii="Times New Roman" w:hAnsi="Times New Roman"/>
                <w:kern w:val="0"/>
                <w:sz w:val="24"/>
                <w:lang w:bidi="ar-SA"/>
              </w:rPr>
              <w:t xml:space="preserve">Регистрацию событий программного останова, загрузки и инициализации операционной системы узлов </w:t>
            </w:r>
            <w:r>
              <w:rPr>
                <w:rFonts w:cs="Times New Roman" w:ascii="Times New Roman" w:hAnsi="Times New Roman"/>
                <w:kern w:val="0"/>
                <w:sz w:val="24"/>
                <w:lang w:val="ru-RU" w:bidi="ar-SA"/>
              </w:rPr>
              <w:t>САУ ГА</w:t>
            </w:r>
            <w:r>
              <w:rPr>
                <w:rFonts w:cs="Times New Roman" w:ascii="Times New Roman" w:hAnsi="Times New Roman"/>
                <w:kern w:val="0"/>
                <w:sz w:val="24"/>
                <w:lang w:bidi="ar-SA"/>
              </w:rPr>
              <w:t xml:space="preserve"> с меткого времени;</w:t>
            </w:r>
          </w:p>
          <w:p>
            <w:pPr>
              <w:pStyle w:val="Style35"/>
              <w:widowControl w:val="false"/>
              <w:numPr>
                <w:ilvl w:val="0"/>
                <w:numId w:val="50"/>
              </w:numPr>
              <w:suppressAutoHyphens w:val="true"/>
              <w:spacing w:before="0" w:after="0"/>
              <w:rPr>
                <w:rFonts w:ascii="Times New Roman" w:hAnsi="Times New Roman"/>
                <w:sz w:val="24"/>
              </w:rPr>
            </w:pPr>
            <w:r>
              <w:rPr>
                <w:rFonts w:cs="Times New Roman" w:ascii="Times New Roman" w:hAnsi="Times New Roman"/>
                <w:kern w:val="0"/>
                <w:sz w:val="24"/>
                <w:lang w:bidi="ar-SA"/>
              </w:rPr>
              <w:t>Обеспечение целостности программных компонентов системы по контрольным суммам, путем компиляции из исходных кодов;</w:t>
            </w:r>
          </w:p>
          <w:p>
            <w:pPr>
              <w:pStyle w:val="Style35"/>
              <w:widowControl w:val="false"/>
              <w:numPr>
                <w:ilvl w:val="0"/>
                <w:numId w:val="50"/>
              </w:numPr>
              <w:suppressAutoHyphens w:val="true"/>
              <w:spacing w:before="0" w:after="0"/>
              <w:rPr>
                <w:rFonts w:ascii="Times New Roman" w:hAnsi="Times New Roman"/>
                <w:sz w:val="24"/>
              </w:rPr>
            </w:pPr>
            <w:r>
              <w:rPr>
                <w:rFonts w:cs="Times New Roman" w:ascii="Times New Roman" w:hAnsi="Times New Roman"/>
                <w:kern w:val="0"/>
                <w:sz w:val="24"/>
                <w:lang w:bidi="ar-SA"/>
              </w:rPr>
              <w:t xml:space="preserve">Периодическое тестирование функций системы защиты от несанкционированного </w:t>
            </w:r>
            <w:r>
              <w:rPr>
                <w:rFonts w:cs="Times New Roman" w:ascii="Times New Roman" w:hAnsi="Times New Roman"/>
                <w:kern w:val="0"/>
                <w:sz w:val="24"/>
                <w:lang w:val="ru-RU" w:bidi="ar-SA"/>
              </w:rPr>
              <w:t>доступа</w:t>
            </w:r>
            <w:r>
              <w:rPr>
                <w:rFonts w:cs="Times New Roman" w:ascii="Times New Roman" w:hAnsi="Times New Roman"/>
                <w:kern w:val="0"/>
                <w:sz w:val="24"/>
                <w:lang w:bidi="ar-SA"/>
              </w:rPr>
              <w:t xml:space="preserve"> с помощью тестовых программ, имитирующих попытки такого доступа;</w:t>
            </w:r>
          </w:p>
          <w:p>
            <w:pPr>
              <w:pStyle w:val="Style35"/>
              <w:widowControl w:val="false"/>
              <w:numPr>
                <w:ilvl w:val="0"/>
                <w:numId w:val="50"/>
              </w:numPr>
              <w:suppressAutoHyphens w:val="true"/>
              <w:spacing w:before="0" w:after="0"/>
              <w:rPr>
                <w:rFonts w:ascii="Times New Roman" w:hAnsi="Times New Roman"/>
                <w:sz w:val="24"/>
              </w:rPr>
            </w:pPr>
            <w:r>
              <w:rPr>
                <w:rFonts w:cs="Times New Roman" w:ascii="Times New Roman" w:hAnsi="Times New Roman"/>
                <w:kern w:val="0"/>
                <w:sz w:val="24"/>
                <w:lang w:bidi="ar-SA"/>
              </w:rPr>
              <w:t>Сохранение двух копий программных средств системы защиты ин формации от несанкционированного доступа, их периодическое обновление и контроль работоспособности.</w:t>
            </w:r>
          </w:p>
          <w:p>
            <w:pPr>
              <w:pStyle w:val="Normal"/>
              <w:widowControl w:val="false"/>
              <w:suppressAutoHyphens w:val="true"/>
              <w:spacing w:before="0" w:after="0"/>
              <w:jc w:val="left"/>
              <w:rPr>
                <w:lang w:val="x-none" w:eastAsia="x-none"/>
              </w:rPr>
            </w:pPr>
            <w:r>
              <w:rPr>
                <w:lang w:val="x-none" w:eastAsia="x-none"/>
              </w:rPr>
            </w:r>
          </w:p>
          <w:p>
            <w:pPr>
              <w:pStyle w:val="BodyText"/>
              <w:widowControl w:val="false"/>
              <w:tabs>
                <w:tab w:val="clear" w:pos="708"/>
                <w:tab w:val="left" w:pos="0" w:leader="none"/>
              </w:tabs>
              <w:suppressAutoHyphens w:val="true"/>
              <w:spacing w:before="0" w:after="0"/>
              <w:ind w:hanging="0" w:right="20"/>
              <w:contextualSpacing/>
              <w:jc w:val="both"/>
              <w:rPr>
                <w:sz w:val="24"/>
                <w:szCs w:val="24"/>
              </w:rPr>
            </w:pPr>
            <w:r>
              <w:rPr>
                <w:rFonts w:eastAsia="Times New Roman" w:cs="Times New Roman"/>
                <w:kern w:val="0"/>
                <w:sz w:val="24"/>
                <w:szCs w:val="24"/>
                <w:lang w:val="ru-RU" w:eastAsia="ru-RU" w:bidi="ar-SA"/>
              </w:rPr>
              <w:tab/>
              <w:t>Технические меры должны предусматривать размещение технических средств САУ ГА</w:t>
            </w:r>
            <w:r>
              <w:rPr>
                <w:rStyle w:val="11pt1"/>
                <w:rFonts w:eastAsia="Times New Roman" w:cs="Times New Roman"/>
                <w:kern w:val="0"/>
                <w:sz w:val="24"/>
                <w:szCs w:val="24"/>
                <w:lang w:val="ru-RU" w:eastAsia="ru-RU" w:bidi="ar-SA"/>
              </w:rPr>
              <w:t xml:space="preserve"> в</w:t>
            </w:r>
            <w:r>
              <w:rPr>
                <w:rFonts w:eastAsia="Times New Roman" w:cs="Times New Roman"/>
                <w:kern w:val="0"/>
                <w:sz w:val="24"/>
                <w:szCs w:val="24"/>
                <w:lang w:val="ru-RU" w:eastAsia="ru-RU" w:bidi="ar-SA"/>
              </w:rPr>
              <w:t xml:space="preserve"> помещениях, защищенных от доступа лиц, не имеющих допуска к работе с ПТК.</w:t>
            </w:r>
          </w:p>
          <w:p>
            <w:pPr>
              <w:pStyle w:val="BodyText"/>
              <w:widowControl w:val="false"/>
              <w:tabs>
                <w:tab w:val="clear" w:pos="708"/>
                <w:tab w:val="left" w:pos="0" w:leader="none"/>
              </w:tabs>
              <w:suppressAutoHyphens w:val="true"/>
              <w:spacing w:before="0" w:after="0"/>
              <w:ind w:hanging="0" w:right="20"/>
              <w:contextualSpacing/>
              <w:jc w:val="both"/>
              <w:rPr>
                <w:sz w:val="24"/>
                <w:szCs w:val="24"/>
              </w:rPr>
            </w:pPr>
            <w:r>
              <w:rPr>
                <w:rFonts w:eastAsia="Times New Roman" w:cs="Times New Roman"/>
                <w:kern w:val="0"/>
                <w:sz w:val="24"/>
                <w:szCs w:val="24"/>
                <w:lang w:val="ru-RU" w:eastAsia="ru-RU" w:bidi="ar-SA"/>
              </w:rPr>
              <w:tab/>
              <w:t>При размещении аппаратуры ПТК в незащищенных от доступа посторонних лиц помещениях, аппаратура ПТК конструктивно должна быть установлена в защищенных от доступа посторонних лиц шкафах. Открытие</w:t>
              <w:br/>
              <w:t>шкафов должно регистрироваться средствами системы мониторинга.</w:t>
            </w:r>
          </w:p>
          <w:p>
            <w:pPr>
              <w:pStyle w:val="BodyText"/>
              <w:widowControl w:val="false"/>
              <w:tabs>
                <w:tab w:val="clear" w:pos="708"/>
                <w:tab w:val="left" w:pos="0" w:leader="none"/>
              </w:tabs>
              <w:suppressAutoHyphens w:val="true"/>
              <w:spacing w:before="0" w:after="0"/>
              <w:ind w:hanging="0" w:right="20"/>
              <w:contextualSpacing/>
              <w:jc w:val="both"/>
              <w:rPr>
                <w:sz w:val="24"/>
                <w:szCs w:val="24"/>
              </w:rPr>
            </w:pPr>
            <w:r>
              <w:rPr>
                <w:rFonts w:eastAsia="Times New Roman" w:cs="Times New Roman"/>
                <w:kern w:val="0"/>
                <w:sz w:val="24"/>
                <w:szCs w:val="24"/>
                <w:lang w:val="ru-RU" w:eastAsia="ru-RU" w:bidi="ar-SA"/>
              </w:rPr>
              <w:tab/>
              <w:t>Организационные меры должны обеспечивать выполнение работ по эксплуатации и обслуживанию ПТК персоналом различных категорий только в пределах своей компетенции, оговоренной должностными</w:t>
              <w:br/>
              <w:t>инструкциями, эксплуатационной и ремонтной документацией.</w:t>
            </w:r>
          </w:p>
          <w:p>
            <w:pPr>
              <w:pStyle w:val="Normal"/>
              <w:widowControl w:val="false"/>
              <w:shd w:val="clear" w:color="auto" w:fill="FFFFFF"/>
              <w:suppressAutoHyphens w:val="true"/>
              <w:spacing w:before="0" w:after="0"/>
              <w:ind w:firstLine="709"/>
              <w:contextualSpacing/>
              <w:jc w:val="both"/>
              <w:rPr>
                <w:sz w:val="24"/>
                <w:szCs w:val="24"/>
              </w:rPr>
            </w:pPr>
            <w:r>
              <w:rPr>
                <w:rFonts w:eastAsia="Times New Roman" w:cs="Times New Roman"/>
                <w:kern w:val="0"/>
                <w:sz w:val="24"/>
                <w:szCs w:val="24"/>
                <w:lang w:val="ru-RU" w:eastAsia="ru-RU" w:bidi="ar-SA"/>
              </w:rPr>
              <w:t>Программно-алгоритмические меры должны обеспечивать персоналу различных категорий доступ к функциям рабочих станций и серверов в соответствии с системой паролей. Пароли учетных записей, профили</w:t>
              <w:br/>
              <w:t>которых обладают правами управления оборудованием, должны формироваться системой автоматически, быть не менее шести символов и обновляться не реже 1 раза в квартал. При вводе неверного пароля больше трех раз</w:t>
              <w:br/>
              <w:t>подряд должна фиксироваться попытка несанкционированного доступа.</w:t>
            </w:r>
          </w:p>
          <w:p>
            <w:pPr>
              <w:pStyle w:val="BodyText"/>
              <w:widowControl w:val="false"/>
              <w:tabs>
                <w:tab w:val="clear" w:pos="708"/>
                <w:tab w:val="left" w:pos="0" w:leader="none"/>
              </w:tabs>
              <w:suppressAutoHyphens w:val="true"/>
              <w:spacing w:before="0" w:after="0"/>
              <w:ind w:hanging="0" w:right="20"/>
              <w:contextualSpacing/>
              <w:jc w:val="both"/>
              <w:rPr>
                <w:sz w:val="24"/>
                <w:szCs w:val="24"/>
              </w:rPr>
            </w:pPr>
            <w:r>
              <w:rPr>
                <w:rFonts w:eastAsia="Times New Roman" w:cs="Times New Roman"/>
                <w:kern w:val="0"/>
                <w:sz w:val="24"/>
                <w:szCs w:val="24"/>
                <w:lang w:val="ru-RU" w:eastAsia="ru-RU" w:bidi="ar-SA"/>
              </w:rPr>
              <w:tab/>
              <w:t>Все попытки несанкционированного доступа должны фиксироваться с последующей возможностью получения данных на бумажном носителе с указанием времени произведенных действий. Кроме фиксации факта при попытках несанкционированного доступа системой должны формироваться соответствующие предупреждения.</w:t>
            </w:r>
          </w:p>
          <w:p>
            <w:pPr>
              <w:pStyle w:val="Normal"/>
              <w:widowControl w:val="false"/>
              <w:shd w:val="clear" w:color="auto" w:fill="FFFFFF"/>
              <w:suppressAutoHyphens w:val="true"/>
              <w:spacing w:before="0" w:after="0"/>
              <w:ind w:firstLine="709"/>
              <w:contextualSpacing/>
              <w:jc w:val="both"/>
              <w:rPr>
                <w:sz w:val="24"/>
                <w:szCs w:val="24"/>
                <w:lang w:val="x-none"/>
              </w:rPr>
            </w:pPr>
            <w:r>
              <w:rPr>
                <w:rFonts w:eastAsia="Times New Roman" w:cs="Times New Roman"/>
                <w:kern w:val="0"/>
                <w:sz w:val="24"/>
                <w:szCs w:val="24"/>
                <w:lang w:val="ru-RU" w:eastAsia="ru-RU" w:bidi="ar-SA"/>
              </w:rPr>
              <w:t>Применяемые в ПТК средства вычислительной техники должны соответствовать требованиям по защите информации не ниже 7 класса.</w:t>
            </w:r>
          </w:p>
          <w:p>
            <w:pPr>
              <w:pStyle w:val="Normal"/>
              <w:widowControl w:val="false"/>
              <w:shd w:val="clear" w:color="auto" w:fill="FFFFFF"/>
              <w:suppressAutoHyphens w:val="true"/>
              <w:spacing w:before="0" w:after="0"/>
              <w:ind w:firstLine="709"/>
              <w:contextualSpacing/>
              <w:jc w:val="both"/>
              <w:rPr>
                <w:sz w:val="24"/>
                <w:szCs w:val="24"/>
              </w:rPr>
            </w:pPr>
            <w:r>
              <w:rPr>
                <w:rFonts w:eastAsia="Times New Roman" w:cs="Times New Roman"/>
                <w:kern w:val="0"/>
                <w:sz w:val="24"/>
                <w:szCs w:val="24"/>
                <w:lang w:val="ru-RU" w:eastAsia="ru-RU" w:bidi="ar-SA"/>
              </w:rPr>
              <w:t>Защита информации от несанкционированного доступа должна обеспечиваться в соответствии с ГОСТ Р 50739-95 «Средства вычислительной техники. Защита от несанкционированного доступа к информации».</w:t>
            </w:r>
          </w:p>
          <w:p>
            <w:pPr>
              <w:pStyle w:val="Normal"/>
              <w:widowControl w:val="false"/>
              <w:shd w:val="clear" w:color="auto" w:fill="FFFFFF"/>
              <w:suppressAutoHyphens w:val="true"/>
              <w:spacing w:before="0" w:after="0"/>
              <w:ind w:firstLine="709"/>
              <w:contextualSpacing/>
              <w:jc w:val="both"/>
              <w:rPr>
                <w:i/>
                <w:i/>
                <w:sz w:val="24"/>
                <w:szCs w:val="24"/>
              </w:rPr>
            </w:pPr>
            <w:r>
              <w:rPr>
                <w:rFonts w:eastAsia="Times New Roman" w:cs="Times New Roman"/>
                <w:i/>
                <w:kern w:val="0"/>
                <w:sz w:val="24"/>
                <w:szCs w:val="24"/>
                <w:lang w:val="ru-RU" w:eastAsia="ru-RU" w:bidi="ar-SA"/>
              </w:rPr>
              <w:t>Средства защиты информации от несанкционированного доступа должны:</w:t>
            </w:r>
          </w:p>
          <w:p>
            <w:pPr>
              <w:pStyle w:val="Style35"/>
              <w:widowControl w:val="false"/>
              <w:numPr>
                <w:ilvl w:val="0"/>
                <w:numId w:val="49"/>
              </w:numPr>
              <w:suppressAutoHyphens w:val="true"/>
              <w:spacing w:before="0" w:after="0"/>
              <w:rPr>
                <w:rFonts w:ascii="Times New Roman" w:hAnsi="Times New Roman"/>
                <w:sz w:val="24"/>
              </w:rPr>
            </w:pPr>
            <w:r>
              <w:rPr>
                <w:rFonts w:cs="Times New Roman" w:ascii="Times New Roman" w:hAnsi="Times New Roman"/>
                <w:kern w:val="0"/>
                <w:sz w:val="24"/>
                <w:lang w:bidi="ar-SA"/>
              </w:rPr>
              <w:t>Поддерживать непротиворечивые, однозначно определенные правила</w:t>
            </w:r>
            <w:r>
              <w:rPr>
                <w:rFonts w:cs="Times New Roman" w:ascii="Times New Roman" w:hAnsi="Times New Roman"/>
                <w:kern w:val="0"/>
                <w:sz w:val="24"/>
                <w:lang w:val="ru-RU" w:bidi="ar-SA"/>
              </w:rPr>
              <w:t xml:space="preserve"> </w:t>
            </w:r>
            <w:r>
              <w:rPr>
                <w:rFonts w:cs="Times New Roman" w:ascii="Times New Roman" w:hAnsi="Times New Roman"/>
                <w:kern w:val="0"/>
                <w:sz w:val="24"/>
                <w:lang w:bidi="ar-SA"/>
              </w:rPr>
              <w:t>разграничения доступа в соответствии с профилями:</w:t>
            </w:r>
          </w:p>
          <w:p>
            <w:pPr>
              <w:pStyle w:val="BodyText"/>
              <w:widowControl w:val="false"/>
              <w:tabs>
                <w:tab w:val="clear" w:pos="708"/>
                <w:tab w:val="left" w:pos="1276" w:leader="none"/>
              </w:tabs>
              <w:suppressAutoHyphens w:val="true"/>
              <w:spacing w:before="0" w:after="0"/>
              <w:ind w:hanging="0" w:left="900"/>
              <w:jc w:val="both"/>
              <w:rPr>
                <w:sz w:val="24"/>
                <w:szCs w:val="24"/>
              </w:rPr>
            </w:pPr>
            <w:r>
              <w:rPr>
                <w:rFonts w:eastAsia="Times New Roman" w:cs="Times New Roman"/>
                <w:kern w:val="0"/>
                <w:sz w:val="24"/>
                <w:szCs w:val="24"/>
                <w:lang w:val="ru-RU" w:eastAsia="ru-RU" w:bidi="ar-SA"/>
              </w:rPr>
              <w:t>Административного персонала;</w:t>
            </w:r>
          </w:p>
          <w:p>
            <w:pPr>
              <w:pStyle w:val="BodyText"/>
              <w:widowControl w:val="false"/>
              <w:tabs>
                <w:tab w:val="clear" w:pos="708"/>
                <w:tab w:val="left" w:pos="1256" w:leader="none"/>
              </w:tabs>
              <w:suppressAutoHyphens w:val="true"/>
              <w:spacing w:before="0" w:after="0"/>
              <w:ind w:hanging="0" w:left="900"/>
              <w:jc w:val="both"/>
              <w:rPr>
                <w:sz w:val="24"/>
                <w:szCs w:val="24"/>
              </w:rPr>
            </w:pPr>
            <w:r>
              <w:rPr>
                <w:rFonts w:eastAsia="Times New Roman" w:cs="Times New Roman"/>
                <w:kern w:val="0"/>
                <w:sz w:val="24"/>
                <w:szCs w:val="24"/>
                <w:lang w:val="ru-RU" w:eastAsia="ru-RU" w:bidi="ar-SA"/>
              </w:rPr>
              <w:t>Начальника смены станции;</w:t>
            </w:r>
          </w:p>
          <w:p>
            <w:pPr>
              <w:pStyle w:val="BodyText"/>
              <w:widowControl w:val="false"/>
              <w:tabs>
                <w:tab w:val="clear" w:pos="708"/>
                <w:tab w:val="left" w:pos="1256" w:leader="none"/>
              </w:tabs>
              <w:suppressAutoHyphens w:val="true"/>
              <w:spacing w:before="0" w:after="0"/>
              <w:ind w:hanging="0" w:left="900"/>
              <w:jc w:val="both"/>
              <w:rPr>
                <w:sz w:val="24"/>
                <w:szCs w:val="24"/>
              </w:rPr>
            </w:pPr>
            <w:r>
              <w:rPr>
                <w:rFonts w:eastAsia="Times New Roman" w:cs="Times New Roman"/>
                <w:kern w:val="0"/>
                <w:sz w:val="24"/>
                <w:szCs w:val="24"/>
                <w:lang w:val="ru-RU" w:eastAsia="ru-RU" w:bidi="ar-SA"/>
              </w:rPr>
              <w:t>Инженера участка ТА и В ГРЗАиМ;</w:t>
            </w:r>
          </w:p>
          <w:p>
            <w:pPr>
              <w:pStyle w:val="BodyText"/>
              <w:widowControl w:val="false"/>
              <w:tabs>
                <w:tab w:val="clear" w:pos="708"/>
                <w:tab w:val="left" w:pos="1256" w:leader="none"/>
              </w:tabs>
              <w:suppressAutoHyphens w:val="true"/>
              <w:spacing w:before="0" w:after="0"/>
              <w:ind w:hanging="0" w:left="900"/>
              <w:jc w:val="both"/>
              <w:rPr>
                <w:sz w:val="24"/>
                <w:szCs w:val="24"/>
              </w:rPr>
            </w:pPr>
            <w:r>
              <w:rPr>
                <w:rFonts w:eastAsia="Times New Roman" w:cs="Times New Roman"/>
                <w:kern w:val="0"/>
                <w:sz w:val="24"/>
                <w:szCs w:val="24"/>
                <w:lang w:val="ru-RU" w:eastAsia="ru-RU" w:bidi="ar-SA"/>
              </w:rPr>
              <w:t>Инженера участка ВУ АСУ ТП ССИиТС;</w:t>
            </w:r>
          </w:p>
          <w:p>
            <w:pPr>
              <w:pStyle w:val="BodyText"/>
              <w:widowControl w:val="false"/>
              <w:tabs>
                <w:tab w:val="clear" w:pos="708"/>
                <w:tab w:val="left" w:pos="1256" w:leader="none"/>
              </w:tabs>
              <w:suppressAutoHyphens w:val="true"/>
              <w:spacing w:before="0" w:after="0"/>
              <w:ind w:hanging="0" w:left="900"/>
              <w:jc w:val="both"/>
              <w:rPr>
                <w:sz w:val="24"/>
                <w:szCs w:val="24"/>
              </w:rPr>
            </w:pPr>
            <w:r>
              <w:rPr>
                <w:rFonts w:eastAsia="Times New Roman" w:cs="Times New Roman"/>
                <w:kern w:val="0"/>
                <w:sz w:val="24"/>
                <w:szCs w:val="24"/>
                <w:lang w:val="ru-RU" w:eastAsia="ru-RU" w:bidi="ar-SA"/>
              </w:rPr>
              <w:t>Инженера участка связи и телекоммуникаций ССИиТС;</w:t>
            </w:r>
          </w:p>
          <w:p>
            <w:pPr>
              <w:pStyle w:val="BodyText"/>
              <w:widowControl w:val="false"/>
              <w:tabs>
                <w:tab w:val="clear" w:pos="708"/>
                <w:tab w:val="left" w:pos="1256" w:leader="none"/>
              </w:tabs>
              <w:suppressAutoHyphens w:val="true"/>
              <w:spacing w:before="0" w:after="0"/>
              <w:ind w:hanging="0" w:left="900"/>
              <w:jc w:val="both"/>
              <w:rPr>
                <w:sz w:val="24"/>
                <w:szCs w:val="24"/>
              </w:rPr>
            </w:pPr>
            <w:r>
              <w:rPr>
                <w:rFonts w:eastAsia="Times New Roman" w:cs="Times New Roman"/>
                <w:kern w:val="0"/>
                <w:sz w:val="24"/>
                <w:szCs w:val="24"/>
                <w:lang w:val="ru-RU" w:eastAsia="ru-RU" w:bidi="ar-SA"/>
              </w:rPr>
              <w:t>Инженера участка систем безопасности ССИиТС;</w:t>
            </w:r>
          </w:p>
          <w:p>
            <w:pPr>
              <w:pStyle w:val="BodyText"/>
              <w:widowControl w:val="false"/>
              <w:numPr>
                <w:ilvl w:val="0"/>
                <w:numId w:val="49"/>
              </w:numPr>
              <w:tabs>
                <w:tab w:val="clear" w:pos="708"/>
                <w:tab w:val="left" w:pos="1256" w:leader="none"/>
              </w:tabs>
              <w:suppressAutoHyphens w:val="true"/>
              <w:spacing w:before="0" w:after="0"/>
              <w:jc w:val="both"/>
              <w:rPr>
                <w:sz w:val="24"/>
                <w:szCs w:val="24"/>
              </w:rPr>
            </w:pPr>
            <w:r>
              <w:rPr>
                <w:rFonts w:eastAsia="Times New Roman" w:cs="Times New Roman"/>
                <w:kern w:val="0"/>
                <w:sz w:val="24"/>
                <w:szCs w:val="24"/>
                <w:lang w:val="ru-RU" w:eastAsia="ru-RU" w:bidi="ar-SA"/>
              </w:rPr>
              <w:t>Обеспечивать регистрацию событий, имеющих отношение к защищенности информации;</w:t>
            </w:r>
          </w:p>
          <w:p>
            <w:pPr>
              <w:pStyle w:val="Style35"/>
              <w:widowControl w:val="false"/>
              <w:numPr>
                <w:ilvl w:val="0"/>
                <w:numId w:val="49"/>
              </w:numPr>
              <w:suppressAutoHyphens w:val="true"/>
              <w:spacing w:before="0" w:after="0"/>
              <w:rPr>
                <w:rFonts w:ascii="Times New Roman" w:hAnsi="Times New Roman"/>
                <w:sz w:val="24"/>
              </w:rPr>
            </w:pPr>
            <w:r>
              <w:rPr>
                <w:rFonts w:cs="Times New Roman" w:ascii="Times New Roman" w:hAnsi="Times New Roman"/>
                <w:kern w:val="0"/>
                <w:sz w:val="24"/>
                <w:lang w:bidi="ar-SA"/>
              </w:rPr>
              <w:t>Обеспечивать наличие технических и программных механизмов, выполняющих требования к разграничению доступа и регистрации событий.</w:t>
            </w:r>
          </w:p>
          <w:p>
            <w:pPr>
              <w:pStyle w:val="Normal"/>
              <w:widowControl w:val="false"/>
              <w:shd w:val="clear" w:color="auto" w:fill="FFFFFF"/>
              <w:suppressAutoHyphens w:val="true"/>
              <w:spacing w:before="0" w:after="0"/>
              <w:ind w:firstLine="709"/>
              <w:jc w:val="both"/>
              <w:rPr>
                <w:b/>
                <w:sz w:val="24"/>
                <w:szCs w:val="24"/>
              </w:rPr>
            </w:pPr>
            <w:r>
              <w:rPr>
                <w:rFonts w:eastAsia="Times New Roman" w:cs="Times New Roman"/>
                <w:kern w:val="0"/>
                <w:sz w:val="24"/>
                <w:szCs w:val="24"/>
                <w:lang w:val="ru-RU" w:eastAsia="ru-RU" w:bidi="ar-SA"/>
              </w:rPr>
              <w:t>Права доступа к функциям ПТК должны предоставляться после входа в систему в зависимости от прав, назначенных профилю.</w:t>
            </w:r>
          </w:p>
          <w:p>
            <w:pPr>
              <w:pStyle w:val="Normal"/>
              <w:widowControl w:val="false"/>
              <w:shd w:val="clear" w:color="auto" w:fill="FFFFFF"/>
              <w:suppressAutoHyphens w:val="true"/>
              <w:spacing w:before="0" w:after="0"/>
              <w:ind w:firstLine="709"/>
              <w:jc w:val="both"/>
              <w:rPr>
                <w:sz w:val="24"/>
                <w:szCs w:val="24"/>
              </w:rPr>
            </w:pPr>
            <w:r>
              <w:rPr>
                <w:rFonts w:eastAsia="Times New Roman" w:cs="Times New Roman"/>
                <w:kern w:val="0"/>
                <w:sz w:val="24"/>
                <w:szCs w:val="24"/>
                <w:lang w:val="ru-RU" w:eastAsia="ru-RU" w:bidi="ar-SA"/>
              </w:rPr>
              <w:t>Количество и конфигурация профилей должна выполняться администратором системы. Любой из сотрудников станций, работающий в ПТК, должен иметь единственную индивидуальную учетную запись, соответствующую одному из профилей доступа. В составе информации учетной записи обязательно должны указываться фамилия и имя сотрудника.</w:t>
            </w:r>
          </w:p>
          <w:p>
            <w:pPr>
              <w:pStyle w:val="Normal"/>
              <w:widowControl w:val="false"/>
              <w:shd w:val="clear" w:color="auto" w:fill="FFFFFF"/>
              <w:suppressAutoHyphens w:val="true"/>
              <w:spacing w:before="0" w:after="0"/>
              <w:ind w:firstLine="709"/>
              <w:jc w:val="both"/>
              <w:rPr>
                <w:sz w:val="24"/>
                <w:szCs w:val="24"/>
              </w:rPr>
            </w:pPr>
            <w:r>
              <w:rPr>
                <w:rFonts w:eastAsia="Times New Roman" w:cs="Times New Roman"/>
                <w:kern w:val="0"/>
                <w:sz w:val="24"/>
                <w:szCs w:val="24"/>
                <w:lang w:val="ru-RU" w:eastAsia="ru-RU" w:bidi="ar-SA"/>
              </w:rPr>
              <w:t>Каждый из профилей должен обеспечивать учетным записям пользователей права, соответствующие их должностным обязанностям.</w:t>
            </w:r>
          </w:p>
          <w:p>
            <w:pPr>
              <w:pStyle w:val="Normal"/>
              <w:widowControl w:val="false"/>
              <w:shd w:val="clear" w:color="auto" w:fill="FFFFFF"/>
              <w:suppressAutoHyphens w:val="true"/>
              <w:spacing w:before="0" w:after="0"/>
              <w:ind w:firstLine="709"/>
              <w:jc w:val="both"/>
              <w:rPr>
                <w:sz w:val="24"/>
                <w:szCs w:val="24"/>
              </w:rPr>
            </w:pPr>
            <w:r>
              <w:rPr>
                <w:rFonts w:eastAsia="Times New Roman" w:cs="Times New Roman"/>
                <w:kern w:val="0"/>
                <w:sz w:val="24"/>
                <w:szCs w:val="24"/>
                <w:lang w:val="ru-RU" w:eastAsia="ru-RU" w:bidi="ar-SA"/>
              </w:rPr>
              <w:t>Ни один из профилей, кроме администратора системы, не должен иметь прав внесения изменений в технологическую базу данных САУ ГА, базу данных регистрации событий системы защиты информации. В</w:t>
              <w:br/>
              <w:t>любом случае, при внесении изменений должно регистрироваться соответствующее событие с меткой времени и кратким описанием произведенных действий и информацией об использованной учетной записи</w:t>
            </w:r>
          </w:p>
          <w:p>
            <w:pPr>
              <w:pStyle w:val="Normal"/>
              <w:widowControl w:val="false"/>
              <w:shd w:val="clear" w:color="auto" w:fill="FFFFFF"/>
              <w:suppressAutoHyphens w:val="true"/>
              <w:spacing w:before="0" w:after="0"/>
              <w:ind w:firstLine="709"/>
              <w:jc w:val="both"/>
              <w:rPr>
                <w:sz w:val="24"/>
                <w:szCs w:val="24"/>
              </w:rPr>
            </w:pPr>
            <w:r>
              <w:rPr>
                <w:rFonts w:eastAsia="Times New Roman" w:cs="Times New Roman"/>
                <w:kern w:val="0"/>
                <w:sz w:val="24"/>
                <w:szCs w:val="24"/>
                <w:lang w:val="ru-RU" w:eastAsia="ru-RU" w:bidi="ar-SA"/>
              </w:rPr>
              <w:t>Защита должна обеспечиваться на всех технологических этапах обработки информации и во всех режимах функционирования, в том числе при проведении ремонтных и регламентных работ.</w:t>
            </w:r>
          </w:p>
          <w:p>
            <w:pPr>
              <w:pStyle w:val="Normal"/>
              <w:widowControl w:val="false"/>
              <w:shd w:val="clear" w:color="auto" w:fill="FFFFFF"/>
              <w:suppressAutoHyphens w:val="true"/>
              <w:spacing w:before="0" w:after="0"/>
              <w:ind w:firstLine="709"/>
              <w:jc w:val="both"/>
              <w:rPr>
                <w:sz w:val="24"/>
                <w:szCs w:val="24"/>
              </w:rPr>
            </w:pPr>
            <w:r>
              <w:rPr>
                <w:rFonts w:eastAsia="Times New Roman" w:cs="Times New Roman"/>
                <w:kern w:val="0"/>
                <w:sz w:val="24"/>
                <w:szCs w:val="24"/>
                <w:lang w:val="ru-RU" w:eastAsia="ru-RU" w:bidi="ar-SA"/>
              </w:rPr>
              <w:t>Применяемые программно-технические средства защиты не должны ухудшать основные технические характеристики и эксплуатационные показатели компонентов САУ ГА (надежность, быстродействие, возможности настройки).</w:t>
            </w:r>
          </w:p>
          <w:p>
            <w:pPr>
              <w:pStyle w:val="Normal"/>
              <w:widowControl w:val="false"/>
              <w:shd w:val="clear" w:color="auto" w:fill="FFFFFF"/>
              <w:suppressAutoHyphens w:val="true"/>
              <w:spacing w:before="0" w:after="0"/>
              <w:ind w:firstLine="709"/>
              <w:jc w:val="both"/>
              <w:rPr>
                <w:sz w:val="24"/>
                <w:szCs w:val="24"/>
              </w:rPr>
            </w:pPr>
            <w:r>
              <w:rPr>
                <w:rFonts w:eastAsia="Times New Roman" w:cs="Times New Roman"/>
                <w:kern w:val="0"/>
                <w:sz w:val="24"/>
                <w:szCs w:val="24"/>
                <w:lang w:val="ru-RU" w:eastAsia="ru-RU" w:bidi="ar-SA"/>
              </w:rPr>
              <w:t>Необходимость использования внешних электронных носителей информации в ПТК должна быть минимизирована. Допускается использование внешних носителей только при производстве работ по обслуживанию компонентов ПТК. Как правило, использование внешних носителей информации должно допускаться только с инженерных станций системы при входе с правами администратора. При этом доступ к инжиниринговым станциям должен быть физически ограничен.</w:t>
            </w:r>
          </w:p>
          <w:p>
            <w:pPr>
              <w:pStyle w:val="BodyText"/>
              <w:widowControl w:val="false"/>
              <w:tabs>
                <w:tab w:val="clear" w:pos="708"/>
                <w:tab w:val="left" w:pos="0" w:leader="none"/>
              </w:tabs>
              <w:suppressAutoHyphens w:val="true"/>
              <w:spacing w:before="0" w:after="0"/>
              <w:ind w:hanging="0" w:right="20"/>
              <w:contextualSpacing/>
              <w:jc w:val="both"/>
              <w:rPr>
                <w:sz w:val="24"/>
                <w:szCs w:val="24"/>
              </w:rPr>
            </w:pPr>
            <w:r>
              <w:rPr>
                <w:rFonts w:eastAsia="Times New Roman" w:cs="Times New Roman"/>
                <w:kern w:val="0"/>
                <w:sz w:val="24"/>
                <w:szCs w:val="24"/>
                <w:lang w:val="ru-RU" w:eastAsia="ru-RU" w:bidi="ar-SA"/>
              </w:rPr>
              <w:tab/>
              <w:t>Доступ к управляющим функциям ПТК, настройке и конфигурированию любых компонентов из внешней по отношению к ТСПД сети должен быть запрещен. Система защиты ПТК должна предусматривать периодический контроль эффективности средств защиты от несанкционированного доступа.</w:t>
            </w:r>
          </w:p>
        </w:tc>
      </w:tr>
      <w:tr>
        <w:trPr/>
        <w:tc>
          <w:tcPr>
            <w:tcW w:w="707" w:type="dxa"/>
            <w:tcBorders/>
            <w:vAlign w:val="center"/>
          </w:tcPr>
          <w:p>
            <w:pPr>
              <w:pStyle w:val="ListParagraph"/>
              <w:widowControl w:val="false"/>
              <w:numPr>
                <w:ilvl w:val="0"/>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климатическому исполнению и стойкости к воздействующим климатическим факторам</w:t>
            </w:r>
          </w:p>
        </w:tc>
      </w:tr>
      <w:tr>
        <w:trPr/>
        <w:tc>
          <w:tcPr>
            <w:tcW w:w="707" w:type="dxa"/>
            <w:tcBorders/>
            <w:vAlign w:val="center"/>
          </w:tcPr>
          <w:p>
            <w:pPr>
              <w:pStyle w:val="ListParagraph"/>
              <w:widowControl w:val="false"/>
              <w:numPr>
                <w:ilvl w:val="1"/>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Требования к климатическому исполнению</w:t>
            </w:r>
          </w:p>
        </w:tc>
        <w:tc>
          <w:tcPr>
            <w:tcW w:w="12333" w:type="dxa"/>
            <w:tcBorders/>
            <w:vAlign w:val="center"/>
          </w:tcPr>
          <w:p>
            <w:pPr>
              <w:pStyle w:val="Normal"/>
              <w:widowControl w:val="false"/>
              <w:suppressAutoHyphens w:val="true"/>
              <w:spacing w:before="0" w:after="0"/>
              <w:contextualSpacing/>
              <w:jc w:val="left"/>
              <w:rPr>
                <w:sz w:val="24"/>
                <w:szCs w:val="24"/>
              </w:rPr>
            </w:pPr>
            <w:r>
              <w:rPr>
                <w:rFonts w:eastAsia="Times New Roman" w:cs="Times New Roman"/>
                <w:kern w:val="0"/>
                <w:sz w:val="24"/>
                <w:szCs w:val="24"/>
                <w:lang w:val="ru-RU" w:eastAsia="ru-RU" w:bidi="ar-SA"/>
              </w:rPr>
              <w:tab/>
              <w:t>Виды климатических исполнений и категорий размещения шкафов, предназначенных для районов с умеренным климатом – УХЛ4.</w:t>
            </w:r>
          </w:p>
        </w:tc>
      </w:tr>
      <w:tr>
        <w:trPr/>
        <w:tc>
          <w:tcPr>
            <w:tcW w:w="707" w:type="dxa"/>
            <w:tcBorders/>
            <w:vAlign w:val="center"/>
          </w:tcPr>
          <w:p>
            <w:pPr>
              <w:pStyle w:val="ListParagraph"/>
              <w:widowControl w:val="false"/>
              <w:numPr>
                <w:ilvl w:val="0"/>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Default"/>
              <w:widowControl w:val="false"/>
              <w:suppressAutoHyphens w:val="true"/>
              <w:spacing w:before="0" w:after="0"/>
              <w:jc w:val="left"/>
              <w:rPr>
                <w:b/>
                <w:sz w:val="23"/>
                <w:szCs w:val="23"/>
              </w:rPr>
            </w:pPr>
            <w:r>
              <w:rPr>
                <w:rFonts w:eastAsia="Times New Roman" w:cs="Times New Roman"/>
                <w:b/>
                <w:bCs/>
                <w:kern w:val="0"/>
                <w:lang w:val="ru-RU" w:eastAsia="ru-RU" w:bidi="ar-SA"/>
              </w:rPr>
              <w:t>Требования к доставке,  маркировке, упаковке, транспортировке, перемещению, условиям хранения, приемке и испытаниям</w:t>
            </w:r>
          </w:p>
        </w:tc>
      </w:tr>
      <w:tr>
        <w:trPr/>
        <w:tc>
          <w:tcPr>
            <w:tcW w:w="707" w:type="dxa"/>
            <w:tcBorders/>
            <w:vAlign w:val="center"/>
          </w:tcPr>
          <w:p>
            <w:pPr>
              <w:pStyle w:val="ListParagraph"/>
              <w:widowControl w:val="false"/>
              <w:numPr>
                <w:ilvl w:val="1"/>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tcPr>
          <w:p>
            <w:pPr>
              <w:pStyle w:val="Normal"/>
              <w:widowControl w:val="false"/>
              <w:suppressAutoHyphens w:val="true"/>
              <w:spacing w:before="0" w:after="0"/>
              <w:jc w:val="left"/>
              <w:rPr>
                <w:sz w:val="24"/>
                <w:szCs w:val="24"/>
              </w:rPr>
            </w:pPr>
            <w:r>
              <w:rPr>
                <w:rFonts w:eastAsia="Times New Roman" w:cs="Times New Roman"/>
                <w:kern w:val="0"/>
                <w:sz w:val="24"/>
                <w:szCs w:val="26"/>
                <w:lang w:val="ru-RU" w:eastAsia="ru-RU" w:bidi="ar-SA"/>
              </w:rPr>
              <w:t>Условия поставки оборудования и материалов</w:t>
            </w:r>
          </w:p>
        </w:tc>
        <w:tc>
          <w:tcPr>
            <w:tcW w:w="12333" w:type="dxa"/>
            <w:tcBorders/>
            <w:vAlign w:val="center"/>
          </w:tcPr>
          <w:p>
            <w:pPr>
              <w:pStyle w:val="Default"/>
              <w:widowControl w:val="false"/>
              <w:suppressAutoHyphens w:val="true"/>
              <w:spacing w:before="0" w:after="0"/>
              <w:jc w:val="left"/>
              <w:rPr>
                <w:sz w:val="23"/>
                <w:szCs w:val="23"/>
              </w:rPr>
            </w:pPr>
            <w:r>
              <w:rPr>
                <w:rFonts w:eastAsia="Times New Roman" w:cs="Times New Roman"/>
                <w:kern w:val="0"/>
                <w:szCs w:val="26"/>
                <w:lang w:val="ru-RU" w:eastAsia="ru-RU" w:bidi="ar-SA"/>
              </w:rPr>
              <w:t>Оборудование поставляется в республику Дагестан, г. Кизилюрт База ГСО.</w:t>
            </w:r>
          </w:p>
        </w:tc>
      </w:tr>
      <w:tr>
        <w:trPr/>
        <w:tc>
          <w:tcPr>
            <w:tcW w:w="707" w:type="dxa"/>
            <w:tcBorders/>
            <w:vAlign w:val="center"/>
          </w:tcPr>
          <w:p>
            <w:pPr>
              <w:pStyle w:val="ListParagraph"/>
              <w:widowControl w:val="false"/>
              <w:numPr>
                <w:ilvl w:val="1"/>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xml:space="preserve">Требования к условиям хранения и транспортировке </w:t>
            </w:r>
          </w:p>
        </w:tc>
        <w:tc>
          <w:tcPr>
            <w:tcW w:w="12333" w:type="dxa"/>
            <w:tcBorders/>
            <w:vAlign w:val="center"/>
          </w:tcPr>
          <w:p>
            <w:pPr>
              <w:pStyle w:val="Default"/>
              <w:widowControl w:val="false"/>
              <w:suppressAutoHyphens w:val="true"/>
              <w:spacing w:before="0" w:after="0"/>
              <w:jc w:val="left"/>
              <w:rPr>
                <w:sz w:val="23"/>
                <w:szCs w:val="23"/>
              </w:rPr>
            </w:pPr>
            <w:r>
              <w:rPr>
                <w:rFonts w:eastAsia="Times New Roman" w:cs="Times New Roman"/>
                <w:kern w:val="0"/>
                <w:sz w:val="23"/>
                <w:szCs w:val="23"/>
                <w:lang w:val="ru-RU" w:eastAsia="ru-RU" w:bidi="ar-SA"/>
              </w:rPr>
              <w:tab/>
              <w:t xml:space="preserve">Требования к стойкости устройств при воздействии механических факторов в условиях хранения и транспортирования должны соответствовать ГОСТ 23216. </w:t>
            </w:r>
          </w:p>
          <w:p>
            <w:pPr>
              <w:pStyle w:val="Default"/>
              <w:widowControl w:val="false"/>
              <w:suppressAutoHyphens w:val="true"/>
              <w:spacing w:before="0" w:after="0"/>
              <w:jc w:val="left"/>
              <w:rPr>
                <w:sz w:val="23"/>
                <w:szCs w:val="23"/>
              </w:rPr>
            </w:pPr>
            <w:r>
              <w:rPr>
                <w:rFonts w:eastAsia="Times New Roman" w:cs="Times New Roman"/>
                <w:kern w:val="0"/>
                <w:sz w:val="23"/>
                <w:szCs w:val="23"/>
                <w:lang w:val="ru-RU" w:eastAsia="ru-RU" w:bidi="ar-SA"/>
              </w:rPr>
              <w:tab/>
              <w:t>Конструкция шкафов, части которых транспортируются отдельно, должна обеспечивать механическую сборку и электрический монтаж на месте эксплуатации без доработки элементов конструкции (ГОСТ Р 51321.1).</w:t>
            </w:r>
          </w:p>
        </w:tc>
      </w:tr>
      <w:tr>
        <w:trPr/>
        <w:tc>
          <w:tcPr>
            <w:tcW w:w="707" w:type="dxa"/>
            <w:tcBorders/>
            <w:vAlign w:val="center"/>
          </w:tcPr>
          <w:p>
            <w:pPr>
              <w:pStyle w:val="ListParagraph"/>
              <w:widowControl w:val="false"/>
              <w:numPr>
                <w:ilvl w:val="0"/>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60" w:after="0"/>
              <w:jc w:val="left"/>
              <w:rPr>
                <w:b/>
                <w:sz w:val="24"/>
                <w:szCs w:val="24"/>
              </w:rPr>
            </w:pPr>
            <w:r>
              <w:rPr>
                <w:rFonts w:eastAsia="Times New Roman" w:cs="Times New Roman"/>
                <w:b/>
                <w:kern w:val="0"/>
                <w:sz w:val="24"/>
                <w:szCs w:val="24"/>
                <w:lang w:val="ru-RU" w:eastAsia="ru-RU" w:bidi="ar-SA"/>
              </w:rPr>
              <w:t>Требования к гарантиям, гарантийному и послегарантийному обслуживанию</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tcPr>
          <w:p>
            <w:pPr>
              <w:pStyle w:val="Normal"/>
              <w:widowControl w:val="false"/>
              <w:suppressAutoHyphens w:val="true"/>
              <w:spacing w:lineRule="auto" w:line="276" w:before="0" w:after="0"/>
              <w:jc w:val="both"/>
              <w:rPr>
                <w:sz w:val="24"/>
                <w:szCs w:val="24"/>
              </w:rPr>
            </w:pPr>
            <w:r>
              <w:rPr>
                <w:rFonts w:eastAsia="Times New Roman" w:cs="Times New Roman"/>
                <w:bCs/>
                <w:kern w:val="0"/>
                <w:sz w:val="24"/>
                <w:szCs w:val="24"/>
                <w:lang w:val="ru-RU" w:eastAsia="ru-RU" w:bidi="ar-SA"/>
              </w:rPr>
              <w:t>Срок гарантии на оборудование</w:t>
            </w:r>
          </w:p>
        </w:tc>
        <w:tc>
          <w:tcPr>
            <w:tcW w:w="12333" w:type="dxa"/>
            <w:tcBorders/>
            <w:vAlign w:val="center"/>
          </w:tcPr>
          <w:p>
            <w:pPr>
              <w:pStyle w:val="Normal"/>
              <w:widowControl w:val="false"/>
              <w:suppressAutoHyphens w:val="true"/>
              <w:spacing w:lineRule="auto" w:line="276" w:before="0" w:after="0"/>
              <w:jc w:val="left"/>
              <w:rPr>
                <w:sz w:val="24"/>
                <w:szCs w:val="24"/>
              </w:rPr>
            </w:pPr>
            <w:r>
              <w:rPr>
                <w:rFonts w:eastAsia="Times New Roman" w:cs="Times New Roman"/>
                <w:kern w:val="0"/>
                <w:sz w:val="24"/>
                <w:szCs w:val="24"/>
                <w:lang w:val="ru-RU" w:eastAsia="ru-RU" w:bidi="ar-SA"/>
              </w:rPr>
              <w:t>Гарантийный срок не менее 36 (тридцати шести) месяцев с даты подписания сторонами накладной ТОРГ-12.</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tcPr>
          <w:p>
            <w:pPr>
              <w:pStyle w:val="Normal"/>
              <w:widowControl w:val="false"/>
              <w:suppressAutoHyphens w:val="true"/>
              <w:spacing w:lineRule="auto" w:line="276" w:before="0" w:after="0"/>
              <w:jc w:val="both"/>
              <w:rPr>
                <w:sz w:val="24"/>
                <w:szCs w:val="24"/>
              </w:rPr>
            </w:pPr>
            <w:r>
              <w:rPr>
                <w:rFonts w:eastAsia="Times New Roman" w:cs="Times New Roman"/>
                <w:bCs/>
                <w:kern w:val="0"/>
                <w:sz w:val="24"/>
                <w:szCs w:val="24"/>
                <w:lang w:val="ru-RU" w:eastAsia="ru-RU" w:bidi="ar-SA"/>
              </w:rPr>
              <w:t>Гарантийное и послегарантийное обслуживание</w:t>
            </w:r>
          </w:p>
        </w:tc>
        <w:tc>
          <w:tcPr>
            <w:tcW w:w="12333" w:type="dxa"/>
            <w:tcBorders/>
            <w:vAlign w:val="center"/>
          </w:tcPr>
          <w:p>
            <w:pPr>
              <w:pStyle w:val="Normal"/>
              <w:widowControl w:val="false"/>
              <w:suppressAutoHyphens w:val="true"/>
              <w:spacing w:lineRule="auto" w:line="276" w:before="0" w:after="0"/>
              <w:ind w:firstLine="504"/>
              <w:jc w:val="left"/>
              <w:rPr>
                <w:sz w:val="24"/>
                <w:szCs w:val="24"/>
              </w:rPr>
            </w:pPr>
            <w:r>
              <w:rPr>
                <w:rFonts w:eastAsia="Times New Roman" w:cs="Times New Roman"/>
                <w:kern w:val="0"/>
                <w:sz w:val="24"/>
                <w:szCs w:val="24"/>
                <w:lang w:val="ru-RU" w:eastAsia="ru-RU" w:bidi="ar-SA"/>
              </w:rPr>
              <w:t>Поставщик гарантирует соответствие оборудования ПТК настоящим техническим требованиям при соблюдении Заказчиком после получения оборудования условий хранения, монтажа и эксплуатации.</w:t>
            </w:r>
          </w:p>
          <w:p>
            <w:pPr>
              <w:pStyle w:val="Normal"/>
              <w:widowControl w:val="false"/>
              <w:suppressAutoHyphens w:val="true"/>
              <w:spacing w:lineRule="auto" w:line="276" w:before="0" w:after="0"/>
              <w:ind w:firstLine="504"/>
              <w:jc w:val="left"/>
              <w:rPr>
                <w:sz w:val="24"/>
                <w:szCs w:val="24"/>
              </w:rPr>
            </w:pPr>
            <w:r>
              <w:rPr>
                <w:rFonts w:eastAsia="Times New Roman" w:cs="Times New Roman"/>
                <w:bCs/>
                <w:kern w:val="0"/>
                <w:sz w:val="24"/>
                <w:szCs w:val="24"/>
                <w:lang w:val="ru-RU" w:eastAsia="ru-RU" w:bidi="ar-SA"/>
              </w:rPr>
              <w:t>Поставщик гарантирует соответствие качества Товара требованиям нормативно-технической документации в течение срока, установленного заводом изготовителем, не менее 36 месяцев с даты подписания Сторонами накладной ТОРГ-12.</w:t>
            </w:r>
          </w:p>
          <w:p>
            <w:pPr>
              <w:pStyle w:val="Normal"/>
              <w:widowControl w:val="false"/>
              <w:tabs>
                <w:tab w:val="clear" w:pos="708"/>
                <w:tab w:val="left" w:pos="8641" w:leader="none"/>
              </w:tabs>
              <w:suppressAutoHyphens w:val="true"/>
              <w:spacing w:lineRule="auto" w:line="276" w:before="0" w:after="0"/>
              <w:jc w:val="left"/>
              <w:rPr>
                <w:bCs/>
                <w:sz w:val="24"/>
                <w:szCs w:val="24"/>
              </w:rPr>
            </w:pPr>
            <w:r>
              <w:rPr>
                <w:rFonts w:eastAsia="Times New Roman" w:cs="Times New Roman"/>
                <w:bCs/>
                <w:kern w:val="0"/>
                <w:sz w:val="24"/>
                <w:szCs w:val="24"/>
                <w:lang w:val="ru-RU" w:eastAsia="ru-RU" w:bidi="ar-SA"/>
              </w:rPr>
              <w:t xml:space="preserve"> </w:t>
            </w:r>
            <w:r>
              <w:rPr>
                <w:rFonts w:eastAsia="Times New Roman" w:cs="Times New Roman"/>
                <w:bCs/>
                <w:kern w:val="0"/>
                <w:sz w:val="24"/>
                <w:szCs w:val="24"/>
                <w:lang w:val="ru-RU" w:eastAsia="ru-RU" w:bidi="ar-SA"/>
              </w:rPr>
              <w:t>Гарантийный срок может быть продлен в соответствии с условиями Договора.</w:t>
            </w:r>
          </w:p>
          <w:p>
            <w:pPr>
              <w:pStyle w:val="Normal"/>
              <w:widowControl w:val="false"/>
              <w:suppressAutoHyphens w:val="true"/>
              <w:spacing w:lineRule="auto" w:line="276" w:before="0" w:after="0"/>
              <w:ind w:firstLine="504"/>
              <w:jc w:val="left"/>
              <w:rPr>
                <w:bCs/>
                <w:sz w:val="24"/>
                <w:szCs w:val="24"/>
              </w:rPr>
            </w:pPr>
            <w:r>
              <w:rPr>
                <w:rFonts w:eastAsia="Times New Roman" w:cs="Times New Roman"/>
                <w:bCs/>
                <w:kern w:val="0"/>
                <w:sz w:val="24"/>
                <w:szCs w:val="24"/>
                <w:lang w:val="ru-RU" w:eastAsia="ru-RU" w:bidi="ar-SA"/>
              </w:rPr>
              <w:t>Установленный в отношении Товара гарантийный срок распространяется на все составные части и комплектующие Товара.</w:t>
            </w:r>
          </w:p>
        </w:tc>
      </w:tr>
      <w:tr>
        <w:trPr/>
        <w:tc>
          <w:tcPr>
            <w:tcW w:w="707" w:type="dxa"/>
            <w:tcBorders/>
            <w:vAlign w:val="center"/>
          </w:tcPr>
          <w:p>
            <w:pPr>
              <w:pStyle w:val="ListParagraph"/>
              <w:widowControl w:val="false"/>
              <w:numPr>
                <w:ilvl w:val="0"/>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60" w:after="60"/>
              <w:jc w:val="left"/>
              <w:rPr>
                <w:b/>
                <w:sz w:val="24"/>
                <w:szCs w:val="24"/>
              </w:rPr>
            </w:pPr>
            <w:r>
              <w:rPr>
                <w:rFonts w:eastAsia="Times New Roman" w:cs="Times New Roman"/>
                <w:b/>
                <w:kern w:val="0"/>
                <w:sz w:val="24"/>
                <w:szCs w:val="24"/>
                <w:lang w:val="ru-RU" w:eastAsia="ru-RU" w:bidi="ar-SA"/>
              </w:rPr>
              <w:t>Требования к комплектации и документам, поставляемым вместе с продукцией</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Normal"/>
              <w:widowControl w:val="false"/>
              <w:suppressAutoHyphens w:val="true"/>
              <w:spacing w:before="0" w:after="0"/>
              <w:jc w:val="both"/>
              <w:rPr>
                <w:sz w:val="24"/>
                <w:szCs w:val="24"/>
              </w:rPr>
            </w:pPr>
            <w:r>
              <w:rPr>
                <w:rFonts w:eastAsia="Times New Roman" w:cs="Times New Roman"/>
                <w:kern w:val="0"/>
                <w:sz w:val="24"/>
                <w:szCs w:val="26"/>
                <w:lang w:val="ru-RU" w:eastAsia="ru-RU" w:bidi="ar-SA"/>
              </w:rPr>
              <w:t>Объем комплектации оборудования</w:t>
            </w:r>
          </w:p>
        </w:tc>
        <w:tc>
          <w:tcPr>
            <w:tcW w:w="12333" w:type="dxa"/>
            <w:tcBorders/>
            <w:vAlign w:val="center"/>
          </w:tcPr>
          <w:p>
            <w:pPr>
              <w:pStyle w:val="Normal"/>
              <w:widowControl w:val="false"/>
              <w:suppressAutoHyphens w:val="true"/>
              <w:spacing w:lineRule="auto" w:line="276" w:before="0" w:after="0"/>
              <w:ind w:hanging="0" w:left="31"/>
              <w:jc w:val="both"/>
              <w:rPr>
                <w:sz w:val="24"/>
                <w:szCs w:val="26"/>
              </w:rPr>
            </w:pPr>
            <w:r>
              <w:rPr>
                <w:rFonts w:eastAsia="Times New Roman" w:cs="Times New Roman"/>
                <w:kern w:val="0"/>
                <w:sz w:val="24"/>
                <w:szCs w:val="26"/>
                <w:lang w:val="ru-RU" w:eastAsia="ru-RU" w:bidi="ar-SA"/>
              </w:rPr>
              <w:tab/>
              <w:t>В обязательный комплект поставки должны входить:</w:t>
            </w:r>
          </w:p>
          <w:p>
            <w:pPr>
              <w:pStyle w:val="ListParagraph"/>
              <w:widowControl w:val="false"/>
              <w:numPr>
                <w:ilvl w:val="0"/>
                <w:numId w:val="43"/>
              </w:numPr>
              <w:suppressAutoHyphens w:val="true"/>
              <w:spacing w:lineRule="auto" w:line="276" w:before="0" w:after="0"/>
              <w:ind w:hanging="283" w:left="456"/>
              <w:contextualSpacing/>
              <w:jc w:val="both"/>
              <w:rPr>
                <w:szCs w:val="26"/>
              </w:rPr>
            </w:pPr>
            <w:r>
              <w:rPr>
                <w:rFonts w:cs="Times New Roman"/>
                <w:kern w:val="0"/>
                <w:szCs w:val="26"/>
                <w:lang w:val="ru-RU" w:eastAsia="ru-RU" w:bidi="ar-SA"/>
              </w:rPr>
              <w:t>ЗИП на оборудование системы в объеме и составе достаточном для эксплуатации в течении 3 лет.</w:t>
            </w:r>
          </w:p>
          <w:p>
            <w:pPr>
              <w:pStyle w:val="Normal"/>
              <w:widowControl w:val="false"/>
              <w:suppressAutoHyphens w:val="true"/>
              <w:spacing w:lineRule="auto" w:line="276" w:before="0" w:after="0"/>
              <w:ind w:hanging="0" w:left="31"/>
              <w:jc w:val="both"/>
              <w:rPr>
                <w:i/>
                <w:i/>
                <w:sz w:val="24"/>
                <w:szCs w:val="26"/>
                <w:u w:val="single"/>
              </w:rPr>
            </w:pPr>
            <w:r>
              <w:rPr>
                <w:rFonts w:eastAsia="Times New Roman" w:cs="Times New Roman"/>
                <w:kern w:val="0"/>
                <w:sz w:val="24"/>
                <w:szCs w:val="26"/>
                <w:lang w:val="ru-RU" w:eastAsia="ru-RU" w:bidi="ar-SA"/>
              </w:rPr>
              <w:tab/>
            </w:r>
            <w:r>
              <w:rPr>
                <w:rFonts w:eastAsia="Times New Roman" w:cs="Times New Roman"/>
                <w:i/>
                <w:kern w:val="0"/>
                <w:sz w:val="24"/>
                <w:szCs w:val="26"/>
                <w:u w:val="single"/>
                <w:lang w:val="ru-RU" w:eastAsia="ru-RU" w:bidi="ar-SA"/>
              </w:rPr>
              <w:t>В обязательный комплект поставки должны входить:</w:t>
            </w:r>
          </w:p>
          <w:p>
            <w:pPr>
              <w:pStyle w:val="Normal"/>
              <w:widowControl w:val="false"/>
              <w:suppressAutoHyphens w:val="true"/>
              <w:spacing w:lineRule="auto" w:line="276" w:before="0" w:after="0"/>
              <w:ind w:hanging="0" w:left="31"/>
              <w:jc w:val="both"/>
              <w:rPr>
                <w:sz w:val="24"/>
                <w:szCs w:val="26"/>
              </w:rPr>
            </w:pPr>
            <w:r>
              <w:rPr>
                <w:rFonts w:eastAsia="Times New Roman" w:cs="Times New Roman"/>
                <w:kern w:val="0"/>
                <w:sz w:val="24"/>
                <w:szCs w:val="26"/>
                <w:lang w:val="ru-RU" w:eastAsia="ru-RU" w:bidi="ar-SA"/>
              </w:rPr>
              <w:tab/>
              <w:t>ЗИП должен включать элементы цепей вторичной коммутации на весь объем поставки в объеме не менее 5% от общего количества, но не менее одного элемента каждого типа и характеристик (модули микропроцессорных устройств, автоматические выключатели, реле, переключатели, испытательные блоки, зажимы(клеммы), перемычки для организации цепи между соседними клеммами, маркировочные шильдики, стопорные элементы и пр.), применяемого в монтаже вторичной коммутации.</w:t>
            </w:r>
          </w:p>
          <w:p>
            <w:pPr>
              <w:pStyle w:val="Normal"/>
              <w:widowControl w:val="false"/>
              <w:suppressAutoHyphens w:val="true"/>
              <w:spacing w:lineRule="auto" w:line="276" w:before="0" w:after="0"/>
              <w:ind w:hanging="0" w:left="31"/>
              <w:jc w:val="both"/>
              <w:rPr>
                <w:i/>
                <w:i/>
                <w:sz w:val="24"/>
                <w:szCs w:val="26"/>
                <w:u w:val="single"/>
              </w:rPr>
            </w:pPr>
            <w:r>
              <w:rPr>
                <w:rFonts w:eastAsia="Times New Roman" w:cs="Times New Roman"/>
                <w:kern w:val="0"/>
                <w:sz w:val="24"/>
                <w:szCs w:val="26"/>
                <w:lang w:val="ru-RU" w:eastAsia="ru-RU" w:bidi="ar-SA"/>
              </w:rPr>
              <w:tab/>
            </w:r>
            <w:r>
              <w:rPr>
                <w:rFonts w:eastAsia="Times New Roman" w:cs="Times New Roman"/>
                <w:i/>
                <w:kern w:val="0"/>
                <w:sz w:val="24"/>
                <w:szCs w:val="26"/>
                <w:u w:val="single"/>
                <w:lang w:val="ru-RU" w:eastAsia="ru-RU" w:bidi="ar-SA"/>
              </w:rPr>
              <w:t>Также ЗИП должен содержать комплект инструментов и аксессуаров для технического обслуживания:</w:t>
            </w:r>
          </w:p>
          <w:p>
            <w:pPr>
              <w:pStyle w:val="ListParagraph"/>
              <w:widowControl w:val="false"/>
              <w:numPr>
                <w:ilvl w:val="0"/>
                <w:numId w:val="44"/>
              </w:numPr>
              <w:suppressAutoHyphens w:val="true"/>
              <w:spacing w:lineRule="auto" w:line="276" w:before="0" w:after="0"/>
              <w:contextualSpacing/>
              <w:jc w:val="both"/>
              <w:rPr>
                <w:i/>
                <w:i/>
                <w:szCs w:val="26"/>
                <w:u w:val="single"/>
              </w:rPr>
            </w:pPr>
            <w:r>
              <w:rPr>
                <w:rFonts w:cs="Times New Roman"/>
                <w:kern w:val="0"/>
                <w:szCs w:val="26"/>
                <w:lang w:val="ru-RU" w:eastAsia="ru-RU" w:bidi="ar-SA"/>
              </w:rPr>
              <w:t>Контрольные крышки испытательных блоков, кодирующие перемычки для испытательных блоков.</w:t>
            </w:r>
          </w:p>
          <w:p>
            <w:pPr>
              <w:pStyle w:val="ListParagraph"/>
              <w:widowControl w:val="false"/>
              <w:numPr>
                <w:ilvl w:val="0"/>
                <w:numId w:val="44"/>
              </w:numPr>
              <w:suppressAutoHyphens w:val="true"/>
              <w:spacing w:lineRule="auto" w:line="276" w:before="0" w:after="0"/>
              <w:contextualSpacing/>
              <w:jc w:val="both"/>
              <w:rPr>
                <w:i/>
                <w:i/>
                <w:szCs w:val="26"/>
                <w:u w:val="single"/>
              </w:rPr>
            </w:pPr>
            <w:r>
              <w:rPr>
                <w:rFonts w:cs="Times New Roman"/>
                <w:kern w:val="0"/>
                <w:szCs w:val="26"/>
                <w:lang w:val="ru-RU" w:eastAsia="ru-RU" w:bidi="ar-SA"/>
              </w:rPr>
              <w:t>Тестовые щупы и разъемы для подключения к клеммам в количестве, достаточном для одновременного подключения проверочной аппаратуры и приборов не менее чем к 20 клеммам каждого из применяемых типов.</w:t>
            </w:r>
          </w:p>
          <w:p>
            <w:pPr>
              <w:pStyle w:val="ListParagraph"/>
              <w:widowControl w:val="false"/>
              <w:numPr>
                <w:ilvl w:val="0"/>
                <w:numId w:val="44"/>
              </w:numPr>
              <w:suppressAutoHyphens w:val="true"/>
              <w:spacing w:lineRule="auto" w:line="276" w:before="0" w:after="0"/>
              <w:contextualSpacing/>
              <w:jc w:val="both"/>
              <w:rPr>
                <w:i/>
                <w:i/>
                <w:szCs w:val="26"/>
                <w:u w:val="single"/>
              </w:rPr>
            </w:pPr>
            <w:r>
              <w:rPr>
                <w:rFonts w:cs="Times New Roman"/>
                <w:kern w:val="0"/>
                <w:szCs w:val="26"/>
                <w:lang w:val="ru-RU" w:eastAsia="ru-RU" w:bidi="ar-SA"/>
              </w:rPr>
              <w:t>Отвертки (при применении винтовых клемм).</w:t>
            </w:r>
          </w:p>
          <w:p>
            <w:pPr>
              <w:pStyle w:val="ListParagraph"/>
              <w:widowControl w:val="false"/>
              <w:numPr>
                <w:ilvl w:val="0"/>
                <w:numId w:val="44"/>
              </w:numPr>
              <w:suppressAutoHyphens w:val="true"/>
              <w:spacing w:lineRule="auto" w:line="276" w:before="0" w:after="0"/>
              <w:contextualSpacing/>
              <w:jc w:val="both"/>
              <w:rPr>
                <w:i/>
                <w:i/>
                <w:szCs w:val="26"/>
                <w:u w:val="single"/>
              </w:rPr>
            </w:pPr>
            <w:r>
              <w:rPr>
                <w:rFonts w:cs="Times New Roman"/>
                <w:kern w:val="0"/>
                <w:szCs w:val="26"/>
                <w:lang w:val="ru-RU" w:eastAsia="ru-RU" w:bidi="ar-SA"/>
              </w:rPr>
              <w:t xml:space="preserve">Специальный инструмент (при применении пружинных клемм). </w:t>
            </w:r>
          </w:p>
          <w:p>
            <w:pPr>
              <w:pStyle w:val="ListParagraph"/>
              <w:widowControl w:val="false"/>
              <w:numPr>
                <w:ilvl w:val="0"/>
                <w:numId w:val="44"/>
              </w:numPr>
              <w:suppressAutoHyphens w:val="true"/>
              <w:spacing w:lineRule="auto" w:line="276" w:before="0" w:after="0"/>
              <w:contextualSpacing/>
              <w:jc w:val="both"/>
              <w:rPr>
                <w:i/>
                <w:i/>
                <w:szCs w:val="26"/>
                <w:u w:val="single"/>
              </w:rPr>
            </w:pPr>
            <w:r>
              <w:rPr>
                <w:rFonts w:cs="Times New Roman"/>
                <w:kern w:val="0"/>
                <w:szCs w:val="26"/>
                <w:lang w:val="ru-RU" w:eastAsia="ru-RU" w:bidi="ar-SA"/>
              </w:rPr>
              <w:t>Динамометрические отвертки (при применении винтовых клемм) соответствующая(ие) применяемым типам клемм из расчета 1 шт. на 5 поставляемых шкафов, но не менее 1 шт.</w:t>
            </w:r>
          </w:p>
          <w:p>
            <w:pPr>
              <w:pStyle w:val="ListParagraph"/>
              <w:widowControl w:val="false"/>
              <w:numPr>
                <w:ilvl w:val="0"/>
                <w:numId w:val="44"/>
              </w:numPr>
              <w:suppressAutoHyphens w:val="true"/>
              <w:spacing w:lineRule="auto" w:line="276" w:before="0" w:after="0"/>
              <w:contextualSpacing/>
              <w:jc w:val="both"/>
              <w:rPr>
                <w:i/>
                <w:i/>
                <w:szCs w:val="26"/>
                <w:u w:val="single"/>
              </w:rPr>
            </w:pPr>
            <w:r>
              <w:rPr>
                <w:rFonts w:cs="Times New Roman"/>
                <w:kern w:val="0"/>
                <w:szCs w:val="26"/>
                <w:lang w:val="ru-RU" w:eastAsia="ru-RU" w:bidi="ar-SA"/>
              </w:rPr>
              <w:t>Интерфейсные шнуры для связи с микропроцессорными устройствами в количестве из расчета 1 шнур на 10 микропроцессорных устройств, но не менее 2 штук.</w:t>
            </w:r>
          </w:p>
          <w:p>
            <w:pPr>
              <w:pStyle w:val="Normal"/>
              <w:widowControl w:val="false"/>
              <w:suppressAutoHyphens w:val="true"/>
              <w:spacing w:lineRule="auto" w:line="276" w:before="0" w:after="240"/>
              <w:ind w:hanging="0" w:left="31"/>
              <w:jc w:val="both"/>
              <w:rPr>
                <w:sz w:val="24"/>
                <w:szCs w:val="26"/>
              </w:rPr>
            </w:pPr>
            <w:r>
              <w:rPr>
                <w:rFonts w:eastAsia="Times New Roman" w:cs="Times New Roman"/>
                <w:kern w:val="0"/>
                <w:sz w:val="24"/>
                <w:szCs w:val="26"/>
                <w:lang w:val="ru-RU" w:eastAsia="ru-RU" w:bidi="ar-SA"/>
              </w:rPr>
              <w:tab/>
              <w:t>ЗИП должен быть упакован в опечатанный конверт или коробку и содержать упаковочную ведомость. На конверте(коробке) должна быть предупреждающая надпись: «Без представителей эксплуатирующей организации (указать наименование) не вскрывать».</w:t>
            </w:r>
            <w:r>
              <w:rPr>
                <w:rFonts w:eastAsia="Times New Roman" w:cs="Times New Roman"/>
                <w:kern w:val="0"/>
                <w:sz w:val="24"/>
                <w:szCs w:val="26"/>
                <w:highlight w:val="yellow"/>
                <w:lang w:val="ru-RU" w:eastAsia="ru-RU" w:bidi="ar-SA"/>
              </w:rPr>
              <w:t xml:space="preserve"> </w:t>
            </w:r>
          </w:p>
          <w:p>
            <w:pPr>
              <w:pStyle w:val="ListParagraph"/>
              <w:widowControl w:val="false"/>
              <w:numPr>
                <w:ilvl w:val="0"/>
                <w:numId w:val="43"/>
              </w:numPr>
              <w:suppressAutoHyphens w:val="true"/>
              <w:spacing w:lineRule="auto" w:line="276" w:before="0" w:after="0"/>
              <w:contextualSpacing/>
              <w:jc w:val="both"/>
              <w:rPr>
                <w:szCs w:val="26"/>
              </w:rPr>
            </w:pPr>
            <w:r>
              <w:rPr>
                <w:rFonts w:cs="Times New Roman"/>
                <w:kern w:val="0"/>
                <w:szCs w:val="26"/>
                <w:lang w:val="ru-RU" w:eastAsia="ru-RU" w:bidi="ar-SA"/>
              </w:rPr>
              <w:t>комплект конструкторской документации (на русском языке):</w:t>
            </w:r>
          </w:p>
          <w:p>
            <w:pPr>
              <w:pStyle w:val="ListParagraph"/>
              <w:widowControl w:val="false"/>
              <w:numPr>
                <w:ilvl w:val="0"/>
                <w:numId w:val="45"/>
              </w:numPr>
              <w:suppressAutoHyphens w:val="true"/>
              <w:spacing w:lineRule="auto" w:line="276" w:before="0" w:after="0"/>
              <w:contextualSpacing/>
              <w:jc w:val="both"/>
              <w:rPr>
                <w:szCs w:val="26"/>
              </w:rPr>
            </w:pPr>
            <w:r>
              <w:rPr>
                <w:rFonts w:cs="Times New Roman"/>
                <w:kern w:val="0"/>
                <w:szCs w:val="26"/>
                <w:lang w:val="ru-RU" w:eastAsia="ru-RU" w:bidi="ar-SA"/>
              </w:rPr>
              <w:t>паспорта шкафов (терминалов) с информацией о версии программного обеспечения ПТК;</w:t>
            </w:r>
          </w:p>
          <w:p>
            <w:pPr>
              <w:pStyle w:val="ListParagraph"/>
              <w:widowControl w:val="false"/>
              <w:numPr>
                <w:ilvl w:val="0"/>
                <w:numId w:val="45"/>
              </w:numPr>
              <w:suppressAutoHyphens w:val="true"/>
              <w:spacing w:lineRule="auto" w:line="276" w:before="0" w:after="0"/>
              <w:contextualSpacing/>
              <w:jc w:val="both"/>
              <w:rPr>
                <w:szCs w:val="26"/>
              </w:rPr>
            </w:pPr>
            <w:r>
              <w:rPr>
                <w:rFonts w:cs="Times New Roman"/>
                <w:kern w:val="0"/>
                <w:szCs w:val="26"/>
                <w:lang w:val="ru-RU" w:eastAsia="ru-RU" w:bidi="ar-SA"/>
              </w:rPr>
              <w:t>инструкция по наладке;</w:t>
            </w:r>
          </w:p>
          <w:p>
            <w:pPr>
              <w:pStyle w:val="ListParagraph"/>
              <w:widowControl w:val="false"/>
              <w:numPr>
                <w:ilvl w:val="0"/>
                <w:numId w:val="45"/>
              </w:numPr>
              <w:suppressAutoHyphens w:val="true"/>
              <w:spacing w:lineRule="auto" w:line="276" w:before="0" w:after="0"/>
              <w:contextualSpacing/>
              <w:jc w:val="both"/>
              <w:rPr>
                <w:szCs w:val="26"/>
              </w:rPr>
            </w:pPr>
            <w:r>
              <w:rPr>
                <w:rFonts w:cs="Times New Roman"/>
                <w:kern w:val="0"/>
                <w:szCs w:val="26"/>
                <w:lang w:val="ru-RU" w:eastAsia="ru-RU" w:bidi="ar-SA"/>
              </w:rPr>
              <w:t>инструкция по эксплуатации, содержащая полные функционально-логические схемы и схемы программируемой логики с описанием алгоритма работы данных схем;</w:t>
            </w:r>
          </w:p>
          <w:p>
            <w:pPr>
              <w:pStyle w:val="ListParagraph"/>
              <w:widowControl w:val="false"/>
              <w:numPr>
                <w:ilvl w:val="0"/>
                <w:numId w:val="45"/>
              </w:numPr>
              <w:suppressAutoHyphens w:val="true"/>
              <w:spacing w:lineRule="auto" w:line="276" w:before="0" w:after="0"/>
              <w:contextualSpacing/>
              <w:jc w:val="both"/>
              <w:rPr>
                <w:szCs w:val="26"/>
              </w:rPr>
            </w:pPr>
            <w:r>
              <w:rPr>
                <w:rFonts w:cs="Times New Roman"/>
                <w:kern w:val="0"/>
                <w:szCs w:val="26"/>
                <w:lang w:val="ru-RU" w:eastAsia="ru-RU" w:bidi="ar-SA"/>
              </w:rPr>
              <w:t>альбом монтажных схем;</w:t>
            </w:r>
          </w:p>
          <w:p>
            <w:pPr>
              <w:pStyle w:val="ListParagraph"/>
              <w:widowControl w:val="false"/>
              <w:numPr>
                <w:ilvl w:val="0"/>
                <w:numId w:val="45"/>
              </w:numPr>
              <w:suppressAutoHyphens w:val="true"/>
              <w:spacing w:lineRule="auto" w:line="276" w:before="0" w:after="0"/>
              <w:contextualSpacing/>
              <w:jc w:val="both"/>
              <w:rPr>
                <w:szCs w:val="26"/>
              </w:rPr>
            </w:pPr>
            <w:r>
              <w:rPr>
                <w:rFonts w:cs="Times New Roman"/>
                <w:kern w:val="0"/>
                <w:szCs w:val="26"/>
                <w:lang w:val="ru-RU" w:eastAsia="ru-RU" w:bidi="ar-SA"/>
              </w:rPr>
              <w:t>альбом сборочных и габаритных чертежей;</w:t>
            </w:r>
          </w:p>
          <w:p>
            <w:pPr>
              <w:pStyle w:val="ListParagraph"/>
              <w:widowControl w:val="false"/>
              <w:numPr>
                <w:ilvl w:val="0"/>
                <w:numId w:val="45"/>
              </w:numPr>
              <w:suppressAutoHyphens w:val="true"/>
              <w:spacing w:lineRule="auto" w:line="276" w:before="0" w:after="0"/>
              <w:contextualSpacing/>
              <w:jc w:val="both"/>
              <w:rPr>
                <w:szCs w:val="26"/>
              </w:rPr>
            </w:pPr>
            <w:r>
              <w:rPr>
                <w:rFonts w:cs="Times New Roman"/>
                <w:kern w:val="0"/>
                <w:szCs w:val="26"/>
                <w:lang w:val="ru-RU" w:eastAsia="ru-RU" w:bidi="ar-SA"/>
              </w:rPr>
              <w:t>альбом принципиальных электрических схем;</w:t>
            </w:r>
          </w:p>
          <w:p>
            <w:pPr>
              <w:pStyle w:val="ListParagraph"/>
              <w:widowControl w:val="false"/>
              <w:numPr>
                <w:ilvl w:val="0"/>
                <w:numId w:val="45"/>
              </w:numPr>
              <w:suppressAutoHyphens w:val="true"/>
              <w:spacing w:lineRule="auto" w:line="276" w:before="0" w:after="0"/>
              <w:contextualSpacing/>
              <w:jc w:val="both"/>
              <w:rPr>
                <w:szCs w:val="26"/>
              </w:rPr>
            </w:pPr>
            <w:r>
              <w:rPr>
                <w:rFonts w:cs="Times New Roman"/>
                <w:kern w:val="0"/>
                <w:szCs w:val="26"/>
                <w:lang w:val="ru-RU" w:eastAsia="ru-RU" w:bidi="ar-SA"/>
              </w:rPr>
              <w:t>методика и программа проведения пусковых испытаний;</w:t>
            </w:r>
          </w:p>
          <w:p>
            <w:pPr>
              <w:pStyle w:val="ListParagraph"/>
              <w:widowControl w:val="false"/>
              <w:numPr>
                <w:ilvl w:val="0"/>
                <w:numId w:val="45"/>
              </w:numPr>
              <w:suppressAutoHyphens w:val="true"/>
              <w:spacing w:lineRule="auto" w:line="276" w:before="0" w:after="0"/>
              <w:contextualSpacing/>
              <w:jc w:val="both"/>
              <w:rPr>
                <w:szCs w:val="26"/>
              </w:rPr>
            </w:pPr>
            <w:r>
              <w:rPr>
                <w:rFonts w:cs="Times New Roman"/>
                <w:kern w:val="0"/>
                <w:szCs w:val="26"/>
                <w:lang w:val="ru-RU" w:eastAsia="ru-RU" w:bidi="ar-SA"/>
              </w:rPr>
              <w:t>эксплуатационная документация, в том числе инструкция по оперативному обслуживанию;</w:t>
            </w:r>
          </w:p>
          <w:p>
            <w:pPr>
              <w:pStyle w:val="ListParagraph"/>
              <w:widowControl w:val="false"/>
              <w:numPr>
                <w:ilvl w:val="0"/>
                <w:numId w:val="45"/>
              </w:numPr>
              <w:suppressAutoHyphens w:val="true"/>
              <w:spacing w:lineRule="auto" w:line="276" w:before="0" w:after="0"/>
              <w:contextualSpacing/>
              <w:jc w:val="both"/>
              <w:rPr>
                <w:szCs w:val="26"/>
              </w:rPr>
            </w:pPr>
            <w:r>
              <w:rPr>
                <w:rFonts w:cs="Times New Roman"/>
                <w:kern w:val="0"/>
                <w:szCs w:val="26"/>
                <w:lang w:val="ru-RU" w:eastAsia="ru-RU" w:bidi="ar-SA"/>
              </w:rPr>
              <w:t>лицензии на программные средства;</w:t>
            </w:r>
          </w:p>
          <w:p>
            <w:pPr>
              <w:pStyle w:val="ListParagraph"/>
              <w:widowControl w:val="false"/>
              <w:numPr>
                <w:ilvl w:val="0"/>
                <w:numId w:val="45"/>
              </w:numPr>
              <w:suppressAutoHyphens w:val="true"/>
              <w:spacing w:lineRule="auto" w:line="276" w:before="0" w:after="0"/>
              <w:contextualSpacing/>
              <w:jc w:val="both"/>
              <w:rPr>
                <w:szCs w:val="26"/>
              </w:rPr>
            </w:pPr>
            <w:r>
              <w:rPr>
                <w:rFonts w:cs="Times New Roman"/>
                <w:kern w:val="0"/>
                <w:szCs w:val="26"/>
                <w:lang w:val="ru-RU" w:eastAsia="ru-RU" w:bidi="ar-SA"/>
              </w:rPr>
              <w:t>сертификаты.</w:t>
            </w:r>
          </w:p>
          <w:p>
            <w:pPr>
              <w:pStyle w:val="Normal"/>
              <w:widowControl w:val="false"/>
              <w:suppressAutoHyphens w:val="true"/>
              <w:spacing w:lineRule="auto" w:line="276" w:before="0" w:after="0"/>
              <w:ind w:hanging="0" w:left="31"/>
              <w:jc w:val="both"/>
              <w:rPr>
                <w:sz w:val="24"/>
                <w:szCs w:val="26"/>
              </w:rPr>
            </w:pPr>
            <w:r>
              <w:rPr>
                <w:rFonts w:eastAsia="Times New Roman" w:cs="Times New Roman"/>
                <w:kern w:val="0"/>
                <w:sz w:val="24"/>
                <w:szCs w:val="26"/>
                <w:lang w:val="ru-RU" w:eastAsia="ru-RU" w:bidi="ar-SA"/>
              </w:rPr>
              <w:t>Объем поставки оборудования указан в пункте 2.1.1 таблицы 1.1</w:t>
            </w:r>
          </w:p>
          <w:p>
            <w:pPr>
              <w:pStyle w:val="Normal"/>
              <w:widowControl w:val="false"/>
              <w:suppressAutoHyphens w:val="true"/>
              <w:spacing w:lineRule="auto" w:line="276" w:before="0" w:after="0"/>
              <w:ind w:hanging="0" w:left="31"/>
              <w:jc w:val="both"/>
              <w:rPr>
                <w:sz w:val="24"/>
                <w:szCs w:val="24"/>
              </w:rPr>
            </w:pPr>
            <w:r>
              <w:rPr>
                <w:sz w:val="24"/>
                <w:szCs w:val="24"/>
              </w:rPr>
            </w:r>
          </w:p>
        </w:tc>
      </w:tr>
      <w:tr>
        <w:trPr/>
        <w:tc>
          <w:tcPr>
            <w:tcW w:w="707" w:type="dxa"/>
            <w:tcBorders/>
            <w:vAlign w:val="center"/>
          </w:tcPr>
          <w:p>
            <w:pPr>
              <w:pStyle w:val="ListParagraph"/>
              <w:widowControl w:val="false"/>
              <w:numPr>
                <w:ilvl w:val="0"/>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Требования к соблюдению положений нормативной и иной обязательной для поставщика документации</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Соответствие регламентам ТС</w:t>
            </w:r>
          </w:p>
        </w:tc>
        <w:tc>
          <w:tcPr>
            <w:tcW w:w="12333" w:type="dxa"/>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Декларация соответствия регламентам таможенного союза (ТР ТС 010/2011, ТР ТС 020/2011)</w:t>
            </w:r>
          </w:p>
        </w:tc>
      </w:tr>
      <w:tr>
        <w:trPr/>
        <w:tc>
          <w:tcPr>
            <w:tcW w:w="707" w:type="dxa"/>
            <w:tcBorders/>
            <w:vAlign w:val="center"/>
          </w:tcPr>
          <w:p>
            <w:pPr>
              <w:pStyle w:val="ListParagraph"/>
              <w:widowControl w:val="false"/>
              <w:numPr>
                <w:ilvl w:val="0"/>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60" w:after="6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сопутствующим услугам:</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60" w:after="6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шефмонтажу</w:t>
            </w:r>
          </w:p>
        </w:tc>
      </w:tr>
      <w:tr>
        <w:trPr/>
        <w:tc>
          <w:tcPr>
            <w:tcW w:w="707" w:type="dxa"/>
            <w:tcBorders/>
            <w:vAlign w:val="center"/>
          </w:tcPr>
          <w:p>
            <w:pPr>
              <w:pStyle w:val="ListParagraph"/>
              <w:widowControl w:val="false"/>
              <w:numPr>
                <w:ilvl w:val="2"/>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В соответствии с</w:t>
            </w:r>
          </w:p>
        </w:tc>
        <w:tc>
          <w:tcPr>
            <w:tcW w:w="12333"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ГОСТ Р 56203-2015 «Оборудование энергетическое тепло- и гидромеханическое. Шефмонтаж и шефналадка. Общие требования»</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tcPr>
          <w:p>
            <w:pPr>
              <w:pStyle w:val="Normal"/>
              <w:widowControl w:val="false"/>
              <w:suppressAutoHyphens w:val="true"/>
              <w:spacing w:before="60" w:after="6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шефналадке</w:t>
            </w:r>
          </w:p>
        </w:tc>
      </w:tr>
      <w:tr>
        <w:trPr/>
        <w:tc>
          <w:tcPr>
            <w:tcW w:w="707" w:type="dxa"/>
            <w:tcBorders/>
            <w:vAlign w:val="center"/>
          </w:tcPr>
          <w:p>
            <w:pPr>
              <w:pStyle w:val="ListParagraph"/>
              <w:widowControl w:val="false"/>
              <w:numPr>
                <w:ilvl w:val="2"/>
                <w:numId w:val="48"/>
              </w:numPr>
              <w:suppressAutoHyphens w:val="true"/>
              <w:spacing w:before="60" w:after="60"/>
              <w:contextualSpacing/>
              <w:jc w:val="left"/>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В соответствии с</w:t>
            </w:r>
          </w:p>
        </w:tc>
        <w:tc>
          <w:tcPr>
            <w:tcW w:w="12333"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ГОСТ Р 56203-2015 «Оборудование энергетическое тепло- и гидромеханическое. Шефмонтаж и шефналадка. Общие требования»</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60" w:after="6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прочим услугам</w:t>
            </w:r>
          </w:p>
        </w:tc>
      </w:tr>
      <w:tr>
        <w:trPr/>
        <w:tc>
          <w:tcPr>
            <w:tcW w:w="707" w:type="dxa"/>
            <w:tcBorders/>
            <w:vAlign w:val="center"/>
          </w:tcPr>
          <w:p>
            <w:pPr>
              <w:pStyle w:val="ListParagraph"/>
              <w:widowControl w:val="false"/>
              <w:numPr>
                <w:ilvl w:val="0"/>
                <w:numId w:val="48"/>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4602" w:type="dxa"/>
            <w:gridSpan w:val="4"/>
            <w:tcBorders/>
            <w:vAlign w:val="center"/>
          </w:tcPr>
          <w:p>
            <w:pPr>
              <w:pStyle w:val="Normal"/>
              <w:widowControl w:val="false"/>
              <w:suppressAutoHyphens w:val="true"/>
              <w:spacing w:before="60" w:after="6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обязательствам Поставщика, влияющим на исполнение договора</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Требование к согласованию конструкторской документации</w:t>
            </w:r>
          </w:p>
        </w:tc>
        <w:tc>
          <w:tcPr>
            <w:tcW w:w="12333" w:type="dxa"/>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ru-RU"/>
              </w:rPr>
              <w:tab/>
              <w:t>Разработанную конструкторскую документацию поставщик должен согласовать с покупателем до начала изготовления продукции</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Требование к наличию сервисных центров</w:t>
            </w:r>
          </w:p>
        </w:tc>
        <w:tc>
          <w:tcPr>
            <w:tcW w:w="12333"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ru-RU"/>
              </w:rPr>
              <w:tab/>
              <w:t>При наличии в составе предложения участника информации о поставке оборудования иностранного производства, участник должен представить в составе заявки информацию об имеющемся на территории Российской Федерации сертифицированного сервисного центра по обслуживанию поставляемого оборудования, оказывающего услуги при проектировании, наладке, ремонте и эксплуатации.</w:t>
            </w:r>
          </w:p>
        </w:tc>
      </w:tr>
      <w:tr>
        <w:trPr/>
        <w:tc>
          <w:tcPr>
            <w:tcW w:w="707" w:type="dxa"/>
            <w:tcBorders/>
            <w:vAlign w:val="center"/>
          </w:tcPr>
          <w:p>
            <w:pPr>
              <w:pStyle w:val="ListParagraph"/>
              <w:widowControl w:val="false"/>
              <w:numPr>
                <w:ilvl w:val="1"/>
                <w:numId w:val="48"/>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269" w:type="dxa"/>
            <w:gridSpan w:val="3"/>
            <w:tcBorders/>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Требования к сопутствующим затратам</w:t>
            </w:r>
          </w:p>
        </w:tc>
        <w:tc>
          <w:tcPr>
            <w:tcW w:w="12333"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ab/>
              <w:t xml:space="preserve">Стоимость упаковки, доставки, сборки, погрузочно-разгрузочных работ, транспортные расходы, расходы по уборке и вывозу упаковочного материала, таможенному оформлению и страхованию, </w:t>
            </w:r>
            <w:r>
              <w:rPr>
                <w:rFonts w:eastAsia="Times New Roman" w:cs="Times New Roman"/>
                <w:bCs/>
                <w:color w:val="000000"/>
                <w:kern w:val="0"/>
                <w:sz w:val="24"/>
                <w:szCs w:val="24"/>
                <w:lang w:val="ru-RU" w:eastAsia="ru-RU" w:bidi="ar-SA"/>
              </w:rPr>
              <w:t>все налоги, сборы и другие обязательные платежи, взимаемые на территории Российской Федерации,</w:t>
            </w:r>
            <w:r>
              <w:rPr>
                <w:rFonts w:eastAsia="Times New Roman" w:cs="Times New Roman"/>
                <w:kern w:val="0"/>
                <w:sz w:val="24"/>
                <w:szCs w:val="24"/>
                <w:lang w:val="ru-RU" w:eastAsia="ru-RU" w:bidi="ar-SA"/>
              </w:rPr>
              <w:t xml:space="preserve"> а также все затраты, издержки и расходы Поставщика, связанные с исполнением обязательств включены в цену Контракта.</w:t>
            </w:r>
          </w:p>
        </w:tc>
      </w:tr>
    </w:tbl>
    <w:p>
      <w:pPr>
        <w:sectPr>
          <w:headerReference w:type="default" r:id="rId7"/>
          <w:headerReference w:type="first" r:id="rId8"/>
          <w:type w:val="nextPage"/>
          <w:pgSz w:orient="landscape" w:w="16838" w:h="11906"/>
          <w:pgMar w:left="992" w:right="567" w:gutter="0" w:header="680" w:top="851" w:footer="0" w:bottom="851"/>
          <w:pgNumType w:fmt="decimal"/>
          <w:formProt w:val="false"/>
          <w:titlePg/>
          <w:textDirection w:val="lrTb"/>
          <w:docGrid w:type="default" w:linePitch="381" w:charSpace="0"/>
        </w:sectPr>
      </w:pPr>
    </w:p>
    <w:p>
      <w:pPr>
        <w:pStyle w:val="Heading1"/>
        <w:keepLines/>
        <w:numPr>
          <w:ilvl w:val="0"/>
          <w:numId w:val="3"/>
        </w:numPr>
        <w:ind w:hanging="357" w:left="357"/>
        <w:jc w:val="center"/>
        <w:rPr>
          <w:sz w:val="24"/>
          <w:szCs w:val="24"/>
          <w:lang w:val="ru-RU"/>
        </w:rPr>
      </w:pPr>
      <w:bookmarkStart w:id="49" w:name="_Toc75446583"/>
      <w:bookmarkStart w:id="50" w:name="_Toc53393312"/>
      <w:r>
        <w:rPr>
          <w:sz w:val="24"/>
          <w:szCs w:val="24"/>
          <w:lang w:val="ru-RU"/>
        </w:rPr>
        <w:t>Требования к документации по ценообразованию</w:t>
      </w:r>
      <w:bookmarkEnd w:id="50"/>
      <w:r>
        <w:rPr>
          <w:sz w:val="24"/>
          <w:szCs w:val="24"/>
          <w:lang w:val="ru-RU"/>
        </w:rPr>
        <w:t xml:space="preserve"> на этапе закупки</w:t>
      </w:r>
      <w:bookmarkEnd w:id="49"/>
    </w:p>
    <w:p>
      <w:pPr>
        <w:pStyle w:val="Normal"/>
        <w:spacing w:before="0" w:after="120"/>
        <w:ind w:hanging="0" w:right="-1"/>
        <w:jc w:val="both"/>
        <w:rPr>
          <w:bCs/>
          <w:sz w:val="24"/>
          <w:szCs w:val="24"/>
        </w:rPr>
      </w:pPr>
      <w:r>
        <w:rPr>
          <w:bCs/>
          <w:sz w:val="24"/>
          <w:szCs w:val="24"/>
        </w:rPr>
        <w:t>В соответствии с Приложением №1 к настоящим Техническим требования.</w:t>
      </w:r>
    </w:p>
    <w:p>
      <w:pPr>
        <w:pStyle w:val="Normal"/>
        <w:spacing w:before="0" w:after="120"/>
        <w:ind w:hanging="0" w:right="-1"/>
        <w:jc w:val="both"/>
        <w:rPr>
          <w:bCs/>
          <w:sz w:val="24"/>
          <w:szCs w:val="24"/>
        </w:rPr>
      </w:pPr>
      <w:r>
        <w:rPr>
          <w:bCs/>
          <w:sz w:val="24"/>
          <w:szCs w:val="24"/>
        </w:rPr>
      </w:r>
    </w:p>
    <w:p>
      <w:pPr>
        <w:pStyle w:val="Heading1"/>
        <w:keepLines/>
        <w:numPr>
          <w:ilvl w:val="0"/>
          <w:numId w:val="3"/>
        </w:numPr>
        <w:ind w:hanging="357" w:left="357"/>
        <w:jc w:val="center"/>
        <w:rPr>
          <w:sz w:val="24"/>
          <w:szCs w:val="24"/>
          <w:lang w:val="ru-RU"/>
        </w:rPr>
      </w:pPr>
      <w:r>
        <w:rPr>
          <w:sz w:val="24"/>
          <w:szCs w:val="24"/>
          <w:lang w:val="ru-RU"/>
        </w:rPr>
        <w:t>Требования к документации по ценообразованию на этапе заключения (исполнения) договора</w:t>
      </w:r>
    </w:p>
    <w:p>
      <w:pPr>
        <w:pStyle w:val="Normal"/>
        <w:spacing w:before="0" w:after="120"/>
        <w:ind w:hanging="0" w:right="-1"/>
        <w:jc w:val="both"/>
        <w:rPr>
          <w:bCs/>
          <w:sz w:val="24"/>
          <w:szCs w:val="24"/>
        </w:rPr>
      </w:pPr>
      <w:r>
        <w:rPr>
          <w:bCs/>
          <w:sz w:val="24"/>
          <w:szCs w:val="24"/>
        </w:rPr>
        <w:t>В соответствии с Приложением №1 к настоящим Техническим требования.</w:t>
      </w:r>
    </w:p>
    <w:p>
      <w:pPr>
        <w:pStyle w:val="Normal"/>
        <w:spacing w:before="0" w:after="120"/>
        <w:ind w:hanging="0" w:right="-1"/>
        <w:jc w:val="both"/>
        <w:rPr>
          <w:rFonts w:eastAsia="Calibri"/>
          <w:b/>
          <w:iCs/>
          <w:sz w:val="24"/>
          <w:szCs w:val="24"/>
          <w:lang w:val="x-none" w:eastAsia="x-none"/>
        </w:rPr>
      </w:pPr>
      <w:r>
        <w:rPr>
          <w:rFonts w:eastAsia="Calibri"/>
          <w:b/>
          <w:iCs/>
          <w:sz w:val="24"/>
          <w:szCs w:val="24"/>
          <w:lang w:val="x-none" w:eastAsia="x-none"/>
        </w:rPr>
      </w:r>
    </w:p>
    <w:p>
      <w:pPr>
        <w:pStyle w:val="Heading1"/>
        <w:keepLines/>
        <w:numPr>
          <w:ilvl w:val="0"/>
          <w:numId w:val="3"/>
        </w:numPr>
        <w:ind w:hanging="357" w:left="357"/>
        <w:jc w:val="center"/>
        <w:rPr>
          <w:iCs/>
          <w:caps/>
          <w:sz w:val="24"/>
          <w:szCs w:val="24"/>
        </w:rPr>
      </w:pPr>
      <w:r>
        <w:rPr>
          <w:iCs/>
          <w:sz w:val="24"/>
          <w:szCs w:val="24"/>
        </w:rPr>
        <w:t>Приложения</w:t>
      </w:r>
    </w:p>
    <w:p>
      <w:pPr>
        <w:pStyle w:val="Normal"/>
        <w:widowControl w:val="false"/>
        <w:tabs>
          <w:tab w:val="clear" w:pos="708"/>
          <w:tab w:val="left" w:pos="426" w:leader="none"/>
        </w:tabs>
        <w:spacing w:before="60" w:after="0"/>
        <w:jc w:val="both"/>
        <w:rPr>
          <w:rStyle w:val="Style8"/>
          <w:b w:val="false"/>
          <w:bCs/>
          <w:iCs/>
          <w:sz w:val="24"/>
          <w:szCs w:val="24"/>
        </w:rPr>
      </w:pPr>
      <w:r>
        <w:rPr>
          <w:b w:val="false"/>
          <w:bCs/>
          <w:iCs/>
          <w:sz w:val="24"/>
          <w:szCs w:val="24"/>
        </w:rPr>
      </w:r>
    </w:p>
    <w:p>
      <w:pPr>
        <w:pStyle w:val="Normal"/>
        <w:spacing w:before="0" w:after="120"/>
        <w:ind w:hanging="0" w:right="-1"/>
        <w:jc w:val="both"/>
        <w:rPr>
          <w:i/>
          <w:i/>
          <w:sz w:val="24"/>
          <w:szCs w:val="24"/>
        </w:rPr>
      </w:pPr>
      <w:r>
        <w:rPr>
          <w:i/>
          <w:sz w:val="24"/>
          <w:szCs w:val="24"/>
        </w:rPr>
        <w:t>Приложение №1 к ТТ «Требования к оформлению и составлению сметной документации».</w:t>
      </w:r>
    </w:p>
    <w:p>
      <w:pPr>
        <w:pStyle w:val="Normal"/>
        <w:spacing w:before="0" w:after="120"/>
        <w:ind w:hanging="0" w:right="-1"/>
        <w:jc w:val="both"/>
        <w:rPr>
          <w:i/>
          <w:i/>
          <w:sz w:val="24"/>
          <w:szCs w:val="24"/>
        </w:rPr>
      </w:pPr>
      <w:bookmarkStart w:id="51" w:name="_Toc51339699"/>
      <w:bookmarkStart w:id="52" w:name="_Toc46743519"/>
      <w:r>
        <w:rPr>
          <w:i/>
          <w:sz w:val="24"/>
          <w:szCs w:val="24"/>
        </w:rPr>
        <w:t>Приложение №2 к ТТ «Временные методические указания по мониторингу и контролю вибрационного состояния гидроагрегатов, оснащенных стационарными системами вибродиагностики»</w:t>
      </w:r>
      <w:bookmarkEnd w:id="51"/>
      <w:bookmarkEnd w:id="52"/>
      <w:r>
        <w:rPr>
          <w:i/>
          <w:sz w:val="24"/>
          <w:szCs w:val="24"/>
        </w:rPr>
        <w:t>.</w:t>
      </w:r>
    </w:p>
    <w:p>
      <w:pPr>
        <w:pStyle w:val="Normal"/>
        <w:spacing w:before="0" w:after="120"/>
        <w:ind w:hanging="0" w:right="-1"/>
        <w:jc w:val="both"/>
        <w:rPr>
          <w:i/>
          <w:i/>
          <w:sz w:val="24"/>
          <w:szCs w:val="24"/>
        </w:rPr>
      </w:pPr>
      <w:r>
        <w:rPr>
          <w:i/>
          <w:sz w:val="24"/>
          <w:szCs w:val="24"/>
        </w:rPr>
        <w:t>Приложение №3 к ТТ «Требования к шкафу МПУ».</w:t>
      </w:r>
    </w:p>
    <w:p>
      <w:pPr>
        <w:pStyle w:val="Normal"/>
        <w:spacing w:before="0" w:after="120"/>
        <w:ind w:hanging="0" w:right="-1"/>
        <w:jc w:val="both"/>
        <w:rPr>
          <w:i/>
          <w:i/>
          <w:sz w:val="24"/>
          <w:szCs w:val="24"/>
        </w:rPr>
      </w:pPr>
      <w:r>
        <w:rPr>
          <w:i/>
          <w:sz w:val="24"/>
          <w:szCs w:val="24"/>
        </w:rPr>
        <w:t>Приложение №4 к ТТ «СТО РусГидро 02.02.060-2011 Гидроэлектростанции. Технические и автоматизированные системы. Условия поставки. Нормы и требования».</w:t>
      </w:r>
    </w:p>
    <w:p>
      <w:pPr>
        <w:pStyle w:val="Normal"/>
        <w:spacing w:before="0" w:after="120"/>
        <w:ind w:hanging="0" w:right="-1"/>
        <w:jc w:val="both"/>
        <w:rPr>
          <w:i/>
          <w:i/>
          <w:sz w:val="24"/>
          <w:szCs w:val="24"/>
        </w:rPr>
      </w:pPr>
      <w:r>
        <w:rPr>
          <w:i/>
          <w:sz w:val="24"/>
          <w:szCs w:val="24"/>
        </w:rPr>
        <w:t xml:space="preserve">Приложение №5 к ТТ «Техническая политика группы РусГидро. </w:t>
      </w:r>
    </w:p>
    <w:p>
      <w:pPr>
        <w:pStyle w:val="Normal"/>
        <w:spacing w:before="0" w:after="120"/>
        <w:ind w:hanging="0" w:right="-1"/>
        <w:jc w:val="both"/>
        <w:rPr>
          <w:i/>
          <w:i/>
          <w:sz w:val="24"/>
          <w:szCs w:val="24"/>
        </w:rPr>
      </w:pPr>
      <w:r>
        <w:rPr>
          <w:i/>
          <w:sz w:val="24"/>
          <w:szCs w:val="24"/>
        </w:rPr>
        <w:t xml:space="preserve">Приложение №6 к ТТ «Типовые проектные решения ПАО «РусГидро» по САУ ГА». </w:t>
      </w:r>
    </w:p>
    <w:p>
      <w:pPr>
        <w:pStyle w:val="Normal"/>
        <w:spacing w:before="0" w:after="120"/>
        <w:ind w:hanging="0" w:right="-1"/>
        <w:jc w:val="both"/>
        <w:rPr>
          <w:i/>
          <w:i/>
          <w:sz w:val="24"/>
          <w:szCs w:val="24"/>
        </w:rPr>
      </w:pPr>
      <w:r>
        <w:rPr>
          <w:i/>
          <w:sz w:val="24"/>
          <w:szCs w:val="24"/>
        </w:rPr>
      </w:r>
    </w:p>
    <w:p>
      <w:pPr>
        <w:pStyle w:val="Normal"/>
        <w:spacing w:before="0" w:after="120"/>
        <w:ind w:hanging="0" w:right="-1"/>
        <w:jc w:val="both"/>
        <w:rPr>
          <w:i/>
          <w:i/>
          <w:sz w:val="24"/>
          <w:szCs w:val="24"/>
        </w:rPr>
      </w:pPr>
      <w:r>
        <w:rPr>
          <w:i/>
          <w:sz w:val="24"/>
          <w:szCs w:val="24"/>
        </w:rPr>
        <w:t xml:space="preserve"> </w:t>
      </w:r>
    </w:p>
    <w:p>
      <w:pPr>
        <w:pStyle w:val="Normal"/>
        <w:spacing w:before="0" w:after="120"/>
        <w:ind w:hanging="0" w:right="-1"/>
        <w:jc w:val="both"/>
        <w:rPr>
          <w:i/>
          <w:i/>
          <w:sz w:val="24"/>
          <w:szCs w:val="24"/>
        </w:rPr>
      </w:pPr>
      <w:r>
        <w:rPr>
          <w:i/>
          <w:sz w:val="24"/>
          <w:szCs w:val="24"/>
        </w:rPr>
      </w:r>
    </w:p>
    <w:p>
      <w:pPr>
        <w:pStyle w:val="Normal"/>
        <w:spacing w:before="0" w:after="120"/>
        <w:ind w:hanging="0" w:right="-1"/>
        <w:jc w:val="both"/>
        <w:rPr>
          <w:i/>
          <w:i/>
          <w:sz w:val="24"/>
          <w:szCs w:val="24"/>
        </w:rPr>
      </w:pPr>
      <w:r>
        <w:rPr>
          <w:i/>
          <w:sz w:val="24"/>
          <w:szCs w:val="24"/>
        </w:rPr>
      </w:r>
    </w:p>
    <w:p>
      <w:pPr>
        <w:pStyle w:val="Normal"/>
        <w:spacing w:before="0" w:after="120"/>
        <w:ind w:hanging="0" w:right="-1"/>
        <w:jc w:val="both"/>
        <w:rPr>
          <w:sz w:val="24"/>
          <w:szCs w:val="24"/>
          <w:lang w:eastAsia="x-none"/>
        </w:rPr>
      </w:pPr>
      <w:r>
        <w:rPr>
          <w:sz w:val="24"/>
          <w:szCs w:val="24"/>
          <w:lang w:eastAsia="x-none"/>
        </w:rPr>
      </w:r>
    </w:p>
    <w:sectPr>
      <w:headerReference w:type="default" r:id="rId9"/>
      <w:headerReference w:type="first" r:id="rId10"/>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Sylfaen">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8</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35</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0</w:t>
    </w:r>
    <w:r>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681"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bullet"/>
      <w:lvlText w:val=""/>
      <w:lvlJc w:val="left"/>
      <w:pPr>
        <w:tabs>
          <w:tab w:val="num" w:pos="0"/>
        </w:tabs>
        <w:ind w:left="360" w:hanging="360"/>
      </w:pPr>
      <w:rPr>
        <w:rFonts w:ascii="Symbol" w:hAnsi="Symbol" w:cs="Symbol" w:hint="default"/>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numFmt w:val="bullet"/>
      <w:lvlText w:val="-"/>
      <w:lvlJc w:val="left"/>
      <w:pPr>
        <w:tabs>
          <w:tab w:val="num" w:pos="0"/>
        </w:tabs>
        <w:ind w:left="1287" w:hanging="360"/>
      </w:pPr>
      <w:rPr>
        <w:rFonts w:ascii="Courier New" w:hAnsi="Courier New" w:cs="Courier New" w:hint="default"/>
        <w:b w:val="false"/>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lvl w:ilvl="0">
      <w:start w:val="1"/>
      <w:numFmt w:val="bullet"/>
      <w:lvlText w:val=""/>
      <w:lvlJc w:val="left"/>
      <w:pPr>
        <w:tabs>
          <w:tab w:val="num" w:pos="0"/>
        </w:tabs>
        <w:ind w:left="1206" w:hanging="360"/>
      </w:pPr>
      <w:rPr>
        <w:rFonts w:ascii="Symbol" w:hAnsi="Symbol" w:cs="Symbol" w:hint="default"/>
      </w:rPr>
    </w:lvl>
    <w:lvl w:ilvl="1">
      <w:start w:val="1"/>
      <w:numFmt w:val="bullet"/>
      <w:lvlText w:val="o"/>
      <w:lvlJc w:val="left"/>
      <w:pPr>
        <w:tabs>
          <w:tab w:val="num" w:pos="0"/>
        </w:tabs>
        <w:ind w:left="1926" w:hanging="360"/>
      </w:pPr>
      <w:rPr>
        <w:rFonts w:ascii="Courier New" w:hAnsi="Courier New" w:cs="Courier New" w:hint="default"/>
      </w:rPr>
    </w:lvl>
    <w:lvl w:ilvl="2">
      <w:start w:val="1"/>
      <w:numFmt w:val="bullet"/>
      <w:lvlText w:val=""/>
      <w:lvlJc w:val="left"/>
      <w:pPr>
        <w:tabs>
          <w:tab w:val="num" w:pos="0"/>
        </w:tabs>
        <w:ind w:left="2646" w:hanging="360"/>
      </w:pPr>
      <w:rPr>
        <w:rFonts w:ascii="Wingdings" w:hAnsi="Wingdings" w:cs="Wingdings" w:hint="default"/>
      </w:rPr>
    </w:lvl>
    <w:lvl w:ilvl="3">
      <w:start w:val="1"/>
      <w:numFmt w:val="bullet"/>
      <w:lvlText w:val=""/>
      <w:lvlJc w:val="left"/>
      <w:pPr>
        <w:tabs>
          <w:tab w:val="num" w:pos="0"/>
        </w:tabs>
        <w:ind w:left="3366" w:hanging="360"/>
      </w:pPr>
      <w:rPr>
        <w:rFonts w:ascii="Symbol" w:hAnsi="Symbol" w:cs="Symbol" w:hint="default"/>
      </w:rPr>
    </w:lvl>
    <w:lvl w:ilvl="4">
      <w:start w:val="1"/>
      <w:numFmt w:val="bullet"/>
      <w:lvlText w:val="o"/>
      <w:lvlJc w:val="left"/>
      <w:pPr>
        <w:tabs>
          <w:tab w:val="num" w:pos="0"/>
        </w:tabs>
        <w:ind w:left="4086" w:hanging="360"/>
      </w:pPr>
      <w:rPr>
        <w:rFonts w:ascii="Courier New" w:hAnsi="Courier New" w:cs="Courier New" w:hint="default"/>
      </w:rPr>
    </w:lvl>
    <w:lvl w:ilvl="5">
      <w:start w:val="1"/>
      <w:numFmt w:val="bullet"/>
      <w:lvlText w:val=""/>
      <w:lvlJc w:val="left"/>
      <w:pPr>
        <w:tabs>
          <w:tab w:val="num" w:pos="0"/>
        </w:tabs>
        <w:ind w:left="4806" w:hanging="360"/>
      </w:pPr>
      <w:rPr>
        <w:rFonts w:ascii="Wingdings" w:hAnsi="Wingdings" w:cs="Wingdings" w:hint="default"/>
      </w:rPr>
    </w:lvl>
    <w:lvl w:ilvl="6">
      <w:start w:val="1"/>
      <w:numFmt w:val="bullet"/>
      <w:lvlText w:val=""/>
      <w:lvlJc w:val="left"/>
      <w:pPr>
        <w:tabs>
          <w:tab w:val="num" w:pos="0"/>
        </w:tabs>
        <w:ind w:left="5526" w:hanging="360"/>
      </w:pPr>
      <w:rPr>
        <w:rFonts w:ascii="Symbol" w:hAnsi="Symbol" w:cs="Symbol" w:hint="default"/>
      </w:rPr>
    </w:lvl>
    <w:lvl w:ilvl="7">
      <w:start w:val="1"/>
      <w:numFmt w:val="bullet"/>
      <w:lvlText w:val="o"/>
      <w:lvlJc w:val="left"/>
      <w:pPr>
        <w:tabs>
          <w:tab w:val="num" w:pos="0"/>
        </w:tabs>
        <w:ind w:left="6246" w:hanging="360"/>
      </w:pPr>
      <w:rPr>
        <w:rFonts w:ascii="Courier New" w:hAnsi="Courier New" w:cs="Courier New" w:hint="default"/>
      </w:rPr>
    </w:lvl>
    <w:lvl w:ilvl="8">
      <w:start w:val="1"/>
      <w:numFmt w:val="bullet"/>
      <w:lvlText w:val=""/>
      <w:lvlJc w:val="left"/>
      <w:pPr>
        <w:tabs>
          <w:tab w:val="num" w:pos="0"/>
        </w:tabs>
        <w:ind w:left="6966" w:hanging="360"/>
      </w:pPr>
      <w:rPr>
        <w:rFonts w:ascii="Wingdings" w:hAnsi="Wingdings" w:cs="Wingdings" w:hint="default"/>
      </w:rPr>
    </w:lvl>
  </w:abstractNum>
  <w:abstractNum w:abstractNumId="12">
    <w:lvl w:ilvl="0">
      <w:start w:val="1"/>
      <w:numFmt w:val="decimal"/>
      <w:lvlText w:val="%1"/>
      <w:lvlJc w:val="left"/>
      <w:pPr>
        <w:tabs>
          <w:tab w:val="num" w:pos="0"/>
        </w:tabs>
        <w:ind w:left="600" w:hanging="600"/>
      </w:pPr>
      <w:rPr/>
    </w:lvl>
    <w:lvl w:ilvl="1">
      <w:start w:val="1"/>
      <w:numFmt w:val="decimal"/>
      <w:lvlText w:val="%1.%2"/>
      <w:lvlJc w:val="left"/>
      <w:pPr>
        <w:tabs>
          <w:tab w:val="num" w:pos="0"/>
        </w:tabs>
        <w:ind w:left="600" w:hanging="60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84" w:hanging="360"/>
      </w:pPr>
      <w:rPr>
        <w:rFonts w:ascii="Symbol" w:hAnsi="Symbol" w:cs="Symbol" w:hint="default"/>
      </w:rPr>
    </w:lvl>
    <w:lvl w:ilvl="1">
      <w:start w:val="1"/>
      <w:numFmt w:val="bullet"/>
      <w:lvlText w:val="o"/>
      <w:lvlJc w:val="left"/>
      <w:pPr>
        <w:tabs>
          <w:tab w:val="num" w:pos="0"/>
        </w:tabs>
        <w:ind w:left="1504" w:hanging="360"/>
      </w:pPr>
      <w:rPr>
        <w:rFonts w:ascii="Courier New" w:hAnsi="Courier New" w:cs="Courier New" w:hint="default"/>
      </w:rPr>
    </w:lvl>
    <w:lvl w:ilvl="2">
      <w:start w:val="1"/>
      <w:numFmt w:val="bullet"/>
      <w:lvlText w:val=""/>
      <w:lvlJc w:val="left"/>
      <w:pPr>
        <w:tabs>
          <w:tab w:val="num" w:pos="0"/>
        </w:tabs>
        <w:ind w:left="2224" w:hanging="360"/>
      </w:pPr>
      <w:rPr>
        <w:rFonts w:ascii="Wingdings" w:hAnsi="Wingdings" w:cs="Wingdings" w:hint="default"/>
      </w:rPr>
    </w:lvl>
    <w:lvl w:ilvl="3">
      <w:start w:val="1"/>
      <w:numFmt w:val="bullet"/>
      <w:lvlText w:val=""/>
      <w:lvlJc w:val="left"/>
      <w:pPr>
        <w:tabs>
          <w:tab w:val="num" w:pos="0"/>
        </w:tabs>
        <w:ind w:left="2944" w:hanging="360"/>
      </w:pPr>
      <w:rPr>
        <w:rFonts w:ascii="Symbol" w:hAnsi="Symbol" w:cs="Symbol" w:hint="default"/>
      </w:rPr>
    </w:lvl>
    <w:lvl w:ilvl="4">
      <w:start w:val="1"/>
      <w:numFmt w:val="bullet"/>
      <w:lvlText w:val="o"/>
      <w:lvlJc w:val="left"/>
      <w:pPr>
        <w:tabs>
          <w:tab w:val="num" w:pos="0"/>
        </w:tabs>
        <w:ind w:left="3664" w:hanging="360"/>
      </w:pPr>
      <w:rPr>
        <w:rFonts w:ascii="Courier New" w:hAnsi="Courier New" w:cs="Courier New" w:hint="default"/>
      </w:rPr>
    </w:lvl>
    <w:lvl w:ilvl="5">
      <w:start w:val="1"/>
      <w:numFmt w:val="bullet"/>
      <w:lvlText w:val=""/>
      <w:lvlJc w:val="left"/>
      <w:pPr>
        <w:tabs>
          <w:tab w:val="num" w:pos="0"/>
        </w:tabs>
        <w:ind w:left="4384" w:hanging="360"/>
      </w:pPr>
      <w:rPr>
        <w:rFonts w:ascii="Wingdings" w:hAnsi="Wingdings" w:cs="Wingdings" w:hint="default"/>
      </w:rPr>
    </w:lvl>
    <w:lvl w:ilvl="6">
      <w:start w:val="1"/>
      <w:numFmt w:val="bullet"/>
      <w:lvlText w:val=""/>
      <w:lvlJc w:val="left"/>
      <w:pPr>
        <w:tabs>
          <w:tab w:val="num" w:pos="0"/>
        </w:tabs>
        <w:ind w:left="5104" w:hanging="360"/>
      </w:pPr>
      <w:rPr>
        <w:rFonts w:ascii="Symbol" w:hAnsi="Symbol" w:cs="Symbol" w:hint="default"/>
      </w:rPr>
    </w:lvl>
    <w:lvl w:ilvl="7">
      <w:start w:val="1"/>
      <w:numFmt w:val="bullet"/>
      <w:lvlText w:val="o"/>
      <w:lvlJc w:val="left"/>
      <w:pPr>
        <w:tabs>
          <w:tab w:val="num" w:pos="0"/>
        </w:tabs>
        <w:ind w:left="5824" w:hanging="360"/>
      </w:pPr>
      <w:rPr>
        <w:rFonts w:ascii="Courier New" w:hAnsi="Courier New" w:cs="Courier New" w:hint="default"/>
      </w:rPr>
    </w:lvl>
    <w:lvl w:ilvl="8">
      <w:start w:val="1"/>
      <w:numFmt w:val="bullet"/>
      <w:lvlText w:val=""/>
      <w:lvlJc w:val="left"/>
      <w:pPr>
        <w:tabs>
          <w:tab w:val="num" w:pos="0"/>
        </w:tabs>
        <w:ind w:left="6544"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bullet"/>
      <w:lvlText w:val=""/>
      <w:lvlJc w:val="left"/>
      <w:pPr>
        <w:tabs>
          <w:tab w:val="num" w:pos="0"/>
        </w:tabs>
        <w:ind w:left="1461" w:hanging="360"/>
      </w:pPr>
      <w:rPr>
        <w:rFonts w:ascii="Symbol" w:hAnsi="Symbol" w:cs="Symbol" w:hint="default"/>
      </w:rPr>
    </w:lvl>
    <w:lvl w:ilvl="1">
      <w:start w:val="1"/>
      <w:numFmt w:val="bullet"/>
      <w:lvlText w:val="o"/>
      <w:lvlJc w:val="left"/>
      <w:pPr>
        <w:tabs>
          <w:tab w:val="num" w:pos="0"/>
        </w:tabs>
        <w:ind w:left="2181" w:hanging="360"/>
      </w:pPr>
      <w:rPr>
        <w:rFonts w:ascii="Courier New" w:hAnsi="Courier New" w:cs="Courier New" w:hint="default"/>
      </w:rPr>
    </w:lvl>
    <w:lvl w:ilvl="2">
      <w:start w:val="1"/>
      <w:numFmt w:val="bullet"/>
      <w:lvlText w:val=""/>
      <w:lvlJc w:val="left"/>
      <w:pPr>
        <w:tabs>
          <w:tab w:val="num" w:pos="0"/>
        </w:tabs>
        <w:ind w:left="2901" w:hanging="360"/>
      </w:pPr>
      <w:rPr>
        <w:rFonts w:ascii="Wingdings" w:hAnsi="Wingdings" w:cs="Wingdings" w:hint="default"/>
      </w:rPr>
    </w:lvl>
    <w:lvl w:ilvl="3">
      <w:start w:val="1"/>
      <w:numFmt w:val="bullet"/>
      <w:lvlText w:val=""/>
      <w:lvlJc w:val="left"/>
      <w:pPr>
        <w:tabs>
          <w:tab w:val="num" w:pos="0"/>
        </w:tabs>
        <w:ind w:left="3621" w:hanging="360"/>
      </w:pPr>
      <w:rPr>
        <w:rFonts w:ascii="Symbol" w:hAnsi="Symbol" w:cs="Symbol" w:hint="default"/>
      </w:rPr>
    </w:lvl>
    <w:lvl w:ilvl="4">
      <w:start w:val="1"/>
      <w:numFmt w:val="bullet"/>
      <w:lvlText w:val="o"/>
      <w:lvlJc w:val="left"/>
      <w:pPr>
        <w:tabs>
          <w:tab w:val="num" w:pos="0"/>
        </w:tabs>
        <w:ind w:left="4341" w:hanging="360"/>
      </w:pPr>
      <w:rPr>
        <w:rFonts w:ascii="Courier New" w:hAnsi="Courier New" w:cs="Courier New" w:hint="default"/>
      </w:rPr>
    </w:lvl>
    <w:lvl w:ilvl="5">
      <w:start w:val="1"/>
      <w:numFmt w:val="bullet"/>
      <w:lvlText w:val=""/>
      <w:lvlJc w:val="left"/>
      <w:pPr>
        <w:tabs>
          <w:tab w:val="num" w:pos="0"/>
        </w:tabs>
        <w:ind w:left="5061" w:hanging="360"/>
      </w:pPr>
      <w:rPr>
        <w:rFonts w:ascii="Wingdings" w:hAnsi="Wingdings" w:cs="Wingdings" w:hint="default"/>
      </w:rPr>
    </w:lvl>
    <w:lvl w:ilvl="6">
      <w:start w:val="1"/>
      <w:numFmt w:val="bullet"/>
      <w:lvlText w:val=""/>
      <w:lvlJc w:val="left"/>
      <w:pPr>
        <w:tabs>
          <w:tab w:val="num" w:pos="0"/>
        </w:tabs>
        <w:ind w:left="5781" w:hanging="360"/>
      </w:pPr>
      <w:rPr>
        <w:rFonts w:ascii="Symbol" w:hAnsi="Symbol" w:cs="Symbol" w:hint="default"/>
      </w:rPr>
    </w:lvl>
    <w:lvl w:ilvl="7">
      <w:start w:val="1"/>
      <w:numFmt w:val="bullet"/>
      <w:lvlText w:val="o"/>
      <w:lvlJc w:val="left"/>
      <w:pPr>
        <w:tabs>
          <w:tab w:val="num" w:pos="0"/>
        </w:tabs>
        <w:ind w:left="6501" w:hanging="360"/>
      </w:pPr>
      <w:rPr>
        <w:rFonts w:ascii="Courier New" w:hAnsi="Courier New" w:cs="Courier New" w:hint="default"/>
      </w:rPr>
    </w:lvl>
    <w:lvl w:ilvl="8">
      <w:start w:val="1"/>
      <w:numFmt w:val="bullet"/>
      <w:lvlText w:val=""/>
      <w:lvlJc w:val="left"/>
      <w:pPr>
        <w:tabs>
          <w:tab w:val="num" w:pos="0"/>
        </w:tabs>
        <w:ind w:left="7221" w:hanging="360"/>
      </w:pPr>
      <w:rPr>
        <w:rFonts w:ascii="Wingdings" w:hAnsi="Wingdings" w:cs="Wingdings" w:hint="default"/>
      </w:rPr>
    </w:lvl>
  </w:abstractNum>
  <w:abstractNum w:abstractNumId="21">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720" w:hanging="360"/>
      </w:pPr>
      <w:rPr/>
    </w:lvl>
    <w:lvl w:ilvl="2">
      <w:start w:val="1"/>
      <w:numFmt w:val="decimal"/>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24">
    <w:lvl w:ilvl="0">
      <w:start w:val="1"/>
      <w:numFmt w:val="decimal"/>
      <w:lvlText w:val="%1."/>
      <w:lvlJc w:val="left"/>
      <w:pPr>
        <w:tabs>
          <w:tab w:val="num" w:pos="360"/>
        </w:tabs>
        <w:ind w:left="0" w:hanging="0"/>
      </w:pPr>
      <w:rPr/>
    </w:lvl>
    <w:lvl w:ilvl="1">
      <w:start w:val="2"/>
      <w:numFmt w:val="bullet"/>
      <w:lvlText w:val="-"/>
      <w:lvlJc w:val="left"/>
      <w:pPr>
        <w:tabs>
          <w:tab w:val="num" w:pos="1260"/>
        </w:tabs>
        <w:ind w:left="1260" w:hanging="360"/>
      </w:pPr>
      <w:rPr>
        <w:rFonts w:ascii="OpenSymbol" w:hAnsi="OpenSymbol" w:cs="OpenSymbol" w:hint="default"/>
      </w:rPr>
    </w:lvl>
    <w:lvl w:ilvl="2">
      <w:start w:val="1"/>
      <w:numFmt w:val="decimal"/>
      <w:lvlText w:val="%1.%2.%3."/>
      <w:lvlJc w:val="left"/>
      <w:pPr>
        <w:tabs>
          <w:tab w:val="num" w:pos="1440"/>
        </w:tabs>
        <w:ind w:left="0" w:firstLine="720"/>
      </w:pPr>
      <w:rPr/>
    </w:lvl>
    <w:lvl w:ilvl="3">
      <w:start w:val="1"/>
      <w:numFmt w:val="decimal"/>
      <w:lvlText w:val="%1.%2.%3.%4."/>
      <w:lvlJc w:val="left"/>
      <w:pPr>
        <w:tabs>
          <w:tab w:val="num" w:pos="1800"/>
        </w:tabs>
        <w:ind w:left="0" w:firstLine="1080"/>
      </w:pPr>
      <w:rPr/>
    </w:lvl>
    <w:lvl w:ilvl="4">
      <w:start w:val="1"/>
      <w:numFmt w:val="decimal"/>
      <w:lvlText w:val="%1.%2.%3.%4.%5."/>
      <w:lvlJc w:val="left"/>
      <w:pPr>
        <w:tabs>
          <w:tab w:val="num" w:pos="2520"/>
        </w:tabs>
        <w:ind w:left="0" w:firstLine="1440"/>
      </w:pPr>
      <w:rPr/>
    </w:lvl>
    <w:lvl w:ilvl="5">
      <w:start w:val="1"/>
      <w:numFmt w:val="decimal"/>
      <w:lvlText w:val="%1.%2.%3.%4.%5.%6."/>
      <w:lvlJc w:val="left"/>
      <w:pPr>
        <w:tabs>
          <w:tab w:val="num" w:pos="288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3960"/>
        </w:tabs>
        <w:ind w:left="3744" w:hanging="1224"/>
      </w:pPr>
      <w:rPr/>
    </w:lvl>
    <w:lvl w:ilvl="8">
      <w:start w:val="1"/>
      <w:numFmt w:val="decimal"/>
      <w:lvlText w:val="%1.%2.%3.%4.%5.%6.%7.%8.%9."/>
      <w:lvlJc w:val="left"/>
      <w:pPr>
        <w:tabs>
          <w:tab w:val="num" w:pos="4680"/>
        </w:tabs>
        <w:ind w:left="4320" w:hanging="1440"/>
      </w:pPr>
      <w:rPr/>
    </w:lvl>
  </w:abstractNum>
  <w:abstractNum w:abstractNumId="25">
    <w:lvl w:ilvl="0">
      <w:start w:val="1"/>
      <w:numFmt w:val="bullet"/>
      <w:lvlText w:val=""/>
      <w:lvlJc w:val="left"/>
      <w:pPr>
        <w:tabs>
          <w:tab w:val="num" w:pos="700"/>
        </w:tabs>
        <w:ind w:left="680" w:hanging="34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lvl w:ilvl="0">
      <w:start w:val="65535"/>
      <w:numFmt w:val="bullet"/>
      <w:lvlText w:val="-"/>
      <w:lvlJc w:val="left"/>
      <w:pPr>
        <w:tabs>
          <w:tab w:val="num" w:pos="0"/>
        </w:tabs>
        <w:ind w:left="1060" w:hanging="36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lvl w:ilvl="0">
      <w:start w:val="3"/>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0">
    <w:lvl w:ilvl="0">
      <w:start w:val="3"/>
      <w:numFmt w:val="bullet"/>
      <w:lvlText w:val="-"/>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1">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lvl w:ilvl="0">
      <w:start w:val="2"/>
      <w:numFmt w:val="bullet"/>
      <w:lvlText w:val="-"/>
      <w:lvlJc w:val="left"/>
      <w:pPr>
        <w:tabs>
          <w:tab w:val="num" w:pos="1068"/>
        </w:tabs>
        <w:ind w:left="1068" w:hanging="360"/>
      </w:pPr>
      <w:rPr>
        <w:rFonts w:ascii="OpenSymbol" w:hAnsi="OpenSymbol" w:cs="Open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lvl w:ilvl="0">
      <w:start w:val="1"/>
      <w:numFmt w:val="decimal"/>
      <w:lvlText w:val="%1."/>
      <w:lvlJc w:val="left"/>
      <w:pPr>
        <w:tabs>
          <w:tab w:val="num" w:pos="720"/>
        </w:tabs>
        <w:ind w:left="720" w:hanging="360"/>
      </w:pPr>
      <w:rPr>
        <w:sz w:val="24"/>
      </w:rPr>
    </w:lvl>
    <w:lvl w:ilvl="1">
      <w:start w:val="1"/>
      <w:numFmt w:val="decimal"/>
      <w:lvlText w:val="%1.%2"/>
      <w:lvlJc w:val="left"/>
      <w:pPr>
        <w:tabs>
          <w:tab w:val="num" w:pos="0"/>
        </w:tabs>
        <w:ind w:left="375" w:hanging="375"/>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440"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1800" w:hanging="144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35">
    <w:lvl w:ilvl="0">
      <w:start w:val="1"/>
      <w:numFmt w:val="decimal"/>
      <w:lvlText w:val="%1"/>
      <w:lvlJc w:val="left"/>
      <w:pPr>
        <w:tabs>
          <w:tab w:val="num" w:pos="0"/>
        </w:tabs>
        <w:ind w:left="360" w:hanging="360"/>
      </w:pPr>
      <w:rPr>
        <w:b/>
      </w:rPr>
    </w:lvl>
    <w:lvl w:ilvl="1">
      <w:start w:val="3"/>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lvl w:ilvl="0">
      <w:start w:val="1"/>
      <w:numFmt w:val="decimal"/>
      <w:lvlText w:val="%1)"/>
      <w:lvlJc w:val="left"/>
      <w:pPr>
        <w:tabs>
          <w:tab w:val="num" w:pos="0"/>
        </w:tabs>
        <w:ind w:left="751" w:hanging="360"/>
      </w:pPr>
      <w:rPr/>
    </w:lvl>
    <w:lvl w:ilvl="1">
      <w:start w:val="1"/>
      <w:numFmt w:val="lowerLetter"/>
      <w:lvlText w:val="%2."/>
      <w:lvlJc w:val="left"/>
      <w:pPr>
        <w:tabs>
          <w:tab w:val="num" w:pos="0"/>
        </w:tabs>
        <w:ind w:left="1471" w:hanging="360"/>
      </w:pPr>
      <w:rPr/>
    </w:lvl>
    <w:lvl w:ilvl="2">
      <w:start w:val="1"/>
      <w:numFmt w:val="lowerRoman"/>
      <w:lvlText w:val="%3."/>
      <w:lvlJc w:val="right"/>
      <w:pPr>
        <w:tabs>
          <w:tab w:val="num" w:pos="0"/>
        </w:tabs>
        <w:ind w:left="2191" w:hanging="180"/>
      </w:pPr>
      <w:rPr/>
    </w:lvl>
    <w:lvl w:ilvl="3">
      <w:start w:val="1"/>
      <w:numFmt w:val="decimal"/>
      <w:lvlText w:val="%4."/>
      <w:lvlJc w:val="left"/>
      <w:pPr>
        <w:tabs>
          <w:tab w:val="num" w:pos="0"/>
        </w:tabs>
        <w:ind w:left="2911" w:hanging="360"/>
      </w:pPr>
      <w:rPr/>
    </w:lvl>
    <w:lvl w:ilvl="4">
      <w:start w:val="1"/>
      <w:numFmt w:val="lowerLetter"/>
      <w:lvlText w:val="%5."/>
      <w:lvlJc w:val="left"/>
      <w:pPr>
        <w:tabs>
          <w:tab w:val="num" w:pos="0"/>
        </w:tabs>
        <w:ind w:left="3631" w:hanging="360"/>
      </w:pPr>
      <w:rPr/>
    </w:lvl>
    <w:lvl w:ilvl="5">
      <w:start w:val="1"/>
      <w:numFmt w:val="lowerRoman"/>
      <w:lvlText w:val="%6."/>
      <w:lvlJc w:val="right"/>
      <w:pPr>
        <w:tabs>
          <w:tab w:val="num" w:pos="0"/>
        </w:tabs>
        <w:ind w:left="4351" w:hanging="180"/>
      </w:pPr>
      <w:rPr/>
    </w:lvl>
    <w:lvl w:ilvl="6">
      <w:start w:val="1"/>
      <w:numFmt w:val="decimal"/>
      <w:lvlText w:val="%7."/>
      <w:lvlJc w:val="left"/>
      <w:pPr>
        <w:tabs>
          <w:tab w:val="num" w:pos="0"/>
        </w:tabs>
        <w:ind w:left="5071" w:hanging="360"/>
      </w:pPr>
      <w:rPr/>
    </w:lvl>
    <w:lvl w:ilvl="7">
      <w:start w:val="1"/>
      <w:numFmt w:val="lowerLetter"/>
      <w:lvlText w:val="%8."/>
      <w:lvlJc w:val="left"/>
      <w:pPr>
        <w:tabs>
          <w:tab w:val="num" w:pos="0"/>
        </w:tabs>
        <w:ind w:left="5791" w:hanging="360"/>
      </w:pPr>
      <w:rPr/>
    </w:lvl>
    <w:lvl w:ilvl="8">
      <w:start w:val="1"/>
      <w:numFmt w:val="lowerRoman"/>
      <w:lvlText w:val="%9."/>
      <w:lvlJc w:val="right"/>
      <w:pPr>
        <w:tabs>
          <w:tab w:val="num" w:pos="0"/>
        </w:tabs>
        <w:ind w:left="6511" w:hanging="180"/>
      </w:pPr>
      <w:rPr/>
    </w:lvl>
  </w:abstractNum>
  <w:abstractNum w:abstractNumId="44">
    <w:lvl w:ilvl="0">
      <w:start w:val="1"/>
      <w:numFmt w:val="bullet"/>
      <w:lvlText w:val=""/>
      <w:lvlJc w:val="left"/>
      <w:pPr>
        <w:tabs>
          <w:tab w:val="num" w:pos="0"/>
        </w:tabs>
        <w:ind w:left="751" w:hanging="360"/>
      </w:pPr>
      <w:rPr>
        <w:rFonts w:ascii="Symbol" w:hAnsi="Symbol" w:cs="Symbol" w:hint="default"/>
      </w:rPr>
    </w:lvl>
    <w:lvl w:ilvl="1">
      <w:start w:val="1"/>
      <w:numFmt w:val="bullet"/>
      <w:lvlText w:val="o"/>
      <w:lvlJc w:val="left"/>
      <w:pPr>
        <w:tabs>
          <w:tab w:val="num" w:pos="0"/>
        </w:tabs>
        <w:ind w:left="1471" w:hanging="360"/>
      </w:pPr>
      <w:rPr>
        <w:rFonts w:ascii="Courier New" w:hAnsi="Courier New" w:cs="Courier New" w:hint="default"/>
      </w:rPr>
    </w:lvl>
    <w:lvl w:ilvl="2">
      <w:start w:val="1"/>
      <w:numFmt w:val="bullet"/>
      <w:lvlText w:val=""/>
      <w:lvlJc w:val="left"/>
      <w:pPr>
        <w:tabs>
          <w:tab w:val="num" w:pos="0"/>
        </w:tabs>
        <w:ind w:left="2191" w:hanging="360"/>
      </w:pPr>
      <w:rPr>
        <w:rFonts w:ascii="Wingdings" w:hAnsi="Wingdings" w:cs="Wingdings" w:hint="default"/>
      </w:rPr>
    </w:lvl>
    <w:lvl w:ilvl="3">
      <w:start w:val="1"/>
      <w:numFmt w:val="bullet"/>
      <w:lvlText w:val=""/>
      <w:lvlJc w:val="left"/>
      <w:pPr>
        <w:tabs>
          <w:tab w:val="num" w:pos="0"/>
        </w:tabs>
        <w:ind w:left="2911" w:hanging="360"/>
      </w:pPr>
      <w:rPr>
        <w:rFonts w:ascii="Symbol" w:hAnsi="Symbol" w:cs="Symbol" w:hint="default"/>
      </w:rPr>
    </w:lvl>
    <w:lvl w:ilvl="4">
      <w:start w:val="1"/>
      <w:numFmt w:val="bullet"/>
      <w:lvlText w:val="o"/>
      <w:lvlJc w:val="left"/>
      <w:pPr>
        <w:tabs>
          <w:tab w:val="num" w:pos="0"/>
        </w:tabs>
        <w:ind w:left="3631" w:hanging="360"/>
      </w:pPr>
      <w:rPr>
        <w:rFonts w:ascii="Courier New" w:hAnsi="Courier New" w:cs="Courier New" w:hint="default"/>
      </w:rPr>
    </w:lvl>
    <w:lvl w:ilvl="5">
      <w:start w:val="1"/>
      <w:numFmt w:val="bullet"/>
      <w:lvlText w:val=""/>
      <w:lvlJc w:val="left"/>
      <w:pPr>
        <w:tabs>
          <w:tab w:val="num" w:pos="0"/>
        </w:tabs>
        <w:ind w:left="4351" w:hanging="360"/>
      </w:pPr>
      <w:rPr>
        <w:rFonts w:ascii="Wingdings" w:hAnsi="Wingdings" w:cs="Wingdings" w:hint="default"/>
      </w:rPr>
    </w:lvl>
    <w:lvl w:ilvl="6">
      <w:start w:val="1"/>
      <w:numFmt w:val="bullet"/>
      <w:lvlText w:val=""/>
      <w:lvlJc w:val="left"/>
      <w:pPr>
        <w:tabs>
          <w:tab w:val="num" w:pos="0"/>
        </w:tabs>
        <w:ind w:left="5071" w:hanging="360"/>
      </w:pPr>
      <w:rPr>
        <w:rFonts w:ascii="Symbol" w:hAnsi="Symbol" w:cs="Symbol" w:hint="default"/>
      </w:rPr>
    </w:lvl>
    <w:lvl w:ilvl="7">
      <w:start w:val="1"/>
      <w:numFmt w:val="bullet"/>
      <w:lvlText w:val="o"/>
      <w:lvlJc w:val="left"/>
      <w:pPr>
        <w:tabs>
          <w:tab w:val="num" w:pos="0"/>
        </w:tabs>
        <w:ind w:left="5791" w:hanging="360"/>
      </w:pPr>
      <w:rPr>
        <w:rFonts w:ascii="Courier New" w:hAnsi="Courier New" w:cs="Courier New" w:hint="default"/>
      </w:rPr>
    </w:lvl>
    <w:lvl w:ilvl="8">
      <w:start w:val="1"/>
      <w:numFmt w:val="bullet"/>
      <w:lvlText w:val=""/>
      <w:lvlJc w:val="left"/>
      <w:pPr>
        <w:tabs>
          <w:tab w:val="num" w:pos="0"/>
        </w:tabs>
        <w:ind w:left="6511" w:hanging="360"/>
      </w:pPr>
      <w:rPr>
        <w:rFonts w:ascii="Wingdings" w:hAnsi="Wingdings" w:cs="Wingdings" w:hint="default"/>
      </w:rPr>
    </w:lvl>
  </w:abstractNum>
  <w:abstractNum w:abstractNumId="4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6">
    <w:lvl w:ilvl="0">
      <w:start w:val="1"/>
      <w:numFmt w:val="bullet"/>
      <w:suff w:val="space"/>
      <w:lvlText w:val="-"/>
      <w:lvlJc w:val="left"/>
      <w:pPr>
        <w:tabs>
          <w:tab w:val="num" w:pos="0"/>
        </w:tabs>
        <w:ind w:left="107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7">
    <w:lvl w:ilvl="0">
      <w:start w:val="1"/>
      <w:numFmt w:val="bullet"/>
      <w:suff w:val="space"/>
      <w:lvlText w:val="-"/>
      <w:lvlJc w:val="left"/>
      <w:pPr>
        <w:tabs>
          <w:tab w:val="num" w:pos="0"/>
        </w:tabs>
        <w:ind w:left="1211" w:hanging="360"/>
      </w:pPr>
      <w:rPr>
        <w:rFonts w:ascii="Courier New" w:hAnsi="Courier New" w:cs="Courier New" w:hint="default"/>
      </w:rPr>
    </w:lvl>
    <w:lvl w:ilvl="1">
      <w:start w:val="1"/>
      <w:numFmt w:val="bullet"/>
      <w:lvlText w:val="o"/>
      <w:lvlJc w:val="left"/>
      <w:pPr>
        <w:tabs>
          <w:tab w:val="num" w:pos="1581"/>
        </w:tabs>
        <w:ind w:left="1581" w:hanging="360"/>
      </w:pPr>
      <w:rPr>
        <w:rFonts w:ascii="Courier New" w:hAnsi="Courier New" w:cs="Courier New" w:hint="default"/>
      </w:rPr>
    </w:lvl>
    <w:lvl w:ilvl="2">
      <w:start w:val="1"/>
      <w:numFmt w:val="bullet"/>
      <w:lvlText w:val=""/>
      <w:lvlJc w:val="left"/>
      <w:pPr>
        <w:tabs>
          <w:tab w:val="num" w:pos="2301"/>
        </w:tabs>
        <w:ind w:left="2301" w:hanging="360"/>
      </w:pPr>
      <w:rPr>
        <w:rFonts w:ascii="Wingdings" w:hAnsi="Wingdings" w:cs="Wingdings" w:hint="default"/>
      </w:rPr>
    </w:lvl>
    <w:lvl w:ilvl="3">
      <w:start w:val="1"/>
      <w:numFmt w:val="bullet"/>
      <w:lvlText w:val=""/>
      <w:lvlJc w:val="left"/>
      <w:pPr>
        <w:tabs>
          <w:tab w:val="num" w:pos="3021"/>
        </w:tabs>
        <w:ind w:left="3021" w:hanging="360"/>
      </w:pPr>
      <w:rPr>
        <w:rFonts w:ascii="Symbol" w:hAnsi="Symbol" w:cs="Symbol" w:hint="default"/>
      </w:rPr>
    </w:lvl>
    <w:lvl w:ilvl="4">
      <w:start w:val="1"/>
      <w:numFmt w:val="bullet"/>
      <w:lvlText w:val="o"/>
      <w:lvlJc w:val="left"/>
      <w:pPr>
        <w:tabs>
          <w:tab w:val="num" w:pos="3741"/>
        </w:tabs>
        <w:ind w:left="3741" w:hanging="360"/>
      </w:pPr>
      <w:rPr>
        <w:rFonts w:ascii="Courier New" w:hAnsi="Courier New" w:cs="Courier New" w:hint="default"/>
      </w:rPr>
    </w:lvl>
    <w:lvl w:ilvl="5">
      <w:start w:val="1"/>
      <w:numFmt w:val="bullet"/>
      <w:lvlText w:val=""/>
      <w:lvlJc w:val="left"/>
      <w:pPr>
        <w:tabs>
          <w:tab w:val="num" w:pos="4461"/>
        </w:tabs>
        <w:ind w:left="4461" w:hanging="360"/>
      </w:pPr>
      <w:rPr>
        <w:rFonts w:ascii="Wingdings" w:hAnsi="Wingdings" w:cs="Wingdings" w:hint="default"/>
      </w:rPr>
    </w:lvl>
    <w:lvl w:ilvl="6">
      <w:start w:val="1"/>
      <w:numFmt w:val="bullet"/>
      <w:lvlText w:val=""/>
      <w:lvlJc w:val="left"/>
      <w:pPr>
        <w:tabs>
          <w:tab w:val="num" w:pos="5181"/>
        </w:tabs>
        <w:ind w:left="5181" w:hanging="360"/>
      </w:pPr>
      <w:rPr>
        <w:rFonts w:ascii="Symbol" w:hAnsi="Symbol" w:cs="Symbol" w:hint="default"/>
      </w:rPr>
    </w:lvl>
    <w:lvl w:ilvl="7">
      <w:start w:val="1"/>
      <w:numFmt w:val="bullet"/>
      <w:lvlText w:val="o"/>
      <w:lvlJc w:val="left"/>
      <w:pPr>
        <w:tabs>
          <w:tab w:val="num" w:pos="5901"/>
        </w:tabs>
        <w:ind w:left="5901" w:hanging="360"/>
      </w:pPr>
      <w:rPr>
        <w:rFonts w:ascii="Courier New" w:hAnsi="Courier New" w:cs="Courier New" w:hint="default"/>
      </w:rPr>
    </w:lvl>
    <w:lvl w:ilvl="8">
      <w:start w:val="1"/>
      <w:numFmt w:val="bullet"/>
      <w:lvlText w:val=""/>
      <w:lvlJc w:val="left"/>
      <w:pPr>
        <w:tabs>
          <w:tab w:val="num" w:pos="6621"/>
        </w:tabs>
        <w:ind w:left="6621" w:hanging="360"/>
      </w:pPr>
      <w:rPr>
        <w:rFonts w:ascii="Wingdings" w:hAnsi="Wingdings" w:cs="Wingdings" w:hint="default"/>
      </w:rPr>
    </w:lvl>
  </w:abstractNum>
  <w:abstractNum w:abstractNumId="48">
    <w:lvl w:ilvl="0">
      <w:start w:val="2"/>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4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zh-TW"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numPr>
        <w:ilvl w:val="0"/>
      </w:num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numPr>
        <w:ilvl w:val="2"/>
        <w:numId w:val="3"/>
      </w:numPr>
      <w:spacing w:before="120" w:after="60"/>
      <w:outlineLvl w:val="2"/>
    </w:pPr>
    <w:rPr>
      <w:rFonts w:eastAsia="Calibri"/>
      <w:b/>
      <w:sz w:val="24"/>
      <w:szCs w:val="24"/>
      <w:lang w:val="x-none" w:eastAsia="x-none"/>
    </w:rPr>
  </w:style>
  <w:style w:type="paragraph" w:styleId="Heading4">
    <w:name w:val="Heading 4"/>
    <w:basedOn w:val="Heading3"/>
    <w:next w:val="Normal"/>
    <w:link w:val="4"/>
    <w:qFormat/>
    <w:rsid w:val="006629c9"/>
    <w:pPr>
      <w:numPr>
        <w:ilvl w:val="1"/>
      </w:num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name w:val="Символ сноски"/>
    <w:qFormat/>
    <w:rsid w:val="00d561d9"/>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
    <w:name w:val="Strong"/>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5"/>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3"/>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31"/>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name w:val="Символ концевой сноски"/>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4"/>
    <w:qFormat/>
    <w:rsid w:val="00de52bc"/>
    <w:rPr>
      <w:b/>
      <w:sz w:val="28"/>
    </w:rPr>
  </w:style>
  <w:style w:type="character" w:styleId="12" w:customStyle="1">
    <w:name w:val="УРОВЕНЬ_1. Знак"/>
    <w:link w:val="19"/>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Style14" w:customStyle="1">
    <w:name w:val="Список маркированный Знак Знак"/>
    <w:link w:val="Style35"/>
    <w:qFormat/>
    <w:rsid w:val="007545df"/>
    <w:rPr>
      <w:rFonts w:ascii="Sylfaen" w:hAnsi="Sylfaen" w:eastAsia="Calibri"/>
      <w:sz w:val="28"/>
      <w:szCs w:val="24"/>
      <w:lang w:val="x-none" w:eastAsia="x-none"/>
    </w:rPr>
  </w:style>
  <w:style w:type="character" w:styleId="11pt1" w:customStyle="1">
    <w:name w:val="Основной текст + 11 pt1"/>
    <w:uiPriority w:val="99"/>
    <w:qFormat/>
    <w:rsid w:val="00296d00"/>
    <w:rPr>
      <w:rFonts w:ascii="Sylfaen" w:hAnsi="Sylfaen" w:cs="Sylfaen"/>
      <w:b/>
      <w:bCs/>
      <w:smallCaps/>
      <w:spacing w:val="0"/>
      <w:sz w:val="22"/>
      <w:szCs w:val="22"/>
    </w:rPr>
  </w:style>
  <w:style w:type="character" w:styleId="Style15">
    <w:name w:val="Ссылка указателя"/>
    <w:qFormat/>
    <w:rPr/>
  </w:style>
  <w:style w:type="character" w:styleId="LineNumber">
    <w:name w:val="Line Number"/>
    <w:rPr/>
  </w:style>
  <w:style w:type="character" w:styleId="Style16">
    <w:name w:val="Маркеры"/>
    <w:qFormat/>
    <w:rPr>
      <w:rFonts w:ascii="OpenSymbol" w:hAnsi="OpenSymbol" w:eastAsia="OpenSymbol" w:cs="OpenSymbol"/>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Style19" w:customStyle="1">
    <w:name w:val="Название раздела инструкции"/>
    <w:basedOn w:val="Normal"/>
    <w:autoRedefine/>
    <w:qFormat/>
    <w:rsid w:val="00275328"/>
    <w:pPr>
      <w:jc w:val="center"/>
    </w:pPr>
    <w:rPr>
      <w:b/>
    </w:rPr>
  </w:style>
  <w:style w:type="paragraph" w:styleId="Style20"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21"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4"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5" w:customStyle="1">
    <w:name w:val="Название1"/>
    <w:basedOn w:val="Normal"/>
    <w:link w:val="Style1"/>
    <w:uiPriority w:val="10"/>
    <w:qFormat/>
    <w:rsid w:val="00bd4014"/>
    <w:pPr>
      <w:jc w:val="center"/>
    </w:pPr>
    <w:rPr>
      <w:szCs w:val="20"/>
      <w:lang w:val="x-none" w:eastAsia="x-none"/>
    </w:rPr>
  </w:style>
  <w:style w:type="paragraph" w:styleId="Style22">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hanging="0" w:left="36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hanging="0" w:left="283"/>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hanging="0" w:left="283"/>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23" w:customStyle="1">
    <w:name w:val="Подпункт"/>
    <w:basedOn w:val="Normal"/>
    <w:link w:val="11"/>
    <w:qFormat/>
    <w:rsid w:val="0076353a"/>
    <w:pPr>
      <w:tabs>
        <w:tab w:val="clear" w:pos="708"/>
        <w:tab w:val="left" w:pos="1134" w:leader="none"/>
      </w:tabs>
      <w:snapToGrid w:val="false"/>
      <w:spacing w:lineRule="auto" w:line="360"/>
      <w:ind w:hanging="1134" w:left="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uppressAutoHyphens w:val="true"/>
      <w:snapToGrid w:val="false"/>
      <w:spacing w:before="240" w:after="120"/>
      <w:ind w:hanging="1134" w:left="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hanging="0" w:left="280"/>
    </w:pPr>
    <w:rPr>
      <w:rFonts w:cs="Calibri" w:cstheme="minorHAnsi"/>
      <w:sz w:val="20"/>
      <w:szCs w:val="20"/>
    </w:rPr>
  </w:style>
  <w:style w:type="paragraph" w:styleId="Style24" w:customStyle="1">
    <w:name w:val="Раздел регламента"/>
    <w:basedOn w:val="Normal"/>
    <w:qFormat/>
    <w:rsid w:val="00e228fa"/>
    <w:pPr/>
    <w:rPr/>
  </w:style>
  <w:style w:type="paragraph" w:styleId="Style25"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6"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hanging="0" w:left="56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6"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
    <w:name w:val="caption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numPr>
        <w:ilvl w:val="1"/>
      </w:num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hanging="0" w:left="72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7"/>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7"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ListBullet4" w:customStyle="1">
    <w:name w:val="List Bullet 4"/>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8" w:customStyle="1">
    <w:name w:val="Пункт"/>
    <w:basedOn w:val="Normal"/>
    <w:qFormat/>
    <w:rsid w:val="00d22f6d"/>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7"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29"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30" w:customStyle="1">
    <w:name w:val="Таблица шапка"/>
    <w:basedOn w:val="Normal"/>
    <w:qFormat/>
    <w:rsid w:val="00f64089"/>
    <w:pPr>
      <w:keepNext w:val="true"/>
      <w:spacing w:before="40" w:after="40"/>
      <w:ind w:hanging="0" w:left="57" w:right="57"/>
    </w:pPr>
    <w:rPr>
      <w:sz w:val="22"/>
      <w:szCs w:val="26"/>
    </w:rPr>
  </w:style>
  <w:style w:type="paragraph" w:styleId="Style31" w:customStyle="1">
    <w:name w:val="Подподпункт"/>
    <w:basedOn w:val="Style23"/>
    <w:link w:val="Style9"/>
    <w:qFormat/>
    <w:rsid w:val="0025139e"/>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2"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3"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8" w:customStyle="1">
    <w:name w:val="Стиль Заголовок 1 + по ширине"/>
    <w:basedOn w:val="Heading1"/>
    <w:qFormat/>
    <w:rsid w:val="005773b2"/>
    <w:pPr>
      <w:keepLines/>
      <w:numPr>
        <w:ilvl w:val="0"/>
        <w:numId w:val="0"/>
      </w:numPr>
      <w:tabs>
        <w:tab w:val="clear" w:pos="708"/>
        <w:tab w:val="left" w:pos="567" w:leader="none"/>
      </w:tabs>
      <w:suppressAutoHyphens w:val="true"/>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uppressAutoHyphens w:val="true"/>
      <w:spacing w:before="120" w:after="120"/>
      <w:jc w:val="both"/>
      <w:outlineLvl w:val="0"/>
    </w:pPr>
    <w:rPr>
      <w:b/>
      <w:kern w:val="2"/>
      <w:sz w:val="24"/>
      <w:szCs w:val="20"/>
      <w:lang w:eastAsia="x-none"/>
    </w:rPr>
  </w:style>
  <w:style w:type="paragraph" w:styleId="Style34"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9" w:customStyle="1">
    <w:name w:val="УРОВЕНЬ_1."/>
    <w:basedOn w:val="ListParagraph"/>
    <w:link w:val="12"/>
    <w:qFormat/>
    <w:rsid w:val="004a17ae"/>
    <w:pPr>
      <w:keepNext w:val="true"/>
      <w:keepLines/>
      <w:spacing w:lineRule="auto" w:line="276" w:before="240" w:after="120"/>
      <w:ind w:hanging="0" w:left="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hanging="0" w:left="1680"/>
    </w:pPr>
    <w:rPr>
      <w:rFonts w:ascii="Calibri" w:hAnsi="Calibri" w:cs="Calibri" w:asciiTheme="minorHAnsi" w:cstheme="minorHAnsi" w:hAnsiTheme="minorHAnsi"/>
      <w:sz w:val="20"/>
      <w:szCs w:val="20"/>
    </w:rPr>
  </w:style>
  <w:style w:type="paragraph" w:styleId="Default" w:customStyle="1">
    <w:name w:val="Default"/>
    <w:qFormat/>
    <w:rsid w:val="003b7e68"/>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35" w:customStyle="1">
    <w:name w:val="Список маркированный"/>
    <w:basedOn w:val="Normal"/>
    <w:next w:val="Normal"/>
    <w:link w:val="Style14"/>
    <w:autoRedefine/>
    <w:qFormat/>
    <w:rsid w:val="007545df"/>
    <w:pPr>
      <w:keepNext w:val="true"/>
      <w:keepLines/>
      <w:numPr>
        <w:ilvl w:val="0"/>
        <w:numId w:val="50"/>
      </w:numPr>
      <w:jc w:val="both"/>
    </w:pPr>
    <w:rPr>
      <w:rFonts w:ascii="Sylfaen" w:hAnsi="Sylfaen" w:eastAsia="Calibri"/>
      <w:szCs w:val="24"/>
      <w:lang w:val="x-none" w:eastAsia="x-none"/>
    </w:rPr>
  </w:style>
  <w:style w:type="paragraph" w:styleId="Style36">
    <w:name w:val="Содержимое врезки"/>
    <w:basedOn w:val="Normal"/>
    <w:qFormat/>
    <w:pPr/>
    <w:rPr/>
  </w:style>
  <w:style w:type="paragraph" w:styleId="Style37">
    <w:name w:val="Содержимое таблицы"/>
    <w:basedOn w:val="Normal"/>
    <w:qFormat/>
    <w:pPr>
      <w:widowControl w:val="false"/>
      <w:suppressLineNumbers/>
    </w:pPr>
    <w:rPr/>
  </w:style>
  <w:style w:type="paragraph" w:styleId="Style38">
    <w:name w:val="Заголовок таблицы"/>
    <w:basedOn w:val="Style37"/>
    <w:qFormat/>
    <w:pPr>
      <w:suppressLineNumbers/>
      <w:jc w:val="center"/>
    </w:pPr>
    <w:rPr>
      <w:b/>
      <w:bCs/>
    </w:rPr>
  </w:style>
  <w:style w:type="numbering" w:styleId="NoList" w:default="1">
    <w:name w:val="No List"/>
    <w:uiPriority w:val="99"/>
    <w:semiHidden/>
    <w:unhideWhenUsed/>
    <w:qFormat/>
  </w:style>
  <w:style w:type="numbering" w:styleId="110" w:customStyle="1">
    <w:name w:val="Стиль1"/>
    <w:uiPriority w:val="99"/>
    <w:qFormat/>
    <w:rsid w:val="00f001e4"/>
  </w:style>
  <w:style w:type="numbering" w:styleId="29" w:customStyle="1">
    <w:name w:val="Стиль2"/>
    <w:uiPriority w:val="99"/>
    <w:qFormat/>
    <w:rsid w:val="006629c9"/>
  </w:style>
  <w:style w:type="table" w:default="1" w:styleId="a6">
    <w:name w:val="Normal Table"/>
    <w:uiPriority w:val="99"/>
    <w:semiHidden/>
    <w:unhideWhenUsed/>
    <w:tblPr>
      <w:tblCellMar>
        <w:top w:w="0" w:type="dxa"/>
        <w:left w:w="108" w:type="dxa"/>
        <w:bottom w:w="0" w:type="dxa"/>
        <w:right w:w="108" w:type="dxa"/>
      </w:tblCellMar>
    </w:tblPr>
  </w:style>
  <w:style w:type="table" w:styleId="af0">
    <w:name w:val="Table Grid"/>
    <w:basedOn w:val="a6"/>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6"/>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image" Target="media/image1.wmf"/><Relationship Id="rId6" Type="http://schemas.openxmlformats.org/officeDocument/2006/relationships/image" Target="media/image2.wmf"/><Relationship Id="rId7" Type="http://schemas.openxmlformats.org/officeDocument/2006/relationships/header" Target="header4.xml"/><Relationship Id="rId8" Type="http://schemas.openxmlformats.org/officeDocument/2006/relationships/header" Target="header5.xml"/><Relationship Id="rId9" Type="http://schemas.openxmlformats.org/officeDocument/2006/relationships/header" Target="header6.xml"/><Relationship Id="rId10" Type="http://schemas.openxmlformats.org/officeDocument/2006/relationships/header" Target="header7.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E6183A76AE1B9479D13E692560BA3A1" ma:contentTypeVersion="1" ma:contentTypeDescription="Создание документа." ma:contentTypeScope="" ma:versionID="fe9656d68f00400e483b82b86049f42a">
  <xsd:schema xmlns:xsd="http://www.w3.org/2001/XMLSchema" xmlns:xs="http://www.w3.org/2001/XMLSchema" xmlns:p="http://schemas.microsoft.com/office/2006/metadata/properties" xmlns:ns2="e20b8c0d-372d-4424-b649-01a7cb84bca0" targetNamespace="http://schemas.microsoft.com/office/2006/metadata/properties" ma:root="true" ma:fieldsID="6ef416ee02a1e34638b763bf9babf4c8" ns2:_="">
    <xsd:import namespace="e20b8c0d-372d-4424-b649-01a7cb84bca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b8c0d-372d-4424-b649-01a7cb84bca0"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0AA60-A719-44E6-B63A-8A8EBD902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b8c0d-372d-4424-b649-01a7cb84b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CC2EE6-3DE9-4D23-8EDF-5CAA1C41C914}">
  <ds:schemaRefs>
    <ds:schemaRef ds:uri="http://schemas.microsoft.com/sharepoint/v3/contenttype/forms"/>
  </ds:schemaRefs>
</ds:datastoreItem>
</file>

<file path=customXml/itemProps3.xml><?xml version="1.0" encoding="utf-8"?>
<ds:datastoreItem xmlns:ds="http://schemas.openxmlformats.org/officeDocument/2006/customXml" ds:itemID="{E6A66C07-F12B-4C50-B82B-F23F47C5B3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90C341-F58F-41E0-96D8-9C95B8023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2415</TotalTime>
  <Application>AlterOffice/2026.2.0.0$Linux_X86_64 LibreOffice_project/bc4ef1adf80b36c7a6365f8ed6cbf29021361edd</Application>
  <AppVersion>15.0000</AppVersion>
  <Pages>36</Pages>
  <Words>8494</Words>
  <Characters>61231</Characters>
  <CharactersWithSpaces>69026</CharactersWithSpaces>
  <Paragraphs>897</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2023-05-11T08:59:00Z</dcterms:created>
  <dc:creator>Быстров Олег Геннадьевич</dc:creator>
  <dc:description/>
  <dc:language>ru-RU</dc:language>
  <cp:lastModifiedBy>nasrulaevam@corp.gidroogk.com</cp:lastModifiedBy>
  <cp:lastPrinted>2023-07-04T06:24:00Z</cp:lastPrinted>
  <dcterms:modified xsi:type="dcterms:W3CDTF">2026-10-14T14:04:47Z</dcterms:modified>
  <cp:revision>104</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0x0101002E6183A76AE1B9479D13E692560BA3A1</vt:lpwstr>
  </property>
</Properties>
</file>