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header6.xml" ContentType="application/vnd.openxmlformats-officedocument.wordprocessingml.header+xml"/>
  <Override PartName="/word/document.xml" ContentType="application/vnd.openxmlformats-officedocument.wordprocessingml.document.main+xml"/>
  <Override PartName="/word/numbering.xml" ContentType="application/vnd.openxmlformats-officedocument.wordprocessingml.numbering+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xml" ContentType="application/vnd.openxmlformats-officedocument.wordprocessingml.footer+xml"/>
  <Override PartName="/word/styles.xml" ContentType="application/vnd.openxmlformats-officedocument.wordprocessingml.styles+xml"/>
  <Override PartName="/word/header5.xml" ContentType="application/vnd.openxmlformats-officedocument.wordprocessingml.header+xml"/>
  <Override PartName="/word/settings.xml" ContentType="application/vnd.openxmlformats-officedocument.wordprocessingml.settings+xml"/>
  <Override PartName="/word/header1.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header3.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customXml/item2.xml" ContentType="application/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FFFFFF"/>
        <w:tabs>
          <w:tab w:val="clear" w:pos="709"/>
          <w:tab w:val="left" w:pos="6926" w:leader="none"/>
        </w:tabs>
        <w:ind w:firstLine="709"/>
        <w:jc w:val="center"/>
        <w:rPr>
          <w:b/>
          <w:sz w:val="24"/>
          <w:szCs w:val="24"/>
        </w:rPr>
      </w:pPr>
      <w:r>
        <w:rPr>
          <w:bCs/>
          <w:sz w:val="22"/>
          <w:szCs w:val="22"/>
        </w:rPr>
        <w:t xml:space="preserve"> </w:t>
      </w:r>
      <w:r>
        <w:rPr>
          <w:b/>
          <w:bCs/>
          <w:sz w:val="24"/>
          <w:szCs w:val="24"/>
        </w:rPr>
        <w:t>Договор поставки</w:t>
      </w:r>
      <w:r>
        <w:rPr>
          <w:rStyle w:val="FootnoteReference"/>
          <w:b/>
          <w:bCs/>
          <w:sz w:val="24"/>
          <w:szCs w:val="24"/>
        </w:rPr>
        <w:footnoteReference w:id="2"/>
      </w:r>
    </w:p>
    <w:p>
      <w:pPr>
        <w:pStyle w:val="Normal"/>
        <w:shd w:val="clear" w:color="auto" w:fill="FFFFFF"/>
        <w:ind w:firstLine="709"/>
        <w:rPr>
          <w:b/>
          <w:bCs/>
          <w:sz w:val="24"/>
          <w:szCs w:val="24"/>
        </w:rPr>
      </w:pPr>
      <w:r>
        <w:rPr>
          <w:b/>
          <w:bCs/>
          <w:sz w:val="24"/>
          <w:szCs w:val="24"/>
        </w:rPr>
      </w:r>
    </w:p>
    <w:p>
      <w:pPr>
        <w:pStyle w:val="Normal"/>
        <w:shd w:val="clear" w:color="auto" w:fill="FFFFFF"/>
        <w:tabs>
          <w:tab w:val="clear" w:pos="709"/>
          <w:tab w:val="right" w:pos="9639" w:leader="none"/>
        </w:tabs>
        <w:jc w:val="right"/>
        <w:rPr>
          <w:bCs/>
          <w:sz w:val="24"/>
          <w:szCs w:val="24"/>
        </w:rPr>
      </w:pPr>
      <w:r>
        <w:rPr>
          <w:bCs/>
          <w:sz w:val="24"/>
          <w:szCs w:val="24"/>
        </w:rPr>
        <w:t>г. _________</w:t>
        <w:tab/>
        <w:t xml:space="preserve">   «___» _________ 20__ г.</w:t>
      </w:r>
    </w:p>
    <w:p>
      <w:pPr>
        <w:pStyle w:val="Normal"/>
        <w:shd w:val="clear" w:color="auto" w:fill="FFFFFF"/>
        <w:tabs>
          <w:tab w:val="clear" w:pos="709"/>
          <w:tab w:val="right" w:pos="9639" w:leader="none"/>
        </w:tabs>
        <w:ind w:firstLine="709"/>
        <w:jc w:val="right"/>
        <w:rPr>
          <w:bCs/>
          <w:sz w:val="24"/>
          <w:szCs w:val="24"/>
        </w:rPr>
      </w:pPr>
      <w:r>
        <w:rPr>
          <w:bCs/>
          <w:sz w:val="24"/>
          <w:szCs w:val="24"/>
        </w:rPr>
      </w:r>
    </w:p>
    <w:p>
      <w:pPr>
        <w:pStyle w:val="Normal"/>
        <w:ind w:firstLine="709"/>
        <w:jc w:val="both"/>
        <w:rPr>
          <w:spacing w:val="10"/>
          <w:sz w:val="24"/>
          <w:szCs w:val="24"/>
        </w:rPr>
      </w:pPr>
      <w:r>
        <w:rPr>
          <w:b/>
          <w:sz w:val="24"/>
          <w:szCs w:val="24"/>
        </w:rPr>
        <w:t xml:space="preserve">Публичное акционерное общество «Федеральная гидрогенерирующая компания – РусГидро» </w:t>
      </w:r>
      <w:r>
        <w:rPr>
          <w:sz w:val="24"/>
          <w:szCs w:val="24"/>
        </w:rPr>
        <w:t>(ПАО «РусГидро»)</w:t>
      </w:r>
      <w:r>
        <w:rPr>
          <w:spacing w:val="2"/>
          <w:sz w:val="24"/>
          <w:szCs w:val="24"/>
        </w:rPr>
        <w:t xml:space="preserve">, (далее – </w:t>
      </w:r>
      <w:r>
        <w:rPr>
          <w:sz w:val="24"/>
          <w:szCs w:val="24"/>
        </w:rPr>
        <w:t>«Покупатель»), в лице _____________________</w:t>
      </w:r>
      <w:r>
        <w:rPr>
          <w:spacing w:val="4"/>
          <w:sz w:val="24"/>
          <w:szCs w:val="24"/>
        </w:rPr>
        <w:t>, действующего на основании ________, с одной стороны, и</w:t>
      </w:r>
      <w:r>
        <w:rPr>
          <w:spacing w:val="10"/>
          <w:sz w:val="24"/>
          <w:szCs w:val="24"/>
        </w:rPr>
        <w:t xml:space="preserve"> </w:t>
      </w:r>
    </w:p>
    <w:p>
      <w:pPr>
        <w:pStyle w:val="Normal"/>
        <w:ind w:firstLine="709"/>
        <w:jc w:val="both"/>
        <w:rPr>
          <w:sz w:val="24"/>
          <w:szCs w:val="24"/>
        </w:rPr>
      </w:pPr>
      <w:r>
        <w:rPr>
          <w:b/>
          <w:spacing w:val="10"/>
          <w:sz w:val="24"/>
          <w:szCs w:val="24"/>
        </w:rPr>
        <w:t>____________________</w:t>
      </w:r>
      <w:r>
        <w:rPr>
          <w:bCs/>
          <w:sz w:val="24"/>
          <w:szCs w:val="24"/>
        </w:rPr>
        <w:t xml:space="preserve"> </w:t>
      </w:r>
      <w:r>
        <w:rPr>
          <w:sz w:val="24"/>
          <w:szCs w:val="24"/>
        </w:rPr>
        <w:t xml:space="preserve">(далее – «Поставщик»), в лице _________________________, действующего на основании ___________________, с другой стороны, </w:t>
      </w:r>
    </w:p>
    <w:p>
      <w:pPr>
        <w:pStyle w:val="Normal"/>
        <w:ind w:firstLine="709"/>
        <w:jc w:val="both"/>
        <w:rPr>
          <w:sz w:val="24"/>
          <w:szCs w:val="24"/>
        </w:rPr>
      </w:pPr>
      <w:r>
        <w:rPr>
          <w:sz w:val="24"/>
          <w:szCs w:val="24"/>
        </w:rPr>
        <w:t xml:space="preserve">совместно в дальнейшем именуемые «Стороны», а по отдельности – «Сторона», </w:t>
        <w:br/>
        <w:t>заключили настоящий договор поставки (далее – «Договор») о нижеследующем:</w:t>
      </w:r>
    </w:p>
    <w:p>
      <w:pPr>
        <w:pStyle w:val="Normal"/>
        <w:shd w:val="clear" w:color="auto" w:fill="FFFFFF"/>
        <w:ind w:firstLine="709"/>
        <w:rPr>
          <w:bCs/>
          <w:sz w:val="24"/>
          <w:szCs w:val="24"/>
          <w:lang w:val="x-none"/>
        </w:rPr>
      </w:pPr>
      <w:r>
        <w:rPr>
          <w:bCs/>
          <w:sz w:val="24"/>
          <w:szCs w:val="24"/>
          <w:lang w:val="x-none"/>
        </w:rPr>
      </w:r>
    </w:p>
    <w:p>
      <w:pPr>
        <w:pStyle w:val="Normal"/>
        <w:shd w:val="clear" w:color="auto" w:fill="FFFFFF"/>
        <w:ind w:firstLine="709"/>
        <w:jc w:val="center"/>
        <w:rPr>
          <w:b/>
          <w:bCs/>
          <w:sz w:val="24"/>
          <w:szCs w:val="24"/>
        </w:rPr>
      </w:pPr>
      <w:r>
        <w:rPr>
          <w:b/>
          <w:bCs/>
          <w:sz w:val="24"/>
          <w:szCs w:val="24"/>
        </w:rPr>
        <w:t>Термины и определения</w:t>
      </w:r>
    </w:p>
    <w:p>
      <w:pPr>
        <w:pStyle w:val="Normal"/>
        <w:shd w:val="clear" w:color="auto" w:fill="FFFFFF"/>
        <w:ind w:firstLine="709"/>
        <w:jc w:val="both"/>
        <w:rPr>
          <w:bCs/>
          <w:sz w:val="24"/>
          <w:szCs w:val="24"/>
        </w:rPr>
      </w:pPr>
      <w:r>
        <w:rPr>
          <w:bCs/>
          <w:sz w:val="24"/>
          <w:szCs w:val="24"/>
        </w:rPr>
        <w:t>Термины и определения, приведенные в настоящем разделе Договора,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overflowPunct w:val="true"/>
        <w:ind w:firstLine="709" w:left="0"/>
        <w:jc w:val="both"/>
        <w:textAlignment w:val="baseline"/>
        <w:rPr>
          <w:sz w:val="24"/>
          <w:szCs w:val="24"/>
          <w:lang w:eastAsia="en-US"/>
        </w:rPr>
      </w:pPr>
      <w:r>
        <w:rPr>
          <w:b/>
          <w:sz w:val="24"/>
          <w:szCs w:val="24"/>
          <w:lang w:eastAsia="en-US"/>
        </w:rPr>
        <w:t>«Акт рекламации»</w:t>
      </w:r>
      <w:r>
        <w:rPr>
          <w:sz w:val="24"/>
          <w:szCs w:val="24"/>
          <w:lang w:eastAsia="en-US"/>
        </w:rPr>
        <w:t xml:space="preserve"> – документ, оформляемый по унифицированным формам </w:t>
        <w:br/>
        <w:t xml:space="preserve">№ ТОРГ-2 «Акт об установленном расхождении по количеству и качеству при приемке товарно-материальных ценностей» и № ТОРГ-3 «Акт об установленном расхождении </w:t>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pPr>
        <w:pStyle w:val="ListParagraph"/>
        <w:widowControl w:val="false"/>
        <w:shd w:val="clear" w:fill="FFFFFF"/>
        <w:tabs>
          <w:tab w:val="clear" w:pos="709"/>
          <w:tab w:val="left" w:pos="567" w:leader="none"/>
          <w:tab w:val="left" w:pos="1134" w:leader="none"/>
        </w:tabs>
        <w:overflowPunct w:val="true"/>
        <w:ind w:firstLine="708" w:left="0" w:right="0"/>
        <w:jc w:val="both"/>
        <w:textAlignment w:val="baseline"/>
        <w:rPr>
          <w:highlight w:val="none"/>
          <w:shd w:fill="auto" w:val="clear"/>
        </w:rPr>
      </w:pPr>
      <w:r>
        <w:rPr>
          <w:b/>
          <w:sz w:val="24"/>
          <w:szCs w:val="24"/>
          <w:shd w:fill="auto" w:val="clear"/>
          <w:lang w:eastAsia="en-US"/>
        </w:rPr>
        <w:t xml:space="preserve">«ГК РФ» </w:t>
      </w:r>
      <w:r>
        <w:rPr>
          <w:b w:val="false"/>
          <w:bCs w:val="false"/>
          <w:sz w:val="24"/>
          <w:szCs w:val="24"/>
          <w:shd w:fill="auto" w:val="clear"/>
          <w:lang w:eastAsia="en-US"/>
        </w:rPr>
        <w:t>– Гражданский кодекс Российской Федерации.</w:t>
      </w:r>
    </w:p>
    <w:p>
      <w:pPr>
        <w:pStyle w:val="ListParagraph"/>
        <w:shd w:val="clear" w:color="auto" w:fill="FFFFFF"/>
        <w:tabs>
          <w:tab w:val="clear" w:pos="709"/>
          <w:tab w:val="left" w:pos="0" w:leader="none"/>
        </w:tabs>
        <w:overflowPunct w:val="true"/>
        <w:ind w:firstLine="709" w:left="0"/>
        <w:jc w:val="both"/>
        <w:textAlignment w:val="baseline"/>
        <w:rPr>
          <w:sz w:val="24"/>
          <w:szCs w:val="24"/>
          <w:lang w:eastAsia="en-US"/>
        </w:rPr>
      </w:pPr>
      <w:r>
        <w:rPr>
          <w:b/>
          <w:sz w:val="24"/>
          <w:szCs w:val="24"/>
          <w:lang w:eastAsia="en-US"/>
        </w:rPr>
        <w:t>«Договор»</w:t>
      </w:r>
      <w:r>
        <w:rPr>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overflowPunct w:val="true"/>
        <w:ind w:firstLine="709" w:left="0"/>
        <w:jc w:val="both"/>
        <w:textAlignment w:val="baseline"/>
        <w:rPr>
          <w:sz w:val="24"/>
          <w:szCs w:val="24"/>
          <w:lang w:eastAsia="en-US"/>
        </w:rPr>
      </w:pPr>
      <w:r>
        <w:rPr>
          <w:b/>
          <w:sz w:val="24"/>
          <w:szCs w:val="24"/>
          <w:lang w:eastAsia="en-US"/>
        </w:rPr>
        <w:t>«Коммерческая тайна»</w:t>
      </w:r>
      <w:r>
        <w:rPr>
          <w:sz w:val="24"/>
          <w:szCs w:val="24"/>
          <w:lang w:eastAsia="en-US"/>
        </w:rPr>
        <w:t xml:space="preserve"> – режим конфиденциальности информации, позволяющий </w:t>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br/>
        <w:t xml:space="preserve">или получить иную коммерческую выгоду. </w:t>
      </w:r>
    </w:p>
    <w:p>
      <w:pPr>
        <w:pStyle w:val="ListParagraph"/>
        <w:shd w:val="clear" w:color="auto" w:fill="FFFFFF"/>
        <w:tabs>
          <w:tab w:val="clear" w:pos="709"/>
          <w:tab w:val="left" w:pos="0" w:leader="none"/>
        </w:tabs>
        <w:overflowPunct w:val="true"/>
        <w:ind w:firstLine="709" w:left="0"/>
        <w:jc w:val="both"/>
        <w:textAlignment w:val="baseline"/>
        <w:rPr>
          <w:b/>
          <w:sz w:val="24"/>
          <w:szCs w:val="24"/>
          <w:lang w:eastAsia="en-US"/>
        </w:rPr>
      </w:pPr>
      <w:r>
        <w:rPr>
          <w:b/>
          <w:sz w:val="24"/>
          <w:szCs w:val="24"/>
          <w:lang w:eastAsia="en-US"/>
        </w:rPr>
        <w:t xml:space="preserve">«Накладная ТОРГ-12» </w:t>
      </w:r>
      <w:r>
        <w:rPr>
          <w:sz w:val="24"/>
          <w:szCs w:val="24"/>
          <w:lang w:eastAsia="en-US"/>
        </w:rPr>
        <w:t>–</w:t>
      </w:r>
      <w:r>
        <w:rPr>
          <w:b/>
          <w:sz w:val="24"/>
          <w:szCs w:val="24"/>
          <w:lang w:eastAsia="en-US"/>
        </w:rPr>
        <w:t xml:space="preserve"> </w:t>
      </w:r>
      <w:r>
        <w:rPr>
          <w:sz w:val="24"/>
          <w:szCs w:val="24"/>
          <w:lang w:eastAsia="en-US"/>
        </w:rPr>
        <w:t xml:space="preserve">документ, оформляемый по унифицированной форме </w:t>
        <w:br/>
        <w:t xml:space="preserve">№ ТОРГ-12 «Товарная накладная», утвержденной постановлением Госкомстата РФ </w:t>
        <w:br/>
        <w:t>от 25.12.1998 № 132, подписываемый Сторонами после завершения приемки Товара по количеству, качеству и комплектности.</w:t>
      </w:r>
    </w:p>
    <w:p>
      <w:pPr>
        <w:pStyle w:val="ListParagraph"/>
        <w:shd w:val="clear" w:color="auto" w:fill="FFFFFF"/>
        <w:tabs>
          <w:tab w:val="clear" w:pos="709"/>
          <w:tab w:val="left" w:pos="0" w:leader="none"/>
        </w:tabs>
        <w:overflowPunct w:val="true"/>
        <w:ind w:firstLine="709" w:left="0"/>
        <w:jc w:val="both"/>
        <w:textAlignment w:val="baseline"/>
        <w:rPr>
          <w:sz w:val="24"/>
          <w:szCs w:val="24"/>
          <w:lang w:eastAsia="en-US"/>
        </w:rPr>
      </w:pPr>
      <w:r>
        <w:rPr>
          <w:b/>
          <w:sz w:val="24"/>
          <w:szCs w:val="24"/>
          <w:lang w:eastAsia="en-US"/>
        </w:rPr>
        <w:t xml:space="preserve">«Отказ от Договора» </w:t>
      </w:r>
      <w:r>
        <w:rPr>
          <w:sz w:val="24"/>
          <w:szCs w:val="24"/>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pPr>
        <w:pStyle w:val="Heading3"/>
        <w:keepNext w:val="false"/>
        <w:tabs>
          <w:tab w:val="clear" w:pos="709"/>
          <w:tab w:val="left" w:pos="0" w:leader="none"/>
        </w:tabs>
        <w:overflowPunct w:val="true"/>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eastAsia="en-US"/>
        </w:rPr>
        <w:t xml:space="preserve">«Партия Товара» </w:t>
      </w:r>
      <w:r>
        <w:rPr>
          <w:rFonts w:ascii="Times New Roman" w:hAnsi="Times New Roman"/>
          <w:b w:val="false"/>
          <w:color w:val="auto"/>
          <w:sz w:val="24"/>
          <w:szCs w:val="24"/>
          <w:lang w:eastAsia="en-US"/>
        </w:rPr>
        <w:t xml:space="preserve">– часть Товара, единовременно поставляемая Покупателю Поставщиком, </w:t>
      </w:r>
      <w:r>
        <w:rPr>
          <w:rFonts w:ascii="Times New Roman" w:hAnsi="Times New Roman"/>
          <w:b w:val="false"/>
          <w:color w:val="auto"/>
          <w:sz w:val="24"/>
          <w:szCs w:val="24"/>
          <w:lang w:val="ru-RU" w:eastAsia="en-US"/>
        </w:rPr>
        <w:t>характеристики</w:t>
      </w:r>
      <w:r>
        <w:rPr>
          <w:rFonts w:ascii="Times New Roman" w:hAnsi="Times New Roman"/>
          <w:b w:val="false"/>
          <w:color w:val="auto"/>
          <w:sz w:val="24"/>
          <w:szCs w:val="24"/>
          <w:lang w:eastAsia="en-US"/>
        </w:rPr>
        <w:t xml:space="preserve"> которой определя</w:t>
      </w:r>
      <w:r>
        <w:rPr>
          <w:rFonts w:ascii="Times New Roman" w:hAnsi="Times New Roman"/>
          <w:b w:val="false"/>
          <w:color w:val="auto"/>
          <w:sz w:val="24"/>
          <w:szCs w:val="24"/>
          <w:lang w:val="ru-RU" w:eastAsia="en-US"/>
        </w:rPr>
        <w:t>ю</w:t>
      </w:r>
      <w:r>
        <w:rPr>
          <w:rFonts w:ascii="Times New Roman" w:hAnsi="Times New Roman"/>
          <w:b w:val="false"/>
          <w:color w:val="auto"/>
          <w:sz w:val="24"/>
          <w:szCs w:val="24"/>
          <w:lang w:eastAsia="en-US"/>
        </w:rPr>
        <w:t xml:space="preserve">тся </w:t>
      </w:r>
      <w:r>
        <w:rPr>
          <w:rFonts w:ascii="Times New Roman" w:hAnsi="Times New Roman"/>
          <w:b w:val="false"/>
          <w:color w:val="auto"/>
          <w:sz w:val="24"/>
          <w:szCs w:val="24"/>
          <w:lang w:val="ru-RU" w:eastAsia="en-US"/>
        </w:rPr>
        <w:t xml:space="preserve">Заявкой Покупателя в соответствии со </w:t>
      </w:r>
      <w:r>
        <w:rPr>
          <w:rFonts w:ascii="Times New Roman" w:hAnsi="Times New Roman"/>
          <w:b w:val="false"/>
          <w:color w:val="auto"/>
          <w:sz w:val="24"/>
          <w:szCs w:val="24"/>
          <w:lang w:eastAsia="en-US"/>
        </w:rPr>
        <w:t>Спецификацией, являющейся приложением к Договору.</w:t>
      </w:r>
    </w:p>
    <w:p>
      <w:pPr>
        <w:pStyle w:val="Heading3"/>
        <w:keepNext w:val="false"/>
        <w:tabs>
          <w:tab w:val="clear" w:pos="709"/>
          <w:tab w:val="left" w:pos="0" w:leader="none"/>
        </w:tabs>
        <w:overflowPunct w:val="true"/>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«Применимое право»</w:t>
      </w:r>
      <w:r>
        <w:rPr>
          <w:rFonts w:ascii="Times New Roman" w:hAnsi="Times New Roman"/>
          <w:b w:val="false"/>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pPr>
        <w:pStyle w:val="Normal"/>
        <w:ind w:firstLine="709"/>
        <w:jc w:val="both"/>
        <w:rPr>
          <w:sz w:val="24"/>
          <w:szCs w:val="24"/>
          <w:lang w:eastAsia="en-US"/>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pPr>
        <w:pStyle w:val="ListParagraph"/>
        <w:widowControl w:val="false"/>
        <w:shd w:val="clear" w:fill="FFFFFF"/>
        <w:tabs>
          <w:tab w:val="clear" w:pos="709"/>
          <w:tab w:val="left" w:pos="1276" w:leader="none"/>
        </w:tabs>
        <w:suppressAutoHyphens w:val="true"/>
        <w:spacing w:before="0" w:after="0"/>
        <w:ind w:firstLine="709" w:left="0" w:right="0"/>
        <w:contextualSpacing/>
        <w:jc w:val="both"/>
        <w:rPr/>
      </w:pPr>
      <w:r>
        <w:rPr>
          <w:rFonts w:eastAsia="Times New Roman" w:cs="Times New Roman"/>
          <w:b/>
          <w:bCs/>
          <w:color w:val="000000"/>
          <w:kern w:val="0"/>
          <w:sz w:val="24"/>
          <w:szCs w:val="24"/>
          <w:shd w:fill="auto" w:val="clear"/>
          <w:lang w:val="ru-RU" w:eastAsia="en-US" w:bidi="ar-SA"/>
        </w:rPr>
        <w:t>«Система ЭДО общего пользования»</w:t>
      </w:r>
      <w:r>
        <w:rPr>
          <w:rFonts w:eastAsia="Times New Roman" w:cs="Times New Roman"/>
          <w:b/>
          <w:color w:val="000000"/>
          <w:kern w:val="0"/>
          <w:sz w:val="24"/>
          <w:szCs w:val="24"/>
          <w:shd w:fill="auto" w:val="clear"/>
          <w:lang w:val="ru-RU" w:eastAsia="en-US" w:bidi="ar-SA"/>
        </w:rPr>
        <w:t xml:space="preserve"> </w:t>
      </w:r>
      <w:r>
        <w:rPr>
          <w:rFonts w:eastAsia="Times New Roman" w:cs="Times New Roman"/>
          <w:b w:val="false"/>
          <w:bCs w:val="false"/>
          <w:color w:val="000000"/>
          <w:kern w:val="0"/>
          <w:sz w:val="24"/>
          <w:szCs w:val="24"/>
          <w:shd w:fill="auto" w:val="clear"/>
          <w:lang w:val="ru-RU" w:eastAsia="en-US" w:bidi="ar-SA"/>
        </w:rPr>
        <w:t>– информационная система, обеспечивающая обмен электронными документами между Сторонами с использованием УКЭП, сертифицированная в соответствии с законодательством Российской Федерации.</w:t>
      </w:r>
    </w:p>
    <w:p>
      <w:pPr>
        <w:pStyle w:val="ListParagraph"/>
        <w:widowControl w:val="false"/>
        <w:shd w:val="clear" w:fill="FFFFFF"/>
        <w:tabs>
          <w:tab w:val="clear" w:pos="709"/>
          <w:tab w:val="left" w:pos="1276" w:leader="none"/>
        </w:tabs>
        <w:suppressAutoHyphens w:val="true"/>
        <w:spacing w:before="0" w:after="0"/>
        <w:ind w:firstLine="709" w:left="0" w:right="0"/>
        <w:contextualSpacing/>
        <w:jc w:val="both"/>
        <w:rPr>
          <w:kern w:val="0"/>
          <w:lang w:val="ru-RU" w:bidi="ar-SA"/>
        </w:rPr>
      </w:pPr>
      <w:r>
        <w:rPr>
          <w:rFonts w:eastAsia="Times New Roman" w:cs="Times New Roman"/>
          <w:b/>
          <w:bCs/>
          <w:color w:val="000000"/>
          <w:kern w:val="0"/>
          <w:sz w:val="24"/>
          <w:szCs w:val="24"/>
          <w:shd w:fill="auto" w:val="clear"/>
          <w:lang w:val="ru-RU" w:eastAsia="en-US" w:bidi="ar-SA"/>
        </w:rPr>
        <w:t>«УКЭП»</w:t>
      </w:r>
      <w:r>
        <w:rPr>
          <w:rFonts w:eastAsia="Times New Roman" w:cs="Times New Roman"/>
          <w:b w:val="false"/>
          <w:bCs w:val="false"/>
          <w:color w:val="000000"/>
          <w:kern w:val="0"/>
          <w:sz w:val="24"/>
          <w:szCs w:val="24"/>
          <w:shd w:fill="auto" w:val="clear"/>
          <w:lang w:val="ru-RU" w:eastAsia="en-US" w:bidi="ar-SA"/>
        </w:rPr>
        <w:t xml:space="preserve"> – усиленная квалифицированная подпись, соответствующая требованиям Федерального закона от 06.04.2011 № 63-ФЗ «Об электронной подписи».</w:t>
      </w:r>
    </w:p>
    <w:p>
      <w:pPr>
        <w:pStyle w:val="Heading3"/>
        <w:widowControl w:val="false"/>
        <w:tabs>
          <w:tab w:val="clear" w:pos="709"/>
          <w:tab w:val="left" w:pos="567" w:leader="none"/>
        </w:tabs>
        <w:overflowPunct w:val="true"/>
        <w:spacing w:before="0" w:after="0"/>
        <w:ind w:firstLine="708"/>
        <w:jc w:val="both"/>
        <w:textAlignment w:val="baseline"/>
        <w:rPr>
          <w:highlight w:val="none"/>
          <w:shd w:fill="auto" w:val="clear"/>
        </w:rPr>
      </w:pPr>
      <w:r>
        <w:rPr>
          <w:rFonts w:eastAsia="Times New Roman" w:cs="Times New Roman" w:ascii="Times New Roman" w:hAnsi="Times New Roman"/>
          <w:b/>
          <w:color w:val="000000"/>
          <w:kern w:val="0"/>
          <w:sz w:val="24"/>
          <w:szCs w:val="24"/>
          <w:shd w:fill="auto" w:val="clear"/>
          <w:lang w:val="ru-RU" w:eastAsia="en-US" w:bidi="ar-SA"/>
        </w:rPr>
        <w:t xml:space="preserve">«Универсальный передаточный документ», «УПД» </w:t>
      </w:r>
      <w:r>
        <w:rPr>
          <w:rFonts w:eastAsia="Times New Roman" w:cs="Times New Roman" w:ascii="Times New Roman" w:hAnsi="Times New Roman"/>
          <w:b w:val="false"/>
          <w:color w:val="000000"/>
          <w:kern w:val="0"/>
          <w:sz w:val="24"/>
          <w:szCs w:val="24"/>
          <w:shd w:fill="auto" w:val="clear"/>
          <w:lang w:val="ru-RU" w:eastAsia="en-US" w:bidi="ar-SA"/>
        </w:rPr>
        <w:t>–</w:t>
      </w:r>
      <w:r>
        <w:rPr>
          <w:rFonts w:eastAsia="Times New Roman" w:cs="Times New Roman" w:ascii="Times New Roman" w:hAnsi="Times New Roman"/>
          <w:b/>
          <w:color w:val="000000"/>
          <w:kern w:val="0"/>
          <w:sz w:val="24"/>
          <w:szCs w:val="24"/>
          <w:shd w:fill="auto" w:val="clear"/>
          <w:lang w:val="ru-RU" w:eastAsia="en-US" w:bidi="ar-SA"/>
        </w:rPr>
        <w:t xml:space="preserve"> </w:t>
      </w:r>
      <w:r>
        <w:rPr>
          <w:rFonts w:eastAsia="Times New Roman" w:cs="Times New Roman" w:ascii="Times New Roman" w:hAnsi="Times New Roman"/>
          <w:b w:val="false"/>
          <w:color w:val="000000"/>
          <w:kern w:val="0"/>
          <w:sz w:val="24"/>
          <w:szCs w:val="24"/>
          <w:shd w:fill="auto" w:val="clear"/>
          <w:lang w:val="ru-RU" w:eastAsia="en-US" w:bidi="ar-SA"/>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eastAsia="Times New Roman" w:cs="Times New Roman" w:ascii="Times New Roman" w:hAnsi="Times New Roman"/>
          <w:b w:val="false"/>
          <w:bCs w:val="false"/>
          <w:color w:val="000000"/>
          <w:kern w:val="0"/>
          <w:sz w:val="24"/>
          <w:szCs w:val="24"/>
          <w:shd w:fill="auto" w:val="clear"/>
          <w:lang w:val="ru-RU" w:eastAsia="en-US" w:bidi="ar-SA"/>
        </w:rPr>
        <w:t>.</w:t>
      </w:r>
    </w:p>
    <w:p>
      <w:pPr>
        <w:pStyle w:val="Heading3"/>
        <w:tabs>
          <w:tab w:val="clear" w:pos="709"/>
          <w:tab w:val="left" w:pos="0" w:leader="none"/>
        </w:tabs>
        <w:overflowPunct w:val="true"/>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«Цена Договор2.4.1 Поставка товара (с условием о поставке по заявкам, без банковских гарантий)а»</w:t>
      </w:r>
      <w:r>
        <w:rPr>
          <w:rFonts w:ascii="Times New Roman" w:hAnsi="Times New Roman"/>
          <w:b w:val="false"/>
          <w:color w:val="auto"/>
          <w:sz w:val="24"/>
          <w:szCs w:val="24"/>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и причитающееся ему вознаграждение, а также инфляционные риски на весь период действия Договора.</w:t>
      </w:r>
    </w:p>
    <w:p>
      <w:pPr>
        <w:pStyle w:val="Heading3"/>
        <w:tabs>
          <w:tab w:val="clear" w:pos="709"/>
          <w:tab w:val="left" w:pos="0" w:leader="none"/>
        </w:tabs>
        <w:overflowPunct w:val="true"/>
        <w:spacing w:before="0" w:after="0"/>
        <w:ind w:firstLine="709"/>
        <w:jc w:val="both"/>
        <w:textAlignment w:val="baseline"/>
        <w:rPr>
          <w:rFonts w:ascii="Times New Roman" w:hAnsi="Times New Roman"/>
          <w:b w:val="false"/>
          <w:color w:val="auto"/>
          <w:sz w:val="24"/>
          <w:szCs w:val="24"/>
          <w:lang w:val="ru-RU" w:eastAsia="en-US"/>
        </w:rPr>
      </w:pPr>
      <w:r>
        <w:rPr>
          <w:rFonts w:eastAsia="Times New Roman" w:cs="Times New Roman" w:ascii="Times New Roman" w:hAnsi="Times New Roman"/>
          <w:b/>
          <w:bCs/>
          <w:color w:val="auto"/>
          <w:kern w:val="0"/>
          <w:sz w:val="24"/>
          <w:szCs w:val="24"/>
          <w:lang w:val="ru-RU" w:eastAsia="ru-RU" w:bidi="ar-SA"/>
        </w:rPr>
        <w:t>«Электронный документ»</w:t>
      </w:r>
      <w:r>
        <w:rPr>
          <w:rFonts w:eastAsia="Times New Roman" w:cs="Times New Roman" w:ascii="Times New Roman" w:hAnsi="Times New Roman"/>
          <w:b w:val="false"/>
          <w:bCs/>
          <w:color w:val="auto"/>
          <w:kern w:val="0"/>
          <w:sz w:val="24"/>
          <w:szCs w:val="24"/>
          <w:lang w:val="ru-RU" w:eastAsia="ru-RU" w:bidi="ar-SA"/>
        </w:rPr>
        <w:t xml:space="preserve"> – документ, созданный в электронной форме без предварительного документирования на бумажном носителе, подписанный УКЭП, имеющий юридическую силу, равнозначную документу на бумажном носителе.</w:t>
      </w:r>
      <w:r>
        <w:rPr>
          <w:rFonts w:ascii="Times New Roman" w:hAnsi="Times New Roman"/>
          <w:b w:val="false"/>
          <w:color w:val="auto"/>
          <w:sz w:val="24"/>
          <w:szCs w:val="24"/>
          <w:lang w:val="ru-RU" w:eastAsia="en-US"/>
        </w:rPr>
        <w:t xml:space="preserve"> </w:t>
      </w:r>
    </w:p>
    <w:p>
      <w:pPr>
        <w:pStyle w:val="Normal"/>
        <w:shd w:val="clear" w:color="auto" w:fill="FFFFFF"/>
        <w:ind w:firstLine="709"/>
        <w:jc w:val="center"/>
        <w:rPr>
          <w:bCs/>
          <w:sz w:val="24"/>
          <w:szCs w:val="24"/>
        </w:rPr>
      </w:pPr>
      <w:r>
        <w:rPr>
          <w:bCs/>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Предмет Договора</w:t>
      </w:r>
    </w:p>
    <w:p>
      <w:pPr>
        <w:pStyle w:val="Normal"/>
        <w:numPr>
          <w:ilvl w:val="1"/>
          <w:numId w:val="2"/>
        </w:numPr>
        <w:shd w:val="clear" w:color="auto" w:fill="FFFFFF"/>
        <w:tabs>
          <w:tab w:val="clear" w:pos="709"/>
          <w:tab w:val="left" w:pos="1134" w:leader="none"/>
        </w:tabs>
        <w:ind w:firstLine="709" w:left="0"/>
        <w:jc w:val="both"/>
        <w:rPr>
          <w:sz w:val="24"/>
          <w:szCs w:val="24"/>
        </w:rPr>
      </w:pPr>
      <w:r>
        <w:rPr>
          <w:bCs/>
          <w:sz w:val="24"/>
          <w:szCs w:val="24"/>
        </w:rPr>
        <w:t>Поставщик обязуется в порядке и сроки, установленные Договором, передать в собственность Покупателю п</w:t>
      </w:r>
      <w:r>
        <w:rPr>
          <w:rFonts w:eastAsia="Calibri"/>
          <w:bCs/>
          <w:sz w:val="24"/>
          <w:szCs w:val="24"/>
          <w:lang w:eastAsia="en-US"/>
        </w:rPr>
        <w:t xml:space="preserve">олиграфическую </w:t>
      </w:r>
      <w:r>
        <w:rPr>
          <w:bCs/>
          <w:sz w:val="24"/>
          <w:szCs w:val="24"/>
        </w:rPr>
        <w:t>продукцию (календарь) с символикой ПАО «РусГидро» (далее – «Товар») в соответствии со Спецификацией (Приложение № 1 к Договору), а Покупатель обязуется принять Товар и уплатить Цену Договора.</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Наименование, ассортимент и количество Товара (партий Товара), а также сроки и место его поставки указываются в заявке Покупателя, оформляемой в соответствии со Спецификацией </w:t>
      </w:r>
      <w:r>
        <w:rPr>
          <w:bCs/>
          <w:sz w:val="24"/>
          <w:szCs w:val="24"/>
        </w:rPr>
        <w:t>(Приложение № 1 к Договору)</w:t>
      </w:r>
      <w:r>
        <w:rPr>
          <w:sz w:val="24"/>
          <w:szCs w:val="24"/>
        </w:rPr>
        <w:t xml:space="preserve"> по форме согласно Приложению № 2 к Договору (далее – «Заявка») и направляемой Продавцу в порядке и сроки, установленные пунктом 3.1 Договора. </w:t>
      </w:r>
    </w:p>
    <w:p>
      <w:pPr>
        <w:pStyle w:val="Norma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Поставка Товара по Договору осуществляется для нужд филиала ПАО «РусГидро» - «Жигулевская ГЭС»</w:t>
      </w:r>
    </w:p>
    <w:p>
      <w:pPr>
        <w:pStyle w:val="Normal"/>
        <w:numPr>
          <w:ilvl w:val="1"/>
          <w:numId w:val="2"/>
        </w:numPr>
        <w:shd w:val="clear" w:color="auto" w:fill="FFFFFF"/>
        <w:tabs>
          <w:tab w:val="clear" w:pos="709"/>
          <w:tab w:val="left" w:pos="0" w:leader="none"/>
          <w:tab w:val="left" w:pos="540" w:leader="none"/>
          <w:tab w:val="left" w:pos="1134" w:leader="none"/>
        </w:tabs>
        <w:ind w:firstLine="709" w:left="0"/>
        <w:jc w:val="both"/>
        <w:rPr>
          <w:bCs/>
          <w:sz w:val="24"/>
          <w:szCs w:val="24"/>
        </w:rPr>
      </w:pPr>
      <w:r>
        <w:rPr>
          <w:bCs/>
          <w:sz w:val="24"/>
          <w:szCs w:val="24"/>
        </w:rPr>
        <w:t>Общий срок поставки Товара:</w:t>
      </w:r>
    </w:p>
    <w:p>
      <w:pPr>
        <w:pStyle w:val="Normal"/>
        <w:numPr>
          <w:ilvl w:val="2"/>
          <w:numId w:val="2"/>
        </w:numPr>
        <w:shd w:val="clear" w:color="auto" w:fill="FFFFFF"/>
        <w:tabs>
          <w:tab w:val="clear" w:pos="709"/>
          <w:tab w:val="left" w:pos="0" w:leader="none"/>
          <w:tab w:val="left" w:pos="1134" w:leader="none"/>
          <w:tab w:val="left" w:pos="1418" w:leader="none"/>
        </w:tabs>
        <w:ind w:firstLine="709" w:left="0"/>
        <w:jc w:val="both"/>
        <w:rPr>
          <w:bCs/>
          <w:sz w:val="24"/>
          <w:szCs w:val="24"/>
        </w:rPr>
      </w:pPr>
      <w:r>
        <w:rPr>
          <w:bCs/>
          <w:sz w:val="24"/>
          <w:szCs w:val="24"/>
        </w:rPr>
        <w:t>Начало – с даты заключения договора;</w:t>
      </w:r>
    </w:p>
    <w:p>
      <w:pPr>
        <w:pStyle w:val="Normal"/>
        <w:numPr>
          <w:ilvl w:val="2"/>
          <w:numId w:val="2"/>
        </w:numPr>
        <w:shd w:val="clear" w:color="auto" w:fill="FFFFFF"/>
        <w:tabs>
          <w:tab w:val="clear" w:pos="709"/>
          <w:tab w:val="left" w:pos="0" w:leader="none"/>
          <w:tab w:val="left" w:pos="1134" w:leader="none"/>
          <w:tab w:val="left" w:pos="1418" w:leader="none"/>
        </w:tabs>
        <w:ind w:firstLine="709" w:left="0"/>
        <w:jc w:val="both"/>
        <w:rPr>
          <w:bCs/>
          <w:sz w:val="24"/>
          <w:szCs w:val="24"/>
        </w:rPr>
      </w:pPr>
      <w:r>
        <w:rPr>
          <w:bCs/>
          <w:sz w:val="24"/>
          <w:szCs w:val="24"/>
        </w:rPr>
        <w:t>Окончание – 01.12.2026г.</w:t>
      </w:r>
    </w:p>
    <w:p>
      <w:pPr>
        <w:pStyle w:val="Normal"/>
        <w:shd w:val="clear" w:color="auto" w:fill="FFFFFF"/>
        <w:tabs>
          <w:tab w:val="clear" w:pos="709"/>
          <w:tab w:val="left" w:pos="540" w:leader="none"/>
        </w:tabs>
        <w:ind w:firstLine="709"/>
        <w:jc w:val="both"/>
        <w:rPr>
          <w:sz w:val="24"/>
          <w:szCs w:val="24"/>
        </w:rPr>
      </w:pPr>
      <w:r>
        <w:rPr>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Цена Договора и порядок расчетов</w:t>
      </w:r>
    </w:p>
    <w:p>
      <w:pPr>
        <w:pStyle w:val="Normal"/>
        <w:numPr>
          <w:ilvl w:val="1"/>
          <w:numId w:val="2"/>
        </w:numPr>
        <w:tabs>
          <w:tab w:val="clear" w:pos="709"/>
          <w:tab w:val="left" w:pos="0" w:leader="none"/>
          <w:tab w:val="left" w:pos="1134" w:leader="none"/>
        </w:tabs>
        <w:ind w:firstLine="709" w:left="0"/>
        <w:jc w:val="both"/>
        <w:rPr>
          <w:sz w:val="24"/>
          <w:szCs w:val="24"/>
        </w:rPr>
      </w:pPr>
      <w:r>
        <w:rPr>
          <w:sz w:val="24"/>
          <w:szCs w:val="24"/>
        </w:rPr>
        <w:t xml:space="preserve">Цена Договора </w:t>
      </w:r>
      <w:r>
        <w:rPr>
          <w:bCs/>
          <w:sz w:val="24"/>
          <w:szCs w:val="24"/>
        </w:rPr>
        <w:t xml:space="preserve">является предельной и составляет </w:t>
      </w:r>
      <w:r>
        <w:rPr>
          <w:sz w:val="24"/>
          <w:szCs w:val="24"/>
          <w:shd w:fill="auto" w:val="clear"/>
        </w:rPr>
        <w:t>_______</w:t>
      </w:r>
      <w:r>
        <w:rPr>
          <w:bCs/>
          <w:sz w:val="24"/>
          <w:szCs w:val="24"/>
          <w:shd w:fill="auto" w:val="clear"/>
        </w:rPr>
        <w:t xml:space="preserve"> (</w:t>
      </w:r>
      <w:r>
        <w:rPr>
          <w:sz w:val="24"/>
          <w:szCs w:val="24"/>
          <w:shd w:fill="auto" w:val="clear"/>
        </w:rPr>
        <w:t>__________________</w:t>
      </w:r>
      <w:r>
        <w:rPr>
          <w:bCs/>
          <w:sz w:val="24"/>
          <w:szCs w:val="24"/>
          <w:shd w:fill="auto" w:val="clear"/>
        </w:rPr>
        <w:t xml:space="preserve">) рублей </w:t>
      </w:r>
      <w:r>
        <w:rPr>
          <w:sz w:val="24"/>
          <w:szCs w:val="24"/>
          <w:shd w:fill="auto" w:val="clear"/>
        </w:rPr>
        <w:t>___</w:t>
      </w:r>
      <w:r>
        <w:rPr>
          <w:bCs/>
          <w:sz w:val="24"/>
          <w:szCs w:val="24"/>
          <w:shd w:fill="auto" w:val="clear"/>
        </w:rPr>
        <w:t xml:space="preserve"> копеек без учета НДС, при этом НДС исчисляется дополнительно по ставке, установленной ст. 164 Налогового Кодекса РФ. </w:t>
      </w:r>
    </w:p>
    <w:p>
      <w:pPr>
        <w:pStyle w:val="Normal"/>
        <w:numPr>
          <w:ilvl w:val="1"/>
          <w:numId w:val="2"/>
        </w:numPr>
        <w:shd w:val="clear" w:color="auto" w:fill="FFFFFF"/>
        <w:tabs>
          <w:tab w:val="clear" w:pos="709"/>
          <w:tab w:val="left" w:pos="0" w:leader="none"/>
          <w:tab w:val="left" w:pos="1134" w:leader="none"/>
        </w:tabs>
        <w:ind w:firstLine="709" w:left="0"/>
        <w:jc w:val="both"/>
        <w:rPr>
          <w:sz w:val="24"/>
          <w:szCs w:val="24"/>
        </w:rPr>
      </w:pPr>
      <w:r>
        <w:rPr>
          <w:bCs/>
          <w:sz w:val="24"/>
          <w:szCs w:val="24"/>
        </w:rPr>
        <w:t xml:space="preserve">Цена за единицу Товара определяется в соответствии со Спецификацией (Приложение № 1 к Договору) и является фиксированной в течение всего срока действия Договора. </w:t>
      </w:r>
      <w:r>
        <w:rPr>
          <w:sz w:val="24"/>
          <w:szCs w:val="24"/>
        </w:rPr>
        <w:t>Общая стоимость Товара (всех партий Товара), указанного в Заявках, оформленных Покупателем в течение срока действия Договора, не может превышать Цену Договора, указанную в пункте 2.1 Договора.</w:t>
      </w:r>
    </w:p>
    <w:p>
      <w:pPr>
        <w:pStyle w:val="Normal"/>
        <w:numPr>
          <w:ilvl w:val="1"/>
          <w:numId w:val="2"/>
        </w:numPr>
        <w:shd w:val="clear" w:color="auto" w:fill="FFFFFF"/>
        <w:tabs>
          <w:tab w:val="clear" w:pos="709"/>
          <w:tab w:val="left" w:pos="1134" w:leader="none"/>
        </w:tabs>
        <w:ind w:firstLine="709" w:left="0"/>
        <w:jc w:val="both"/>
        <w:rPr>
          <w:bCs/>
          <w:sz w:val="24"/>
          <w:szCs w:val="24"/>
        </w:rPr>
      </w:pPr>
      <w:r>
        <w:rPr>
          <w:bCs/>
          <w:sz w:val="24"/>
          <w:szCs w:val="24"/>
        </w:rPr>
        <w:t xml:space="preserve">Цена Договора включает в себя прибыль Поставщика, а также все расходы и затраты Поставщика на: </w:t>
      </w:r>
    </w:p>
    <w:p>
      <w:pPr>
        <w:pStyle w:val="Normal"/>
        <w:numPr>
          <w:ilvl w:val="2"/>
          <w:numId w:val="2"/>
        </w:numPr>
        <w:shd w:val="clear" w:color="auto" w:fill="FFFFFF"/>
        <w:tabs>
          <w:tab w:val="clear" w:pos="709"/>
          <w:tab w:val="left" w:pos="1418" w:leader="none"/>
        </w:tabs>
        <w:ind w:firstLine="709" w:left="0"/>
        <w:jc w:val="both"/>
        <w:rPr>
          <w:highlight w:val="none"/>
          <w:shd w:fill="auto" w:val="clear"/>
        </w:rPr>
      </w:pPr>
      <w:r>
        <w:rPr>
          <w:bCs/>
          <w:sz w:val="24"/>
          <w:szCs w:val="24"/>
          <w:shd w:fill="auto" w:val="clear"/>
        </w:rPr>
        <w:t>Производство и / или приобретение Товара;</w:t>
      </w:r>
    </w:p>
    <w:p>
      <w:pPr>
        <w:pStyle w:val="ListParagraph"/>
        <w:numPr>
          <w:ilvl w:val="2"/>
          <w:numId w:val="7"/>
        </w:numPr>
        <w:shd w:val="clear" w:color="auto" w:fill="FFFFFF"/>
        <w:tabs>
          <w:tab w:val="clear" w:pos="709"/>
          <w:tab w:val="left" w:pos="1418" w:leader="none"/>
        </w:tabs>
        <w:ind w:firstLine="709" w:left="0"/>
        <w:jc w:val="both"/>
        <w:rPr>
          <w:bCs/>
          <w:sz w:val="24"/>
          <w:szCs w:val="24"/>
        </w:rPr>
      </w:pPr>
      <w:r>
        <w:rPr>
          <w:bCs/>
          <w:sz w:val="24"/>
          <w:szCs w:val="24"/>
          <w:shd w:fill="auto" w:val="clear"/>
        </w:rPr>
        <w:t xml:space="preserve">Транспортировку Товара до места </w:t>
      </w:r>
      <w:r>
        <w:rPr>
          <w:bCs/>
          <w:sz w:val="24"/>
          <w:szCs w:val="24"/>
        </w:rPr>
        <w:t xml:space="preserve">поставки, погрузку, разгрузку, стоимость тары и упаковки, лицензий, необходимых для использования Товара (если применимо);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Подлежащие уплате налоги, сборы и пошлины (в том числе по таможенному оформлению Товара, если применимо)</w:t>
      </w:r>
      <w:r>
        <w:rPr>
          <w:bCs/>
          <w:sz w:val="24"/>
          <w:szCs w:val="24"/>
          <w:lang w:val="en-US"/>
        </w:rPr>
        <w:t>;</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Заработную плату, накладные и командировочные расходы, перемещение персонала Поставщика;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Все прочие затраты и расходы Поставщика, связанные с поставкой Товара 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pPr>
        <w:pStyle w:val="Normal"/>
        <w:numPr>
          <w:ilvl w:val="1"/>
          <w:numId w:val="2"/>
        </w:numPr>
        <w:shd w:val="clear" w:color="auto" w:fill="FFFFFF"/>
        <w:tabs>
          <w:tab w:val="clear" w:pos="709"/>
          <w:tab w:val="left" w:pos="568" w:leader="none"/>
          <w:tab w:val="left" w:pos="1134" w:leader="none"/>
        </w:tabs>
        <w:ind w:firstLine="709" w:left="0"/>
        <w:jc w:val="both"/>
        <w:rPr>
          <w:sz w:val="24"/>
          <w:szCs w:val="24"/>
        </w:rPr>
      </w:pPr>
      <w:r>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2"/>
        </w:numPr>
        <w:shd w:val="clear" w:color="auto" w:fill="FFFFFF"/>
        <w:tabs>
          <w:tab w:val="clear" w:pos="709"/>
        </w:tabs>
        <w:ind w:firstLine="709" w:left="0"/>
        <w:jc w:val="both"/>
        <w:rPr>
          <w:bCs/>
          <w:sz w:val="24"/>
        </w:rPr>
      </w:pPr>
      <w:r>
        <w:rPr>
          <w:bCs/>
          <w:sz w:val="24"/>
        </w:rPr>
        <w:t>Оплата по Договору осуществляется Покупателем в те</w:t>
      </w:r>
      <w:r>
        <w:rPr>
          <w:bCs/>
          <w:sz w:val="24"/>
          <w:shd w:fill="auto" w:val="clear"/>
        </w:rPr>
        <w:t xml:space="preserve">чение </w:t>
      </w:r>
      <w:r>
        <w:rPr>
          <w:sz w:val="24"/>
          <w:szCs w:val="24"/>
          <w:shd w:fill="auto" w:val="clear"/>
        </w:rPr>
        <w:t>7 (семи) рабочих дней</w:t>
      </w:r>
      <w:r>
        <w:rPr>
          <w:sz w:val="24"/>
          <w:szCs w:val="24"/>
          <w:shd w:fill="auto" w:val="clear"/>
          <w:vertAlign w:val="superscript"/>
        </w:rPr>
        <w:t xml:space="preserve"> </w:t>
      </w:r>
      <w:r>
        <w:rPr>
          <w:bCs/>
          <w:sz w:val="24"/>
          <w:shd w:fill="auto" w:val="clear"/>
        </w:rPr>
        <w:t>с даты подписания Сторонами Накладной ТОРГ-12/УПД на основании счета, выставленного Поставщиком, и с учетом пункта 2.6 Договора.</w:t>
      </w:r>
    </w:p>
    <w:p>
      <w:pPr>
        <w:pStyle w:val="ListParagraph"/>
        <w:widowControl/>
        <w:numPr>
          <w:ilvl w:val="1"/>
          <w:numId w:val="2"/>
        </w:numPr>
        <w:shd w:val="clear" w:color="auto" w:fill="FFFFFF"/>
        <w:tabs>
          <w:tab w:val="clear" w:pos="709"/>
          <w:tab w:val="left" w:pos="0" w:leader="none"/>
          <w:tab w:val="left" w:pos="1134" w:leader="none"/>
          <w:tab w:val="left" w:pos="1276" w:leader="none"/>
        </w:tabs>
        <w:ind w:firstLine="709" w:left="0"/>
        <w:jc w:val="both"/>
        <w:rPr>
          <w:sz w:val="24"/>
          <w:szCs w:val="24"/>
        </w:rPr>
      </w:pPr>
      <w:r>
        <w:rPr>
          <w:sz w:val="24"/>
          <w:szCs w:val="24"/>
          <w:shd w:fill="auto" w:val="clear"/>
        </w:rPr>
        <w:t>В случае выставления Поставщиком счета на сумму менее размера</w:t>
      </w:r>
      <w:r>
        <w:rPr>
          <w:sz w:val="24"/>
          <w:szCs w:val="24"/>
        </w:rPr>
        <w:t xml:space="preserve">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s>
        <w:ind w:firstLine="709" w:left="0"/>
        <w:jc w:val="both"/>
        <w:rPr>
          <w:highlight w:val="none"/>
          <w:shd w:fill="auto" w:val="clear"/>
        </w:rPr>
      </w:pPr>
      <w:r>
        <w:rPr>
          <w:sz w:val="24"/>
          <w:szCs w:val="24"/>
          <w:shd w:fill="auto" w:val="clear"/>
        </w:rPr>
        <w:t>Индексация Цены Договора не допускается.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s>
        <w:ind w:firstLine="709" w:left="0"/>
        <w:jc w:val="both"/>
        <w:rPr>
          <w:highlight w:val="none"/>
          <w:shd w:fill="auto" w:val="clear"/>
        </w:rPr>
      </w:pPr>
      <w:r>
        <w:rPr>
          <w:sz w:val="24"/>
          <w:szCs w:val="24"/>
          <w:shd w:fill="auto" w:val="clear"/>
        </w:rPr>
        <w:t>Поставщик обязан представить Покупателю счета</w:t>
      </w:r>
      <w:r>
        <w:rPr>
          <w:bCs/>
          <w:sz w:val="24"/>
          <w:szCs w:val="24"/>
          <w:shd w:fill="auto" w:val="clear"/>
        </w:rPr>
        <w:t>-</w:t>
      </w:r>
      <w:r>
        <w:rPr>
          <w:sz w:val="24"/>
          <w:szCs w:val="24"/>
          <w:shd w:fill="auto" w:val="clear"/>
        </w:rPr>
        <w:t>фактуры/УПД,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w:t>
      </w:r>
      <w:r>
        <w:rPr>
          <w:bCs/>
          <w:sz w:val="24"/>
          <w:szCs w:val="24"/>
          <w:shd w:fill="auto" w:val="clear"/>
        </w:rPr>
        <w:t>-</w:t>
      </w:r>
      <w:r>
        <w:rPr>
          <w:sz w:val="24"/>
          <w:szCs w:val="24"/>
          <w:shd w:fill="auto" w:val="clear"/>
        </w:rPr>
        <w:t>фактуры/УПД в течение 3 (трех) рабочих дней с даты получения соответствующего письменного требования Покупателя.</w:t>
      </w:r>
      <w:r>
        <w:rPr>
          <w:rStyle w:val="FootnoteReference"/>
          <w:sz w:val="24"/>
          <w:szCs w:val="24"/>
          <w:shd w:fill="auto" w:val="clear"/>
        </w:rPr>
        <w:footnoteReference w:id="3"/>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Поставщик обязан подписать акты сверки взаимных расчетов, направленные Покупателем в 2 (двух) экземплярах, и вернуть 1 (один) экземпляр Покупателю в течение 5 (пяти) рабочих дней с даты получения экземпляров актов сверки расчетов от Покупателя.</w:t>
      </w:r>
    </w:p>
    <w:p>
      <w:pPr>
        <w:pStyle w:val="ListParagraph"/>
        <w:numPr>
          <w:ilvl w:val="1"/>
          <w:numId w:val="2"/>
        </w:numPr>
        <w:shd w:val="clear" w:color="auto" w:fill="FFFFFF"/>
        <w:tabs>
          <w:tab w:val="clear" w:pos="709"/>
        </w:tabs>
        <w:ind w:firstLine="709" w:left="0"/>
        <w:jc w:val="both"/>
        <w:rPr>
          <w:sz w:val="24"/>
          <w:szCs w:val="24"/>
        </w:rPr>
      </w:pPr>
      <w:bookmarkStart w:id="0" w:name="_GoBack"/>
      <w:bookmarkEnd w:id="0"/>
      <w:r>
        <w:rPr>
          <w:sz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w:t>
      </w:r>
    </w:p>
    <w:p>
      <w:pPr>
        <w:pStyle w:val="ListParagraph"/>
        <w:shd w:val="clear" w:color="auto" w:fill="FFFFFF"/>
        <w:tabs>
          <w:tab w:val="clear" w:pos="709"/>
          <w:tab w:val="left" w:pos="1134" w:leader="none"/>
        </w:tabs>
        <w:ind w:firstLine="709" w:left="0"/>
        <w:jc w:val="both"/>
        <w:rPr>
          <w:sz w:val="24"/>
          <w:szCs w:val="24"/>
        </w:rPr>
      </w:pPr>
      <w:r>
        <w:rPr>
          <w:sz w:val="24"/>
          <w:szCs w:val="24"/>
        </w:rPr>
        <w:t>Покупатель направляет Поставщику уведомление о проведении сальдо взаимных обязательств Сторон по Договору.</w:t>
      </w:r>
    </w:p>
    <w:p>
      <w:pPr>
        <w:pStyle w:val="ListParagraph"/>
        <w:shd w:val="clear" w:color="auto" w:fill="FFFFFF"/>
        <w:ind w:hanging="0" w:left="709"/>
        <w:jc w:val="both"/>
        <w:rPr>
          <w:sz w:val="24"/>
          <w:szCs w:val="24"/>
          <w:highlight w:val="lightGray"/>
        </w:rPr>
      </w:pPr>
      <w:r>
        <w:rPr>
          <w:sz w:val="24"/>
          <w:szCs w:val="24"/>
          <w:highlight w:val="lightGray"/>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Порядок поставки и приемки Товара</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r>
        <w:rPr>
          <w:bCs/>
          <w:sz w:val="24"/>
          <w:szCs w:val="24"/>
        </w:rPr>
        <w:t>Качество, комплектность, количество и ассортимент поставляемого по Договору Товара должны соответствовать Заявке, требованиям Договора,</w:t>
      </w:r>
      <w:r>
        <w:rPr>
          <w:b/>
          <w:bCs/>
          <w:sz w:val="24"/>
          <w:szCs w:val="24"/>
        </w:rPr>
        <w:t xml:space="preserve"> </w:t>
      </w:r>
      <w:r>
        <w:rPr>
          <w:bCs/>
          <w:sz w:val="24"/>
          <w:szCs w:val="24"/>
        </w:rPr>
        <w:t xml:space="preserve">в том числе, указанным в Спецификации (Приложение № 1 к Договору), а также Применимого права. </w:t>
      </w:r>
    </w:p>
    <w:p>
      <w:pPr>
        <w:pStyle w:val="Normal"/>
        <w:widowControl/>
        <w:shd w:val="clear" w:color="auto" w:fill="FFFFFF"/>
        <w:tabs>
          <w:tab w:val="clear" w:pos="709"/>
          <w:tab w:val="left" w:pos="1134" w:leader="none"/>
        </w:tabs>
        <w:ind w:firstLine="709"/>
        <w:jc w:val="both"/>
        <w:rPr>
          <w:highlight w:val="none"/>
          <w:shd w:fill="auto" w:val="clear"/>
        </w:rPr>
      </w:pPr>
      <w:r>
        <w:rPr>
          <w:bCs/>
          <w:sz w:val="24"/>
          <w:szCs w:val="24"/>
          <w:shd w:fill="auto" w:val="clear"/>
        </w:rPr>
        <w:t xml:space="preserve">Поставщик не вправе производить </w:t>
      </w:r>
      <w:r>
        <w:rPr>
          <w:sz w:val="24"/>
          <w:szCs w:val="24"/>
          <w:shd w:fill="auto" w:val="clear"/>
        </w:rPr>
        <w:t>замену Товара, содержащегося в одном из реестров, предусмотренных пунктом 2 постановления Правительства РФ от 03.12.2020 № 2013 «О минимальной доле закупок товаров российского происхождения» на иной Товар, не включенный в такие реестры.</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r>
        <w:rPr>
          <w:bCs/>
          <w:sz w:val="24"/>
          <w:szCs w:val="24"/>
        </w:rPr>
        <w:t>Поставляемый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и не обременен правами третьих лиц.</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r>
        <w:rPr>
          <w:bCs/>
          <w:sz w:val="24"/>
          <w:szCs w:val="24"/>
        </w:rPr>
        <w:t>Одновременно с передачей Товара Поставщик обязан передать Покупателю оригиналы н</w:t>
      </w:r>
      <w:r>
        <w:rPr>
          <w:sz w:val="24"/>
          <w:szCs w:val="24"/>
          <w:shd w:fill="auto" w:val="clear"/>
        </w:rPr>
        <w:t>акладной ТОРГ-12/УПД в 2 (двух) экз.</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bCs/>
          <w:sz w:val="24"/>
          <w:szCs w:val="24"/>
        </w:rPr>
      </w:pPr>
      <w:bookmarkStart w:id="1" w:name="_Ref361408474"/>
      <w:r>
        <w:rPr>
          <w:bCs/>
          <w:sz w:val="24"/>
          <w:szCs w:val="24"/>
        </w:rPr>
        <w:t>Товар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1"/>
      <w:r>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pPr>
        <w:pStyle w:val="ListParagraph"/>
        <w:shd w:val="clear" w:color="auto" w:fill="FFFFFF"/>
        <w:tabs>
          <w:tab w:val="clear" w:pos="709"/>
          <w:tab w:val="left" w:pos="1418" w:leader="none"/>
        </w:tabs>
        <w:ind w:firstLine="709" w:left="0"/>
        <w:jc w:val="both"/>
        <w:rPr>
          <w:bCs/>
          <w:sz w:val="24"/>
          <w:szCs w:val="24"/>
        </w:rPr>
      </w:pPr>
      <w:r>
        <w:rPr>
          <w:sz w:val="24"/>
          <w:szCs w:val="24"/>
        </w:rPr>
        <w:t xml:space="preserve">Тара и упаковка Товара должны соответствовать требованиям Применимого права, предъявляемым к таре и упаковке соответствующего Товара. </w:t>
      </w:r>
      <w:r>
        <w:rPr>
          <w:bCs/>
          <w:sz w:val="24"/>
          <w:szCs w:val="24"/>
        </w:rPr>
        <w:t xml:space="preserve">Отдельные требования к упаковке и маркировке негабаритного Товара, 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w:t>
      </w:r>
    </w:p>
    <w:p>
      <w:pPr>
        <w:pStyle w:val="ListParagraph"/>
        <w:shd w:val="clear" w:color="auto" w:fill="FFFFFF"/>
        <w:tabs>
          <w:tab w:val="clear" w:pos="709"/>
          <w:tab w:val="left" w:pos="1418" w:leader="none"/>
        </w:tabs>
        <w:ind w:firstLine="709" w:left="0"/>
        <w:jc w:val="both"/>
        <w:rPr>
          <w:bCs/>
          <w:sz w:val="24"/>
          <w:szCs w:val="24"/>
        </w:rPr>
      </w:pPr>
      <w:r>
        <w:rPr>
          <w:bCs/>
          <w:sz w:val="24"/>
          <w:szCs w:val="24"/>
        </w:rPr>
        <w:t xml:space="preserve">Стоимость тары и упаковки включена в стоимость Товара. Тара и упаковка возврату </w:t>
        <w:br/>
        <w:t xml:space="preserve">не подлежат. </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sz w:val="24"/>
          <w:szCs w:val="24"/>
        </w:rPr>
      </w:pPr>
      <w:r>
        <w:rPr>
          <w:sz w:val="24"/>
          <w:szCs w:val="24"/>
        </w:rPr>
        <w:t xml:space="preserve">Погрузка, доставка, разгрузка </w:t>
      </w:r>
      <w:r>
        <w:rPr>
          <w:bCs/>
          <w:sz w:val="24"/>
          <w:szCs w:val="24"/>
        </w:rPr>
        <w:t>осуществляется</w:t>
      </w:r>
      <w:r>
        <w:rPr>
          <w:sz w:val="24"/>
          <w:szCs w:val="24"/>
        </w:rPr>
        <w:t xml:space="preserve"> Поставщиком. Стоимость погрузки, доставки, разгрузки включена в Цену Договора.</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sz w:val="24"/>
          <w:szCs w:val="24"/>
        </w:rPr>
      </w:pPr>
      <w:r>
        <w:rPr>
          <w:sz w:val="24"/>
          <w:szCs w:val="24"/>
        </w:rPr>
        <w:t xml:space="preserve">Досрочная поставка Товара допускается только при условии получения Поставщиком письменного согласия Покупателя.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bookmarkStart w:id="2" w:name="_Ref361396594"/>
      <w:r>
        <w:rPr>
          <w:sz w:val="24"/>
          <w:szCs w:val="24"/>
        </w:rPr>
        <w:t>Датой поставки Товара является дата подписания Сторонами Накладной</w:t>
        <w:br/>
        <w:t>ТОРГ-12/УПД.</w:t>
      </w:r>
      <w:bookmarkEnd w:id="2"/>
      <w:r>
        <w:rPr>
          <w:sz w:val="24"/>
          <w:szCs w:val="24"/>
        </w:rPr>
        <w:t xml:space="preserve">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Приемка Товара осуществляется Покупателем в дату поставки Товара в присутствии представителя Поставщика. </w:t>
      </w:r>
    </w:p>
    <w:p>
      <w:pPr>
        <w:pStyle w:val="ListParagraph"/>
        <w:numPr>
          <w:ilvl w:val="1"/>
          <w:numId w:val="2"/>
        </w:numPr>
        <w:tabs>
          <w:tab w:val="clear" w:pos="709"/>
          <w:tab w:val="left" w:pos="1418" w:leader="none"/>
        </w:tabs>
        <w:ind w:firstLine="709" w:left="0"/>
        <w:jc w:val="both"/>
        <w:rPr>
          <w:sz w:val="24"/>
          <w:szCs w:val="24"/>
        </w:rPr>
      </w:pPr>
      <w:r>
        <w:rPr>
          <w:sz w:val="24"/>
          <w:szCs w:val="24"/>
        </w:rPr>
        <w:t>Если при передаче Товара Покупателю будет обнаружено несоответствие Товара требованиям Заявки и Договора, Покупатель вправе отказаться от получения Товара, сделав соответствующую отметку в Накладной ТОРГ-12/УПД.</w:t>
      </w:r>
    </w:p>
    <w:p>
      <w:pPr>
        <w:pStyle w:val="ListParagraph"/>
        <w:numPr>
          <w:ilvl w:val="1"/>
          <w:numId w:val="2"/>
        </w:numPr>
        <w:tabs>
          <w:tab w:val="clear" w:pos="709"/>
          <w:tab w:val="left" w:pos="1418" w:leader="none"/>
        </w:tabs>
        <w:ind w:firstLine="709" w:left="0"/>
        <w:jc w:val="both"/>
        <w:rPr>
          <w:sz w:val="24"/>
          <w:szCs w:val="24"/>
        </w:rPr>
      </w:pPr>
      <w:r>
        <w:rPr>
          <w:sz w:val="24"/>
          <w:szCs w:val="24"/>
        </w:rPr>
        <w:t xml:space="preserve">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r>
        <w:rPr>
          <w:sz w:val="24"/>
          <w:szCs w:val="24"/>
        </w:rPr>
        <w:t>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bookmarkStart w:id="3" w:name="_Ref361408232"/>
      <w:r>
        <w:rPr>
          <w:sz w:val="24"/>
          <w:szCs w:val="24"/>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Товара по Заявке.</w:t>
      </w:r>
      <w:bookmarkEnd w:id="3"/>
    </w:p>
    <w:p>
      <w:pPr>
        <w:pStyle w:val="ListParagraph"/>
        <w:numPr>
          <w:ilvl w:val="1"/>
          <w:numId w:val="2"/>
        </w:numPr>
        <w:shd w:val="clear" w:color="auto" w:fill="FFFFFF"/>
        <w:tabs>
          <w:tab w:val="clear" w:pos="709"/>
          <w:tab w:val="left" w:pos="1418" w:leader="none"/>
          <w:tab w:val="left" w:pos="1851" w:leader="none"/>
        </w:tabs>
        <w:ind w:firstLine="709" w:left="0"/>
        <w:jc w:val="both"/>
        <w:rPr>
          <w:sz w:val="24"/>
          <w:szCs w:val="24"/>
        </w:rPr>
      </w:pPr>
      <w:r>
        <w:rPr>
          <w:sz w:val="24"/>
          <w:szCs w:val="24"/>
        </w:rPr>
        <w:t>В случае неисполнения Поставщиком обязательств по устранению выявленных недостатков, несоответствий и / или дефектов Товара в порядке, предусмотренном пунктом 3.14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которой отказался Покупатель, возвратить ее стоимость, а также возместить убытки, причиненные Покупателю ненадлежащим исполнением Договора, в том числе расходы на хранение Товара.</w:t>
      </w:r>
    </w:p>
    <w:p>
      <w:pPr>
        <w:pStyle w:val="Normal"/>
        <w:shd w:val="clear" w:color="auto" w:fill="FFFFFF"/>
        <w:tabs>
          <w:tab w:val="clear" w:pos="709"/>
          <w:tab w:val="left" w:pos="1283" w:leader="none"/>
          <w:tab w:val="left" w:pos="1851" w:leader="none"/>
        </w:tabs>
        <w:ind w:firstLine="709"/>
        <w:jc w:val="both"/>
        <w:rPr>
          <w:sz w:val="24"/>
          <w:szCs w:val="24"/>
        </w:rPr>
      </w:pPr>
      <w:r>
        <w:rPr>
          <w:sz w:val="24"/>
          <w:szCs w:val="24"/>
        </w:rPr>
        <w:t>Если Поставщик не вывезет Товар в указанный срок, Покупатель вправе самостоятельно возвратить Товар Поставщику. Расходы, понесенные Покупателем в связи                   с возвратом Товара, подлежат возмещению Поставщиком.</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b/>
          <w:color w:val="000000"/>
          <w:sz w:val="24"/>
          <w:szCs w:val="24"/>
        </w:rPr>
      </w:pPr>
      <w:r>
        <w:rPr>
          <w:sz w:val="24"/>
          <w:szCs w:val="24"/>
        </w:rPr>
        <w:t>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w:t>
      </w:r>
      <w:r>
        <w:rPr>
          <w:b/>
          <w:bCs/>
          <w:color w:val="000000"/>
          <w:sz w:val="24"/>
          <w:szCs w:val="24"/>
        </w:rPr>
        <w:t xml:space="preserve"> </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sz w:val="24"/>
          <w:szCs w:val="24"/>
        </w:rPr>
      </w:pPr>
      <w:r>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ТОРГ-12/УПД.</w:t>
      </w:r>
    </w:p>
    <w:p>
      <w:pPr>
        <w:pStyle w:val="Normal"/>
        <w:widowControl/>
        <w:shd w:val="clear" w:color="auto" w:fill="FFFFFF"/>
        <w:tabs>
          <w:tab w:val="clear" w:pos="709"/>
          <w:tab w:val="left" w:pos="1134" w:leader="none"/>
          <w:tab w:val="left" w:pos="1418" w:leader="none"/>
        </w:tabs>
        <w:ind w:firstLine="709"/>
        <w:jc w:val="both"/>
        <w:rPr>
          <w:sz w:val="24"/>
          <w:szCs w:val="24"/>
        </w:rPr>
      </w:pPr>
      <w:r>
        <w:rPr>
          <w:sz w:val="24"/>
          <w:szCs w:val="24"/>
        </w:rPr>
      </w:r>
    </w:p>
    <w:p>
      <w:pPr>
        <w:pStyle w:val="Normal"/>
        <w:numPr>
          <w:ilvl w:val="0"/>
          <w:numId w:val="2"/>
        </w:numPr>
        <w:shd w:val="clear" w:color="auto" w:fill="FFFFFF"/>
        <w:ind w:hanging="0" w:left="0"/>
        <w:jc w:val="center"/>
        <w:rPr>
          <w:b/>
          <w:bCs/>
          <w:sz w:val="24"/>
          <w:szCs w:val="24"/>
        </w:rPr>
      </w:pPr>
      <w:r>
        <w:rPr>
          <w:b/>
          <w:bCs/>
          <w:sz w:val="24"/>
          <w:szCs w:val="24"/>
        </w:rPr>
        <w:t>Ответственность Сторон</w:t>
      </w:r>
    </w:p>
    <w:p>
      <w:pPr>
        <w:pStyle w:val="ListParagraph"/>
        <w:numPr>
          <w:ilvl w:val="1"/>
          <w:numId w:val="2"/>
        </w:numPr>
        <w:tabs>
          <w:tab w:val="clear" w:pos="709"/>
          <w:tab w:val="left" w:pos="1276" w:leader="none"/>
        </w:tabs>
        <w:ind w:firstLine="709" w:left="0"/>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widowControl/>
        <w:numPr>
          <w:ilvl w:val="1"/>
          <w:numId w:val="2"/>
        </w:numPr>
        <w:tabs>
          <w:tab w:val="clear" w:pos="709"/>
          <w:tab w:val="left" w:pos="1276" w:leader="none"/>
        </w:tabs>
        <w:ind w:firstLine="709" w:left="0"/>
        <w:jc w:val="both"/>
        <w:rPr>
          <w:bCs/>
          <w:sz w:val="24"/>
          <w:szCs w:val="24"/>
        </w:rPr>
      </w:pPr>
      <w:r>
        <w:rPr>
          <w:bCs/>
          <w:sz w:val="24"/>
          <w:szCs w:val="24"/>
        </w:rPr>
        <w:t xml:space="preserve">В случае нарушения Покупателем сроков оплаты, установленных разделом 2 Договора, Поставщик вправе 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w:t>
      </w:r>
    </w:p>
    <w:p>
      <w:pPr>
        <w:pStyle w:val="Normal"/>
        <w:widowControl/>
        <w:numPr>
          <w:ilvl w:val="1"/>
          <w:numId w:val="2"/>
        </w:numPr>
        <w:tabs>
          <w:tab w:val="clear" w:pos="709"/>
          <w:tab w:val="left" w:pos="1276" w:leader="none"/>
        </w:tabs>
        <w:ind w:firstLine="709" w:left="0"/>
        <w:jc w:val="both"/>
        <w:rPr>
          <w:bCs/>
          <w:sz w:val="24"/>
          <w:szCs w:val="24"/>
        </w:rPr>
      </w:pPr>
      <w:r>
        <w:rPr>
          <w:bCs/>
          <w:sz w:val="24"/>
          <w:szCs w:val="24"/>
        </w:rPr>
        <w:t xml:space="preserve">В случае </w:t>
      </w:r>
      <w:r>
        <w:rPr>
          <w:sz w:val="24"/>
          <w:szCs w:val="24"/>
        </w:rPr>
        <w:t>нарушения Поставщиком обязательств по поставке Товара (</w:t>
      </w:r>
      <w:r>
        <w:rPr>
          <w:rFonts w:eastAsia="Calibri"/>
          <w:bCs/>
          <w:sz w:val="24"/>
          <w:szCs w:val="24"/>
        </w:rPr>
        <w:t>нарушение срока поставки, недопоставка)</w:t>
      </w:r>
      <w:r>
        <w:rPr>
          <w:sz w:val="24"/>
          <w:szCs w:val="24"/>
        </w:rPr>
        <w:t>, в том числе установленных в Заявке, а также в случае несвоевременного устранения выявленных недостатков Товара, Покупатель вправе требовать уплаты Поставщиком неустойки в размере 0,1 (ноль целых и одна десятая) процента от Цены Договора за каждый день просрочки.</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В случае нарушения Поставщиком требований пропускного и внутриобъектового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w:t>
      </w:r>
      <w:r>
        <w:rPr>
          <w:bCs/>
          <w:sz w:val="24"/>
          <w:szCs w:val="24"/>
          <w:shd w:fill="auto" w:val="clear"/>
        </w:rPr>
        <w:t xml:space="preserve">вленных Приложением № 3 к Договору. </w:t>
      </w:r>
    </w:p>
    <w:p>
      <w:pPr>
        <w:pStyle w:val="ListParagraph"/>
        <w:widowControl/>
        <w:numPr>
          <w:ilvl w:val="1"/>
          <w:numId w:val="2"/>
        </w:numPr>
        <w:shd w:val="clear" w:color="auto" w:fill="FFFFFF"/>
        <w:tabs>
          <w:tab w:val="clear" w:pos="709"/>
          <w:tab w:val="left" w:pos="1276" w:leader="none"/>
        </w:tabs>
        <w:ind w:firstLine="709" w:left="0"/>
        <w:jc w:val="both"/>
        <w:rPr>
          <w:highlight w:val="none"/>
          <w:shd w:fill="auto" w:val="clear"/>
        </w:rPr>
      </w:pPr>
      <w:r>
        <w:rPr>
          <w:bCs/>
          <w:sz w:val="24"/>
          <w:szCs w:val="24"/>
          <w:shd w:fill="auto" w:val="clear"/>
        </w:rPr>
        <w:t xml:space="preserve">Если в результате составления и выставления Поставщиком счетов-фактур/УПД </w:t>
        <w:br/>
        <w:t xml:space="preserve">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br/>
        <w:t xml:space="preserve">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w:t>
        <w:br/>
        <w:t>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pPr>
        <w:pStyle w:val="ListParagraph"/>
        <w:widowControl/>
        <w:shd w:val="clear" w:color="auto" w:fill="FFFFFF"/>
        <w:tabs>
          <w:tab w:val="clear" w:pos="709"/>
          <w:tab w:val="left" w:pos="1276" w:leader="none"/>
        </w:tabs>
        <w:ind w:firstLine="709" w:left="0"/>
        <w:jc w:val="both"/>
        <w:rPr>
          <w:bCs/>
          <w:sz w:val="24"/>
          <w:szCs w:val="24"/>
        </w:rPr>
      </w:pPr>
      <w:r>
        <w:rPr>
          <w:bCs/>
          <w:sz w:val="24"/>
          <w:szCs w:val="24"/>
        </w:rPr>
        <w:t>В случае нарушения Поставщиком сроков предоставления счетов-фактур/УПД, установленных пунктом 2.9 Договора, Покупатель вправе требовать уплаты Поставщиком штрафа в размере 50 000 (Пятидесяти тысяч) рублей за каждый случай нарушения</w:t>
      </w:r>
      <w:r>
        <w:rPr>
          <w:rStyle w:val="FootnoteReference"/>
          <w:bCs/>
          <w:sz w:val="24"/>
          <w:szCs w:val="24"/>
        </w:rPr>
        <w:footnoteReference w:id="4"/>
      </w:r>
      <w:r>
        <w:rPr>
          <w:bCs/>
          <w:sz w:val="24"/>
          <w:szCs w:val="24"/>
        </w:rPr>
        <w:t>.</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 xml:space="preserve">Поставщик несет ответственность перед Покупателем за причиненный ущерб </w:t>
        <w:br/>
        <w:t xml:space="preserve">в размере фактически понесенных и документально подтвержденных расходов, возникших </w:t>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br/>
        <w:t>в письменном требовании,</w:t>
      </w:r>
      <w:r>
        <w:rPr>
          <w:sz w:val="24"/>
          <w:szCs w:val="24"/>
        </w:rPr>
        <w:t xml:space="preserve"> </w:t>
      </w:r>
      <w:r>
        <w:rPr>
          <w:bCs/>
          <w:sz w:val="24"/>
          <w:szCs w:val="24"/>
        </w:rPr>
        <w:t>сумма неустойки, подлежащая уплате виновной Стороной, определяется на основании решения суда.</w:t>
      </w:r>
    </w:p>
    <w:p>
      <w:pPr>
        <w:pStyle w:val="Normal"/>
        <w:shd w:val="clear" w:color="auto" w:fill="FFFFFF"/>
        <w:ind w:firstLine="709"/>
        <w:jc w:val="both"/>
        <w:rPr>
          <w:sz w:val="24"/>
          <w:szCs w:val="24"/>
        </w:rPr>
      </w:pPr>
      <w:r>
        <w:rPr>
          <w:sz w:val="24"/>
          <w:szCs w:val="24"/>
        </w:rPr>
      </w:r>
    </w:p>
    <w:p>
      <w:pPr>
        <w:pStyle w:val="ListParagraph"/>
        <w:widowControl/>
        <w:numPr>
          <w:ilvl w:val="0"/>
          <w:numId w:val="2"/>
        </w:numPr>
        <w:shd w:val="clear" w:color="auto" w:fill="FFFFFF"/>
        <w:tabs>
          <w:tab w:val="clear" w:pos="709"/>
          <w:tab w:val="left" w:pos="0" w:leader="none"/>
        </w:tabs>
        <w:ind w:hanging="0" w:left="0"/>
        <w:jc w:val="center"/>
        <w:rPr>
          <w:b/>
          <w:bCs/>
          <w:sz w:val="24"/>
          <w:szCs w:val="24"/>
        </w:rPr>
      </w:pPr>
      <w:r>
        <w:rPr>
          <w:b/>
          <w:bCs/>
          <w:sz w:val="24"/>
          <w:szCs w:val="24"/>
        </w:rPr>
        <w:t>Конфиденциальность</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widowControl/>
        <w:numPr>
          <w:ilvl w:val="0"/>
          <w:numId w:val="3"/>
        </w:numPr>
        <w:tabs>
          <w:tab w:val="left" w:pos="0" w:leader="none"/>
          <w:tab w:val="left" w:pos="709" w:leader="none"/>
          <w:tab w:val="left" w:pos="1418" w:leader="none"/>
        </w:tabs>
        <w:ind w:firstLine="709" w:left="0"/>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pPr>
        <w:pStyle w:val="Normal"/>
        <w:widowControl/>
        <w:numPr>
          <w:ilvl w:val="0"/>
          <w:numId w:val="3"/>
        </w:numPr>
        <w:tabs>
          <w:tab w:val="left" w:pos="0" w:leader="none"/>
          <w:tab w:val="left" w:pos="709" w:leader="none"/>
          <w:tab w:val="left" w:pos="1418" w:leader="none"/>
        </w:tabs>
        <w:ind w:firstLine="709" w:left="0"/>
        <w:jc w:val="both"/>
        <w:rPr>
          <w:bCs/>
          <w:sz w:val="24"/>
          <w:szCs w:val="24"/>
        </w:rPr>
      </w:pPr>
      <w:r>
        <w:rPr>
          <w:bCs/>
          <w:sz w:val="24"/>
          <w:szCs w:val="24"/>
        </w:rPr>
        <w:t xml:space="preserve">данная Информация не относится к категории общедоступной </w:t>
        <w:br/>
        <w:t>или обязательной к раскрытию Покупателем в соответствии с законодательством Российской Федерации.</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Условия Договора и сам факт его заключения составляют Информацию </w:t>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бу2.4.1 Поставка товара (с условием о поставке по заявкам, без банковских гарантий)мажных, так и на электронных носителях.</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Информация может включать в себя, в том числе, но не ограничиваясь:</w:t>
      </w:r>
    </w:p>
    <w:p>
      <w:pPr>
        <w:pStyle w:val="Normal"/>
        <w:widowControl/>
        <w:numPr>
          <w:ilvl w:val="0"/>
          <w:numId w:val="3"/>
        </w:numPr>
        <w:tabs>
          <w:tab w:val="clear" w:pos="709"/>
          <w:tab w:val="left" w:pos="0" w:leader="none"/>
          <w:tab w:val="left" w:pos="1418" w:leader="none"/>
        </w:tabs>
        <w:ind w:firstLine="709" w:left="0"/>
        <w:jc w:val="both"/>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pPr>
        <w:pStyle w:val="Normal"/>
        <w:widowControl/>
        <w:numPr>
          <w:ilvl w:val="0"/>
          <w:numId w:val="3"/>
        </w:numPr>
        <w:tabs>
          <w:tab w:val="clear" w:pos="709"/>
          <w:tab w:val="left" w:pos="0" w:leader="none"/>
          <w:tab w:val="left" w:pos="1418" w:leader="none"/>
        </w:tabs>
        <w:ind w:firstLine="709" w:left="0"/>
        <w:jc w:val="both"/>
        <w:rPr>
          <w:bCs/>
          <w:sz w:val="24"/>
          <w:szCs w:val="24"/>
        </w:rPr>
      </w:pPr>
      <w:r>
        <w:rPr>
          <w:bCs/>
          <w:sz w:val="24"/>
          <w:szCs w:val="24"/>
        </w:rPr>
        <w:t>учетные регистры бухгалтерского учета;</w:t>
      </w:r>
    </w:p>
    <w:p>
      <w:pPr>
        <w:pStyle w:val="Normal"/>
        <w:widowControl/>
        <w:numPr>
          <w:ilvl w:val="0"/>
          <w:numId w:val="3"/>
        </w:numPr>
        <w:tabs>
          <w:tab w:val="clear" w:pos="709"/>
          <w:tab w:val="left" w:pos="0" w:leader="none"/>
          <w:tab w:val="left" w:pos="1418" w:leader="none"/>
        </w:tabs>
        <w:ind w:firstLine="709" w:left="0"/>
        <w:jc w:val="both"/>
        <w:rPr>
          <w:bCs/>
          <w:sz w:val="24"/>
          <w:szCs w:val="24"/>
        </w:rPr>
      </w:pPr>
      <w:r>
        <w:rPr>
          <w:bCs/>
          <w:sz w:val="24"/>
          <w:szCs w:val="24"/>
        </w:rPr>
        <w:t>бизнес-планы;</w:t>
      </w:r>
    </w:p>
    <w:p>
      <w:pPr>
        <w:pStyle w:val="Normal"/>
        <w:widowControl/>
        <w:numPr>
          <w:ilvl w:val="0"/>
          <w:numId w:val="3"/>
        </w:numPr>
        <w:tabs>
          <w:tab w:val="clear" w:pos="709"/>
          <w:tab w:val="left" w:pos="0" w:leader="none"/>
          <w:tab w:val="left" w:pos="1418" w:leader="none"/>
        </w:tabs>
        <w:ind w:firstLine="709" w:left="0"/>
        <w:jc w:val="both"/>
        <w:rPr>
          <w:bCs/>
          <w:sz w:val="24"/>
          <w:szCs w:val="24"/>
        </w:rPr>
      </w:pPr>
      <w:r>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pPr>
        <w:pStyle w:val="Normal"/>
        <w:widowControl/>
        <w:numPr>
          <w:ilvl w:val="0"/>
          <w:numId w:val="3"/>
        </w:numPr>
        <w:tabs>
          <w:tab w:val="clear" w:pos="709"/>
          <w:tab w:val="left" w:pos="0" w:leader="none"/>
          <w:tab w:val="left" w:pos="1418" w:leader="none"/>
        </w:tabs>
        <w:ind w:firstLine="709" w:left="0"/>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widowControl/>
        <w:numPr>
          <w:ilvl w:val="0"/>
          <w:numId w:val="3"/>
        </w:numPr>
        <w:tabs>
          <w:tab w:val="clear" w:pos="709"/>
          <w:tab w:val="left" w:pos="0" w:leader="none"/>
          <w:tab w:val="left" w:pos="1418" w:leader="none"/>
        </w:tabs>
        <w:ind w:firstLine="709" w:left="0"/>
        <w:jc w:val="both"/>
        <w:rPr>
          <w:bCs/>
          <w:sz w:val="24"/>
          <w:szCs w:val="24"/>
        </w:rPr>
      </w:pPr>
      <w:r>
        <w:rPr>
          <w:bCs/>
          <w:sz w:val="24"/>
          <w:szCs w:val="24"/>
        </w:rPr>
        <w:t xml:space="preserve">сведения о находящихся на регистрации товарных знаках Покупателя, а также </w:t>
        <w:br/>
        <w:t>об объектах интеллектуальной собственности Покупателя, сведения о которых не являются опубликованными;</w:t>
      </w:r>
    </w:p>
    <w:p>
      <w:pPr>
        <w:pStyle w:val="Normal"/>
        <w:widowControl/>
        <w:numPr>
          <w:ilvl w:val="0"/>
          <w:numId w:val="3"/>
        </w:numPr>
        <w:tabs>
          <w:tab w:val="clear" w:pos="709"/>
          <w:tab w:val="left" w:pos="0" w:leader="none"/>
          <w:tab w:val="left" w:pos="1418" w:leader="none"/>
        </w:tabs>
        <w:ind w:firstLine="709" w:left="0"/>
        <w:jc w:val="both"/>
        <w:rPr>
          <w:bCs/>
          <w:sz w:val="24"/>
          <w:szCs w:val="24"/>
        </w:rPr>
      </w:pPr>
      <w:r>
        <w:rPr>
          <w:bCs/>
          <w:sz w:val="24"/>
          <w:szCs w:val="24"/>
        </w:rPr>
        <w:t xml:space="preserve">сведения о Поставщиках, поставщиках оборудования и материалов, а также </w:t>
        <w:br/>
        <w:t>о покупателях продукции Покупателя и их аффилированных лицах;</w:t>
      </w:r>
    </w:p>
    <w:p>
      <w:pPr>
        <w:pStyle w:val="Normal"/>
        <w:widowControl/>
        <w:numPr>
          <w:ilvl w:val="0"/>
          <w:numId w:val="3"/>
        </w:numPr>
        <w:tabs>
          <w:tab w:val="clear" w:pos="709"/>
          <w:tab w:val="left" w:pos="0" w:leader="none"/>
          <w:tab w:val="left" w:pos="1418" w:leader="none"/>
        </w:tabs>
        <w:ind w:firstLine="709" w:left="0"/>
        <w:jc w:val="both"/>
        <w:rPr>
          <w:bCs/>
          <w:sz w:val="24"/>
          <w:szCs w:val="24"/>
        </w:rPr>
      </w:pPr>
      <w:r>
        <w:rPr>
          <w:bCs/>
          <w:sz w:val="24"/>
          <w:szCs w:val="24"/>
        </w:rPr>
        <w:t>сведения об объемах производства и / или реализации продукции и услуг Покупателя или его аффилированных лиц;</w:t>
      </w:r>
    </w:p>
    <w:p>
      <w:pPr>
        <w:pStyle w:val="Normal"/>
        <w:widowControl/>
        <w:numPr>
          <w:ilvl w:val="0"/>
          <w:numId w:val="3"/>
        </w:numPr>
        <w:tabs>
          <w:tab w:val="clear" w:pos="709"/>
          <w:tab w:val="left" w:pos="0" w:leader="none"/>
          <w:tab w:val="left" w:pos="1418" w:leader="none"/>
        </w:tabs>
        <w:ind w:firstLine="709" w:left="0"/>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bookmarkStart w:id="4" w:name="_Ref361337849"/>
      <w:r>
        <w:rPr>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rPr>
        <w:t xml:space="preserve"> </w:t>
      </w:r>
      <w:r>
        <w:rPr>
          <w:bCs/>
          <w:sz w:val="24"/>
          <w:szCs w:val="24"/>
        </w:rPr>
        <w:t>(расторжения) или исполнения, в том числе:</w:t>
      </w:r>
      <w:bookmarkEnd w:id="4"/>
      <w:r>
        <w:rPr>
          <w:bCs/>
          <w:sz w:val="24"/>
          <w:szCs w:val="24"/>
        </w:rPr>
        <w:t xml:space="preserve">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Не разглашать, не обсуждать содержание, не предоставлять копий, </w:t>
        <w:br/>
        <w:t xml:space="preserve">не публиковать и не </w:t>
      </w:r>
      <w:r>
        <w:rPr>
          <w:sz w:val="24"/>
          <w:szCs w:val="24"/>
        </w:rPr>
        <w:t>раскрывать</w:t>
      </w:r>
      <w:r>
        <w:rPr>
          <w:bCs/>
          <w:sz w:val="24"/>
          <w:szCs w:val="24"/>
        </w:rPr>
        <w:t xml:space="preserve"> в какой-либо иной форме третьим лицам Информацию </w:t>
        <w:br/>
        <w:t>без получения предварительного письменного согласия Покупателя, за исключением случаев, предусмотренных законодательством Российской Федерации и пункте 6.6.7 Договора.</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br/>
        <w:t>в отношении защиты Информации обычно используемые им меры защиты.</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Использовать Информацию исключительно для целей, для которых она была предоставлена.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br/>
        <w:t xml:space="preserve">на технических средствах Поставщика. При этом Покупатель признает, что обязательства </w:t>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br/>
        <w:t xml:space="preserve">или методики создания резервных копий.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bookmarkStart w:id="5" w:name="_Ref361337832"/>
      <w:r>
        <w:rPr>
          <w:bCs/>
          <w:sz w:val="24"/>
          <w:szCs w:val="24"/>
        </w:rPr>
        <w:t xml:space="preserve">Раскрывать Информацию своим работникам, членам органов управления </w:t>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br/>
        <w:t>за свои собственные.</w:t>
      </w:r>
      <w:bookmarkEnd w:id="5"/>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Не разглашать третьим лицам факты передачи или получения Информации.</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bookmarkStart w:id="6" w:name="_Ref361337863"/>
      <w:r>
        <w:rPr>
          <w:bCs/>
          <w:sz w:val="24"/>
          <w:szCs w:val="24"/>
        </w:rPr>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br/>
        <w:t>с даты получения соответствующего письменного требования Покупателя.</w:t>
      </w:r>
      <w:bookmarkEnd w:id="6"/>
    </w:p>
    <w:p>
      <w:pPr>
        <w:pStyle w:val="Normal"/>
        <w:numPr>
          <w:ilvl w:val="1"/>
          <w:numId w:val="2"/>
        </w:numPr>
        <w:shd w:val="clear" w:color="auto" w:fill="FFFFFF"/>
        <w:tabs>
          <w:tab w:val="clear" w:pos="709"/>
          <w:tab w:val="left" w:pos="1134" w:leader="none"/>
        </w:tabs>
        <w:ind w:firstLine="709" w:left="0"/>
        <w:jc w:val="both"/>
        <w:rPr>
          <w:bCs/>
          <w:sz w:val="24"/>
          <w:szCs w:val="24"/>
        </w:rPr>
      </w:pPr>
      <w:r>
        <w:rPr>
          <w:bCs/>
          <w:sz w:val="24"/>
          <w:szCs w:val="24"/>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pPr>
        <w:pStyle w:val="Normal"/>
        <w:shd w:val="clear" w:color="auto" w:fill="FFFFFF"/>
        <w:ind w:firstLine="709"/>
        <w:jc w:val="both"/>
        <w:rPr>
          <w:bCs/>
          <w:sz w:val="24"/>
          <w:szCs w:val="24"/>
        </w:rPr>
      </w:pPr>
      <w:r>
        <w:rPr>
          <w:bCs/>
          <w:sz w:val="24"/>
          <w:szCs w:val="24"/>
        </w:rPr>
      </w:r>
    </w:p>
    <w:p>
      <w:pPr>
        <w:pStyle w:val="ListParagraph"/>
        <w:widowControl/>
        <w:numPr>
          <w:ilvl w:val="0"/>
          <w:numId w:val="2"/>
        </w:numPr>
        <w:shd w:val="clear" w:color="auto" w:fill="FFFFFF"/>
        <w:tabs>
          <w:tab w:val="clear" w:pos="709"/>
          <w:tab w:val="left" w:pos="426" w:leader="none"/>
        </w:tabs>
        <w:ind w:hanging="0" w:left="0"/>
        <w:jc w:val="center"/>
        <w:rPr>
          <w:b/>
          <w:bCs/>
          <w:sz w:val="24"/>
          <w:szCs w:val="24"/>
        </w:rPr>
      </w:pPr>
      <w:r>
        <w:rPr>
          <w:b/>
          <w:bCs/>
          <w:sz w:val="24"/>
          <w:szCs w:val="24"/>
        </w:rPr>
        <w:t>Разрешение споров</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Все споры, разногласия и требования, возникающие между Сторонами </w:t>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Споры, указанные в пункте 6.1 Договора, котор</w:t>
      </w:r>
      <w:r>
        <w:rPr>
          <w:bCs/>
          <w:sz w:val="24"/>
          <w:szCs w:val="24"/>
          <w:shd w:fill="auto" w:val="clear"/>
        </w:rPr>
        <w:t xml:space="preserve">ые не были урегулированы Сторонами путем переговоров, подлежат разрешению в Арбитражном суде Самарской области в соответствии с законодательством Российской Федерации.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highlight w:val="none"/>
          <w:shd w:fill="auto" w:val="clear"/>
        </w:rPr>
      </w:pPr>
      <w:r>
        <w:rPr>
          <w:bCs/>
          <w:sz w:val="24"/>
          <w:szCs w:val="24"/>
          <w:shd w:fill="auto" w:val="clear"/>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12.7.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shd w:fill="auto" w:val="clear"/>
        </w:rPr>
        <w:t xml:space="preserve">Срок для рассмотрения претензии – 15 (пятнадцать) рабочих дней со дня </w:t>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r>
      <w:r>
        <w:rPr>
          <w:bCs/>
          <w:sz w:val="24"/>
          <w:szCs w:val="24"/>
        </w:rPr>
        <w:br/>
        <w:t>с иском в суд.</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Условия настоящего раздела Договора сохраняют свою силу в случае признания Договора незаключенным и / или недействительным.</w:t>
      </w:r>
    </w:p>
    <w:p>
      <w:pPr>
        <w:pStyle w:val="Normal"/>
        <w:shd w:val="clear" w:color="auto" w:fill="FFFFFF"/>
        <w:ind w:firstLine="709"/>
        <w:jc w:val="both"/>
        <w:rPr>
          <w:sz w:val="24"/>
          <w:szCs w:val="24"/>
        </w:rPr>
      </w:pPr>
      <w:r>
        <w:rPr>
          <w:sz w:val="24"/>
          <w:szCs w:val="24"/>
        </w:rPr>
      </w:r>
    </w:p>
    <w:p>
      <w:pPr>
        <w:pStyle w:val="ListParagraph"/>
        <w:widowControl/>
        <w:numPr>
          <w:ilvl w:val="0"/>
          <w:numId w:val="2"/>
        </w:numPr>
        <w:shd w:val="clear" w:color="auto" w:fill="FFFFFF"/>
        <w:ind w:hanging="0" w:left="0"/>
        <w:jc w:val="center"/>
        <w:rPr>
          <w:b/>
          <w:bCs/>
          <w:sz w:val="24"/>
          <w:szCs w:val="24"/>
        </w:rPr>
      </w:pPr>
      <w:r>
        <w:rPr>
          <w:b/>
          <w:bCs/>
          <w:sz w:val="24"/>
          <w:szCs w:val="24"/>
        </w:rPr>
        <w:t>Антикоррупционная оговорка</w:t>
      </w:r>
    </w:p>
    <w:p>
      <w:pPr>
        <w:pStyle w:val="ListParagraph"/>
        <w:numPr>
          <w:ilvl w:val="1"/>
          <w:numId w:val="2"/>
        </w:numPr>
        <w:shd w:val="clear" w:color="auto" w:fill="FFFFFF"/>
        <w:tabs>
          <w:tab w:val="clear" w:pos="709"/>
          <w:tab w:val="left" w:pos="1134" w:leader="none"/>
        </w:tabs>
        <w:ind w:firstLine="709" w:left="0"/>
        <w:jc w:val="both"/>
        <w:rPr>
          <w:bCs/>
          <w:color w:val="000000"/>
          <w:sz w:val="24"/>
          <w:szCs w:val="24"/>
        </w:rPr>
      </w:pP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7.2. При исполне2.4.1 Поставка товара (с условием о поставке по заявкам, без банковских гарантий)нии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7.3.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7.4.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7.5.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7.6.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clear" w:pos="709"/>
          <w:tab w:val="left" w:pos="567" w:leader="none"/>
          <w:tab w:val="left" w:pos="1134" w:leader="none"/>
        </w:tabs>
        <w:ind w:firstLine="709"/>
        <w:jc w:val="both"/>
        <w:rPr>
          <w:color w:val="000000"/>
          <w:sz w:val="24"/>
          <w:szCs w:val="24"/>
        </w:rPr>
      </w:pPr>
      <w:r>
        <w:rPr>
          <w:color w:val="000000"/>
          <w:sz w:val="24"/>
          <w:szCs w:val="24"/>
        </w:rPr>
        <w:t xml:space="preserve">7.7.  Каналы связи Линия доверия Группы РусГидро: </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7.7.1. Электронная почта: ld@rushydro.ru.</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7.7.2. Специальная форма «обратной связи», размещенная на официальном сайте ПАО «РусГидро» в сети интернет: http://www.rushydro.ru/ (далее перейти по ссылке «Линия доверия» и заполнить поля специальной формы «обратной связи»).</w:t>
      </w:r>
    </w:p>
    <w:p>
      <w:pPr>
        <w:pStyle w:val="Normal"/>
        <w:ind w:firstLine="709"/>
        <w:jc w:val="both"/>
        <w:rPr>
          <w:sz w:val="24"/>
          <w:szCs w:val="24"/>
        </w:rPr>
      </w:pPr>
      <w:r>
        <w:rPr>
          <w:sz w:val="24"/>
          <w:szCs w:val="24"/>
        </w:rPr>
        <w:t>7.7.3.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shd w:val="clear" w:color="auto" w:fill="FFFFFF"/>
        <w:tabs>
          <w:tab w:val="clear" w:pos="709"/>
          <w:tab w:val="left" w:pos="0" w:leader="none"/>
          <w:tab w:val="left" w:pos="284" w:leader="none"/>
          <w:tab w:val="left" w:pos="567" w:leader="none"/>
        </w:tabs>
        <w:ind w:firstLine="709" w:left="0"/>
        <w:jc w:val="both"/>
        <w:rPr>
          <w:b/>
          <w:bCs/>
          <w:sz w:val="24"/>
          <w:szCs w:val="24"/>
        </w:rPr>
      </w:pPr>
      <w:r>
        <w:rPr>
          <w:b/>
          <w:bCs/>
          <w:sz w:val="24"/>
          <w:szCs w:val="24"/>
        </w:rPr>
      </w:r>
    </w:p>
    <w:p>
      <w:pPr>
        <w:pStyle w:val="ListParagraph"/>
        <w:widowControl/>
        <w:numPr>
          <w:ilvl w:val="0"/>
          <w:numId w:val="2"/>
        </w:numPr>
        <w:shd w:val="clear" w:color="auto" w:fill="FFFFFF"/>
        <w:ind w:hanging="0" w:left="0"/>
        <w:jc w:val="center"/>
        <w:rPr>
          <w:b/>
          <w:bCs/>
          <w:sz w:val="24"/>
          <w:szCs w:val="24"/>
        </w:rPr>
      </w:pPr>
      <w:r>
        <w:rPr>
          <w:b/>
          <w:bCs/>
          <w:sz w:val="24"/>
          <w:szCs w:val="24"/>
        </w:rPr>
        <w:t>Обстоятельства непреодолимой силы (форс-мажор)</w:t>
      </w:r>
    </w:p>
    <w:p>
      <w:pPr>
        <w:pStyle w:val="ListParagraph"/>
        <w:widowControl/>
        <w:numPr>
          <w:ilvl w:val="1"/>
          <w:numId w:val="2"/>
        </w:numPr>
        <w:shd w:val="clear" w:color="auto" w:fill="FFFFFF"/>
        <w:tabs>
          <w:tab w:val="clear" w:pos="709"/>
          <w:tab w:val="left" w:pos="0" w:leader="none"/>
          <w:tab w:val="left" w:pos="1134" w:leader="none"/>
          <w:tab w:val="left" w:pos="1418" w:leader="none"/>
        </w:tabs>
        <w:ind w:firstLine="709" w:left="0"/>
        <w:jc w:val="both"/>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widowControl/>
        <w:numPr>
          <w:ilvl w:val="1"/>
          <w:numId w:val="2"/>
        </w:numPr>
        <w:shd w:val="clear" w:color="auto" w:fill="FFFFFF"/>
        <w:tabs>
          <w:tab w:val="clear" w:pos="709"/>
          <w:tab w:val="left" w:pos="0" w:leader="none"/>
          <w:tab w:val="left" w:pos="1134" w:leader="none"/>
          <w:tab w:val="left" w:pos="1418" w:leader="none"/>
        </w:tabs>
        <w:ind w:firstLine="709" w:left="0"/>
        <w:jc w:val="both"/>
        <w:rPr>
          <w:bCs/>
          <w:sz w:val="24"/>
          <w:szCs w:val="24"/>
        </w:rPr>
      </w:pPr>
      <w:r>
        <w:rPr>
          <w:bCs/>
          <w:sz w:val="24"/>
          <w:szCs w:val="24"/>
        </w:rPr>
        <w:t xml:space="preserve">Сторона имеет право ссылаться на обстоятельства непреодолимой силы только </w:t>
        <w:br/>
        <w:t>в случае, если такие обстоятельства непосредственно повлияли на возможность исполнения этой Стороной условий Договора.</w:t>
      </w:r>
    </w:p>
    <w:p>
      <w:pPr>
        <w:pStyle w:val="ListParagraph"/>
        <w:widowControl/>
        <w:numPr>
          <w:ilvl w:val="1"/>
          <w:numId w:val="2"/>
        </w:numPr>
        <w:shd w:val="clear" w:color="auto" w:fill="FFFFFF"/>
        <w:tabs>
          <w:tab w:val="clear" w:pos="709"/>
          <w:tab w:val="left" w:pos="0" w:leader="none"/>
          <w:tab w:val="left" w:pos="1134" w:leader="none"/>
          <w:tab w:val="left" w:pos="1418" w:leader="none"/>
        </w:tabs>
        <w:ind w:firstLine="709" w:left="0"/>
        <w:jc w:val="both"/>
        <w:rPr>
          <w:bCs/>
          <w:sz w:val="24"/>
          <w:szCs w:val="24"/>
        </w:rPr>
      </w:pPr>
      <w:r>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br/>
        <w:t>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widowControl/>
        <w:numPr>
          <w:ilvl w:val="1"/>
          <w:numId w:val="2"/>
        </w:numPr>
        <w:shd w:val="clear" w:color="auto" w:fill="FFFFFF"/>
        <w:tabs>
          <w:tab w:val="clear" w:pos="709"/>
          <w:tab w:val="left" w:pos="0" w:leader="none"/>
          <w:tab w:val="left" w:pos="1134" w:leader="none"/>
          <w:tab w:val="left" w:pos="1418" w:leader="none"/>
        </w:tabs>
        <w:ind w:firstLine="709" w:left="0"/>
        <w:jc w:val="both"/>
        <w:rPr>
          <w:bCs/>
          <w:sz w:val="24"/>
          <w:szCs w:val="24"/>
        </w:rPr>
      </w:pPr>
      <w:r>
        <w:rPr>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widowControl/>
        <w:numPr>
          <w:ilvl w:val="1"/>
          <w:numId w:val="2"/>
        </w:numPr>
        <w:shd w:val="clear" w:color="auto" w:fill="FFFFFF"/>
        <w:tabs>
          <w:tab w:val="clear" w:pos="709"/>
          <w:tab w:val="left" w:pos="0" w:leader="none"/>
          <w:tab w:val="left" w:pos="1134" w:leader="none"/>
          <w:tab w:val="left" w:pos="1418" w:leader="none"/>
        </w:tabs>
        <w:ind w:firstLine="709" w:left="0"/>
        <w:jc w:val="both"/>
        <w:rPr>
          <w:bCs/>
          <w:sz w:val="24"/>
          <w:szCs w:val="24"/>
        </w:rPr>
      </w:pPr>
      <w:r>
        <w:rPr>
          <w:bCs/>
          <w:sz w:val="24"/>
          <w:szCs w:val="24"/>
        </w:rPr>
        <w:t xml:space="preserve">Отсутствие уведомления или несвоевременное уведомление </w:t>
        <w:br/>
        <w:t xml:space="preserve">об обстоятельствах непреодолимой силы лишает соответствующую Сторону права </w:t>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widowControl/>
        <w:numPr>
          <w:ilvl w:val="1"/>
          <w:numId w:val="2"/>
        </w:numPr>
        <w:shd w:val="clear" w:color="auto" w:fill="FFFFFF"/>
        <w:tabs>
          <w:tab w:val="clear" w:pos="709"/>
          <w:tab w:val="left" w:pos="0" w:leader="none"/>
          <w:tab w:val="left" w:pos="568" w:leader="none"/>
          <w:tab w:val="left" w:pos="1134" w:leader="none"/>
          <w:tab w:val="left" w:pos="1418" w:leader="none"/>
        </w:tabs>
        <w:ind w:firstLine="709" w:left="0"/>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0" w:leader="none"/>
          <w:tab w:val="left" w:pos="568" w:leader="none"/>
          <w:tab w:val="left" w:pos="1418" w:leader="none"/>
        </w:tabs>
        <w:ind w:firstLine="709" w:left="0"/>
        <w:jc w:val="both"/>
        <w:rPr>
          <w:bCs/>
          <w:sz w:val="24"/>
          <w:szCs w:val="24"/>
        </w:rPr>
      </w:pPr>
      <w:r>
        <w:rPr>
          <w:bCs/>
          <w:sz w:val="24"/>
          <w:szCs w:val="24"/>
        </w:rPr>
        <w:t xml:space="preserve">При этом любая из Сторон вправе отказаться от исполнения Договора </w:t>
        <w:br/>
        <w:t>в одностороннем внесудебном порядке.</w:t>
      </w:r>
    </w:p>
    <w:p>
      <w:pPr>
        <w:pStyle w:val="Normal"/>
        <w:shd w:val="clear" w:color="auto" w:fill="FFFFFF"/>
        <w:ind w:firstLine="709"/>
        <w:jc w:val="both"/>
        <w:rPr>
          <w:sz w:val="24"/>
          <w:szCs w:val="24"/>
        </w:rPr>
      </w:pPr>
      <w:r>
        <w:rPr>
          <w:sz w:val="24"/>
          <w:szCs w:val="24"/>
        </w:rPr>
      </w:r>
    </w:p>
    <w:p>
      <w:pPr>
        <w:pStyle w:val="Normal"/>
        <w:widowControl/>
        <w:numPr>
          <w:ilvl w:val="0"/>
          <w:numId w:val="2"/>
        </w:numPr>
        <w:shd w:val="clear" w:color="auto" w:fill="FFFFFF"/>
        <w:spacing w:before="0" w:after="0"/>
        <w:ind w:hanging="0" w:left="0"/>
        <w:contextualSpacing/>
        <w:jc w:val="center"/>
        <w:rPr>
          <w:b/>
          <w:bCs/>
          <w:sz w:val="24"/>
          <w:szCs w:val="24"/>
        </w:rPr>
      </w:pPr>
      <w:r>
        <w:rPr>
          <w:b/>
          <w:bCs/>
          <w:sz w:val="24"/>
          <w:szCs w:val="24"/>
        </w:rPr>
        <w:t>Особые положения</w:t>
      </w:r>
    </w:p>
    <w:p>
      <w:pPr>
        <w:pStyle w:val="ListParagraph"/>
        <w:widowControl/>
        <w:numPr>
          <w:ilvl w:val="0"/>
          <w:numId w:val="0"/>
        </w:numPr>
        <w:shd w:val="clear" w:color="auto" w:fill="FFFFFF"/>
        <w:tabs>
          <w:tab w:val="clear" w:pos="709"/>
          <w:tab w:val="left" w:pos="1134" w:leader="none"/>
        </w:tabs>
        <w:suppressAutoHyphens w:val="true"/>
        <w:bidi w:val="0"/>
        <w:spacing w:before="0" w:after="0"/>
        <w:ind w:hanging="0" w:left="0" w:right="0"/>
        <w:contextualSpacing/>
        <w:jc w:val="both"/>
        <w:rPr>
          <w:bCs/>
          <w:sz w:val="24"/>
          <w:szCs w:val="24"/>
        </w:rPr>
      </w:pPr>
      <w:r>
        <w:rPr>
          <w:bCs/>
          <w:sz w:val="24"/>
          <w:szCs w:val="24"/>
        </w:rPr>
        <w:t>9.1.</w:t>
      </w:r>
      <w:bookmarkStart w:id="7" w:name="_Ref361337900"/>
      <w:r>
        <w:rPr>
          <w:bCs/>
          <w:sz w:val="24"/>
          <w:szCs w:val="24"/>
        </w:rPr>
        <w:t xml:space="preserve"> Поставщик обязуется не привлекать и не допускать привлечения к исполнению обязательств по Договору организации:</w:t>
      </w:r>
    </w:p>
    <w:p>
      <w:pPr>
        <w:pStyle w:val="ListParagraph"/>
        <w:widowControl/>
        <w:numPr>
          <w:ilvl w:val="1"/>
          <w:numId w:val="9"/>
        </w:numPr>
        <w:shd w:val="clear" w:color="auto" w:fill="FFFFFF"/>
        <w:tabs>
          <w:tab w:val="clear" w:pos="709"/>
          <w:tab w:val="left" w:pos="1134" w:leader="none"/>
        </w:tabs>
        <w:ind w:firstLine="709" w:left="0"/>
        <w:jc w:val="both"/>
        <w:rPr>
          <w:bCs/>
          <w:sz w:val="24"/>
          <w:szCs w:val="24"/>
        </w:rPr>
      </w:pPr>
      <w:r>
        <w:rPr>
          <w:bCs/>
          <w:sz w:val="24"/>
          <w:szCs w:val="24"/>
        </w:rPr>
        <w:t xml:space="preserve"> </w:t>
      </w:r>
      <w:r>
        <w:rPr>
          <w:bCs/>
          <w:sz w:val="24"/>
          <w:szCs w:val="24"/>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sz w:val="24"/>
            <w:szCs w:val="24"/>
          </w:rPr>
          <w:t>№ 18162/09</w:t>
        </w:r>
      </w:hyperlink>
      <w:r>
        <w:rPr>
          <w:bCs/>
          <w:sz w:val="24"/>
          <w:szCs w:val="24"/>
        </w:rPr>
        <w:t xml:space="preserve"> </w:t>
        <w:br/>
        <w:t xml:space="preserve">и от 25.05.2010 </w:t>
      </w:r>
      <w:hyperlink r:id="rId3">
        <w:r>
          <w:rPr>
            <w:bCs/>
            <w:sz w:val="24"/>
            <w:szCs w:val="24"/>
          </w:rPr>
          <w:t>№ 15658/09</w:t>
        </w:r>
      </w:hyperlink>
      <w:r>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w:t>
        <w:br/>
        <w:t xml:space="preserve">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w:t>
        <w:br/>
        <w:t xml:space="preserve">и / или </w:t>
      </w:r>
    </w:p>
    <w:p>
      <w:pPr>
        <w:pStyle w:val="ListParagraph"/>
        <w:widowControl/>
        <w:numPr>
          <w:ilvl w:val="1"/>
          <w:numId w:val="9"/>
        </w:numPr>
        <w:shd w:val="clear" w:color="auto" w:fill="FFFFFF"/>
        <w:tabs>
          <w:tab w:val="clear" w:pos="709"/>
          <w:tab w:val="left" w:pos="1134" w:leader="none"/>
        </w:tabs>
        <w:ind w:firstLine="709" w:left="0"/>
        <w:jc w:val="both"/>
        <w:rPr>
          <w:bCs/>
          <w:sz w:val="24"/>
          <w:szCs w:val="24"/>
        </w:rPr>
      </w:pPr>
      <w:r>
        <w:rPr>
          <w:bCs/>
          <w:sz w:val="24"/>
          <w:szCs w:val="24"/>
        </w:rPr>
        <w:t xml:space="preserve">соответствующие </w:t>
      </w:r>
      <w:hyperlink r:id="rId4">
        <w:r>
          <w:rPr>
            <w:bCs/>
            <w:sz w:val="24"/>
            <w:szCs w:val="24"/>
          </w:rPr>
          <w:t>Критери</w:t>
        </w:r>
      </w:hyperlink>
      <w:r>
        <w:rPr>
          <w:bCs/>
          <w:sz w:val="24"/>
          <w:szCs w:val="24"/>
        </w:rPr>
        <w:t xml:space="preserve">ям самостоятельной оценки рисков </w:t>
        <w:br/>
        <w:t xml:space="preserve">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w:t>
        <w:br/>
        <w:t>от 30.05.2007 № ММ-3-06/333@).</w:t>
      </w:r>
      <w:bookmarkEnd w:id="7"/>
    </w:p>
    <w:p>
      <w:pPr>
        <w:pStyle w:val="ListParagraph"/>
        <w:widowControl/>
        <w:numPr>
          <w:ilvl w:val="0"/>
          <w:numId w:val="0"/>
        </w:numPr>
        <w:shd w:val="clear" w:color="auto" w:fill="FFFFFF"/>
        <w:tabs>
          <w:tab w:val="clear" w:pos="709"/>
          <w:tab w:val="left" w:pos="1134" w:leader="none"/>
        </w:tabs>
        <w:ind w:hanging="0" w:left="0"/>
        <w:jc w:val="both"/>
        <w:rPr>
          <w:bCs/>
          <w:sz w:val="24"/>
          <w:szCs w:val="24"/>
        </w:rPr>
      </w:pPr>
      <w:r>
        <w:rPr>
          <w:bCs/>
          <w:sz w:val="24"/>
          <w:szCs w:val="24"/>
        </w:rPr>
        <w:t xml:space="preserve">9.2. </w:t>
      </w:r>
      <w:bookmarkStart w:id="8" w:name="_Ref361337921"/>
      <w:r>
        <w:rPr>
          <w:bCs/>
          <w:sz w:val="24"/>
          <w:szCs w:val="24"/>
        </w:rPr>
        <w:t xml:space="preserve">Поставщик обязуется незамедлительно уведомить Покупателя о появлении </w:t>
        <w:br/>
        <w:t>в ходе исполнения Договора у привлеченных Поставщиком Субпоставщиков признаков недобросовестности, указанных в пункте 10.1 Договора, а также обеспечить прекращение участия таких организаций в исполнении Договора.</w:t>
      </w:r>
      <w:bookmarkEnd w:id="8"/>
    </w:p>
    <w:p>
      <w:pPr>
        <w:pStyle w:val="ListParagraph"/>
        <w:widowControl/>
        <w:shd w:val="clear" w:color="auto" w:fill="FFFFFF"/>
        <w:tabs>
          <w:tab w:val="clear" w:pos="709"/>
          <w:tab w:val="left" w:pos="1134" w:leader="none"/>
        </w:tabs>
        <w:ind w:firstLine="709" w:left="0"/>
        <w:jc w:val="both"/>
        <w:rPr>
          <w:bCs/>
          <w:sz w:val="24"/>
          <w:szCs w:val="24"/>
        </w:rPr>
      </w:pPr>
      <w:r>
        <w:rPr>
          <w:bCs/>
          <w:sz w:val="24"/>
          <w:szCs w:val="24"/>
        </w:rPr>
        <w:t>9.3</w:t>
      </w:r>
      <w:bookmarkStart w:id="9" w:name="_Ref361337948"/>
      <w:r>
        <w:rPr>
          <w:bCs/>
          <w:sz w:val="24"/>
          <w:szCs w:val="24"/>
        </w:rPr>
        <w:t xml:space="preserve">. В случае нарушения Поставщиком обязательств, установленных пунктами 9.1, 9.2 Договора, Покупатель вправе в одностороннем внесудебном порядке отказаться </w:t>
        <w:br/>
        <w:t xml:space="preserve">от Договора путем направления уведомления об отказе от Договора (исполнения Договора) </w:t>
        <w:br/>
        <w:t xml:space="preserve">с указанием даты прекращения (расторжения) Договора, которая не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w:t>
        <w:br/>
        <w:t>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до наступления указанной Покупателем даты расторжения.</w:t>
      </w:r>
      <w:bookmarkEnd w:id="9"/>
    </w:p>
    <w:p>
      <w:pPr>
        <w:pStyle w:val="ListParagraph"/>
        <w:widowControl/>
        <w:numPr>
          <w:ilvl w:val="0"/>
          <w:numId w:val="0"/>
        </w:numPr>
        <w:shd w:val="clear" w:color="auto" w:fill="FFFFFF"/>
        <w:tabs>
          <w:tab w:val="clear" w:pos="709"/>
          <w:tab w:val="left" w:pos="1134" w:leader="none"/>
        </w:tabs>
        <w:ind w:hanging="0" w:left="0"/>
        <w:jc w:val="both"/>
        <w:rPr>
          <w:bCs/>
          <w:sz w:val="24"/>
          <w:szCs w:val="24"/>
        </w:rPr>
      </w:pPr>
      <w:r>
        <w:rPr>
          <w:bCs/>
          <w:sz w:val="24"/>
          <w:szCs w:val="24"/>
        </w:rPr>
        <w:t xml:space="preserve">9.4, </w:t>
      </w:r>
      <w:bookmarkStart w:id="10" w:name="_Ref361337980"/>
      <w:r>
        <w:rPr>
          <w:bCs/>
          <w:sz w:val="24"/>
          <w:szCs w:val="24"/>
        </w:rPr>
        <w:t xml:space="preserve"> Поставщик обязан уплатить Покупателю штраф в размере суммы денежных средств, перечисленных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10.1, 10.2 Договора.</w:t>
      </w:r>
      <w:bookmarkEnd w:id="10"/>
    </w:p>
    <w:p>
      <w:pPr>
        <w:pStyle w:val="ListParagraph"/>
        <w:widowControl/>
        <w:shd w:val="clear" w:color="auto" w:fill="FFFFFF"/>
        <w:tabs>
          <w:tab w:val="clear" w:pos="709"/>
          <w:tab w:val="left" w:pos="1134" w:leader="none"/>
        </w:tabs>
        <w:ind w:firstLine="709" w:left="0"/>
        <w:jc w:val="both"/>
        <w:rPr>
          <w:bCs/>
          <w:sz w:val="24"/>
          <w:szCs w:val="24"/>
        </w:rPr>
      </w:pPr>
      <w:r>
        <w:rPr>
          <w:bCs/>
          <w:sz w:val="24"/>
          <w:szCs w:val="24"/>
        </w:rPr>
        <w:t>9.5</w:t>
      </w:r>
      <w:bookmarkStart w:id="11" w:name="_Ref373243071"/>
      <w:r>
        <w:rPr>
          <w:bCs/>
          <w:sz w:val="24"/>
          <w:szCs w:val="24"/>
        </w:rPr>
        <w:t xml:space="preserve">. Штраф, предусмотренный пунктом 10.4 Договора, оплачивается Поставщиком </w:t>
        <w:br/>
        <w:t xml:space="preserve">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w:t>
        <w:br/>
        <w:t>вне независимости от направления уведомления об отказе от Договора (исполнения Договора), предусмотренного пунктом 10.3 Договора.</w:t>
      </w:r>
      <w:bookmarkEnd w:id="11"/>
    </w:p>
    <w:p>
      <w:pPr>
        <w:pStyle w:val="ListParagraph"/>
        <w:widowControl/>
        <w:numPr>
          <w:ilvl w:val="0"/>
          <w:numId w:val="0"/>
        </w:numPr>
        <w:shd w:val="clear" w:color="auto" w:fill="FFFFFF"/>
        <w:tabs>
          <w:tab w:val="clear" w:pos="709"/>
          <w:tab w:val="left" w:pos="1134" w:leader="none"/>
        </w:tabs>
        <w:ind w:hanging="0" w:left="0"/>
        <w:jc w:val="both"/>
        <w:rPr>
          <w:bCs/>
          <w:sz w:val="24"/>
          <w:szCs w:val="24"/>
        </w:rPr>
      </w:pPr>
      <w:r>
        <w:rPr>
          <w:bCs/>
          <w:sz w:val="24"/>
          <w:szCs w:val="24"/>
        </w:rPr>
        <w:t>9.6.</w:t>
      </w:r>
      <w:bookmarkStart w:id="12" w:name="_Ref361337992"/>
      <w:r>
        <w:rPr>
          <w:bCs/>
          <w:sz w:val="24"/>
          <w:szCs w:val="24"/>
        </w:rPr>
        <w:t xml:space="preserve"> Покупатель вправе приостановить осуществление любых платежей 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10.4. Договора. </w:t>
        <w:br/>
        <w:t>При этом Покупатель не будет считаться просрочившим и / или нарушившим свои обязательства по Договору.</w:t>
      </w:r>
      <w:bookmarkEnd w:id="12"/>
    </w:p>
    <w:p>
      <w:pPr>
        <w:pStyle w:val="ListParagraph"/>
        <w:widowControl/>
        <w:numPr>
          <w:ilvl w:val="0"/>
          <w:numId w:val="0"/>
        </w:numPr>
        <w:shd w:val="clear" w:color="auto" w:fill="FFFFFF"/>
        <w:tabs>
          <w:tab w:val="clear" w:pos="709"/>
          <w:tab w:val="left" w:pos="1134" w:leader="none"/>
        </w:tabs>
        <w:ind w:hanging="0" w:left="0"/>
        <w:jc w:val="both"/>
        <w:rPr>
          <w:bCs/>
          <w:sz w:val="24"/>
          <w:szCs w:val="24"/>
        </w:rPr>
      </w:pPr>
      <w:r>
        <w:rPr>
          <w:bCs/>
          <w:sz w:val="24"/>
          <w:szCs w:val="24"/>
        </w:rPr>
        <w:t>9.7. Независимо от других положений Договора, положения пунктов 10.4, 10.5 Договора продолжают действовать в течение 4 (четырех) лет после его прекращения (расторжения) или исполнения.</w:t>
      </w:r>
    </w:p>
    <w:p>
      <w:pPr>
        <w:pStyle w:val="Normal"/>
        <w:widowControl/>
        <w:shd w:val="clear" w:color="auto" w:fill="FFFFFF"/>
        <w:tabs>
          <w:tab w:val="clear" w:pos="709"/>
          <w:tab w:val="left" w:pos="1134" w:leader="none"/>
        </w:tabs>
        <w:jc w:val="both"/>
        <w:rPr>
          <w:bCs/>
          <w:sz w:val="24"/>
          <w:szCs w:val="24"/>
        </w:rPr>
      </w:pPr>
      <w:r>
        <w:rPr>
          <w:bCs/>
          <w:sz w:val="24"/>
          <w:szCs w:val="24"/>
        </w:rPr>
      </w:r>
    </w:p>
    <w:p>
      <w:pPr>
        <w:pStyle w:val="ListParagraph"/>
        <w:widowControl/>
        <w:numPr>
          <w:ilvl w:val="0"/>
          <w:numId w:val="2"/>
        </w:numPr>
        <w:shd w:val="clear" w:color="auto" w:fill="FFFFFF"/>
        <w:tabs>
          <w:tab w:val="clear" w:pos="709"/>
          <w:tab w:val="left" w:pos="426" w:leader="none"/>
        </w:tabs>
        <w:ind w:hanging="0" w:left="0"/>
        <w:jc w:val="center"/>
        <w:rPr>
          <w:b/>
          <w:sz w:val="24"/>
          <w:szCs w:val="24"/>
        </w:rPr>
      </w:pPr>
      <w:r>
        <w:rPr>
          <w:b/>
          <w:bCs/>
          <w:sz w:val="24"/>
          <w:szCs w:val="24"/>
        </w:rPr>
        <w:t>Заверения</w:t>
      </w:r>
      <w:r>
        <w:rPr>
          <w:b/>
          <w:sz w:val="24"/>
          <w:szCs w:val="24"/>
        </w:rPr>
        <w:t xml:space="preserve"> Сторон</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4"/>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является юридическим лицом, надлежащим образом учрежденным </w:t>
        <w:br/>
        <w:t>и правомерно осуществляющим свою деятельность в соответствии с законодательством Российской Федерации;</w:t>
      </w:r>
    </w:p>
    <w:p>
      <w:pPr>
        <w:pStyle w:val="ListParagraph"/>
        <w:widowControl/>
        <w:numPr>
          <w:ilvl w:val="0"/>
          <w:numId w:val="4"/>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обладает полной правоспособностью на заключение Договора </w:t>
        <w:br/>
        <w:t>и исполнение всех своих обязательств, возникающих из Договора или в связи с ним;</w:t>
      </w:r>
    </w:p>
    <w:p>
      <w:pPr>
        <w:pStyle w:val="ListParagraph"/>
        <w:widowControl/>
        <w:numPr>
          <w:ilvl w:val="0"/>
          <w:numId w:val="4"/>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получила все корпоративные одобрения Договора органами управления </w:t>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br/>
        <w:t>и иных лиц, необходимые для заключения и исполнения Договора;</w:t>
      </w:r>
    </w:p>
    <w:p>
      <w:pPr>
        <w:pStyle w:val="ListParagraph"/>
        <w:widowControl/>
        <w:numPr>
          <w:ilvl w:val="0"/>
          <w:numId w:val="4"/>
        </w:numPr>
        <w:shd w:val="clear" w:color="auto" w:fill="FFFFFF"/>
        <w:tabs>
          <w:tab w:val="left" w:pos="0" w:leader="none"/>
          <w:tab w:val="left" w:pos="709" w:leader="none"/>
          <w:tab w:val="left" w:pos="1418" w:leader="none"/>
        </w:tabs>
        <w:ind w:firstLine="709" w:left="0"/>
        <w:jc w:val="both"/>
        <w:rPr>
          <w:sz w:val="24"/>
          <w:szCs w:val="24"/>
        </w:rPr>
      </w:pPr>
      <w:r>
        <w:rPr>
          <w:sz w:val="24"/>
          <w:szCs w:val="24"/>
        </w:rPr>
        <w:t>лица, подписывающие от имени Сторон Договор, надлежащим образом уполномочены на его подписание;</w:t>
      </w:r>
    </w:p>
    <w:p>
      <w:pPr>
        <w:pStyle w:val="ListParagraph"/>
        <w:widowControl/>
        <w:numPr>
          <w:ilvl w:val="0"/>
          <w:numId w:val="4"/>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br/>
        <w:t xml:space="preserve">или в связи с ним.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Поставщик заявляет и заверяет Покупателя в том, что на момент заключения Договора:</w:t>
      </w:r>
    </w:p>
    <w:p>
      <w:pPr>
        <w:pStyle w:val="ListParagraph"/>
        <w:widowControl/>
        <w:numPr>
          <w:ilvl w:val="0"/>
          <w:numId w:val="6"/>
        </w:numPr>
        <w:shd w:val="clear" w:color="auto" w:fill="FFFFFF"/>
        <w:tabs>
          <w:tab w:val="left" w:pos="0" w:leader="none"/>
          <w:tab w:val="left" w:pos="709" w:leader="none"/>
        </w:tabs>
        <w:ind w:firstLine="709" w:left="0"/>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6"/>
        </w:numPr>
        <w:shd w:val="clear" w:color="auto" w:fill="FFFFFF"/>
        <w:tabs>
          <w:tab w:val="left" w:pos="0" w:leader="none"/>
          <w:tab w:val="left" w:pos="709" w:leader="none"/>
        </w:tabs>
        <w:ind w:firstLine="709" w:left="0"/>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6"/>
        </w:numPr>
        <w:shd w:val="clear" w:color="auto" w:fill="FFFFFF"/>
        <w:tabs>
          <w:tab w:val="left" w:pos="0" w:leader="none"/>
          <w:tab w:val="left" w:pos="709" w:leader="none"/>
        </w:tabs>
        <w:ind w:firstLine="709" w:left="0"/>
        <w:jc w:val="both"/>
        <w:rPr>
          <w:sz w:val="24"/>
          <w:szCs w:val="24"/>
        </w:rPr>
      </w:pPr>
      <w:r>
        <w:rPr>
          <w:sz w:val="24"/>
          <w:szCs w:val="24"/>
        </w:rPr>
        <w:t xml:space="preserve">Поставщик фактически находится по адресу, указанному в Едином государственном реестре юридических лиц; </w:t>
      </w:r>
    </w:p>
    <w:p>
      <w:pPr>
        <w:pStyle w:val="ListParagraph"/>
        <w:widowControl/>
        <w:numPr>
          <w:ilvl w:val="0"/>
          <w:numId w:val="6"/>
        </w:numPr>
        <w:shd w:val="clear" w:color="auto" w:fill="FFFFFF"/>
        <w:tabs>
          <w:tab w:val="left" w:pos="0" w:leader="none"/>
          <w:tab w:val="left" w:pos="709" w:leader="none"/>
        </w:tabs>
        <w:ind w:firstLine="709" w:left="0"/>
        <w:jc w:val="both"/>
        <w:rPr>
          <w:sz w:val="24"/>
          <w:szCs w:val="24"/>
        </w:rPr>
      </w:pPr>
      <w:r>
        <w:rPr>
          <w:sz w:val="24"/>
          <w:szCs w:val="24"/>
        </w:rPr>
        <w:t xml:space="preserve">Поставщик своевременно и в полном объеме уплачивает налоги и сборы </w:t>
        <w:br/>
        <w:t>в соответствии с законодательством Российской Федерации;</w:t>
      </w:r>
    </w:p>
    <w:p>
      <w:pPr>
        <w:pStyle w:val="ListParagraph"/>
        <w:widowControl/>
        <w:numPr>
          <w:ilvl w:val="0"/>
          <w:numId w:val="5"/>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не находится в процедуре несостоятельности (банкротства) </w:t>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5"/>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тщательно изучил всю информацию, связанную с Договором, </w:t>
        <w:br/>
        <w:t>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5"/>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своевременно и в полном объеме в соответствии </w:t>
        <w:br/>
        <w:t>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5"/>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вся информация, предоставленная Покупателю, является достоверной, полной </w:t>
        <w:br/>
        <w:t xml:space="preserve">и точной, и Поставщик не скрыл никаких обстоятельств, которые при их обнаружении могли </w:t>
        <w:br/>
        <w:t>бы негативно повлиять на решение Покупателя заключить Договор на указанных в нем условиях.</w:t>
      </w:r>
    </w:p>
    <w:p>
      <w:pPr>
        <w:pStyle w:val="Normal"/>
        <w:widowControl/>
        <w:numPr>
          <w:ilvl w:val="1"/>
          <w:numId w:val="2"/>
        </w:numPr>
        <w:tabs>
          <w:tab w:val="clear" w:pos="709"/>
          <w:tab w:val="left" w:pos="1418" w:leader="none"/>
        </w:tabs>
        <w:ind w:firstLine="709" w:left="0"/>
        <w:jc w:val="both"/>
        <w:rPr>
          <w:sz w:val="24"/>
          <w:szCs w:val="24"/>
        </w:rPr>
      </w:pPr>
      <w:r>
        <w:rPr>
          <w:sz w:val="24"/>
          <w:szCs w:val="24"/>
        </w:rPr>
        <w:t xml:space="preserve">При заключении и исполнении Договора каждая Сторона полагается </w:t>
        <w:br/>
        <w:t xml:space="preserve">на достоверность, точность и полноту заверений другой Стороны, изложенных в настоящем разделе Договора.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В случае, если </w:t>
      </w:r>
      <w:r>
        <w:rPr>
          <w:bCs/>
          <w:sz w:val="24"/>
          <w:szCs w:val="24"/>
        </w:rPr>
        <w:t xml:space="preserve">Поставщик </w:t>
      </w:r>
      <w:r>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w:t>
        <w:br/>
        <w:t>по письменному требованию Покупателя уплатить последнему штраф в размере 5 (пяти) процентов от Цены Договора, указанной в пункте 2.1 Договора.</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widowControl/>
        <w:shd w:val="clear" w:color="auto" w:fill="FFFFFF"/>
        <w:tabs>
          <w:tab w:val="clear" w:pos="709"/>
          <w:tab w:val="left" w:pos="1134" w:leader="none"/>
          <w:tab w:val="left" w:pos="1418" w:leader="none"/>
        </w:tabs>
        <w:ind w:firstLine="709" w:left="0"/>
        <w:jc w:val="both"/>
        <w:rPr>
          <w:sz w:val="24"/>
          <w:szCs w:val="24"/>
        </w:rPr>
      </w:pPr>
      <w:r>
        <w:rPr>
          <w:sz w:val="24"/>
          <w:szCs w:val="24"/>
        </w:rPr>
      </w:r>
    </w:p>
    <w:p>
      <w:pPr>
        <w:pStyle w:val="ListParagraph"/>
        <w:widowControl/>
        <w:numPr>
          <w:ilvl w:val="0"/>
          <w:numId w:val="2"/>
        </w:numPr>
        <w:shd w:val="clear" w:color="auto" w:fill="FFFFFF"/>
        <w:tabs>
          <w:tab w:val="clear" w:pos="709"/>
          <w:tab w:val="left" w:pos="426" w:leader="none"/>
        </w:tabs>
        <w:ind w:hanging="0" w:left="0"/>
        <w:jc w:val="center"/>
        <w:rPr>
          <w:b/>
          <w:sz w:val="24"/>
          <w:szCs w:val="24"/>
        </w:rPr>
      </w:pPr>
      <w:r>
        <w:rPr>
          <w:b/>
          <w:bCs/>
          <w:sz w:val="24"/>
          <w:szCs w:val="24"/>
        </w:rPr>
        <w:t>П</w:t>
      </w:r>
      <w:r>
        <w:rPr>
          <w:b/>
          <w:sz w:val="24"/>
          <w:szCs w:val="24"/>
        </w:rPr>
        <w:t>рекращение (расторжение) Договора</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w:t>
      </w:r>
      <w:r>
        <w:rPr>
          <w:sz w:val="24"/>
          <w:szCs w:val="24"/>
          <w:highlight w:val="lightGray"/>
        </w:rPr>
        <w:t>12.7</w:t>
      </w:r>
      <w:r>
        <w:rPr>
          <w:sz w:val="24"/>
          <w:szCs w:val="24"/>
        </w:rPr>
        <w:t xml:space="preserve"> Договора, с приложением подписанного соглашения о расторжении Договора. Уведомление должно быть рассмотрено Стороной</w:t>
      </w:r>
      <w:r>
        <w:rPr>
          <w:spacing w:val="2"/>
          <w:sz w:val="24"/>
          <w:szCs w:val="24"/>
        </w:rPr>
        <w:t>–</w:t>
      </w:r>
      <w:r>
        <w:rPr>
          <w:sz w:val="24"/>
          <w:szCs w:val="24"/>
        </w:rPr>
        <w:t>получателем в течение 30 (тридцати) календарных дней со дня его получения.</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Покупатель вправе в одностороннем внесудебном порядке отказаться от Договора при условии обязательного направления письменного уведомления об этом Поставщику не позднее чем за 30 (тридцать) календарных дней до предполагаемой даты расторжения Договора. В этом случае 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ListParagraph"/>
        <w:widowControl/>
        <w:numPr>
          <w:ilvl w:val="1"/>
          <w:numId w:val="2"/>
        </w:numPr>
        <w:shd w:val="clear" w:color="auto" w:fill="FFFFFF"/>
        <w:tabs>
          <w:tab w:val="left" w:pos="709" w:leader="none"/>
          <w:tab w:val="left" w:pos="1418" w:leader="none"/>
        </w:tabs>
        <w:ind w:firstLine="709" w:left="0"/>
        <w:jc w:val="both"/>
        <w:rPr/>
      </w:pPr>
      <w:r>
        <w:rPr>
          <w:sz w:val="24"/>
          <w:szCs w:val="24"/>
        </w:rPr>
        <w:t xml:space="preserve">В случае существенного нарушения Договора Поставщиком Покупатель вправе в одностороннем внесудебном порядке отказаться от Договора. </w:t>
      </w:r>
    </w:p>
    <w:p>
      <w:pPr>
        <w:pStyle w:val="ListParagraph"/>
        <w:widowControl/>
        <w:shd w:val="clear" w:color="auto" w:fill="FFFFFF"/>
        <w:tabs>
          <w:tab w:val="clear" w:pos="709"/>
          <w:tab w:val="left" w:pos="1134" w:leader="none"/>
          <w:tab w:val="left" w:pos="1418" w:leader="none"/>
        </w:tabs>
        <w:ind w:firstLine="709" w:left="0"/>
        <w:jc w:val="both"/>
        <w:rPr/>
      </w:pPr>
      <w:r>
        <w:rPr>
          <w:sz w:val="24"/>
          <w:szCs w:val="24"/>
        </w:rPr>
        <w:t xml:space="preserve">Стороны установили, что существенным нарушением Договора Поставщиком является: </w:t>
      </w:r>
    </w:p>
    <w:p>
      <w:pPr>
        <w:pStyle w:val="NormalWeb"/>
        <w:numPr>
          <w:ilvl w:val="0"/>
          <w:numId w:val="8"/>
        </w:numPr>
        <w:tabs>
          <w:tab w:val="clear" w:pos="709"/>
          <w:tab w:val="left" w:pos="1418" w:leader="none"/>
        </w:tabs>
        <w:spacing w:beforeAutospacing="0" w:before="0" w:afterAutospacing="0" w:after="0"/>
        <w:ind w:firstLine="709" w:left="0"/>
        <w:jc w:val="both"/>
        <w:rPr/>
      </w:pPr>
      <w:r>
        <w:rPr/>
        <w:t xml:space="preserve">нарушение Поставщиком общего срока поставки Товара по Договору, а также промежуточных сроков поставки Товара (партий Товара), установленных Заявками Покупателя, более чем на 30 (тридцать) календарных дней по причинам, не зависящим от Покупателя; </w:t>
      </w:r>
    </w:p>
    <w:p>
      <w:pPr>
        <w:pStyle w:val="NormalWeb"/>
        <w:numPr>
          <w:ilvl w:val="0"/>
          <w:numId w:val="8"/>
        </w:numPr>
        <w:tabs>
          <w:tab w:val="clear" w:pos="709"/>
          <w:tab w:val="left" w:pos="1418" w:leader="none"/>
        </w:tabs>
        <w:spacing w:beforeAutospacing="0" w:before="0" w:afterAutospacing="0" w:after="0"/>
        <w:ind w:firstLine="709" w:left="0"/>
        <w:jc w:val="both"/>
        <w:rPr/>
      </w:pPr>
      <w:r>
        <w:rPr/>
        <w:t xml:space="preserve">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30 (тридцать) календарных дней, либо такие недостатки (дефекты) являются неустранимыми; </w:t>
      </w:r>
    </w:p>
    <w:p>
      <w:pPr>
        <w:pStyle w:val="NormalWeb"/>
        <w:numPr>
          <w:ilvl w:val="0"/>
          <w:numId w:val="8"/>
        </w:numPr>
        <w:tabs>
          <w:tab w:val="clear" w:pos="709"/>
          <w:tab w:val="left" w:pos="1418" w:leader="none"/>
        </w:tabs>
        <w:spacing w:beforeAutospacing="0" w:before="0" w:afterAutospacing="0" w:after="0"/>
        <w:ind w:firstLine="709" w:left="0"/>
        <w:jc w:val="both"/>
        <w:rPr/>
      </w:pPr>
      <w:r>
        <w:rPr/>
        <w:t xml:space="preserve">наложение ареста на имущество Поставщика, введение арбитражным судом процедуры несостоятельности (банкротства) в отношении Поставщика; </w:t>
      </w:r>
    </w:p>
    <w:p>
      <w:pPr>
        <w:pStyle w:val="NormalWeb"/>
        <w:numPr>
          <w:ilvl w:val="0"/>
          <w:numId w:val="8"/>
        </w:numPr>
        <w:tabs>
          <w:tab w:val="clear" w:pos="709"/>
          <w:tab w:val="left" w:pos="1418" w:leader="none"/>
        </w:tabs>
        <w:spacing w:beforeAutospacing="0" w:before="0" w:afterAutospacing="0" w:after="0"/>
        <w:ind w:firstLine="709" w:left="0"/>
        <w:jc w:val="both"/>
        <w:rPr/>
      </w:pPr>
      <w:r>
        <w:rP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11 Договора, и имеющих существенное значение для его заключения и исполнения. </w:t>
      </w:r>
    </w:p>
    <w:p>
      <w:pPr>
        <w:pStyle w:val="ListParagraph"/>
        <w:widowControl/>
        <w:shd w:val="clear" w:color="auto" w:fill="FFFFFF"/>
        <w:tabs>
          <w:tab w:val="clear" w:pos="709"/>
          <w:tab w:val="left" w:pos="1418" w:leader="none"/>
        </w:tabs>
        <w:ind w:firstLine="709" w:left="0"/>
        <w:jc w:val="both"/>
        <w:rPr>
          <w:sz w:val="24"/>
          <w:szCs w:val="24"/>
        </w:rPr>
      </w:pPr>
      <w:r>
        <w:rPr>
          <w:sz w:val="24"/>
          <w:szCs w:val="24"/>
        </w:rPr>
        <w:t>11.4. В случае отказа Покупателя от Договора в случаях, предусмотренных пунктами 11.3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ListParagraph"/>
        <w:numPr>
          <w:ilvl w:val="0"/>
          <w:numId w:val="0"/>
        </w:numPr>
        <w:ind w:hanging="0" w:left="0"/>
        <w:jc w:val="both"/>
        <w:rPr>
          <w:sz w:val="24"/>
          <w:szCs w:val="24"/>
        </w:rPr>
      </w:pPr>
      <w:r>
        <w:rPr>
          <w:sz w:val="24"/>
          <w:szCs w:val="24"/>
        </w:rPr>
        <w:t>11.5. С даты прекращения (расторжения) Договора Поставщик обязан прекратить поставку Товара.</w:t>
      </w:r>
    </w:p>
    <w:p>
      <w:pPr>
        <w:pStyle w:val="ListParagraph"/>
        <w:numPr>
          <w:ilvl w:val="0"/>
          <w:numId w:val="0"/>
        </w:numPr>
        <w:ind w:hanging="0" w:left="0"/>
        <w:jc w:val="both"/>
        <w:rPr>
          <w:sz w:val="24"/>
          <w:szCs w:val="24"/>
        </w:rPr>
      </w:pPr>
      <w:r>
        <w:rPr>
          <w:sz w:val="24"/>
          <w:szCs w:val="24"/>
        </w:rPr>
        <w:t xml:space="preserve">11.6. При прекращении (расторжении) Договора по основаниям, указанным </w:t>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pPr>
        <w:pStyle w:val="Normal"/>
        <w:ind w:hanging="0" w:left="709"/>
        <w:jc w:val="both"/>
        <w:rPr>
          <w:sz w:val="24"/>
          <w:szCs w:val="24"/>
        </w:rPr>
      </w:pPr>
      <w:r>
        <w:rPr>
          <w:sz w:val="24"/>
          <w:szCs w:val="24"/>
        </w:rPr>
      </w:r>
    </w:p>
    <w:p>
      <w:pPr>
        <w:pStyle w:val="ListParagraph"/>
        <w:widowControl/>
        <w:numPr>
          <w:ilvl w:val="0"/>
          <w:numId w:val="2"/>
        </w:numPr>
        <w:shd w:val="clear" w:color="auto" w:fill="FFFFFF"/>
        <w:tabs>
          <w:tab w:val="clear" w:pos="709"/>
          <w:tab w:val="left" w:pos="426" w:leader="none"/>
        </w:tabs>
        <w:ind w:hanging="0" w:left="0"/>
        <w:jc w:val="center"/>
        <w:rPr>
          <w:b/>
          <w:bCs/>
          <w:sz w:val="24"/>
          <w:szCs w:val="24"/>
        </w:rPr>
      </w:pPr>
      <w:r>
        <w:rPr>
          <w:b/>
          <w:bCs/>
          <w:sz w:val="24"/>
          <w:szCs w:val="24"/>
        </w:rPr>
        <w:t>Заключительные положения</w:t>
      </w:r>
    </w:p>
    <w:p>
      <w:pPr>
        <w:pStyle w:val="ListParagraph"/>
        <w:widowControl/>
        <w:numPr>
          <w:ilvl w:val="1"/>
          <w:numId w:val="2"/>
        </w:numPr>
        <w:shd w:val="clear" w:color="auto" w:fill="FFFFFF"/>
        <w:tabs>
          <w:tab w:val="clear" w:pos="709"/>
          <w:tab w:val="left" w:pos="142" w:leader="none"/>
          <w:tab w:val="left" w:pos="1418" w:leader="none"/>
        </w:tabs>
        <w:ind w:firstLine="709" w:left="0"/>
        <w:jc w:val="both"/>
        <w:rPr>
          <w:sz w:val="24"/>
          <w:szCs w:val="24"/>
        </w:rPr>
      </w:pPr>
      <w:r>
        <w:rPr>
          <w:sz w:val="24"/>
          <w:szCs w:val="24"/>
        </w:rPr>
        <w:t xml:space="preserve">Договор вступает в силу с даты его подписания Сторонами и действует </w:t>
        <w:br/>
        <w:t xml:space="preserve">до полного исполнения ими принятых на себя обязательств. </w:t>
      </w:r>
    </w:p>
    <w:p>
      <w:pPr>
        <w:pStyle w:val="Normal"/>
        <w:widowControl/>
        <w:shd w:val="clear" w:fill="FFFFFF"/>
        <w:tabs>
          <w:tab w:val="clear" w:pos="709"/>
          <w:tab w:val="left" w:pos="1134" w:leader="none"/>
        </w:tabs>
        <w:suppressAutoHyphens w:val="true"/>
        <w:overflowPunct w:val="true"/>
        <w:bidi w:val="0"/>
        <w:spacing w:lineRule="auto" w:line="240" w:before="0" w:after="0"/>
        <w:ind w:firstLine="709" w:left="0" w:right="0"/>
        <w:contextualSpacing/>
        <w:jc w:val="both"/>
        <w:rPr/>
      </w:pPr>
      <w:r>
        <w:rPr>
          <w:sz w:val="24"/>
          <w:szCs w:val="24"/>
          <w:shd w:fill="C0C0C0" w:val="clear"/>
          <w:lang w:eastAsia="en-US"/>
        </w:rPr>
        <w:t>Договор заключается в электронной форме с использованием программно-аппаратных средств информационной Системы ЭДО общего пользования путем его подписания усиленными квалифицированными электронными подписями (далее – УКЭП) уполномоченных представителей Сторон</w:t>
      </w:r>
      <w:r>
        <w:rPr>
          <w:rStyle w:val="FootnoteReference"/>
          <w:sz w:val="24"/>
          <w:szCs w:val="24"/>
          <w:shd w:fill="C0C0C0" w:val="clear"/>
          <w:lang w:eastAsia="en-US"/>
        </w:rPr>
        <w:footnoteReference w:id="5"/>
      </w:r>
      <w:r>
        <w:rPr>
          <w:sz w:val="24"/>
          <w:szCs w:val="24"/>
          <w:shd w:fill="C0C0C0" w:val="clear"/>
          <w:lang w:eastAsia="en-US"/>
        </w:rPr>
        <w:t>.</w:t>
      </w:r>
    </w:p>
    <w:p>
      <w:pPr>
        <w:pStyle w:val="Normal"/>
        <w:widowControl/>
        <w:shd w:val="clear" w:fill="FFFFFF"/>
        <w:tabs>
          <w:tab w:val="clear" w:pos="709"/>
          <w:tab w:val="left" w:pos="1134" w:leader="none"/>
        </w:tabs>
        <w:suppressAutoHyphens w:val="true"/>
        <w:overflowPunct w:val="true"/>
        <w:bidi w:val="0"/>
        <w:spacing w:lineRule="auto" w:line="240" w:before="0" w:after="0"/>
        <w:ind w:firstLine="709" w:left="0" w:right="0"/>
        <w:contextualSpacing/>
        <w:jc w:val="both"/>
        <w:rPr>
          <w:sz w:val="24"/>
          <w:szCs w:val="24"/>
        </w:rPr>
      </w:pPr>
      <w:r>
        <w:rPr>
          <w:sz w:val="24"/>
          <w:szCs w:val="24"/>
          <w:shd w:fill="C0C0C0" w:val="clear"/>
          <w:lang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pPr>
        <w:pStyle w:val="ListParagraph"/>
        <w:numPr>
          <w:ilvl w:val="1"/>
          <w:numId w:val="2"/>
        </w:numPr>
        <w:shd w:val="clear" w:fill="FFFFFF"/>
        <w:tabs>
          <w:tab w:val="clear" w:pos="709"/>
          <w:tab w:val="left" w:pos="1134" w:leader="none"/>
        </w:tabs>
        <w:ind w:firstLine="709" w:left="0" w:right="0"/>
        <w:jc w:val="both"/>
        <w:rPr>
          <w:sz w:val="24"/>
          <w:szCs w:val="24"/>
        </w:rPr>
      </w:pPr>
      <w:r>
        <w:rPr>
          <w:sz w:val="24"/>
          <w:szCs w:val="24"/>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Pr>
          <w:sz w:val="24"/>
          <w:szCs w:val="24"/>
          <w:shd w:fill="C0C0C0" w:val="clear"/>
        </w:rPr>
        <w:t>12.8</w:t>
      </w:r>
      <w:r>
        <w:rPr>
          <w:sz w:val="24"/>
          <w:szCs w:val="24"/>
        </w:rPr>
        <w:t xml:space="preserve"> Договора. </w:t>
      </w:r>
    </w:p>
    <w:p>
      <w:pPr>
        <w:pStyle w:val="ListParagraph"/>
        <w:numPr>
          <w:ilvl w:val="1"/>
          <w:numId w:val="2"/>
        </w:numPr>
        <w:shd w:val="clear" w:fill="FFFFFF"/>
        <w:tabs>
          <w:tab w:val="clear" w:pos="709"/>
          <w:tab w:val="left" w:pos="1134" w:leader="none"/>
        </w:tabs>
        <w:ind w:firstLine="709" w:left="0" w:right="0"/>
        <w:jc w:val="both"/>
        <w:rPr>
          <w:sz w:val="24"/>
          <w:szCs w:val="24"/>
        </w:rPr>
      </w:pPr>
      <w:r>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numPr>
          <w:ilvl w:val="1"/>
          <w:numId w:val="2"/>
        </w:numPr>
        <w:shd w:val="clear" w:fill="FFFFFF"/>
        <w:tabs>
          <w:tab w:val="clear" w:pos="709"/>
          <w:tab w:val="left" w:pos="1134" w:leader="none"/>
        </w:tabs>
        <w:ind w:firstLine="709" w:left="0" w:right="0"/>
        <w:jc w:val="both"/>
        <w:rPr>
          <w:sz w:val="24"/>
          <w:szCs w:val="24"/>
        </w:rPr>
      </w:pPr>
      <w:r>
        <w:rPr>
          <w:sz w:val="24"/>
          <w:szCs w:val="24"/>
        </w:rPr>
        <w:t xml:space="preserve">В случае наличия любых расхождений между содержанием Договора </w:t>
        <w:br/>
        <w:t>и приложений к нему, приоритет имеет текст Договора.</w:t>
      </w:r>
    </w:p>
    <w:p>
      <w:pPr>
        <w:pStyle w:val="ListParagraph"/>
        <w:numPr>
          <w:ilvl w:val="1"/>
          <w:numId w:val="2"/>
        </w:numPr>
        <w:shd w:val="clear" w:fill="FFFFFF"/>
        <w:tabs>
          <w:tab w:val="clear" w:pos="709"/>
          <w:tab w:val="left" w:pos="0" w:leader="none"/>
          <w:tab w:val="left" w:pos="1134" w:leader="none"/>
          <w:tab w:val="left" w:pos="1418" w:leader="none"/>
        </w:tabs>
        <w:ind w:firstLine="709" w:left="0" w:right="0"/>
        <w:jc w:val="both"/>
        <w:rPr>
          <w:sz w:val="24"/>
          <w:szCs w:val="24"/>
        </w:rPr>
      </w:pPr>
      <w:r>
        <w:rPr>
          <w:sz w:val="24"/>
          <w:szCs w:val="24"/>
        </w:rPr>
        <w:t xml:space="preserve">Обмен, предоставление или направление информации и документов по любым вопросам, связанным с исполнением Договора, осуществляется только в письменной форме в порядке, предусмотренном пунктами </w:t>
      </w:r>
      <w:r>
        <w:rPr>
          <w:sz w:val="24"/>
          <w:szCs w:val="24"/>
          <w:shd w:fill="C0C0C0" w:val="clear"/>
        </w:rPr>
        <w:t>12.7 или 12.9</w:t>
      </w:r>
      <w:r>
        <w:rPr>
          <w:sz w:val="24"/>
          <w:szCs w:val="24"/>
        </w:rPr>
        <w:t xml:space="preserve"> Договора.</w:t>
      </w:r>
    </w:p>
    <w:p>
      <w:pPr>
        <w:pStyle w:val="ListParagraph"/>
        <w:numPr>
          <w:ilvl w:val="1"/>
          <w:numId w:val="2"/>
        </w:numPr>
        <w:shd w:val="clear" w:fill="FFFFFF"/>
        <w:tabs>
          <w:tab w:val="clear" w:pos="709"/>
          <w:tab w:val="left" w:pos="142" w:leader="none"/>
          <w:tab w:val="left" w:pos="1134" w:leader="none"/>
          <w:tab w:val="left" w:pos="1418" w:leader="none"/>
        </w:tabs>
        <w:ind w:firstLine="709" w:left="0" w:right="0"/>
        <w:jc w:val="both"/>
        <w:rPr>
          <w:sz w:val="24"/>
          <w:szCs w:val="24"/>
        </w:rPr>
      </w:pPr>
      <w:r>
        <w:rPr>
          <w:rFonts w:eastAsia="Times New Roman" w:cs="Times New Roman"/>
          <w:color w:val="auto"/>
          <w:kern w:val="0"/>
          <w:sz w:val="24"/>
          <w:szCs w:val="24"/>
          <w:lang w:val="ru-RU" w:eastAsia="ru-RU" w:bidi="ar-SA"/>
        </w:rPr>
        <w:t>Обмен, предоставление или направление документов, связанных с исполнением Договора (включая акты, счета-фактуры, УПД, уведомления), в форме Электронного документа осуществляется через Систему ЭДО общего пользования. Оператором Покупателя является АО «ПФ «СКБ «Контур». При обмене Электронными документами или информацией по телекоммуникационным каналам связи такие Электронные документы и информация считаются полученными с момента уведомления оператором Системы ЭДО общего пользования о получении Покупателем</w:t>
      </w:r>
      <w:r>
        <w:rPr>
          <w:sz w:val="24"/>
          <w:szCs w:val="24"/>
        </w:rPr>
        <w:t>.</w:t>
      </w:r>
    </w:p>
    <w:p>
      <w:pPr>
        <w:pStyle w:val="ListParagraph"/>
        <w:numPr>
          <w:ilvl w:val="1"/>
          <w:numId w:val="2"/>
        </w:numPr>
        <w:shd w:val="clear" w:fill="FFFFFF"/>
        <w:tabs>
          <w:tab w:val="clear" w:pos="709"/>
          <w:tab w:val="left" w:pos="1134" w:leader="none"/>
        </w:tabs>
        <w:ind w:firstLine="709" w:left="0" w:right="0"/>
        <w:jc w:val="both"/>
        <w:rPr>
          <w:sz w:val="24"/>
          <w:szCs w:val="24"/>
        </w:rPr>
      </w:pPr>
      <w:bookmarkStart w:id="13" w:name="_Ref361338004_Копия_1"/>
      <w:r>
        <w:rPr>
          <w:sz w:val="24"/>
          <w:szCs w:val="24"/>
        </w:rPr>
        <w:t xml:space="preserve">Стороны обязуются уведомлять друг друга об изменении адреса и / или реквизитов, указанных в разделе 15 Договора, не позднее 3 (трех) рабочих дней после такого изменения в порядке, установленном </w:t>
      </w:r>
      <w:r>
        <w:rPr>
          <w:sz w:val="24"/>
          <w:szCs w:val="24"/>
          <w:shd w:fill="auto" w:val="clear"/>
        </w:rPr>
        <w:t xml:space="preserve">пунктами </w:t>
      </w:r>
      <w:r>
        <w:rPr>
          <w:sz w:val="24"/>
          <w:szCs w:val="24"/>
          <w:shd w:fill="C0C0C0" w:val="clear"/>
        </w:rPr>
        <w:t>12.7 или 12.9</w:t>
      </w:r>
      <w:r>
        <w:rPr>
          <w:sz w:val="24"/>
          <w:szCs w:val="24"/>
        </w:rPr>
        <w:t xml:space="preserve"> Договора.</w:t>
      </w:r>
      <w:bookmarkEnd w:id="13"/>
      <w:r>
        <w:rPr>
          <w:sz w:val="24"/>
          <w:szCs w:val="24"/>
        </w:rPr>
        <w:t xml:space="preserve"> </w:t>
      </w:r>
    </w:p>
    <w:p>
      <w:pPr>
        <w:pStyle w:val="ListParagraph"/>
        <w:numPr>
          <w:ilvl w:val="1"/>
          <w:numId w:val="2"/>
        </w:numPr>
        <w:shd w:val="clear" w:fill="FFFFFF"/>
        <w:tabs>
          <w:tab w:val="clear" w:pos="709"/>
          <w:tab w:val="left" w:pos="142" w:leader="none"/>
          <w:tab w:val="left" w:pos="1134" w:leader="none"/>
          <w:tab w:val="left" w:pos="1418" w:leader="none"/>
        </w:tabs>
        <w:ind w:firstLine="709" w:left="0" w:right="0"/>
        <w:jc w:val="both"/>
        <w:rPr>
          <w:sz w:val="24"/>
          <w:szCs w:val="24"/>
        </w:rPr>
      </w:pPr>
      <w:r>
        <w:rPr>
          <w:sz w:val="24"/>
          <w:szCs w:val="24"/>
        </w:rPr>
        <w:t>Обмен документами на бумажном носителе допускается по требованию Покупателя и/или с его согласия при наличии документального подтверждения отсутствия технической возможности обмена Электронными документами через Систему ЭДО общего пользования у одной или обеих Сторон, а также при наличии иных обоснованных обстоятельств, ограничивающих применение Системы ЭДО общего пользования. Документы (письма, уведомления и / или сообщения) на бумажном носителе направляются Стороне</w:t>
      </w:r>
      <w:r>
        <w:rPr>
          <w:bCs/>
          <w:sz w:val="24"/>
          <w:szCs w:val="24"/>
        </w:rPr>
        <w:t>-</w:t>
      </w:r>
      <w:r>
        <w:rPr>
          <w:sz w:val="24"/>
          <w:szCs w:val="24"/>
        </w:rPr>
        <w:t>получателю по адресу ее места нахождения, указанному в разделе 15 Договора, или в ранее полученном уведомлении Стороны об изменении адреса, одним из следующих способов, при этом документ</w:t>
      </w:r>
      <w:r>
        <w:rPr>
          <w:bCs/>
          <w:sz w:val="24"/>
          <w:szCs w:val="24"/>
        </w:rPr>
        <w:t xml:space="preserve"> будет считаться полученным</w:t>
      </w:r>
      <w:r>
        <w:rPr>
          <w:sz w:val="24"/>
          <w:szCs w:val="24"/>
        </w:rPr>
        <w:t xml:space="preserve">: </w:t>
      </w:r>
    </w:p>
    <w:p>
      <w:pPr>
        <w:pStyle w:val="ListParagraph"/>
        <w:numPr>
          <w:ilvl w:val="2"/>
          <w:numId w:val="2"/>
        </w:numPr>
        <w:shd w:val="clear" w:fill="FFFFFF"/>
        <w:tabs>
          <w:tab w:val="clear" w:pos="709"/>
          <w:tab w:val="left" w:pos="142" w:leader="none"/>
          <w:tab w:val="left" w:pos="1134" w:leader="none"/>
          <w:tab w:val="left" w:pos="1418" w:leader="none"/>
        </w:tabs>
        <w:ind w:firstLine="709" w:left="0" w:right="0"/>
        <w:jc w:val="both"/>
        <w:rPr>
          <w:sz w:val="24"/>
          <w:szCs w:val="24"/>
        </w:rPr>
      </w:pPr>
      <w:r>
        <w:rPr>
          <w:bCs/>
          <w:sz w:val="24"/>
          <w:szCs w:val="24"/>
        </w:rPr>
        <w:t xml:space="preserve">Заказным почтовым отправлением с уведомлением о вручении – </w:t>
      </w:r>
      <w:r>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numPr>
          <w:ilvl w:val="2"/>
          <w:numId w:val="2"/>
        </w:numPr>
        <w:shd w:val="clear" w:fill="FFFFFF"/>
        <w:tabs>
          <w:tab w:val="clear" w:pos="709"/>
          <w:tab w:val="left" w:pos="142" w:leader="none"/>
          <w:tab w:val="left" w:pos="1134" w:leader="none"/>
          <w:tab w:val="left" w:pos="1418" w:leader="none"/>
        </w:tabs>
        <w:ind w:firstLine="709" w:left="0" w:right="0"/>
        <w:jc w:val="both"/>
        <w:rPr>
          <w:sz w:val="24"/>
          <w:szCs w:val="24"/>
        </w:rPr>
      </w:pPr>
      <w:r>
        <w:rPr>
          <w:bCs/>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sz w:val="24"/>
          <w:szCs w:val="24"/>
        </w:rPr>
        <w:t xml:space="preserve">; </w:t>
      </w:r>
    </w:p>
    <w:p>
      <w:pPr>
        <w:pStyle w:val="ListParagraph"/>
        <w:numPr>
          <w:ilvl w:val="2"/>
          <w:numId w:val="2"/>
        </w:numPr>
        <w:shd w:val="clear" w:fill="FFFFFF"/>
        <w:tabs>
          <w:tab w:val="clear" w:pos="709"/>
          <w:tab w:val="left" w:pos="142" w:leader="none"/>
          <w:tab w:val="left" w:pos="1134" w:leader="none"/>
          <w:tab w:val="left" w:pos="1418" w:leader="none"/>
        </w:tabs>
        <w:ind w:firstLine="709" w:left="0" w:right="0"/>
        <w:jc w:val="both"/>
        <w:rPr>
          <w:sz w:val="24"/>
          <w:szCs w:val="24"/>
        </w:rPr>
      </w:pPr>
      <w:r>
        <w:rPr>
          <w:bCs/>
          <w:sz w:val="24"/>
          <w:szCs w:val="24"/>
        </w:rPr>
        <w:t>Посредством электронной почты (</w:t>
      </w:r>
      <w:r>
        <w:rPr>
          <w:bCs/>
          <w:sz w:val="24"/>
          <w:szCs w:val="24"/>
          <w:lang w:val="en-US"/>
        </w:rPr>
        <w:t>e</w:t>
      </w:r>
      <w:r>
        <w:rPr>
          <w:bCs/>
          <w:sz w:val="24"/>
          <w:szCs w:val="24"/>
        </w:rPr>
        <w:t>-</w:t>
      </w:r>
      <w:r>
        <w:rPr>
          <w:bCs/>
          <w:sz w:val="24"/>
          <w:szCs w:val="24"/>
          <w:lang w:val="en-US"/>
        </w:rPr>
        <w:t>mail</w:t>
      </w:r>
      <w:r>
        <w:rPr>
          <w:bCs/>
          <w:sz w:val="24"/>
          <w:szCs w:val="24"/>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0" w:leader="none"/>
          <w:tab w:val="left" w:pos="1418" w:leader="none"/>
          <w:tab w:val="left" w:pos="1701" w:leader="none"/>
        </w:tabs>
        <w:ind w:firstLine="426" w:left="0"/>
        <w:jc w:val="both"/>
        <w:rPr>
          <w:sz w:val="24"/>
          <w:szCs w:val="24"/>
          <w:highlight w:val="none"/>
          <w:shd w:fill="auto" w:val="clear"/>
        </w:rPr>
      </w:pPr>
      <w:r>
        <w:rPr>
          <w:bCs/>
          <w:sz w:val="24"/>
          <w:szCs w:val="24"/>
          <w:shd w:fill="auto" w:val="clear"/>
          <w:lang w:eastAsia="en-U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12.7, 12.8.1 –12.8.2 Договора.  </w:t>
      </w:r>
      <w:r>
        <w:rPr>
          <w:bCs/>
          <w:sz w:val="24"/>
          <w:szCs w:val="24"/>
          <w:shd w:fill="auto" w:val="clear"/>
        </w:rPr>
        <w:t xml:space="preserve"> </w:t>
      </w:r>
    </w:p>
    <w:p>
      <w:pPr>
        <w:pStyle w:val="ListParagraph"/>
        <w:widowControl/>
        <w:numPr>
          <w:ilvl w:val="1"/>
          <w:numId w:val="2"/>
        </w:numPr>
        <w:tabs>
          <w:tab w:val="clear" w:pos="709"/>
          <w:tab w:val="left" w:pos="0" w:leader="none"/>
          <w:tab w:val="left" w:pos="1418" w:leader="none"/>
        </w:tabs>
        <w:ind w:firstLine="709" w:left="0"/>
        <w:jc w:val="both"/>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sz w:val="24"/>
          <w:szCs w:val="24"/>
        </w:rPr>
        <w:t xml:space="preserve">Уступка (передача), в том числе в залог, прав (требований) к Покупателю </w:t>
        <w:br/>
        <w:t>по денежным обязательствам, возникших из Договора и принадлежащих Поставщику, допускается только с предварительного письменного согласия Покупателя и оформляется трехсторонним договором</w:t>
      </w:r>
      <w:r>
        <w:rPr>
          <w:bCs/>
          <w:sz w:val="24"/>
          <w:szCs w:val="24"/>
        </w:rPr>
        <w:t>.</w:t>
      </w:r>
      <w:r>
        <w:rPr>
          <w:sz w:val="24"/>
          <w:szCs w:val="24"/>
        </w:rPr>
        <w:t xml:space="preserve">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highlight w:val="lightGray"/>
        </w:rPr>
      </w:pPr>
      <w:r>
        <w:rPr>
          <w:sz w:val="24"/>
          <w:szCs w:val="24"/>
          <w:shd w:fill="CCCCCC" w:val="clear"/>
        </w:rPr>
        <w:t>Договор составлен в 2 (двух) оригинальных экземплярах, имеющих равную юридическую силу, по 1 (одному) для каждой из Сторон</w:t>
      </w:r>
      <w:r>
        <w:rPr>
          <w:rStyle w:val="FootnoteReference"/>
          <w:sz w:val="24"/>
          <w:szCs w:val="24"/>
          <w:shd w:fill="CCCCCC" w:val="clear"/>
        </w:rPr>
        <w:footnoteReference w:id="6"/>
      </w:r>
      <w:r>
        <w:rPr>
          <w:sz w:val="24"/>
          <w:szCs w:val="24"/>
          <w:highlight w:val="lightGray"/>
        </w:rPr>
        <w:t>.</w:t>
      </w:r>
    </w:p>
    <w:p>
      <w:pPr>
        <w:pStyle w:val="ListParagraph"/>
        <w:widowControl/>
        <w:shd w:val="clear" w:color="auto" w:fill="FFFFFF"/>
        <w:tabs>
          <w:tab w:val="clear" w:pos="709"/>
          <w:tab w:val="left" w:pos="0" w:leader="none"/>
          <w:tab w:val="left" w:pos="1418" w:leader="none"/>
        </w:tabs>
        <w:ind w:firstLine="709" w:left="0"/>
        <w:jc w:val="both"/>
        <w:rPr>
          <w:sz w:val="24"/>
          <w:szCs w:val="24"/>
        </w:rPr>
      </w:pPr>
      <w:r>
        <w:rPr>
          <w:sz w:val="24"/>
          <w:szCs w:val="24"/>
        </w:rPr>
      </w:r>
    </w:p>
    <w:p>
      <w:pPr>
        <w:pStyle w:val="Normal"/>
        <w:widowControl/>
        <w:numPr>
          <w:ilvl w:val="0"/>
          <w:numId w:val="2"/>
        </w:numPr>
        <w:shd w:val="clear" w:color="auto" w:fill="FFFFFF"/>
        <w:spacing w:before="0" w:after="0"/>
        <w:ind w:hanging="0" w:left="0"/>
        <w:contextualSpacing/>
        <w:jc w:val="center"/>
        <w:rPr>
          <w:b/>
          <w:bCs/>
          <w:sz w:val="24"/>
          <w:szCs w:val="24"/>
        </w:rPr>
      </w:pPr>
      <w:r>
        <w:rPr>
          <w:b/>
          <w:bCs/>
          <w:sz w:val="24"/>
          <w:szCs w:val="24"/>
        </w:rPr>
        <w:t xml:space="preserve">Список приложений </w:t>
      </w:r>
    </w:p>
    <w:p>
      <w:pPr>
        <w:pStyle w:val="Normal"/>
        <w:widowControl/>
        <w:shd w:val="clear" w:color="auto" w:fill="FFFFFF"/>
        <w:tabs>
          <w:tab w:val="clear" w:pos="709"/>
          <w:tab w:val="left" w:pos="0" w:leader="none"/>
        </w:tabs>
        <w:suppressAutoHyphens w:val="true"/>
        <w:ind w:firstLine="709"/>
        <w:jc w:val="both"/>
        <w:rPr>
          <w:rFonts w:eastAsia="Calibri"/>
          <w:sz w:val="24"/>
          <w:szCs w:val="24"/>
          <w:lang w:eastAsia="en-US"/>
        </w:rPr>
      </w:pPr>
      <w:bookmarkStart w:id="14" w:name="sub_1"/>
      <w:r>
        <w:rPr>
          <w:rFonts w:eastAsia="Calibri"/>
          <w:sz w:val="24"/>
          <w:szCs w:val="24"/>
          <w:lang w:eastAsia="en-US"/>
        </w:rPr>
        <w:t>Приложение № 1 – Спецификация;</w:t>
      </w:r>
    </w:p>
    <w:p>
      <w:pPr>
        <w:pStyle w:val="Normal"/>
        <w:widowControl/>
        <w:shd w:val="clear" w:color="auto" w:fill="FFFFFF"/>
        <w:tabs>
          <w:tab w:val="clear" w:pos="709"/>
          <w:tab w:val="left" w:pos="0" w:leader="none"/>
          <w:tab w:val="left" w:pos="2694" w:leader="none"/>
        </w:tabs>
        <w:suppressAutoHyphens w:val="true"/>
        <w:ind w:firstLine="709"/>
        <w:jc w:val="both"/>
        <w:rPr>
          <w:sz w:val="24"/>
          <w:szCs w:val="24"/>
          <w:lang w:eastAsia="x-none"/>
        </w:rPr>
      </w:pPr>
      <w:r>
        <w:rPr>
          <w:sz w:val="24"/>
          <w:szCs w:val="24"/>
          <w:lang w:eastAsia="x-none"/>
        </w:rPr>
        <w:t>Приложение № 2 –</w:t>
      </w:r>
      <w:r>
        <w:rPr>
          <w:rFonts w:eastAsia="Calibri"/>
          <w:sz w:val="24"/>
          <w:szCs w:val="24"/>
          <w:lang w:eastAsia="en-US"/>
        </w:rPr>
        <w:t xml:space="preserve"> </w:t>
      </w:r>
      <w:bookmarkEnd w:id="14"/>
      <w:r>
        <w:rPr>
          <w:bCs/>
          <w:sz w:val="24"/>
          <w:szCs w:val="24"/>
        </w:rPr>
        <w:t>Размер ответственности Поставщика за нарушения пропускного и внутриобъектового режима, требований охраны труда, пожарной и промышленной безопасности.</w:t>
      </w:r>
    </w:p>
    <w:p>
      <w:pPr>
        <w:pStyle w:val="Normal"/>
        <w:ind w:firstLine="709"/>
        <w:jc w:val="both"/>
        <w:rPr>
          <w:bCs/>
          <w:sz w:val="24"/>
          <w:szCs w:val="24"/>
        </w:rPr>
      </w:pPr>
      <w:r>
        <w:rPr>
          <w:bCs/>
          <w:sz w:val="24"/>
          <w:szCs w:val="24"/>
        </w:rPr>
      </w:r>
    </w:p>
    <w:p>
      <w:pPr>
        <w:pStyle w:val="ListParagraph"/>
        <w:widowControl/>
        <w:numPr>
          <w:ilvl w:val="0"/>
          <w:numId w:val="2"/>
        </w:numPr>
        <w:shd w:val="clear" w:color="auto" w:fill="FFFFFF"/>
        <w:ind w:hanging="0" w:left="0"/>
        <w:jc w:val="center"/>
        <w:rPr>
          <w:b/>
          <w:bCs/>
          <w:sz w:val="24"/>
          <w:szCs w:val="24"/>
        </w:rPr>
      </w:pPr>
      <w:r>
        <w:rPr>
          <w:b/>
          <w:bCs/>
          <w:sz w:val="24"/>
          <w:szCs w:val="24"/>
        </w:rPr>
        <w:t>Адреса и платежные реквизиты Сторон</w:t>
      </w:r>
    </w:p>
    <w:p>
      <w:pPr>
        <w:pStyle w:val="ListParagraph"/>
        <w:widowControl/>
        <w:shd w:val="clear" w:color="auto" w:fill="FFFFFF"/>
        <w:tabs>
          <w:tab w:val="clear" w:pos="709"/>
          <w:tab w:val="left" w:pos="426" w:leader="none"/>
        </w:tabs>
        <w:ind w:firstLine="709" w:left="0"/>
        <w:rPr>
          <w:b/>
          <w:bCs/>
          <w:sz w:val="24"/>
          <w:szCs w:val="24"/>
        </w:rPr>
      </w:pPr>
      <w:r>
        <w:rPr>
          <w:b/>
          <w:bCs/>
          <w:sz w:val="24"/>
          <w:szCs w:val="24"/>
        </w:rPr>
      </w:r>
    </w:p>
    <w:tbl>
      <w:tblPr>
        <w:tblW w:w="9781"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778"/>
        <w:gridCol w:w="143"/>
        <w:gridCol w:w="4643"/>
        <w:gridCol w:w="217"/>
      </w:tblGrid>
      <w:tr>
        <w:trPr/>
        <w:tc>
          <w:tcPr>
            <w:tcW w:w="4921" w:type="dxa"/>
            <w:gridSpan w:val="2"/>
            <w:tcBorders/>
          </w:tcPr>
          <w:p>
            <w:pPr>
              <w:pStyle w:val="Normal"/>
              <w:widowControl w:val="false"/>
              <w:rPr>
                <w:b/>
                <w:sz w:val="24"/>
                <w:szCs w:val="24"/>
              </w:rPr>
            </w:pPr>
            <w:r>
              <w:rPr>
                <w:b/>
                <w:sz w:val="24"/>
                <w:szCs w:val="24"/>
              </w:rPr>
              <w:t>Покупатель:</w:t>
            </w:r>
          </w:p>
        </w:tc>
        <w:tc>
          <w:tcPr>
            <w:tcW w:w="4860" w:type="dxa"/>
            <w:gridSpan w:val="2"/>
            <w:tcBorders/>
          </w:tcPr>
          <w:p>
            <w:pPr>
              <w:pStyle w:val="Normal"/>
              <w:widowControl w:val="false"/>
              <w:rPr>
                <w:b/>
                <w:sz w:val="24"/>
                <w:szCs w:val="24"/>
              </w:rPr>
            </w:pPr>
            <w:r>
              <w:rPr>
                <w:b/>
                <w:sz w:val="24"/>
                <w:szCs w:val="24"/>
              </w:rPr>
              <w:t>Поставщик:</w:t>
            </w:r>
          </w:p>
        </w:tc>
      </w:tr>
      <w:tr>
        <w:trPr/>
        <w:tc>
          <w:tcPr>
            <w:tcW w:w="4921" w:type="dxa"/>
            <w:gridSpan w:val="2"/>
            <w:tcBorders/>
            <w:shd w:color="auto" w:fill="BFBFBF" w:val="clear"/>
          </w:tcPr>
          <w:p>
            <w:pPr>
              <w:pStyle w:val="Normal"/>
              <w:widowControl w:val="false"/>
              <w:rPr>
                <w:b/>
                <w:sz w:val="24"/>
                <w:szCs w:val="24"/>
              </w:rPr>
            </w:pPr>
            <w:r>
              <w:rPr>
                <w:b/>
                <w:sz w:val="24"/>
                <w:szCs w:val="24"/>
              </w:rPr>
              <w:t>Публичное акционерное общество</w:t>
            </w:r>
          </w:p>
          <w:p>
            <w:pPr>
              <w:pStyle w:val="Normal"/>
              <w:widowControl w:val="false"/>
              <w:rPr>
                <w:b/>
                <w:sz w:val="24"/>
                <w:szCs w:val="24"/>
              </w:rPr>
            </w:pPr>
            <w:r>
              <w:rPr>
                <w:b/>
                <w:sz w:val="24"/>
                <w:szCs w:val="24"/>
              </w:rPr>
              <w:t>«Федеральная гидрогенерирующая компания - РусГидро» (ПАО «РусГидро»)</w:t>
            </w:r>
          </w:p>
          <w:p>
            <w:pPr>
              <w:pStyle w:val="Normal"/>
              <w:widowControl w:val="false"/>
              <w:rPr>
                <w:sz w:val="24"/>
                <w:szCs w:val="24"/>
              </w:rPr>
            </w:pPr>
            <w:r>
              <w:rPr>
                <w:sz w:val="24"/>
                <w:szCs w:val="24"/>
              </w:rPr>
            </w:r>
          </w:p>
          <w:p>
            <w:pPr>
              <w:pStyle w:val="Normal"/>
              <w:widowControl w:val="false"/>
              <w:spacing w:lineRule="auto" w:line="240"/>
              <w:ind w:hanging="0"/>
              <w:jc w:val="left"/>
              <w:rPr>
                <w:sz w:val="24"/>
                <w:szCs w:val="24"/>
              </w:rPr>
            </w:pPr>
            <w:r>
              <w:rPr>
                <w:sz w:val="24"/>
                <w:szCs w:val="24"/>
              </w:rPr>
              <w:t>Юридический/Почтовый адрес: 660049, Красноярский край, г.о. город Красноярск,</w:t>
            </w:r>
          </w:p>
          <w:p>
            <w:pPr>
              <w:pStyle w:val="Normal"/>
              <w:widowControl w:val="false"/>
              <w:spacing w:lineRule="auto" w:line="240"/>
              <w:ind w:hanging="0"/>
              <w:jc w:val="left"/>
              <w:rPr>
                <w:sz w:val="24"/>
                <w:szCs w:val="24"/>
              </w:rPr>
            </w:pPr>
            <w:r>
              <w:rPr>
                <w:sz w:val="24"/>
                <w:szCs w:val="24"/>
              </w:rPr>
              <w:t>г. Красноярск, ул. Перенсона, зд.2а, помещ.1</w:t>
            </w:r>
          </w:p>
          <w:p>
            <w:pPr>
              <w:pStyle w:val="Normal"/>
              <w:widowControl w:val="false"/>
              <w:rPr>
                <w:sz w:val="24"/>
                <w:szCs w:val="24"/>
              </w:rPr>
            </w:pPr>
            <w:r>
              <w:rPr>
                <w:sz w:val="24"/>
                <w:szCs w:val="24"/>
              </w:rPr>
            </w:r>
          </w:p>
          <w:p>
            <w:pPr>
              <w:pStyle w:val="Normal"/>
              <w:widowControl w:val="false"/>
              <w:rPr>
                <w:sz w:val="24"/>
                <w:szCs w:val="24"/>
              </w:rPr>
            </w:pPr>
            <w:r>
              <w:rPr>
                <w:sz w:val="24"/>
                <w:szCs w:val="24"/>
              </w:rPr>
              <w:t xml:space="preserve">ОГРН 1042401810494, </w:t>
            </w:r>
          </w:p>
          <w:p>
            <w:pPr>
              <w:pStyle w:val="Normal"/>
              <w:widowControl w:val="false"/>
              <w:rPr>
                <w:sz w:val="24"/>
                <w:szCs w:val="24"/>
              </w:rPr>
            </w:pPr>
            <w:r>
              <w:rPr>
                <w:sz w:val="24"/>
                <w:szCs w:val="24"/>
              </w:rPr>
              <w:t>ИНН 2460066195 / КПП 997650001</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расчетного счета)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(наименование банка, в котором</w:t>
            </w:r>
          </w:p>
          <w:p>
            <w:pPr>
              <w:pStyle w:val="Normal"/>
              <w:widowControl w:val="false"/>
              <w:rPr>
                <w:sz w:val="24"/>
                <w:szCs w:val="24"/>
              </w:rPr>
            </w:pPr>
            <w:r>
              <w:rPr>
                <w:sz w:val="24"/>
                <w:szCs w:val="24"/>
              </w:rPr>
              <w:t>открыт расчетный счет)</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корреспондентского счета банка)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(БИК банка) _________________________________</w:t>
            </w:r>
          </w:p>
          <w:p>
            <w:pPr>
              <w:pStyle w:val="Normal"/>
              <w:widowControl w:val="false"/>
              <w:rPr>
                <w:sz w:val="24"/>
                <w:szCs w:val="24"/>
              </w:rPr>
            </w:pPr>
            <w:r>
              <w:rPr>
                <w:sz w:val="24"/>
                <w:szCs w:val="24"/>
              </w:rPr>
              <w:t>(номер телефона)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факса)</w:t>
            </w:r>
          </w:p>
        </w:tc>
        <w:tc>
          <w:tcPr>
            <w:tcW w:w="4860" w:type="dxa"/>
            <w:gridSpan w:val="2"/>
            <w:tcBorders/>
            <w:shd w:color="auto" w:fill="BFBFBF" w:val="clear"/>
          </w:tcPr>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(наименование юридического лица)</w:t>
            </w:r>
          </w:p>
          <w:p>
            <w:pPr>
              <w:pStyle w:val="Normal"/>
              <w:widowControl w:val="false"/>
              <w:rPr>
                <w:sz w:val="24"/>
                <w:szCs w:val="24"/>
              </w:rPr>
            </w:pPr>
            <w:r>
              <w:rPr>
                <w:sz w:val="24"/>
                <w:szCs w:val="24"/>
              </w:rPr>
            </w:r>
          </w:p>
          <w:p>
            <w:pPr>
              <w:pStyle w:val="Normal"/>
              <w:widowControl w:val="false"/>
              <w:rPr>
                <w:sz w:val="24"/>
                <w:szCs w:val="24"/>
              </w:rPr>
            </w:pPr>
            <w:r>
              <w:rPr>
                <w:sz w:val="24"/>
                <w:szCs w:val="24"/>
              </w:rPr>
              <w:t>Юридический адрес:</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Почтовый адрес:</w:t>
            </w:r>
          </w:p>
          <w:p>
            <w:pPr>
              <w:pStyle w:val="Normal"/>
              <w:widowControl w:val="false"/>
              <w:rPr>
                <w:sz w:val="24"/>
                <w:szCs w:val="24"/>
              </w:rPr>
            </w:pPr>
            <w:r>
              <w:rPr>
                <w:sz w:val="24"/>
                <w:szCs w:val="24"/>
              </w:rPr>
            </w:r>
          </w:p>
          <w:p>
            <w:pPr>
              <w:pStyle w:val="Normal"/>
              <w:widowControl w:val="false"/>
              <w:rPr>
                <w:sz w:val="24"/>
                <w:szCs w:val="24"/>
              </w:rPr>
            </w:pPr>
            <w:r>
              <w:rPr>
                <w:sz w:val="24"/>
                <w:szCs w:val="24"/>
              </w:rPr>
              <w:t>ОГРН ___________________________</w:t>
            </w:r>
          </w:p>
          <w:p>
            <w:pPr>
              <w:pStyle w:val="Normal"/>
              <w:widowControl w:val="false"/>
              <w:rPr>
                <w:sz w:val="24"/>
                <w:szCs w:val="24"/>
              </w:rPr>
            </w:pPr>
            <w:r>
              <w:rPr>
                <w:sz w:val="24"/>
                <w:szCs w:val="24"/>
              </w:rPr>
              <w:t>ИНН ____________ / КПП___________</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расчетного счета)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(наименование банка, в котором</w:t>
            </w:r>
          </w:p>
          <w:p>
            <w:pPr>
              <w:pStyle w:val="Normal"/>
              <w:widowControl w:val="false"/>
              <w:rPr>
                <w:sz w:val="24"/>
                <w:szCs w:val="24"/>
              </w:rPr>
            </w:pPr>
            <w:r>
              <w:rPr>
                <w:sz w:val="24"/>
                <w:szCs w:val="24"/>
              </w:rPr>
              <w:t>открыт расчетный счет)</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корреспондентского счета банка)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(БИК банка)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телефона)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факса)</w:t>
            </w:r>
          </w:p>
          <w:p>
            <w:pPr>
              <w:pStyle w:val="Normal"/>
              <w:widowControl w:val="false"/>
              <w:rPr>
                <w:sz w:val="24"/>
                <w:szCs w:val="24"/>
              </w:rPr>
            </w:pPr>
            <w:r>
              <w:rPr>
                <w:sz w:val="24"/>
                <w:szCs w:val="24"/>
              </w:rPr>
            </w:r>
          </w:p>
        </w:tc>
      </w:tr>
      <w:tr>
        <w:trPr/>
        <w:tc>
          <w:tcPr>
            <w:tcW w:w="4778" w:type="dxa"/>
            <w:tcBorders/>
          </w:tcPr>
          <w:p>
            <w:pPr>
              <w:pStyle w:val="Normal"/>
              <w:widowControl w:val="false"/>
              <w:rPr>
                <w:sz w:val="24"/>
                <w:szCs w:val="24"/>
                <w:highlight w:val="lightGray"/>
              </w:rPr>
            </w:pPr>
            <w:r>
              <w:rPr>
                <w:sz w:val="24"/>
                <w:szCs w:val="24"/>
                <w:highlight w:val="lightGray"/>
              </w:rPr>
              <w:t xml:space="preserve">_______________ / _______________ </w:t>
            </w:r>
          </w:p>
          <w:p>
            <w:pPr>
              <w:pStyle w:val="Normal"/>
              <w:widowControl w:val="false"/>
              <w:rPr>
                <w:sz w:val="24"/>
                <w:szCs w:val="24"/>
                <w:highlight w:val="lightGray"/>
              </w:rPr>
            </w:pPr>
            <w:r>
              <w:rPr>
                <w:sz w:val="24"/>
                <w:szCs w:val="24"/>
                <w:highlight w:val="lightGray"/>
              </w:rPr>
            </w:r>
          </w:p>
        </w:tc>
        <w:tc>
          <w:tcPr>
            <w:tcW w:w="4786" w:type="dxa"/>
            <w:gridSpan w:val="2"/>
            <w:tcBorders/>
          </w:tcPr>
          <w:p>
            <w:pPr>
              <w:pStyle w:val="Normal"/>
              <w:widowControl w:val="false"/>
              <w:rPr>
                <w:sz w:val="24"/>
                <w:szCs w:val="24"/>
              </w:rPr>
            </w:pPr>
            <w:r>
              <w:rPr>
                <w:sz w:val="24"/>
                <w:szCs w:val="24"/>
                <w:highlight w:val="lightGray"/>
              </w:rPr>
              <w:t>_______________ / _______________</w:t>
            </w:r>
            <w:r>
              <w:rPr>
                <w:sz w:val="24"/>
                <w:szCs w:val="24"/>
              </w:rPr>
              <w:t xml:space="preserve"> </w:t>
            </w:r>
          </w:p>
        </w:tc>
        <w:tc>
          <w:tcPr>
            <w:tcW w:w="217" w:type="dxa"/>
            <w:tcBorders/>
          </w:tcPr>
          <w:p>
            <w:pPr>
              <w:pStyle w:val="Normal"/>
              <w:widowControl w:val="false"/>
              <w:rPr/>
            </w:pPr>
            <w:r>
              <w:rPr/>
            </w:r>
          </w:p>
        </w:tc>
      </w:tr>
    </w:tbl>
    <w:p>
      <w:pPr>
        <w:sectPr>
          <w:headerReference w:type="default" r:id="rId5"/>
          <w:headerReference w:type="first" r:id="rId6"/>
          <w:footerReference w:type="default" r:id="rId7"/>
          <w:footnotePr>
            <w:numFmt w:val="decimal"/>
          </w:footnotePr>
          <w:type w:val="nextPage"/>
          <w:pgSz w:w="11906" w:h="16838"/>
          <w:pgMar w:left="1418" w:right="851" w:gutter="0" w:header="709" w:top="1134" w:footer="709" w:bottom="1134"/>
          <w:pgNumType w:fmt="decimal"/>
          <w:formProt w:val="false"/>
          <w:titlePg/>
          <w:textDirection w:val="lrTb"/>
          <w:docGrid w:type="default" w:linePitch="360" w:charSpace="8192"/>
        </w:sectPr>
      </w:pPr>
    </w:p>
    <w:p>
      <w:pPr>
        <w:pStyle w:val="Normal"/>
        <w:suppressAutoHyphens w:val="true"/>
        <w:ind w:firstLine="4820"/>
        <w:rPr>
          <w:sz w:val="22"/>
          <w:szCs w:val="22"/>
        </w:rPr>
      </w:pPr>
      <w:r>
        <w:rPr>
          <w:sz w:val="22"/>
          <w:szCs w:val="22"/>
        </w:rPr>
        <w:t>Приложение № 1</w:t>
      </w:r>
    </w:p>
    <w:p>
      <w:pPr>
        <w:pStyle w:val="Normal"/>
        <w:suppressAutoHyphens w:val="true"/>
        <w:ind w:firstLine="4820"/>
        <w:rPr>
          <w:sz w:val="22"/>
          <w:szCs w:val="22"/>
        </w:rPr>
      </w:pPr>
      <w:r>
        <w:rPr>
          <w:sz w:val="22"/>
          <w:szCs w:val="22"/>
        </w:rPr>
        <w:t>к Договору поставки</w:t>
      </w:r>
    </w:p>
    <w:p>
      <w:pPr>
        <w:pStyle w:val="Normal"/>
        <w:suppressAutoHyphens w:val="true"/>
        <w:ind w:firstLine="4820"/>
        <w:rPr>
          <w:sz w:val="22"/>
          <w:szCs w:val="22"/>
        </w:rPr>
      </w:pPr>
      <w:r>
        <w:rPr>
          <w:sz w:val="22"/>
          <w:szCs w:val="22"/>
        </w:rPr>
        <w:t>от «____» _____20 _ г. № _____</w:t>
      </w:r>
    </w:p>
    <w:p>
      <w:pPr>
        <w:pStyle w:val="Normal"/>
        <w:widowControl/>
        <w:suppressAutoHyphens w:val="true"/>
        <w:ind w:firstLine="709"/>
        <w:rPr>
          <w:rFonts w:eastAsia="Calibri"/>
          <w:b/>
          <w:sz w:val="24"/>
          <w:szCs w:val="24"/>
          <w:lang w:eastAsia="en-US"/>
        </w:rPr>
      </w:pPr>
      <w:r>
        <w:rPr>
          <w:rFonts w:eastAsia="Calibri"/>
          <w:b/>
          <w:sz w:val="24"/>
          <w:szCs w:val="24"/>
          <w:lang w:eastAsia="en-US"/>
        </w:rPr>
      </w:r>
    </w:p>
    <w:p>
      <w:pPr>
        <w:pStyle w:val="Normal"/>
        <w:ind w:firstLine="709"/>
        <w:jc w:val="center"/>
        <w:rPr>
          <w:b/>
          <w:sz w:val="24"/>
          <w:szCs w:val="24"/>
        </w:rPr>
      </w:pPr>
      <w:r>
        <w:rPr>
          <w:b/>
          <w:sz w:val="24"/>
          <w:szCs w:val="24"/>
        </w:rPr>
      </w:r>
    </w:p>
    <w:p>
      <w:pPr>
        <w:pStyle w:val="Normal"/>
        <w:ind w:firstLine="709"/>
        <w:jc w:val="center"/>
        <w:rPr>
          <w:b/>
          <w:sz w:val="24"/>
          <w:szCs w:val="24"/>
        </w:rPr>
      </w:pPr>
      <w:r>
        <w:rPr>
          <w:b/>
          <w:sz w:val="24"/>
          <w:szCs w:val="24"/>
        </w:rPr>
      </w:r>
    </w:p>
    <w:p>
      <w:pPr>
        <w:pStyle w:val="Normal"/>
        <w:jc w:val="center"/>
        <w:rPr>
          <w:b/>
          <w:sz w:val="24"/>
          <w:szCs w:val="24"/>
        </w:rPr>
      </w:pPr>
      <w:r>
        <w:rPr>
          <w:b/>
          <w:sz w:val="24"/>
          <w:szCs w:val="24"/>
        </w:rPr>
        <w:t xml:space="preserve">СПЕЦИФИКАЦИЯ </w:t>
      </w:r>
    </w:p>
    <w:p>
      <w:pPr>
        <w:pStyle w:val="Normal"/>
        <w:jc w:val="center"/>
        <w:rPr>
          <w:b/>
          <w:sz w:val="24"/>
          <w:szCs w:val="24"/>
        </w:rPr>
      </w:pPr>
      <w:r>
        <w:rPr>
          <w:b/>
          <w:sz w:val="24"/>
          <w:szCs w:val="24"/>
        </w:rPr>
      </w:r>
    </w:p>
    <w:tbl>
      <w:tblPr>
        <w:tblW w:w="5000" w:type="pct"/>
        <w:jc w:val="left"/>
        <w:tblInd w:w="-714" w:type="dxa"/>
        <w:tblLayout w:type="fixed"/>
        <w:tblCellMar>
          <w:top w:w="0" w:type="dxa"/>
          <w:left w:w="108" w:type="dxa"/>
          <w:bottom w:w="0" w:type="dxa"/>
          <w:right w:w="108" w:type="dxa"/>
        </w:tblCellMar>
        <w:tblLook w:val="04a0" w:noHBand="0" w:noVBand="1" w:firstColumn="1" w:lastRow="0" w:lastColumn="0" w:firstRow="1"/>
      </w:tblPr>
      <w:tblGrid>
        <w:gridCol w:w="452"/>
        <w:gridCol w:w="393"/>
        <w:gridCol w:w="602"/>
        <w:gridCol w:w="611"/>
        <w:gridCol w:w="612"/>
        <w:gridCol w:w="777"/>
        <w:gridCol w:w="724"/>
        <w:gridCol w:w="624"/>
        <w:gridCol w:w="731"/>
        <w:gridCol w:w="690"/>
        <w:gridCol w:w="516"/>
        <w:gridCol w:w="647"/>
        <w:gridCol w:w="551"/>
        <w:gridCol w:w="515"/>
        <w:gridCol w:w="716"/>
        <w:gridCol w:w="473"/>
      </w:tblGrid>
      <w:tr>
        <w:trPr>
          <w:trHeight w:val="526" w:hRule="atLeast"/>
        </w:trPr>
        <w:tc>
          <w:tcPr>
            <w:tcW w:w="45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 xml:space="preserve">№ </w:t>
            </w:r>
            <w:r>
              <w:rPr>
                <w:bCs/>
              </w:rPr>
              <w:t>партии</w:t>
            </w:r>
          </w:p>
        </w:tc>
        <w:tc>
          <w:tcPr>
            <w:tcW w:w="39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 xml:space="preserve">№ </w:t>
            </w:r>
            <w:r>
              <w:rPr>
                <w:bCs/>
              </w:rPr>
              <w:t>поз.</w:t>
            </w:r>
          </w:p>
        </w:tc>
        <w:tc>
          <w:tcPr>
            <w:tcW w:w="6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Наименование Товара</w:t>
            </w:r>
          </w:p>
        </w:tc>
        <w:tc>
          <w:tcPr>
            <w:tcW w:w="61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t>Артикул, тип, марка</w:t>
            </w:r>
          </w:p>
        </w:tc>
        <w:tc>
          <w:tcPr>
            <w:tcW w:w="61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Завод изготовитель</w:t>
            </w:r>
          </w:p>
        </w:tc>
        <w:tc>
          <w:tcPr>
            <w:tcW w:w="77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t>Страна происхождения Товара</w:t>
            </w:r>
            <w:r>
              <w:rPr>
                <w:rStyle w:val="FootnoteReference"/>
                <w:bCs/>
              </w:rPr>
              <w:footnoteReference w:id="7"/>
            </w:r>
          </w:p>
        </w:tc>
        <w:tc>
          <w:tcPr>
            <w:tcW w:w="72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t>Страна регистрации производителя Товара</w:t>
            </w:r>
          </w:p>
        </w:tc>
        <w:tc>
          <w:tcPr>
            <w:tcW w:w="62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Код ОКПД 2 (с наименованием)</w:t>
            </w:r>
          </w:p>
        </w:tc>
        <w:tc>
          <w:tcPr>
            <w:tcW w:w="7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Единица измерения</w:t>
            </w:r>
          </w:p>
        </w:tc>
        <w:tc>
          <w:tcPr>
            <w:tcW w:w="69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
                <w:bCs/>
              </w:rPr>
            </w:pPr>
            <w:r>
              <w:rPr>
                <w:b/>
                <w:bCs/>
              </w:rPr>
            </w:r>
          </w:p>
          <w:p>
            <w:pPr>
              <w:pStyle w:val="Normal"/>
              <w:widowControl w:val="false"/>
              <w:jc w:val="center"/>
              <w:rPr>
                <w:bCs/>
              </w:rPr>
            </w:pPr>
            <w:r>
              <w:rPr>
                <w:bCs/>
                <w:highlight w:val="lightGray"/>
              </w:rPr>
              <w:t>Порядковый номер(а) реестровой(ых) записи(ей)</w:t>
            </w:r>
            <w:r>
              <w:rPr>
                <w:rStyle w:val="FootnoteReference"/>
                <w:bCs/>
                <w:highlight w:val="lightGray"/>
              </w:rPr>
              <w:footnoteReference w:id="8"/>
            </w:r>
          </w:p>
          <w:p>
            <w:pPr>
              <w:pStyle w:val="Normal"/>
              <w:widowControl w:val="false"/>
              <w:jc w:val="center"/>
              <w:rPr>
                <w:bCs/>
              </w:rPr>
            </w:pPr>
            <w:r>
              <w:rPr>
                <w:bCs/>
              </w:rPr>
            </w:r>
          </w:p>
        </w:tc>
        <w:tc>
          <w:tcPr>
            <w:tcW w:w="5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Количество</w:t>
            </w:r>
          </w:p>
        </w:tc>
        <w:tc>
          <w:tcPr>
            <w:tcW w:w="64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Цена за единицу, руб. без НДС</w:t>
            </w:r>
          </w:p>
        </w:tc>
        <w:tc>
          <w:tcPr>
            <w:tcW w:w="55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Цена, руб. без НДС</w:t>
            </w:r>
          </w:p>
        </w:tc>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НДС</w:t>
            </w:r>
          </w:p>
          <w:p>
            <w:pPr>
              <w:pStyle w:val="Normal"/>
              <w:widowControl w:val="false"/>
              <w:jc w:val="center"/>
              <w:rPr>
                <w:bCs/>
              </w:rPr>
            </w:pPr>
            <w:r>
              <w:rPr>
                <w:bCs/>
              </w:rPr>
              <w:t>(___%) руб.*</w:t>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Стоимость, руб., с НДС*</w:t>
            </w:r>
          </w:p>
        </w:tc>
        <w:tc>
          <w:tcPr>
            <w:tcW w:w="47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Перечень сопроводительных документов (в том числе подтверждающих качество Товара)</w:t>
            </w:r>
          </w:p>
        </w:tc>
      </w:tr>
      <w:tr>
        <w:trPr>
          <w:trHeight w:val="538" w:hRule="atLeast"/>
        </w:trPr>
        <w:tc>
          <w:tcPr>
            <w:tcW w:w="452"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highlight w:val="lightGray"/>
              </w:rPr>
            </w:pPr>
            <w:r>
              <w:rPr>
                <w:bCs/>
                <w:highlight w:val="lightGray"/>
              </w:rPr>
              <w:t>1</w:t>
            </w:r>
          </w:p>
        </w:tc>
        <w:tc>
          <w:tcPr>
            <w:tcW w:w="39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1</w:t>
            </w:r>
          </w:p>
        </w:tc>
        <w:tc>
          <w:tcPr>
            <w:tcW w:w="6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11"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77"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24"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24"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31"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9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4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5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47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538" w:hRule="atLeast"/>
        </w:trPr>
        <w:tc>
          <w:tcPr>
            <w:tcW w:w="45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highlight w:val="lightGray"/>
              </w:rPr>
            </w:pPr>
            <w:r>
              <w:rPr>
                <w:bCs/>
                <w:highlight w:val="lightGray"/>
              </w:rPr>
            </w:r>
          </w:p>
        </w:tc>
        <w:tc>
          <w:tcPr>
            <w:tcW w:w="39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2</w:t>
            </w:r>
          </w:p>
        </w:tc>
        <w:tc>
          <w:tcPr>
            <w:tcW w:w="6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11"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77"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24"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24"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31"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9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4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5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47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62" w:hRule="atLeast"/>
        </w:trPr>
        <w:tc>
          <w:tcPr>
            <w:tcW w:w="8445" w:type="dxa"/>
            <w:gridSpan w:val="14"/>
            <w:tcBorders>
              <w:top w:val="single" w:sz="4" w:space="0" w:color="000000"/>
              <w:left w:val="single" w:sz="4" w:space="0" w:color="000000"/>
              <w:bottom w:val="single" w:sz="4" w:space="0" w:color="000000"/>
              <w:right w:val="single" w:sz="4" w:space="0" w:color="000000"/>
            </w:tcBorders>
          </w:tcPr>
          <w:p>
            <w:pPr>
              <w:pStyle w:val="Normal"/>
              <w:widowControl w:val="false"/>
              <w:jc w:val="center"/>
              <w:rPr>
                <w:highlight w:val="yellow"/>
              </w:rPr>
            </w:pPr>
            <w:r>
              <w:rPr>
                <w:highlight w:val="lightGray"/>
              </w:rPr>
              <w:t>Итого стоимость партии Товара №1</w:t>
            </w:r>
            <w:r>
              <w:rPr/>
              <w:t>, руб. с НДС</w:t>
            </w:r>
            <w:r>
              <w:rPr>
                <w:shd w:fill="auto" w:val="clear"/>
              </w:rPr>
              <w:t>*</w:t>
            </w:r>
          </w:p>
        </w:tc>
        <w:tc>
          <w:tcPr>
            <w:tcW w:w="1189"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538" w:hRule="atLeast"/>
        </w:trPr>
        <w:tc>
          <w:tcPr>
            <w:tcW w:w="452"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highlight w:val="lightGray"/>
              </w:rPr>
            </w:pPr>
            <w:r>
              <w:rPr>
                <w:bCs/>
                <w:highlight w:val="lightGray"/>
              </w:rPr>
              <w:t>2</w:t>
            </w:r>
          </w:p>
        </w:tc>
        <w:tc>
          <w:tcPr>
            <w:tcW w:w="39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3</w:t>
            </w:r>
          </w:p>
        </w:tc>
        <w:tc>
          <w:tcPr>
            <w:tcW w:w="6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11"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77"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24"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24"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31"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9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4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5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47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538" w:hRule="atLeast"/>
        </w:trPr>
        <w:tc>
          <w:tcPr>
            <w:tcW w:w="45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highlight w:val="lightGray"/>
              </w:rPr>
            </w:pPr>
            <w:r>
              <w:rPr>
                <w:bCs/>
                <w:highlight w:val="lightGray"/>
              </w:rPr>
            </w:r>
          </w:p>
        </w:tc>
        <w:tc>
          <w:tcPr>
            <w:tcW w:w="39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4</w:t>
            </w:r>
          </w:p>
        </w:tc>
        <w:tc>
          <w:tcPr>
            <w:tcW w:w="6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11"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77"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24"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24"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31"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9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4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5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47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62" w:hRule="atLeast"/>
        </w:trPr>
        <w:tc>
          <w:tcPr>
            <w:tcW w:w="8445" w:type="dxa"/>
            <w:gridSpan w:val="14"/>
            <w:tcBorders>
              <w:top w:val="single" w:sz="4" w:space="0" w:color="000000"/>
              <w:left w:val="single" w:sz="4" w:space="0" w:color="000000"/>
              <w:bottom w:val="single" w:sz="4" w:space="0" w:color="000000"/>
              <w:right w:val="single" w:sz="4" w:space="0" w:color="000000"/>
            </w:tcBorders>
          </w:tcPr>
          <w:p>
            <w:pPr>
              <w:pStyle w:val="Normal"/>
              <w:widowControl w:val="false"/>
              <w:jc w:val="center"/>
              <w:rPr>
                <w:highlight w:val="yellow"/>
              </w:rPr>
            </w:pPr>
            <w:r>
              <w:rPr>
                <w:highlight w:val="lightGray"/>
              </w:rPr>
              <w:t>Итого стоимость партии Товара №2</w:t>
            </w:r>
            <w:r>
              <w:rPr/>
              <w:t>, руб. с НДС</w:t>
            </w:r>
            <w:r>
              <w:rPr>
                <w:shd w:fill="auto" w:val="clear"/>
              </w:rPr>
              <w:t>*</w:t>
            </w:r>
          </w:p>
        </w:tc>
        <w:tc>
          <w:tcPr>
            <w:tcW w:w="1189"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262" w:hRule="atLeast"/>
        </w:trPr>
        <w:tc>
          <w:tcPr>
            <w:tcW w:w="8445" w:type="dxa"/>
            <w:gridSpan w:val="14"/>
            <w:tcBorders>
              <w:top w:val="single" w:sz="4" w:space="0" w:color="000000"/>
              <w:left w:val="single" w:sz="4" w:space="0" w:color="000000"/>
              <w:bottom w:val="single" w:sz="4" w:space="0" w:color="000000"/>
              <w:right w:val="single" w:sz="4" w:space="0" w:color="000000"/>
            </w:tcBorders>
          </w:tcPr>
          <w:p>
            <w:pPr>
              <w:pStyle w:val="Normal"/>
              <w:widowControl w:val="false"/>
              <w:jc w:val="center"/>
              <w:rPr>
                <w:highlight w:val="yellow"/>
              </w:rPr>
            </w:pPr>
            <w:r>
              <w:rPr>
                <w:highlight w:val="lightGray"/>
              </w:rPr>
              <w:t>Итого стоимость всего Товара (с учетом доставки), руб. с НДС*:</w:t>
            </w:r>
          </w:p>
        </w:tc>
        <w:tc>
          <w:tcPr>
            <w:tcW w:w="1189"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bl>
    <w:p>
      <w:pPr>
        <w:pStyle w:val="Normal"/>
        <w:widowControl w:val="false"/>
        <w:bidi w:val="0"/>
        <w:spacing w:before="0" w:after="0"/>
        <w:ind w:hanging="0" w:left="-680" w:right="680"/>
        <w:jc w:val="both"/>
        <w:rPr>
          <w:sz w:val="20"/>
          <w:szCs w:val="20"/>
        </w:rPr>
      </w:pPr>
      <w:r>
        <w:rPr>
          <w:i/>
          <w:iCs/>
          <w:sz w:val="20"/>
          <w:szCs w:val="20"/>
          <w:shd w:fill="auto" w:val="clear"/>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pPr>
        <w:pStyle w:val="Normal"/>
        <w:widowControl w:val="false"/>
        <w:bidi w:val="0"/>
        <w:spacing w:before="0" w:after="0"/>
        <w:ind w:hanging="0" w:left="-680" w:right="680"/>
        <w:jc w:val="both"/>
        <w:rPr>
          <w:i/>
          <w:i/>
          <w:sz w:val="20"/>
          <w:szCs w:val="20"/>
          <w:highlight w:val="yellow"/>
        </w:rPr>
      </w:pPr>
      <w:r>
        <w:rPr>
          <w:i/>
          <w:sz w:val="20"/>
          <w:szCs w:val="20"/>
          <w:highlight w:val="yellow"/>
        </w:rPr>
      </w:r>
    </w:p>
    <w:p>
      <w:pPr>
        <w:pStyle w:val="Normal"/>
        <w:rPr>
          <w:i/>
          <w:i/>
          <w:sz w:val="22"/>
          <w:szCs w:val="22"/>
          <w:highlight w:val="lightGray"/>
        </w:rPr>
      </w:pPr>
      <w:r>
        <w:rPr>
          <w:i/>
          <w:sz w:val="22"/>
          <w:szCs w:val="22"/>
          <w:highlight w:val="lightGray"/>
        </w:rPr>
        <w:t>1. В спецификацию при необходимости включаются требования к Товару, таре/упаковке, перечень нормативных документов, которым должен соответствовать Товар  (ГОСТ, ТУ) и иные сведения, имеющие значение для Договора;</w:t>
      </w:r>
    </w:p>
    <w:p>
      <w:pPr>
        <w:pStyle w:val="Normal"/>
        <w:rPr>
          <w:i/>
          <w:i/>
          <w:sz w:val="22"/>
          <w:szCs w:val="22"/>
        </w:rPr>
      </w:pPr>
      <w:r>
        <w:rPr>
          <w:i/>
          <w:sz w:val="22"/>
          <w:szCs w:val="22"/>
          <w:highlight w:val="lightGray"/>
        </w:rPr>
        <w:t>2. По требованию Покупателя Поставщик обязан представить запрашиваемую информацию/документы, расчеты, обосновывающие стоимость доставки.</w:t>
      </w:r>
      <w:r>
        <w:rPr>
          <w:i/>
          <w:sz w:val="22"/>
          <w:szCs w:val="22"/>
        </w:rPr>
        <w:t xml:space="preserve"> </w:t>
      </w:r>
    </w:p>
    <w:p>
      <w:pPr>
        <w:pStyle w:val="Normal"/>
        <w:jc w:val="both"/>
        <w:rPr>
          <w:i/>
          <w:i/>
          <w:sz w:val="24"/>
          <w:szCs w:val="24"/>
        </w:rPr>
      </w:pPr>
      <w:r>
        <w:rPr>
          <w:i/>
          <w:sz w:val="24"/>
          <w:szCs w:val="24"/>
          <w:highlight w:val="lightGray"/>
        </w:rPr>
        <w:t>]</w:t>
      </w:r>
    </w:p>
    <w:p>
      <w:pPr>
        <w:pStyle w:val="Normal"/>
        <w:ind w:firstLine="709"/>
        <w:jc w:val="both"/>
        <w:rPr>
          <w:i/>
          <w:i/>
          <w:sz w:val="24"/>
          <w:szCs w:val="24"/>
        </w:rPr>
      </w:pPr>
      <w:r>
        <w:rPr>
          <w:i/>
          <w:sz w:val="24"/>
          <w:szCs w:val="24"/>
        </w:rPr>
        <w:t xml:space="preserve"> </w:t>
      </w:r>
    </w:p>
    <w:p>
      <w:pPr>
        <w:pStyle w:val="Normal"/>
        <w:widowControl/>
        <w:suppressAutoHyphens w:val="true"/>
        <w:ind w:firstLine="709"/>
        <w:rPr>
          <w:rFonts w:eastAsia="Calibri"/>
          <w:b/>
          <w:sz w:val="24"/>
          <w:szCs w:val="24"/>
          <w:lang w:eastAsia="en-US"/>
        </w:rPr>
      </w:pPr>
      <w:r>
        <w:rPr>
          <w:rFonts w:eastAsia="Calibri"/>
          <w:b/>
          <w:sz w:val="24"/>
          <w:szCs w:val="24"/>
          <w:lang w:eastAsia="en-US"/>
        </w:rPr>
      </w:r>
    </w:p>
    <w:p>
      <w:pPr>
        <w:pStyle w:val="Normal"/>
        <w:widowControl/>
        <w:suppressAutoHyphens w:val="true"/>
        <w:ind w:firstLine="709"/>
        <w:rPr>
          <w:rFonts w:eastAsia="Calibri"/>
          <w:b/>
          <w:sz w:val="24"/>
          <w:szCs w:val="24"/>
          <w:lang w:eastAsia="en-US"/>
        </w:rPr>
      </w:pPr>
      <w:r>
        <w:rPr>
          <w:rFonts w:eastAsia="Calibri"/>
          <w:b/>
          <w:sz w:val="24"/>
          <w:szCs w:val="24"/>
          <w:lang w:eastAsia="en-US"/>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firstLine="709" w:left="0"/>
        <w:jc w:val="center"/>
        <w:outlineLvl w:val="0"/>
        <w:rPr>
          <w:bCs/>
          <w:sz w:val="24"/>
          <w:szCs w:val="24"/>
        </w:rPr>
      </w:pPr>
      <w:r>
        <w:rPr>
          <w:bCs/>
          <w:sz w:val="24"/>
          <w:szCs w:val="24"/>
        </w:rPr>
      </w:r>
    </w:p>
    <w:tbl>
      <w:tblPr>
        <w:tblW w:w="9815" w:type="dxa"/>
        <w:jc w:val="left"/>
        <w:tblInd w:w="-176" w:type="dxa"/>
        <w:tblLayout w:type="fixed"/>
        <w:tblCellMar>
          <w:top w:w="0" w:type="dxa"/>
          <w:left w:w="108" w:type="dxa"/>
          <w:bottom w:w="0" w:type="dxa"/>
          <w:right w:w="108" w:type="dxa"/>
        </w:tblCellMar>
        <w:tblLook w:val="04a0" w:noHBand="0" w:noVBand="1" w:firstColumn="1" w:lastRow="0" w:lastColumn="0" w:firstRow="1"/>
      </w:tblPr>
      <w:tblGrid>
        <w:gridCol w:w="4995"/>
        <w:gridCol w:w="4819"/>
      </w:tblGrid>
      <w:tr>
        <w:trPr/>
        <w:tc>
          <w:tcPr>
            <w:tcW w:w="4995" w:type="dxa"/>
            <w:tcBorders/>
            <w:shd w:color="auto" w:fill="auto" w:val="clear"/>
          </w:tcPr>
          <w:p>
            <w:pPr>
              <w:pStyle w:val="Normal"/>
              <w:widowControl w:val="false"/>
              <w:rPr>
                <w:b/>
                <w:sz w:val="24"/>
                <w:szCs w:val="24"/>
              </w:rPr>
            </w:pPr>
            <w:r>
              <w:rPr>
                <w:b/>
                <w:sz w:val="24"/>
                <w:szCs w:val="24"/>
              </w:rPr>
              <w:t>Покупатель:</w:t>
            </w:r>
          </w:p>
          <w:p>
            <w:pPr>
              <w:pStyle w:val="Normal"/>
              <w:widowControl w:val="false"/>
              <w:rPr>
                <w:b/>
                <w:sz w:val="24"/>
                <w:szCs w:val="24"/>
              </w:rPr>
            </w:pPr>
            <w:r>
              <w:rPr>
                <w:b/>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_____________________/_____________</w:t>
            </w:r>
          </w:p>
          <w:p>
            <w:pPr>
              <w:pStyle w:val="Normal"/>
              <w:widowControl w:val="false"/>
              <w:ind w:firstLine="709"/>
              <w:rPr>
                <w:sz w:val="24"/>
                <w:szCs w:val="24"/>
              </w:rPr>
            </w:pPr>
            <w:r>
              <w:rPr>
                <w:sz w:val="24"/>
                <w:szCs w:val="24"/>
              </w:rPr>
            </w:r>
          </w:p>
        </w:tc>
        <w:tc>
          <w:tcPr>
            <w:tcW w:w="4819" w:type="dxa"/>
            <w:tcBorders/>
            <w:shd w:color="auto" w:fill="auto" w:val="clear"/>
          </w:tcPr>
          <w:p>
            <w:pPr>
              <w:pStyle w:val="Normal"/>
              <w:widowControl w:val="false"/>
              <w:rPr>
                <w:b/>
                <w:sz w:val="24"/>
                <w:szCs w:val="24"/>
              </w:rPr>
            </w:pPr>
            <w:r>
              <w:rPr>
                <w:b/>
                <w:sz w:val="24"/>
                <w:szCs w:val="24"/>
              </w:rPr>
              <w:t>Поставщик:</w:t>
            </w:r>
          </w:p>
          <w:p>
            <w:pPr>
              <w:pStyle w:val="Normal"/>
              <w:widowControl w:val="false"/>
              <w:rPr>
                <w:b/>
                <w:sz w:val="24"/>
                <w:szCs w:val="24"/>
              </w:rPr>
            </w:pPr>
            <w:r>
              <w:rPr>
                <w:b/>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_____________________/____________</w:t>
            </w:r>
          </w:p>
          <w:p>
            <w:pPr>
              <w:pStyle w:val="Normal"/>
              <w:widowControl w:val="false"/>
              <w:ind w:firstLine="709"/>
              <w:rPr>
                <w:b/>
                <w:sz w:val="24"/>
                <w:szCs w:val="24"/>
              </w:rPr>
            </w:pPr>
            <w:r>
              <w:rPr>
                <w:b/>
                <w:sz w:val="24"/>
                <w:szCs w:val="24"/>
              </w:rPr>
              <w:t>Выбор значения...</w:t>
            </w:r>
          </w:p>
        </w:tc>
      </w:tr>
    </w:tbl>
    <w:p>
      <w:pPr>
        <w:sectPr>
          <w:headerReference w:type="default" r:id="rId8"/>
          <w:headerReference w:type="first" r:id="rId9"/>
          <w:footerReference w:type="default" r:id="rId10"/>
          <w:footerReference w:type="first" r:id="rId11"/>
          <w:footnotePr>
            <w:numFmt w:val="decimal"/>
          </w:footnotePr>
          <w:type w:val="nextPage"/>
          <w:pgSz w:w="11906" w:h="16838"/>
          <w:pgMar w:left="1418" w:right="851" w:gutter="0" w:header="709" w:top="1134" w:footer="709" w:bottom="1134"/>
          <w:pgNumType w:fmt="decimal"/>
          <w:formProt w:val="false"/>
          <w:textDirection w:val="lrTb"/>
          <w:docGrid w:type="default" w:linePitch="299" w:charSpace="8192"/>
        </w:sectPr>
      </w:pPr>
    </w:p>
    <w:p>
      <w:pPr>
        <w:pStyle w:val="Normal"/>
        <w:suppressAutoHyphens w:val="true"/>
        <w:ind w:firstLine="4820"/>
        <w:rPr>
          <w:sz w:val="22"/>
          <w:szCs w:val="22"/>
        </w:rPr>
      </w:pPr>
      <w:r>
        <w:rPr>
          <w:sz w:val="22"/>
          <w:szCs w:val="22"/>
        </w:rPr>
        <w:t>Приложение № 2</w:t>
      </w:r>
    </w:p>
    <w:p>
      <w:pPr>
        <w:pStyle w:val="Normal"/>
        <w:suppressAutoHyphens w:val="true"/>
        <w:ind w:firstLine="4820"/>
        <w:rPr>
          <w:sz w:val="22"/>
          <w:szCs w:val="22"/>
        </w:rPr>
      </w:pPr>
      <w:r>
        <w:rPr>
          <w:sz w:val="22"/>
          <w:szCs w:val="22"/>
        </w:rPr>
        <w:t>к Договору поставки</w:t>
      </w:r>
    </w:p>
    <w:p>
      <w:pPr>
        <w:pStyle w:val="Normal"/>
        <w:suppressAutoHyphens w:val="true"/>
        <w:ind w:firstLine="4820"/>
        <w:rPr>
          <w:sz w:val="22"/>
          <w:szCs w:val="22"/>
        </w:rPr>
      </w:pPr>
      <w:r>
        <w:rPr>
          <w:sz w:val="22"/>
          <w:szCs w:val="22"/>
        </w:rPr>
        <w:t>от «____» __________ 20 _ г. № ____</w:t>
      </w:r>
    </w:p>
    <w:p>
      <w:pPr>
        <w:pStyle w:val="Normal"/>
        <w:suppressAutoHyphens w:val="true"/>
        <w:ind w:firstLine="5812"/>
        <w:jc w:val="center"/>
        <w:rPr>
          <w:b/>
          <w:sz w:val="24"/>
          <w:szCs w:val="24"/>
        </w:rPr>
      </w:pPr>
      <w:r>
        <w:rPr>
          <w:b/>
          <w:sz w:val="24"/>
          <w:szCs w:val="24"/>
        </w:rPr>
      </w:r>
    </w:p>
    <w:p>
      <w:pPr>
        <w:pStyle w:val="Normal"/>
        <w:suppressAutoHyphens w:val="true"/>
        <w:ind w:firstLine="5812"/>
        <w:jc w:val="center"/>
        <w:rPr>
          <w:b/>
          <w:sz w:val="24"/>
          <w:szCs w:val="24"/>
        </w:rPr>
      </w:pPr>
      <w:r>
        <w:rPr>
          <w:b/>
          <w:sz w:val="24"/>
          <w:szCs w:val="24"/>
        </w:rPr>
      </w:r>
    </w:p>
    <w:p>
      <w:pPr>
        <w:pStyle w:val="Normal"/>
        <w:jc w:val="center"/>
        <w:rPr>
          <w:b/>
          <w:bCs/>
          <w:sz w:val="24"/>
          <w:szCs w:val="24"/>
        </w:rPr>
      </w:pPr>
      <w:r>
        <w:rPr>
          <w:b/>
          <w:bCs/>
          <w:sz w:val="24"/>
          <w:szCs w:val="24"/>
        </w:rPr>
        <w:t>Размер ответственности Поставщика за нарушения</w:t>
      </w:r>
    </w:p>
    <w:p>
      <w:pPr>
        <w:pStyle w:val="Normal"/>
        <w:jc w:val="center"/>
        <w:rPr>
          <w:b/>
          <w:bCs/>
          <w:sz w:val="24"/>
          <w:szCs w:val="24"/>
        </w:rPr>
      </w:pPr>
      <w:r>
        <w:rPr>
          <w:b/>
          <w:bCs/>
          <w:sz w:val="24"/>
          <w:szCs w:val="24"/>
        </w:rPr>
        <w:t>пропускного и внутриобъектового режима, требований охраны труда,</w:t>
      </w:r>
    </w:p>
    <w:p>
      <w:pPr>
        <w:pStyle w:val="Normal"/>
        <w:jc w:val="center"/>
        <w:rPr>
          <w:b/>
          <w:sz w:val="24"/>
          <w:szCs w:val="24"/>
        </w:rPr>
      </w:pPr>
      <w:r>
        <w:rPr>
          <w:b/>
          <w:bCs/>
          <w:sz w:val="24"/>
          <w:szCs w:val="24"/>
        </w:rPr>
        <w:t>пожарной и промышленной безопасности</w:t>
      </w:r>
    </w:p>
    <w:p>
      <w:pPr>
        <w:pStyle w:val="Normal"/>
        <w:rPr>
          <w:b/>
          <w:sz w:val="24"/>
          <w:szCs w:val="24"/>
        </w:rPr>
      </w:pPr>
      <w:r>
        <w:rPr>
          <w:b/>
          <w:sz w:val="24"/>
          <w:szCs w:val="24"/>
        </w:rPr>
      </w:r>
    </w:p>
    <w:tbl>
      <w:tblPr>
        <w:tblW w:w="5000" w:type="pct"/>
        <w:jc w:val="left"/>
        <w:tblInd w:w="0" w:type="dxa"/>
        <w:tblLayout w:type="fixed"/>
        <w:tblCellMar>
          <w:top w:w="0" w:type="dxa"/>
          <w:left w:w="108" w:type="dxa"/>
          <w:bottom w:w="0" w:type="dxa"/>
          <w:right w:w="108" w:type="dxa"/>
        </w:tblCellMar>
        <w:tblLook w:val="01e0" w:noHBand="0" w:noVBand="0" w:firstColumn="1" w:lastRow="1" w:lastColumn="1" w:firstRow="1"/>
      </w:tblPr>
      <w:tblGrid>
        <w:gridCol w:w="3828"/>
        <w:gridCol w:w="5808"/>
      </w:tblGrid>
      <w:tr>
        <w:trPr/>
        <w:tc>
          <w:tcPr>
            <w:tcW w:w="3828"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Виды нарушений</w:t>
            </w:r>
          </w:p>
        </w:tc>
        <w:tc>
          <w:tcPr>
            <w:tcW w:w="5808"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Штрафные санкции</w:t>
            </w:r>
          </w:p>
        </w:tc>
      </w:tr>
      <w:tr>
        <w:trPr/>
        <w:tc>
          <w:tcPr>
            <w:tcW w:w="3828"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 Нарушение правил пожарной безопасности (ППБ):</w:t>
            </w:r>
          </w:p>
        </w:tc>
        <w:tc>
          <w:tcPr>
            <w:tcW w:w="5808"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3828"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1.1. Нарушение ППБ без возникновения пожара</w:t>
            </w:r>
          </w:p>
          <w:p>
            <w:pPr>
              <w:pStyle w:val="Normal"/>
              <w:widowControl w:val="false"/>
              <w:rPr>
                <w:b/>
                <w:sz w:val="24"/>
                <w:szCs w:val="24"/>
              </w:rPr>
            </w:pPr>
            <w:r>
              <w:rPr>
                <w:b/>
                <w:sz w:val="24"/>
                <w:szCs w:val="24"/>
              </w:rPr>
            </w:r>
          </w:p>
        </w:tc>
        <w:tc>
          <w:tcPr>
            <w:tcW w:w="5808"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25 000 (двадцать пять тысяч) рублей за каждый случай нарушения.</w:t>
            </w:r>
          </w:p>
          <w:p>
            <w:pPr>
              <w:pStyle w:val="Normal"/>
              <w:widowControl w:val="false"/>
              <w:jc w:val="both"/>
              <w:rPr>
                <w:sz w:val="24"/>
                <w:szCs w:val="24"/>
              </w:rPr>
            </w:pPr>
            <w:r>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3828"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1.2. Нарушение ППБ, ставшее причиной возникновения пожара, не причинившего ущерб имуществу Покупателя</w:t>
            </w:r>
          </w:p>
        </w:tc>
        <w:tc>
          <w:tcPr>
            <w:tcW w:w="5808"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50 000 (пятьдесят тысяч) рублей за каждый случай нарушения.</w:t>
            </w:r>
          </w:p>
          <w:p>
            <w:pPr>
              <w:pStyle w:val="Normal"/>
              <w:widowControl w:val="false"/>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3828"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1.3. Нарушение ППБ, ставшее причиной возникновения пожара, причинившего ущерб имуществу Покупателя.</w:t>
            </w:r>
          </w:p>
        </w:tc>
        <w:tc>
          <w:tcPr>
            <w:tcW w:w="5808"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 xml:space="preserve"> </w:t>
            </w:r>
            <w:r>
              <w:rPr>
                <w:sz w:val="24"/>
                <w:szCs w:val="24"/>
              </w:rPr>
              <w:t>250 000 (двести пятьдесят тысяч) рублей за каждый случай нарушения.</w:t>
            </w:r>
          </w:p>
        </w:tc>
      </w:tr>
      <w:tr>
        <w:trPr/>
        <w:tc>
          <w:tcPr>
            <w:tcW w:w="3828"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2.</w:t>
            </w:r>
            <w:r>
              <w:rPr>
                <w:b/>
                <w:sz w:val="24"/>
                <w:szCs w:val="24"/>
              </w:rPr>
              <w:t xml:space="preserve"> </w:t>
            </w:r>
            <w:r>
              <w:rPr>
                <w:sz w:val="24"/>
                <w:szCs w:val="24"/>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r>
              <w:rPr>
                <w:b/>
                <w:sz w:val="24"/>
                <w:szCs w:val="24"/>
              </w:rPr>
              <w:t xml:space="preserve"> </w:t>
            </w:r>
          </w:p>
        </w:tc>
        <w:tc>
          <w:tcPr>
            <w:tcW w:w="5808"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- 50 000 (пятьдесят тысяч) рублей за каждый случай нарушения;</w:t>
            </w:r>
          </w:p>
          <w:p>
            <w:pPr>
              <w:pStyle w:val="Normal"/>
              <w:widowControl w:val="false"/>
              <w:jc w:val="both"/>
              <w:rPr>
                <w:sz w:val="24"/>
                <w:szCs w:val="24"/>
              </w:rPr>
            </w:pPr>
            <w:r>
              <w:rPr>
                <w:sz w:val="24"/>
                <w:szCs w:val="24"/>
              </w:rPr>
              <w:t xml:space="preserve">- 500 (пятьсот) рублей в случае утраты или приведения в негодность электронного пропуска, выданного Покупателем. </w:t>
            </w:r>
          </w:p>
          <w:p>
            <w:pPr>
              <w:pStyle w:val="Normal"/>
              <w:widowControl w:val="false"/>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pPr>
        <w:pStyle w:val="Normal"/>
        <w:ind w:firstLine="709"/>
        <w:rPr>
          <w:sz w:val="24"/>
          <w:szCs w:val="24"/>
        </w:rPr>
      </w:pPr>
      <w:r>
        <w:rPr>
          <w:sz w:val="24"/>
          <w:szCs w:val="24"/>
        </w:rPr>
      </w:r>
    </w:p>
    <w:p>
      <w:pPr>
        <w:pStyle w:val="Normal"/>
        <w:ind w:firstLine="709"/>
        <w:rPr>
          <w:sz w:val="24"/>
          <w:szCs w:val="24"/>
        </w:rPr>
      </w:pPr>
      <w:r>
        <w:rPr>
          <w:sz w:val="24"/>
          <w:szCs w:val="24"/>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firstLine="709" w:left="0"/>
        <w:jc w:val="center"/>
        <w:outlineLvl w:val="0"/>
        <w:rPr>
          <w:bCs/>
          <w:sz w:val="24"/>
          <w:szCs w:val="24"/>
        </w:rPr>
      </w:pPr>
      <w:r>
        <w:rPr>
          <w:bCs/>
          <w:sz w:val="24"/>
          <w:szCs w:val="24"/>
        </w:rPr>
      </w:r>
    </w:p>
    <w:tbl>
      <w:tblPr>
        <w:tblW w:w="9652"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820"/>
        <w:gridCol w:w="4831"/>
      </w:tblGrid>
      <w:tr>
        <w:trPr/>
        <w:tc>
          <w:tcPr>
            <w:tcW w:w="4820" w:type="dxa"/>
            <w:tcBorders/>
            <w:shd w:color="auto" w:fill="auto" w:val="clear"/>
          </w:tcPr>
          <w:p>
            <w:pPr>
              <w:pStyle w:val="Normal"/>
              <w:widowControl w:val="false"/>
              <w:rPr>
                <w:b/>
                <w:sz w:val="24"/>
                <w:szCs w:val="24"/>
              </w:rPr>
            </w:pPr>
            <w:r>
              <w:rPr>
                <w:b/>
                <w:sz w:val="24"/>
                <w:szCs w:val="24"/>
              </w:rPr>
              <w:t>Покупатель:</w:t>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_____________________/_____________</w:t>
            </w:r>
          </w:p>
          <w:p>
            <w:pPr>
              <w:pStyle w:val="Normal"/>
              <w:widowControl w:val="false"/>
              <w:ind w:firstLine="709"/>
              <w:rPr>
                <w:sz w:val="24"/>
                <w:szCs w:val="24"/>
              </w:rPr>
            </w:pPr>
            <w:r>
              <w:rPr>
                <w:sz w:val="24"/>
                <w:szCs w:val="24"/>
              </w:rPr>
            </w:r>
          </w:p>
        </w:tc>
        <w:tc>
          <w:tcPr>
            <w:tcW w:w="4831" w:type="dxa"/>
            <w:tcBorders/>
            <w:shd w:color="auto" w:fill="auto" w:val="clear"/>
          </w:tcPr>
          <w:p>
            <w:pPr>
              <w:pStyle w:val="Normal"/>
              <w:widowControl w:val="false"/>
              <w:rPr>
                <w:b/>
                <w:sz w:val="24"/>
                <w:szCs w:val="24"/>
              </w:rPr>
            </w:pPr>
            <w:r>
              <w:rPr>
                <w:b/>
                <w:sz w:val="24"/>
                <w:szCs w:val="24"/>
              </w:rPr>
              <w:t>Поставщик:</w:t>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_____________________/___________</w:t>
            </w:r>
          </w:p>
          <w:p>
            <w:pPr>
              <w:pStyle w:val="Normal"/>
              <w:widowControl w:val="false"/>
              <w:ind w:firstLine="709"/>
              <w:rPr>
                <w:b/>
                <w:sz w:val="24"/>
                <w:szCs w:val="24"/>
              </w:rPr>
            </w:pPr>
            <w:r>
              <w:rPr>
                <w:b/>
                <w:sz w:val="24"/>
                <w:szCs w:val="24"/>
              </w:rPr>
            </w:r>
          </w:p>
        </w:tc>
      </w:tr>
    </w:tbl>
    <w:p>
      <w:pPr>
        <w:pStyle w:val="Normal"/>
        <w:ind w:firstLine="709"/>
        <w:rPr>
          <w:b/>
          <w:bCs/>
          <w:sz w:val="24"/>
          <w:szCs w:val="24"/>
        </w:rPr>
      </w:pPr>
      <w:r>
        <w:rPr>
          <w:b/>
          <w:bCs/>
          <w:sz w:val="24"/>
          <w:szCs w:val="24"/>
        </w:rPr>
      </w:r>
    </w:p>
    <w:sectPr>
      <w:headerReference w:type="default" r:id="rId12"/>
      <w:headerReference w:type="first" r:id="rId13"/>
      <w:footerReference w:type="default" r:id="rId14"/>
      <w:footerReference w:type="first" r:id="rId15"/>
      <w:footnotePr>
        <w:numFmt w:val="decimal"/>
      </w:footnotePr>
      <w:type w:val="nextPage"/>
      <w:pgSz w:w="11906" w:h="16838"/>
      <w:pgMar w:left="1418" w:right="851" w:gutter="0" w:header="567" w:top="1134" w:footer="709" w:bottom="1134"/>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roman"/>
    <w:pitch w:val="variable"/>
  </w:font>
  <w:font w:name="Courier New">
    <w:charset w:val="01"/>
    <w:family w:val="roman"/>
    <w:pitch w:val="variable"/>
  </w:font>
  <w:font w:name="Tahoma">
    <w:charset w:val="01"/>
    <w:family w:val="roman"/>
    <w:pitch w:val="variable"/>
  </w:font>
  <w:font w:name="Verdana">
    <w:charset w:val="01"/>
    <w:family w:val="roman"/>
    <w:pitch w:val="variable"/>
  </w:font>
  <w:font w:name="Calibri">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13</w:t>
    </w:r>
    <w:r>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16</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sz w:val="22"/>
        <w:szCs w:val="22"/>
      </w:rPr>
      <w:fldChar w:fldCharType="begin"/>
    </w:r>
    <w:r>
      <w:rPr>
        <w:sz w:val="22"/>
        <w:szCs w:val="22"/>
      </w:rPr>
      <w:instrText xml:space="preserve"> PAGE </w:instrText>
    </w:r>
    <w:r>
      <w:rPr>
        <w:sz w:val="22"/>
        <w:szCs w:val="22"/>
      </w:rPr>
      <w:fldChar w:fldCharType="separate"/>
    </w:r>
    <w:r>
      <w:rPr>
        <w:sz w:val="22"/>
        <w:szCs w:val="22"/>
      </w:rPr>
      <w:t>17</w:t>
    </w:r>
    <w:r>
      <w:rPr>
        <w:sz w:val="22"/>
        <w:szCs w:val="22"/>
      </w:rPr>
      <w:fldChar w:fldCharType="end"/>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rStyle w:val="Style14"/>
        </w:rPr>
      </w:pPr>
      <w:r>
        <w:rPr>
          <w:rStyle w:val="Style14"/>
        </w:rPr>
        <w:footnoteRef/>
      </w:r>
      <w:r>
        <w:rPr/>
      </w:r>
    </w:p>
  </w:footnote>
  <w:footnote w:id="3">
    <w:p>
      <w:pPr>
        <w:pStyle w:val="FootnoteText"/>
        <w:jc w:val="both"/>
        <w:rPr/>
      </w:pPr>
      <w:r>
        <w:rPr>
          <w:rStyle w:val="Style14"/>
        </w:rPr>
        <w:footnoteRef/>
      </w:r>
      <w:r>
        <w:rPr/>
        <w:t xml:space="preserve"> </w:t>
      </w:r>
      <w:r>
        <w:rPr/>
        <w:t>Исключается из Договора в случае, если Поставщиком применяется упрощенная система налогообложения</w:t>
      </w:r>
    </w:p>
  </w:footnote>
  <w:footnote w:id="4">
    <w:p>
      <w:pPr>
        <w:pStyle w:val="FootnoteText"/>
        <w:rPr/>
      </w:pPr>
      <w:r>
        <w:rPr>
          <w:rStyle w:val="Style14"/>
        </w:rPr>
        <w:footnoteRef/>
      </w:r>
      <w:r>
        <w:rPr/>
        <w:t xml:space="preserve"> </w:t>
      </w:r>
      <w:r>
        <w:rPr/>
        <w:t>Исключается из Договора в случае, если контрагентом применяется упрощенная система налогообложения</w:t>
      </w:r>
    </w:p>
  </w:footnote>
  <w:footnote w:id="5">
    <w:p>
      <w:pPr>
        <w:pStyle w:val="FootnoteText"/>
        <w:jc w:val="both"/>
        <w:rPr/>
      </w:pPr>
      <w:r>
        <w:rPr>
          <w:rStyle w:val="Style14"/>
        </w:rPr>
        <w:footnoteRef/>
      </w:r>
      <w:r>
        <w:rPr/>
        <w:t xml:space="preserve"> </w:t>
      </w:r>
      <w:r>
        <w:rPr>
          <w:shd w:fill="C0C0C0" w:val="clear"/>
        </w:rPr>
        <w:t>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t>
      </w:r>
      <w:r>
        <w:rPr/>
        <w:t>.</w:t>
      </w:r>
    </w:p>
  </w:footnote>
  <w:footnote w:id="6">
    <w:p>
      <w:pPr>
        <w:pStyle w:val="FootnoteText"/>
        <w:jc w:val="both"/>
        <w:rPr/>
      </w:pPr>
      <w:r>
        <w:rPr>
          <w:rStyle w:val="Style14"/>
        </w:rPr>
        <w:footnoteRef/>
      </w:r>
      <w:r>
        <w:rPr/>
        <w:t xml:space="preserve"> </w:t>
      </w:r>
      <w:r>
        <w:rPr>
          <w:highlight w:val="lightGray"/>
        </w:rPr>
        <w:t>Применяется в случае подписания собственноручно без использования усиленных квалифицированных электронных подписей (УКЭП).</w:t>
      </w:r>
    </w:p>
  </w:footnote>
  <w:footnote w:id="7">
    <w:p>
      <w:pPr>
        <w:pStyle w:val="FootnoteText"/>
        <w:jc w:val="both"/>
        <w:rPr/>
      </w:pPr>
      <w:r>
        <w:rPr>
          <w:rStyle w:val="Style14"/>
        </w:rPr>
        <w:footnoteRef/>
      </w:r>
      <w:r>
        <w:rPr/>
        <w:t xml:space="preserve"> </w:t>
      </w:r>
      <w:r>
        <w:rPr/>
        <w:t>В соответствии с Общероссийским классификатором стран мира (утв. Постановлением Госстандарта России от 14.12.2001 N 529-ст.).</w:t>
      </w:r>
    </w:p>
  </w:footnote>
  <w:footnote w:id="8">
    <w:p>
      <w:pPr>
        <w:pStyle w:val="FootnoteText"/>
        <w:jc w:val="both"/>
        <w:rPr/>
      </w:pPr>
      <w:r>
        <w:rPr>
          <w:rStyle w:val="Style14"/>
        </w:rPr>
        <w:footnoteRef/>
      </w:r>
      <w:r>
        <w:rPr>
          <w:highlight w:val="lightGray"/>
        </w:rPr>
        <w:t xml:space="preserve"> </w:t>
      </w:r>
      <w:r>
        <w:rPr>
          <w:highlight w:val="lightGray"/>
        </w:rPr>
        <w:t>Порядковый номер (номера) реестровой записи (реестровых записей), под которой (которыми) Товар включен в реестры, предусмотренные пунктом 2 Постановления Правительства РФ от 03.12.2020 № 2013</w:t>
      </w:r>
      <w:r>
        <w:rPr>
          <w:rFonts w:eastAsia="Calibri" w:eastAsiaTheme="minorHAnsi"/>
          <w:highlight w:val="lightGray"/>
          <w:lang w:eastAsia="en-US"/>
        </w:rPr>
        <w:t xml:space="preserve"> «О минимальной доле закупок товаров российского происхождения»</w:t>
      </w:r>
      <w:r>
        <w:rPr>
          <w:rFonts w:eastAsia="Calibri" w:eastAsiaTheme="minorHAnsi"/>
          <w:lang w:eastAsia="en-US"/>
        </w:rPr>
        <w:t>.</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9"/>
        <w:tab w:val="left" w:pos="1875" w:leader="none"/>
        <w:tab w:val="center" w:pos="4153" w:leader="none"/>
        <w:tab w:val="right" w:pos="8306" w:leader="none"/>
      </w:tabs>
      <w:jc w:val="right"/>
      <w:rPr/>
    </w:pPr>
    <w:r>
      <w:rPr/>
      <w:t>ТФД № 2.4.1.</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t>ТФД № 2.4.1.</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9"/>
        <w:tab w:val="left" w:pos="1875" w:leader="none"/>
        <w:tab w:val="center" w:pos="4153" w:leader="none"/>
        <w:tab w:val="right" w:pos="8306" w:leader="none"/>
      </w:tabs>
      <w:jc w:val="right"/>
      <w:rPr/>
    </w:pPr>
    <w:r>
      <w:rPr/>
      <w:t>ТФД № 2.4.1.</w:t>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360"/>
        </w:tabs>
        <w:ind w:left="360" w:hanging="360"/>
      </w:pPr>
      <w:rPr/>
    </w:lvl>
    <w:lvl w:ilvl="1">
      <w:start w:val="1"/>
      <w:numFmt w:val="decimal"/>
      <w:lvlText w:val="%1.%2."/>
      <w:lvlJc w:val="left"/>
      <w:pPr>
        <w:tabs>
          <w:tab w:val="num" w:pos="1708"/>
        </w:tabs>
        <w:ind w:left="1708"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2"/>
      <w:numFmt w:val="decimal"/>
      <w:lvlText w:val="%1."/>
      <w:lvlJc w:val="left"/>
      <w:pPr>
        <w:tabs>
          <w:tab w:val="num" w:pos="0"/>
        </w:tabs>
        <w:ind w:left="540" w:hanging="540"/>
      </w:pPr>
      <w:rPr/>
    </w:lvl>
    <w:lvl w:ilvl="1">
      <w:start w:val="3"/>
      <w:numFmt w:val="decimal"/>
      <w:lvlText w:val="%1.%2."/>
      <w:lvlJc w:val="left"/>
      <w:pPr>
        <w:tabs>
          <w:tab w:val="num" w:pos="0"/>
        </w:tabs>
        <w:ind w:left="1107" w:hanging="540"/>
      </w:pPr>
      <w:rPr/>
    </w:lvl>
    <w:lvl w:ilvl="2">
      <w:start w:val="2"/>
      <w:numFmt w:val="decimal"/>
      <w:lvlText w:val="%1.%2.%3."/>
      <w:lvlJc w:val="left"/>
      <w:pPr>
        <w:tabs>
          <w:tab w:val="num" w:pos="0"/>
        </w:tabs>
        <w:ind w:left="1854" w:hanging="720"/>
      </w:pPr>
      <w:rPr/>
    </w:lvl>
    <w:lvl w:ilvl="3">
      <w:start w:val="1"/>
      <w:numFmt w:val="decimal"/>
      <w:lvlText w:val="%1.%2.%3.%4."/>
      <w:lvlJc w:val="left"/>
      <w:pPr>
        <w:tabs>
          <w:tab w:val="num" w:pos="0"/>
        </w:tabs>
        <w:ind w:left="2421" w:hanging="720"/>
      </w:pPr>
      <w:rPr/>
    </w:lvl>
    <w:lvl w:ilvl="4">
      <w:start w:val="1"/>
      <w:numFmt w:val="decimal"/>
      <w:lvlText w:val="%1.%2.%3.%4.%5."/>
      <w:lvlJc w:val="left"/>
      <w:pPr>
        <w:tabs>
          <w:tab w:val="num" w:pos="0"/>
        </w:tabs>
        <w:ind w:left="3348" w:hanging="1080"/>
      </w:pPr>
      <w:rPr/>
    </w:lvl>
    <w:lvl w:ilvl="5">
      <w:start w:val="1"/>
      <w:numFmt w:val="decimal"/>
      <w:lvlText w:val="%1.%2.%3.%4.%5.%6."/>
      <w:lvlJc w:val="left"/>
      <w:pPr>
        <w:tabs>
          <w:tab w:val="num" w:pos="0"/>
        </w:tabs>
        <w:ind w:left="3915" w:hanging="1080"/>
      </w:pPr>
      <w:rPr/>
    </w:lvl>
    <w:lvl w:ilvl="6">
      <w:start w:val="1"/>
      <w:numFmt w:val="decimal"/>
      <w:lvlText w:val="%1.%2.%3.%4.%5.%6.%7."/>
      <w:lvlJc w:val="left"/>
      <w:pPr>
        <w:tabs>
          <w:tab w:val="num" w:pos="0"/>
        </w:tabs>
        <w:ind w:left="4842" w:hanging="1440"/>
      </w:pPr>
      <w:rPr/>
    </w:lvl>
    <w:lvl w:ilvl="7">
      <w:start w:val="1"/>
      <w:numFmt w:val="decimal"/>
      <w:lvlText w:val="%1.%2.%3.%4.%5.%6.%7.%8."/>
      <w:lvlJc w:val="left"/>
      <w:pPr>
        <w:tabs>
          <w:tab w:val="num" w:pos="0"/>
        </w:tabs>
        <w:ind w:left="5409" w:hanging="1440"/>
      </w:pPr>
      <w:rPr/>
    </w:lvl>
    <w:lvl w:ilvl="8">
      <w:start w:val="1"/>
      <w:numFmt w:val="decimal"/>
      <w:lvlText w:val="%1.%2.%3.%4.%5.%6.%7.%8.%9."/>
      <w:lvlJc w:val="left"/>
      <w:pPr>
        <w:tabs>
          <w:tab w:val="num" w:pos="0"/>
        </w:tabs>
        <w:ind w:left="6336" w:hanging="1800"/>
      </w:pPr>
      <w:rPr/>
    </w:lvl>
  </w:abstractNum>
  <w:abstractNum w:abstractNumId="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w="http://schemas.openxmlformats.org/wordprocessingml/2006/main">
  <w:zoom w:percent="101"/>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trackedChanges"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b206e"/>
    <w:pPr>
      <w:widowControl w:val="false"/>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a264b0"/>
    <w:pPr>
      <w:keepNext w:val="true"/>
      <w:spacing w:before="240" w:after="60"/>
      <w:outlineLvl w:val="0"/>
    </w:pPr>
    <w:rPr>
      <w:rFonts w:ascii="Arial" w:hAnsi="Arial" w:cs="Arial"/>
      <w:b/>
      <w:bCs/>
      <w:kern w:val="2"/>
      <w:sz w:val="32"/>
      <w:szCs w:val="32"/>
    </w:rPr>
  </w:style>
  <w:style w:type="paragraph" w:styleId="Heading3">
    <w:name w:val="Heading 3"/>
    <w:basedOn w:val="Normal"/>
    <w:next w:val="Normal"/>
    <w:link w:val="31"/>
    <w:qFormat/>
    <w:rsid w:val="001b1bd9"/>
    <w:pPr>
      <w:keepNext w:val="true"/>
      <w:keepLines/>
      <w:spacing w:before="200" w:after="0"/>
      <w:outlineLvl w:val="2"/>
    </w:pPr>
    <w:rPr>
      <w:rFonts w:ascii="Cambria" w:hAnsi="Cambria"/>
      <w:b/>
      <w:bCs/>
      <w:color w:val="4F81BD"/>
      <w:lang w:val="x-none" w:eastAsia="x-none"/>
    </w:rPr>
  </w:style>
  <w:style w:type="character" w:styleId="DefaultParagraphFont" w:default="1">
    <w:name w:val="Default Paragraph Font"/>
    <w:uiPriority w:val="1"/>
    <w:semiHidden/>
    <w:unhideWhenUsed/>
    <w:qFormat/>
    <w:rPr/>
  </w:style>
  <w:style w:type="character" w:styleId="Style7" w:customStyle="1">
    <w:name w:val="Заголовок Знак"/>
    <w:qFormat/>
    <w:locked/>
    <w:rsid w:val="00565582"/>
    <w:rPr>
      <w:b/>
      <w:bCs/>
      <w:sz w:val="24"/>
      <w:szCs w:val="24"/>
      <w:lang w:val="ru-RU" w:eastAsia="ru-RU" w:bidi="ar-SA"/>
    </w:rPr>
  </w:style>
  <w:style w:type="character" w:styleId="Style8" w:customStyle="1">
    <w:name w:val="Основной текст Знак"/>
    <w:qFormat/>
    <w:rsid w:val="00565582"/>
    <w:rPr>
      <w:lang w:val="ru-RU" w:eastAsia="ru-RU" w:bidi="ar-SA"/>
    </w:rPr>
  </w:style>
  <w:style w:type="character" w:styleId="Pagenumber">
    <w:name w:val="page number"/>
    <w:basedOn w:val="DefaultParagraphFont"/>
    <w:qFormat/>
    <w:rsid w:val="008b02a1"/>
    <w:rPr/>
  </w:style>
  <w:style w:type="character" w:styleId="3" w:customStyle="1">
    <w:name w:val="Основной текст 3 Знак"/>
    <w:link w:val="BodyText3"/>
    <w:qFormat/>
    <w:rsid w:val="005a0965"/>
    <w:rPr>
      <w:sz w:val="16"/>
      <w:szCs w:val="16"/>
    </w:rPr>
  </w:style>
  <w:style w:type="character" w:styleId="Annotationreference">
    <w:name w:val="annotation reference"/>
    <w:qFormat/>
    <w:rsid w:val="00d36934"/>
    <w:rPr>
      <w:sz w:val="16"/>
      <w:szCs w:val="16"/>
    </w:rPr>
  </w:style>
  <w:style w:type="character" w:styleId="Style9" w:customStyle="1">
    <w:name w:val="Текст примечания Знак"/>
    <w:basedOn w:val="DefaultParagraphFont"/>
    <w:link w:val="Annotationtext"/>
    <w:qFormat/>
    <w:rsid w:val="00d36934"/>
    <w:rPr/>
  </w:style>
  <w:style w:type="character" w:styleId="Style10" w:customStyle="1">
    <w:name w:val="Тема примечания Знак"/>
    <w:link w:val="Annotationsubject"/>
    <w:qFormat/>
    <w:rsid w:val="00d36934"/>
    <w:rPr>
      <w:b/>
      <w:bCs/>
    </w:rPr>
  </w:style>
  <w:style w:type="character" w:styleId="31" w:customStyle="1">
    <w:name w:val="Заголовок 3 Знак"/>
    <w:semiHidden/>
    <w:qFormat/>
    <w:rsid w:val="001b1bd9"/>
    <w:rPr>
      <w:rFonts w:ascii="Cambria" w:hAnsi="Cambria" w:eastAsia="Times New Roman" w:cs="Times New Roman"/>
      <w:b/>
      <w:bCs/>
      <w:color w:val="4F81BD"/>
    </w:rPr>
  </w:style>
  <w:style w:type="character" w:styleId="Style11" w:customStyle="1">
    <w:name w:val="Основной текст с отступом Знак"/>
    <w:basedOn w:val="DefaultParagraphFont"/>
    <w:qFormat/>
    <w:rsid w:val="00e00bca"/>
    <w:rPr/>
  </w:style>
  <w:style w:type="character" w:styleId="Style12" w:customStyle="1">
    <w:name w:val="комментарий"/>
    <w:uiPriority w:val="99"/>
    <w:qFormat/>
    <w:rsid w:val="00d562c0"/>
    <w:rPr>
      <w:rFonts w:cs="Times New Roman"/>
      <w:b/>
      <w:bCs/>
      <w:i/>
      <w:iCs/>
      <w:shd w:fill="FFFF99" w:val="clear"/>
    </w:rPr>
  </w:style>
  <w:style w:type="character" w:styleId="Style13" w:customStyle="1">
    <w:name w:val="Текст сноски Знак"/>
    <w:basedOn w:val="DefaultParagraphFont"/>
    <w:uiPriority w:val="99"/>
    <w:qFormat/>
    <w:rsid w:val="00f47c6a"/>
    <w:rPr/>
  </w:style>
  <w:style w:type="character" w:styleId="Style14">
    <w:name w:val="Символ сноски"/>
    <w:qFormat/>
    <w:rsid w:val="00f47c6a"/>
    <w:rPr>
      <w:vertAlign w:val="superscript"/>
    </w:rPr>
  </w:style>
  <w:style w:type="character" w:styleId="FootnoteReference">
    <w:name w:val="Footnote Reference"/>
    <w:rPr>
      <w:vertAlign w:val="superscript"/>
    </w:rPr>
  </w:style>
  <w:style w:type="character" w:styleId="Style15" w:customStyle="1">
    <w:name w:val="Верхний колонтитул Знак"/>
    <w:basedOn w:val="DefaultParagraphFont"/>
    <w:uiPriority w:val="99"/>
    <w:qFormat/>
    <w:rsid w:val="000449a5"/>
    <w:rPr/>
  </w:style>
  <w:style w:type="character" w:styleId="Hyperlink">
    <w:name w:val="Hyperlink"/>
    <w:rsid w:val="005e6f32"/>
    <w:rPr>
      <w:color w:val="0000FF"/>
      <w:u w:val="single"/>
    </w:rPr>
  </w:style>
  <w:style w:type="character" w:styleId="Style16" w:customStyle="1">
    <w:name w:val="Нижний колонтитул Знак"/>
    <w:uiPriority w:val="99"/>
    <w:qFormat/>
    <w:rsid w:val="00d925fb"/>
    <w:rPr/>
  </w:style>
  <w:style w:type="character" w:styleId="Style17" w:customStyle="1">
    <w:name w:val="Название Знак"/>
    <w:qFormat/>
    <w:rsid w:val="0095682b"/>
    <w:rPr>
      <w:b/>
      <w:bCs/>
      <w:sz w:val="24"/>
      <w:szCs w:val="24"/>
    </w:rPr>
  </w:style>
  <w:style w:type="character" w:styleId="Style18" w:customStyle="1">
    <w:name w:val="Абзац списка Знак"/>
    <w:link w:val="ListParagraph"/>
    <w:uiPriority w:val="34"/>
    <w:qFormat/>
    <w:locked/>
    <w:rsid w:val="00725d08"/>
    <w:rPr/>
  </w:style>
  <w:style w:type="character" w:styleId="LineNumber">
    <w:name w:val="Line Number"/>
    <w:rPr/>
  </w:style>
  <w:style w:type="character" w:styleId="Style19">
    <w:name w:val="Символ концевой сноски"/>
    <w:qFormat/>
    <w:rPr>
      <w:vertAlign w:val="superscript"/>
    </w:rPr>
  </w:style>
  <w:style w:type="character" w:styleId="EndnoteReference">
    <w:name w:val="Endnote Reference"/>
    <w:rPr>
      <w:vertAlign w:val="superscript"/>
    </w:rPr>
  </w:style>
  <w:style w:type="paragraph" w:styleId="Style20">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8"/>
    <w:rsid w:val="00084bde"/>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21">
    <w:name w:val="Указатель"/>
    <w:basedOn w:val="Normal"/>
    <w:qFormat/>
    <w:pPr>
      <w:suppressLineNumbers/>
    </w:pPr>
    <w:rPr/>
  </w:style>
  <w:style w:type="paragraph" w:styleId="Title">
    <w:name w:val="Title"/>
    <w:basedOn w:val="Normal"/>
    <w:link w:val="Style7"/>
    <w:qFormat/>
    <w:rsid w:val="00a264b0"/>
    <w:pPr>
      <w:jc w:val="center"/>
    </w:pPr>
    <w:rPr>
      <w:b/>
      <w:bCs/>
      <w:sz w:val="24"/>
      <w:szCs w:val="24"/>
    </w:rPr>
  </w:style>
  <w:style w:type="paragraph" w:styleId="Style22" w:customStyle="1">
    <w:name w:val="Таблицы (моноширинный)"/>
    <w:basedOn w:val="Normal"/>
    <w:next w:val="Normal"/>
    <w:qFormat/>
    <w:rsid w:val="00a264b0"/>
    <w:pPr>
      <w:jc w:val="both"/>
    </w:pPr>
    <w:rPr>
      <w:rFonts w:ascii="Courier New" w:hAnsi="Courier New" w:cs="Courier New"/>
    </w:rPr>
  </w:style>
  <w:style w:type="paragraph" w:styleId="BodyTextIndent2">
    <w:name w:val="Body Text Indent 2"/>
    <w:basedOn w:val="Normal"/>
    <w:qFormat/>
    <w:rsid w:val="00a264b0"/>
    <w:pPr>
      <w:ind w:hanging="0" w:left="1843"/>
      <w:jc w:val="both"/>
    </w:pPr>
    <w:rPr>
      <w:sz w:val="24"/>
    </w:rPr>
  </w:style>
  <w:style w:type="paragraph" w:styleId="BalloonText">
    <w:name w:val="Balloon Text"/>
    <w:basedOn w:val="Normal"/>
    <w:semiHidden/>
    <w:qFormat/>
    <w:rsid w:val="00080acb"/>
    <w:pPr/>
    <w:rPr>
      <w:rFonts w:ascii="Tahoma" w:hAnsi="Tahoma" w:cs="Tahoma"/>
      <w:sz w:val="16"/>
      <w:szCs w:val="16"/>
    </w:rPr>
  </w:style>
  <w:style w:type="paragraph" w:styleId="BodyText2">
    <w:name w:val="Body Text 2"/>
    <w:basedOn w:val="Normal"/>
    <w:qFormat/>
    <w:rsid w:val="006257f9"/>
    <w:pPr>
      <w:widowControl/>
      <w:spacing w:lineRule="auto" w:line="480" w:before="0" w:after="120"/>
    </w:pPr>
    <w:rPr>
      <w:sz w:val="24"/>
      <w:szCs w:val="24"/>
    </w:rPr>
  </w:style>
  <w:style w:type="paragraph" w:styleId="Style23">
    <w:name w:val="Колонтитул"/>
    <w:basedOn w:val="Normal"/>
    <w:qFormat/>
    <w:pPr/>
    <w:rPr/>
  </w:style>
  <w:style w:type="paragraph" w:styleId="Footer">
    <w:name w:val="Footer"/>
    <w:basedOn w:val="Normal"/>
    <w:link w:val="Style16"/>
    <w:uiPriority w:val="99"/>
    <w:rsid w:val="008b02a1"/>
    <w:pPr>
      <w:tabs>
        <w:tab w:val="clear" w:pos="709"/>
        <w:tab w:val="center" w:pos="4677" w:leader="none"/>
        <w:tab w:val="right" w:pos="9355" w:leader="none"/>
      </w:tabs>
    </w:pPr>
    <w:rPr/>
  </w:style>
  <w:style w:type="paragraph" w:styleId="BodyText3">
    <w:name w:val="Body Text 3"/>
    <w:basedOn w:val="Normal"/>
    <w:link w:val="3"/>
    <w:qFormat/>
    <w:rsid w:val="005a0965"/>
    <w:pPr>
      <w:spacing w:before="0" w:after="120"/>
    </w:pPr>
    <w:rPr>
      <w:sz w:val="16"/>
      <w:szCs w:val="16"/>
      <w:lang w:val="x-none" w:eastAsia="x-none"/>
    </w:rPr>
  </w:style>
  <w:style w:type="paragraph" w:styleId="Annotationtext">
    <w:name w:val="annotation text"/>
    <w:basedOn w:val="Normal"/>
    <w:link w:val="Style9"/>
    <w:qFormat/>
    <w:rsid w:val="00d36934"/>
    <w:pPr/>
    <w:rPr/>
  </w:style>
  <w:style w:type="paragraph" w:styleId="Annotationsubject">
    <w:name w:val="annotation subject"/>
    <w:basedOn w:val="Annotationtext"/>
    <w:next w:val="Annotationtext"/>
    <w:link w:val="Style10"/>
    <w:qFormat/>
    <w:rsid w:val="00d36934"/>
    <w:pPr/>
    <w:rPr>
      <w:b/>
      <w:bCs/>
      <w:lang w:val="x-none" w:eastAsia="x-none"/>
    </w:rPr>
  </w:style>
  <w:style w:type="paragraph" w:styleId="ListParagraph">
    <w:name w:val="List Paragraph"/>
    <w:basedOn w:val="Normal"/>
    <w:link w:val="Style18"/>
    <w:uiPriority w:val="34"/>
    <w:qFormat/>
    <w:rsid w:val="00ec6e7d"/>
    <w:pPr>
      <w:spacing w:before="0" w:after="0"/>
      <w:ind w:hanging="0" w:left="720"/>
      <w:contextualSpacing/>
    </w:pPr>
    <w:rPr/>
  </w:style>
  <w:style w:type="paragraph" w:styleId="Style24" w:customStyle="1">
    <w:name w:val="Знак Знак Знак Знак Знак Знак Знак Знак Знак"/>
    <w:basedOn w:val="Normal"/>
    <w:uiPriority w:val="99"/>
    <w:qFormat/>
    <w:rsid w:val="00d31bfd"/>
    <w:pPr>
      <w:widowControl/>
      <w:spacing w:lineRule="exact" w:line="240" w:before="0" w:after="160"/>
      <w:jc w:val="both"/>
    </w:pPr>
    <w:rPr>
      <w:rFonts w:ascii="Verdana" w:hAnsi="Verdana"/>
      <w:sz w:val="22"/>
      <w:lang w:val="en-US" w:eastAsia="en-US"/>
    </w:rPr>
  </w:style>
  <w:style w:type="paragraph" w:styleId="Style25" w:customStyle="1">
    <w:name w:val="Подпункт договора"/>
    <w:basedOn w:val="Normal"/>
    <w:qFormat/>
    <w:rsid w:val="00d31bfd"/>
    <w:pPr>
      <w:widowControl/>
      <w:tabs>
        <w:tab w:val="clear" w:pos="709"/>
        <w:tab w:val="left" w:pos="360" w:leader="none"/>
      </w:tabs>
      <w:jc w:val="both"/>
    </w:pPr>
    <w:rPr>
      <w:rFonts w:ascii="Arial" w:hAnsi="Arial"/>
    </w:rPr>
  </w:style>
  <w:style w:type="paragraph" w:styleId="ConsNormal" w:customStyle="1">
    <w:name w:val="ConsNormal"/>
    <w:qFormat/>
    <w:rsid w:val="00b53021"/>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BodyTextIndent">
    <w:name w:val="Body Text Indent"/>
    <w:basedOn w:val="Normal"/>
    <w:link w:val="Style11"/>
    <w:rsid w:val="00e00bca"/>
    <w:pPr>
      <w:spacing w:before="0" w:after="120"/>
      <w:ind w:hanging="0" w:left="283"/>
    </w:pPr>
    <w:rPr/>
  </w:style>
  <w:style w:type="paragraph" w:styleId="Style26" w:customStyle="1">
    <w:name w:val="Знак"/>
    <w:basedOn w:val="Normal"/>
    <w:qFormat/>
    <w:rsid w:val="00d562c0"/>
    <w:pPr>
      <w:widowControl/>
      <w:spacing w:lineRule="exact" w:line="240" w:before="0" w:after="160"/>
    </w:pPr>
    <w:rPr>
      <w:rFonts w:ascii="Verdana" w:hAnsi="Verdana" w:cs="Verdana"/>
      <w:lang w:val="en-US" w:eastAsia="en-US"/>
    </w:rPr>
  </w:style>
  <w:style w:type="paragraph" w:styleId="FootnoteText">
    <w:name w:val="Footnote Text"/>
    <w:basedOn w:val="Normal"/>
    <w:link w:val="Style13"/>
    <w:uiPriority w:val="99"/>
    <w:rsid w:val="00f47c6a"/>
    <w:pPr/>
    <w:rPr/>
  </w:style>
  <w:style w:type="paragraph" w:styleId="ListBullet3">
    <w:name w:val="List Bullet 3"/>
    <w:basedOn w:val="Normal"/>
    <w:uiPriority w:val="99"/>
    <w:unhideWhenUsed/>
    <w:qFormat/>
    <w:rsid w:val="00fa3bf9"/>
    <w:pPr>
      <w:widowControl/>
      <w:tabs>
        <w:tab w:val="clear" w:pos="709"/>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fa3bf9"/>
    <w:pPr>
      <w:widowControl/>
      <w:tabs>
        <w:tab w:val="clear" w:pos="709"/>
        <w:tab w:val="left" w:pos="851" w:leader="none"/>
      </w:tabs>
      <w:spacing w:lineRule="auto" w:line="360"/>
      <w:ind w:hanging="851" w:left="851"/>
      <w:jc w:val="both"/>
    </w:pPr>
    <w:rPr>
      <w:rFonts w:eastAsia="Calibri"/>
      <w:sz w:val="28"/>
      <w:szCs w:val="28"/>
    </w:rPr>
  </w:style>
  <w:style w:type="paragraph" w:styleId="DocumentMap">
    <w:name w:val="Document Map"/>
    <w:basedOn w:val="Normal"/>
    <w:semiHidden/>
    <w:qFormat/>
    <w:rsid w:val="00936d2a"/>
    <w:pPr>
      <w:shd w:val="clear" w:color="auto" w:fill="000080"/>
    </w:pPr>
    <w:rPr>
      <w:rFonts w:ascii="Tahoma" w:hAnsi="Tahoma" w:cs="Tahoma"/>
    </w:rPr>
  </w:style>
  <w:style w:type="paragraph" w:styleId="Revision">
    <w:name w:val="Revision"/>
    <w:uiPriority w:val="99"/>
    <w:semiHidden/>
    <w:qFormat/>
    <w:rsid w:val="00f2582e"/>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5"/>
    <w:uiPriority w:val="99"/>
    <w:rsid w:val="000449a5"/>
    <w:pPr>
      <w:tabs>
        <w:tab w:val="clear" w:pos="709"/>
        <w:tab w:val="center" w:pos="4677" w:leader="none"/>
        <w:tab w:val="right" w:pos="9355" w:leader="none"/>
      </w:tabs>
    </w:pPr>
    <w:rPr/>
  </w:style>
  <w:style w:type="paragraph" w:styleId="Style27" w:customStyle="1">
    <w:name w:val="Пункт договора"/>
    <w:basedOn w:val="Normal"/>
    <w:qFormat/>
    <w:rsid w:val="00e65842"/>
    <w:pPr>
      <w:jc w:val="both"/>
    </w:pPr>
    <w:rPr>
      <w:rFonts w:ascii="Arial" w:hAnsi="Arial"/>
    </w:rPr>
  </w:style>
  <w:style w:type="paragraph" w:styleId="1" w:customStyle="1">
    <w:name w:val="Знак Знак Знак Знак Знак Знак Знак Знак Знак1"/>
    <w:basedOn w:val="Normal"/>
    <w:qFormat/>
    <w:rsid w:val="007d41d8"/>
    <w:pPr>
      <w:widowControl/>
      <w:spacing w:lineRule="exact" w:line="240" w:before="0" w:after="160"/>
      <w:jc w:val="both"/>
    </w:pPr>
    <w:rPr>
      <w:rFonts w:ascii="Verdana" w:hAnsi="Verdana"/>
      <w:sz w:val="22"/>
      <w:lang w:val="en-US" w:eastAsia="en-US"/>
    </w:rPr>
  </w:style>
  <w:style w:type="paragraph" w:styleId="11" w:customStyle="1">
    <w:name w:val="Обычный1"/>
    <w:qFormat/>
    <w:rsid w:val="0073039c"/>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ConsPlusNormal" w:customStyle="1">
    <w:name w:val="ConsPlusNormal"/>
    <w:qFormat/>
    <w:rsid w:val="00a510bb"/>
    <w:pPr>
      <w:widowControl w:val="false"/>
      <w:suppressAutoHyphens w:val="true"/>
      <w:bidi w:val="0"/>
      <w:spacing w:before="0" w:after="0"/>
      <w:jc w:val="left"/>
    </w:pPr>
    <w:rPr>
      <w:rFonts w:ascii="Calibri" w:hAnsi="Calibri" w:eastAsia="Times New Roman" w:cs="Calibri"/>
      <w:color w:val="auto"/>
      <w:kern w:val="0"/>
      <w:sz w:val="22"/>
      <w:szCs w:val="20"/>
      <w:lang w:val="ru-RU" w:eastAsia="ru-RU" w:bidi="ar-SA"/>
    </w:rPr>
  </w:style>
  <w:style w:type="paragraph" w:styleId="NormalWeb">
    <w:name w:val="Normal (Web)"/>
    <w:basedOn w:val="Normal"/>
    <w:uiPriority w:val="99"/>
    <w:unhideWhenUsed/>
    <w:qFormat/>
    <w:rsid w:val="003e7f9e"/>
    <w:pPr>
      <w:widowControl/>
      <w:spacing w:beforeAutospacing="1" w:afterAutospacing="1"/>
    </w:pPr>
    <w:rPr>
      <w:sz w:val="24"/>
      <w:szCs w:val="24"/>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9">
    <w:name w:val="Table Grid"/>
    <w:basedOn w:val="a1"/>
    <w:rsid w:val="00084bd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header" Target="header5.xml"/><Relationship Id="rId13" Type="http://schemas.openxmlformats.org/officeDocument/2006/relationships/header" Target="header6.xml"/><Relationship Id="rId14" Type="http://schemas.openxmlformats.org/officeDocument/2006/relationships/footer" Target="footer4.xml"/><Relationship Id="rId15" Type="http://schemas.openxmlformats.org/officeDocument/2006/relationships/footer" Target="footer5.xml"/><Relationship Id="rId16" Type="http://schemas.openxmlformats.org/officeDocument/2006/relationships/footnotes" Target="footnotes.xml"/><Relationship Id="rId17" Type="http://schemas.openxmlformats.org/officeDocument/2006/relationships/numbering" Target="numbering.xml"/><Relationship Id="rId18" Type="http://schemas.openxmlformats.org/officeDocument/2006/relationships/fontTable" Target="fontTable.xml"/><Relationship Id="rId19" Type="http://schemas.openxmlformats.org/officeDocument/2006/relationships/settings" Target="settings.xml"/><Relationship Id="rId20" Type="http://schemas.openxmlformats.org/officeDocument/2006/relationships/theme" Target="theme/theme1.xml"/><Relationship Id="rId21" Type="http://schemas.openxmlformats.org/officeDocument/2006/relationships/customXml" Target="../customXml/item1.xml"/><Relationship Id="rId22" Type="http://schemas.openxmlformats.org/officeDocument/2006/relationships/customXml" Target="../customXml/item2.xml"/><Relationship Id="rId23" Type="http://schemas.openxmlformats.org/officeDocument/2006/relationships/customXml" Target="../customXml/item3.xml"/><Relationship Id="rId24" Type="http://schemas.openxmlformats.org/officeDocument/2006/relationships/customXml" Target="../customXml/item4.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2.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F4B0BAB9-8B8F-4B85-B8DF-266ED50E1B2E}">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20841FB4-7165-49D3-9C55-3D5AE95BA1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Application>AlterOffice/2026.2.0.0$Linux_X86_64 LibreOffice_project/bc4ef1adf80b36c7a6365f8ed6cbf29021361edd</Application>
  <AppVersion>15.0000</AppVersion>
  <Pages>17</Pages>
  <Words>6143</Words>
  <Characters>44046</Characters>
  <CharactersWithSpaces>49957</CharactersWithSpaces>
  <Paragraphs>316</Paragraphs>
  <Company>Inter RAO UES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2023-03-22T14:33:00Z</dcterms:created>
  <dc:creator>tsypilev_ag</dc:creator>
  <dc:description/>
  <dc:language>ru-RU</dc:language>
  <cp:lastModifiedBy>zaycevaav@corp.gidroogk.com</cp:lastModifiedBy>
  <cp:lastPrinted>2018-05-22T09:46:00Z</cp:lastPrinted>
  <dcterms:modified xsi:type="dcterms:W3CDTF">2026-10-12T10:48:12Z</dcterms:modified>
  <cp:revision>21</cp:revision>
  <dc:subject/>
  <dc:title>Договор № _________</dc:title>
</cp:coreProperties>
</file>

<file path=docProps/custom.xml><?xml version="1.0" encoding="utf-8"?>
<Properties xmlns="http://schemas.openxmlformats.org/officeDocument/2006/custom-properties" xmlns:vt="http://schemas.openxmlformats.org/officeDocument/2006/docPropsVTypes"/>
</file>