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59" w:before="0" w:after="240"/>
        <w:ind w:hanging="0" w:left="0" w:right="0"/>
        <w:jc w:val="center"/>
        <w:rPr>
          <w:rFonts w:ascii="Courier New" w:hAnsi="Courier New"/>
          <w:sz w:val="24"/>
          <w:lang w:val="ru-RU"/>
        </w:rPr>
      </w:pPr>
      <w:r>
        <w:rPr>
          <w:rStyle w:val="Style9"/>
          <w:b/>
          <w:sz w:val="24"/>
          <w:lang w:val="ru-RU" w:eastAsia="ru-RU"/>
        </w:rPr>
        <w:t xml:space="preserve">ТЕХНИЧЕСКОЕ ЗАДАНИЕ </w:t>
      </w:r>
    </w:p>
    <w:p>
      <w:pPr>
        <w:pStyle w:val="BodyText"/>
        <w:spacing w:lineRule="auto" w:line="298" w:before="0" w:after="240"/>
        <w:ind w:hanging="0" w:left="0" w:right="0"/>
        <w:jc w:val="both"/>
        <w:rPr>
          <w:rFonts w:ascii="Courier New" w:hAnsi="Courier New"/>
          <w:sz w:val="24"/>
          <w:lang w:val="ru-RU"/>
        </w:rPr>
      </w:pPr>
      <w:r>
        <w:rPr>
          <w:rStyle w:val="Style9"/>
          <w:lang w:val="ru-RU" w:eastAsia="ru-RU"/>
        </w:rPr>
        <w:t>«Установка освещения на участках км 34+450 - км 34+750 (п. Вилла Гранд), км 35+000 - км 35+300 (Церковь Феодора Стратилата), км 97+000- км 97+830 (п. Голубая Дача) автомобильной дороги А-147 Джубга - Сочи - граница с Республикой Абхазия, Краснодарский край».</w:t>
      </w:r>
    </w:p>
    <w:p>
      <w:pPr>
        <w:pStyle w:val="BodyText"/>
        <w:numPr>
          <w:ilvl w:val="0"/>
          <w:numId w:val="1"/>
        </w:numPr>
        <w:tabs>
          <w:tab w:val="clear" w:pos="720"/>
          <w:tab w:val="left" w:pos="739" w:leader="none"/>
        </w:tabs>
        <w:spacing w:lineRule="auto" w:line="276" w:before="0" w:after="300"/>
        <w:ind w:hanging="0" w:left="0" w:right="0"/>
        <w:jc w:val="center"/>
        <w:rPr>
          <w:sz w:val="24"/>
          <w:lang w:val="ru-RU"/>
        </w:rPr>
      </w:pPr>
      <w:r>
        <w:rPr>
          <w:rStyle w:val="Style9"/>
          <w:b/>
          <w:sz w:val="24"/>
          <w:lang w:val="ru-RU" w:eastAsia="ru-RU"/>
        </w:rPr>
        <w:t>Общие положения</w:t>
      </w:r>
    </w:p>
    <w:p>
      <w:pPr>
        <w:pStyle w:val="BodyText"/>
        <w:numPr>
          <w:ilvl w:val="1"/>
          <w:numId w:val="1"/>
        </w:numPr>
        <w:tabs>
          <w:tab w:val="clear" w:pos="720"/>
          <w:tab w:val="left" w:pos="909" w:leader="none"/>
        </w:tabs>
        <w:spacing w:lineRule="auto" w:line="259" w:before="0" w:after="0"/>
        <w:ind w:firstLine="500" w:left="0" w:right="0"/>
        <w:jc w:val="both"/>
        <w:rPr>
          <w:sz w:val="24"/>
          <w:lang w:val="ru-RU"/>
        </w:rPr>
      </w:pPr>
      <w:r>
        <w:rPr>
          <w:rStyle w:val="Style9"/>
          <w:lang w:val="ru-RU" w:eastAsia="ru-RU"/>
        </w:rPr>
        <w:t>.Настоящее техническое задание устанавливает совокупность организационных и технических требований к исполнителю работ по установке освещения для освещения автомобильной дороги, автобусных остановок и пешеходных переходов в одном уровне с проезжей частью и до устанавливаемых опор освещения.</w:t>
      </w:r>
    </w:p>
    <w:p>
      <w:pPr>
        <w:pStyle w:val="BodyText"/>
        <w:numPr>
          <w:ilvl w:val="1"/>
          <w:numId w:val="1"/>
        </w:numPr>
        <w:tabs>
          <w:tab w:val="clear" w:pos="720"/>
          <w:tab w:val="left" w:pos="1287" w:leader="none"/>
        </w:tabs>
        <w:spacing w:lineRule="auto" w:line="259" w:before="0" w:after="0"/>
        <w:ind w:firstLine="500" w:left="0" w:right="0"/>
        <w:jc w:val="both"/>
        <w:rPr>
          <w:sz w:val="24"/>
          <w:lang w:val="ru-RU"/>
        </w:rPr>
      </w:pPr>
      <w:r>
        <w:rPr>
          <w:rStyle w:val="Style9"/>
          <w:lang w:val="ru-RU" w:eastAsia="ru-RU"/>
        </w:rPr>
        <w:t>Освещение автомобильной дороги предназначено для:</w:t>
      </w:r>
    </w:p>
    <w:p>
      <w:pPr>
        <w:pStyle w:val="BodyText"/>
        <w:numPr>
          <w:ilvl w:val="0"/>
          <w:numId w:val="2"/>
        </w:numPr>
        <w:tabs>
          <w:tab w:val="clear" w:pos="720"/>
          <w:tab w:val="left" w:pos="634" w:leader="none"/>
        </w:tabs>
        <w:spacing w:lineRule="auto" w:line="259" w:before="0" w:after="0"/>
        <w:ind w:firstLine="500" w:left="0" w:right="0"/>
        <w:jc w:val="both"/>
        <w:rPr>
          <w:sz w:val="24"/>
          <w:lang w:val="ru-RU"/>
        </w:rPr>
      </w:pPr>
      <w:r>
        <w:rPr>
          <w:rStyle w:val="Style9"/>
          <w:lang w:val="ru-RU" w:eastAsia="ru-RU"/>
        </w:rPr>
        <w:t>обеспечения безопасности движения транспортных средств и пешеходов, а также повышения пропускной способности федеральных дорог в темное время суток;</w:t>
      </w:r>
    </w:p>
    <w:p>
      <w:pPr>
        <w:pStyle w:val="BodyText"/>
        <w:numPr>
          <w:ilvl w:val="0"/>
          <w:numId w:val="2"/>
        </w:numPr>
        <w:tabs>
          <w:tab w:val="clear" w:pos="720"/>
          <w:tab w:val="left" w:pos="639" w:leader="none"/>
        </w:tabs>
        <w:spacing w:lineRule="auto" w:line="259" w:before="0" w:after="0"/>
        <w:ind w:firstLine="500" w:left="0" w:right="0"/>
        <w:jc w:val="both"/>
        <w:rPr>
          <w:sz w:val="24"/>
          <w:lang w:val="ru-RU"/>
        </w:rPr>
      </w:pPr>
      <w:r>
        <w:rPr>
          <w:rStyle w:val="Style9"/>
          <w:lang w:val="ru-RU" w:eastAsia="ru-RU"/>
        </w:rPr>
        <w:t>обозначения для водителей и пешеходов мест расположения наземных пешеходных переходов в темное время суток;</w:t>
      </w:r>
    </w:p>
    <w:p>
      <w:pPr>
        <w:pStyle w:val="BodyText"/>
        <w:numPr>
          <w:ilvl w:val="0"/>
          <w:numId w:val="2"/>
        </w:numPr>
        <w:tabs>
          <w:tab w:val="clear" w:pos="720"/>
          <w:tab w:val="left" w:pos="644" w:leader="none"/>
        </w:tabs>
        <w:spacing w:lineRule="auto" w:line="259" w:before="0" w:after="0"/>
        <w:ind w:firstLine="500" w:left="0" w:right="0"/>
        <w:jc w:val="both"/>
        <w:rPr>
          <w:sz w:val="24"/>
          <w:lang w:val="ru-RU"/>
        </w:rPr>
      </w:pPr>
      <w:r>
        <w:rPr>
          <w:rStyle w:val="Style9"/>
          <w:lang w:val="ru-RU" w:eastAsia="ru-RU"/>
        </w:rPr>
        <w:t>улучшения видимости пешеходов, находящихся на наземных пешеходных переходах (приближающихся к переходу) и автобусных остановках, а также для улучшения видимости водителей транспортных средств в темное время суток, с целью предотвращения наездов на пешеходов;</w:t>
      </w:r>
    </w:p>
    <w:p>
      <w:pPr>
        <w:pStyle w:val="BodyText"/>
        <w:numPr>
          <w:ilvl w:val="0"/>
          <w:numId w:val="2"/>
        </w:numPr>
        <w:tabs>
          <w:tab w:val="clear" w:pos="720"/>
          <w:tab w:val="left" w:pos="644" w:leader="none"/>
        </w:tabs>
        <w:spacing w:lineRule="auto" w:line="259" w:before="0" w:after="0"/>
        <w:ind w:firstLine="500" w:left="0" w:right="0"/>
        <w:jc w:val="both"/>
        <w:rPr>
          <w:sz w:val="24"/>
          <w:lang w:val="ru-RU"/>
        </w:rPr>
      </w:pPr>
      <w:r>
        <w:rPr>
          <w:rStyle w:val="Style9"/>
          <w:lang w:val="ru-RU" w:eastAsia="ru-RU"/>
        </w:rPr>
        <w:t>доведение уровня освещённости автомобильной дороги до нормативных требований.</w:t>
      </w:r>
    </w:p>
    <w:p>
      <w:pPr>
        <w:pStyle w:val="BodyText"/>
        <w:numPr>
          <w:ilvl w:val="1"/>
          <w:numId w:val="1"/>
        </w:numPr>
        <w:tabs>
          <w:tab w:val="clear" w:pos="720"/>
          <w:tab w:val="left" w:pos="961" w:leader="none"/>
        </w:tabs>
        <w:spacing w:lineRule="auto" w:line="259" w:before="0" w:after="0"/>
        <w:ind w:firstLine="500" w:left="0" w:right="0"/>
        <w:jc w:val="both"/>
        <w:rPr>
          <w:sz w:val="24"/>
          <w:lang w:val="ru-RU"/>
        </w:rPr>
      </w:pPr>
      <w:r>
        <w:rPr>
          <w:rStyle w:val="Style9"/>
          <w:lang w:val="ru-RU" w:eastAsia="ru-RU"/>
        </w:rPr>
        <w:t>Целью выполнения работ по установке освещения является создание нормативных уровней освещенности наземных пешеходных переходов, автобусных остановок и автомобильной дороги, направленное на повышение безопасности дорожного движения и пропускной способности.</w:t>
      </w:r>
    </w:p>
    <w:p>
      <w:pPr>
        <w:pStyle w:val="BodyText"/>
        <w:numPr>
          <w:ilvl w:val="1"/>
          <w:numId w:val="1"/>
        </w:numPr>
        <w:tabs>
          <w:tab w:val="clear" w:pos="720"/>
          <w:tab w:val="left" w:pos="961" w:leader="none"/>
        </w:tabs>
        <w:spacing w:lineRule="auto" w:line="259" w:before="0" w:after="0"/>
        <w:ind w:firstLine="500" w:left="0" w:right="0"/>
        <w:jc w:val="both"/>
        <w:rPr>
          <w:sz w:val="24"/>
          <w:lang w:val="ru-RU"/>
        </w:rPr>
      </w:pPr>
      <w:r>
        <w:rPr>
          <w:rStyle w:val="Style9"/>
          <w:lang w:val="ru-RU" w:eastAsia="ru-RU"/>
        </w:rPr>
        <w:t xml:space="preserve">Работы по установке освещения производятся на основании утвержденного Заказчиком проекта производства работ с календарным графиком, ведомости объемов работ и технического задания. Проект производства работ предоставляется Подрядчиком Заказчику после заключения </w:t>
      </w:r>
      <w:r>
        <w:rPr>
          <w:rStyle w:val="Style9"/>
          <w:lang w:val="ru-RU" w:eastAsia="ru-RU"/>
        </w:rPr>
        <w:t>договора</w:t>
      </w:r>
      <w:r>
        <w:rPr>
          <w:rStyle w:val="Style9"/>
          <w:lang w:val="ru-RU" w:eastAsia="ru-RU"/>
        </w:rPr>
        <w:t xml:space="preserve"> до начала производства работ.</w:t>
      </w:r>
    </w:p>
    <w:p>
      <w:pPr>
        <w:pStyle w:val="BodyText"/>
        <w:numPr>
          <w:ilvl w:val="1"/>
          <w:numId w:val="1"/>
        </w:numPr>
        <w:tabs>
          <w:tab w:val="clear" w:pos="720"/>
          <w:tab w:val="left" w:pos="961" w:leader="none"/>
        </w:tabs>
        <w:spacing w:lineRule="auto" w:line="259" w:before="0" w:after="0"/>
        <w:ind w:firstLine="500" w:left="0" w:right="0"/>
        <w:jc w:val="both"/>
        <w:rPr>
          <w:sz w:val="24"/>
          <w:lang w:val="ru-RU"/>
        </w:rPr>
      </w:pPr>
      <w:r>
        <w:rPr>
          <w:rStyle w:val="Style9"/>
          <w:lang w:val="ru-RU" w:eastAsia="ru-RU"/>
        </w:rPr>
        <w:t>В ходе выполнения работ Подрядчик должен самостоятельно выполнить необходимые для выполнения задания дополнительные работы по расчету освещенности, несущей способности фундаментов опор и параметров заземляющих устройств. Сечения проводников линий, подбор оборудования, определение схемы его расстановки и т.п. согласовываются Заказчиком.</w:t>
      </w:r>
    </w:p>
    <w:p>
      <w:pPr>
        <w:pStyle w:val="BodyText"/>
        <w:numPr>
          <w:ilvl w:val="1"/>
          <w:numId w:val="1"/>
        </w:numPr>
        <w:tabs>
          <w:tab w:val="clear" w:pos="720"/>
          <w:tab w:val="left" w:pos="951" w:leader="none"/>
        </w:tabs>
        <w:spacing w:lineRule="auto" w:line="259" w:before="0" w:after="0"/>
        <w:ind w:firstLine="500" w:left="0" w:right="0"/>
        <w:jc w:val="both"/>
        <w:rPr>
          <w:sz w:val="24"/>
          <w:lang w:val="ru-RU"/>
        </w:rPr>
      </w:pPr>
      <w:r>
        <w:rPr>
          <w:rStyle w:val="Style9"/>
          <w:lang w:val="ru-RU" w:eastAsia="ru-RU"/>
        </w:rPr>
        <w:t>В случае необходимости проведения работ в охранных зонах коммуникаций, согласовать их с владельцами в установленном порядке.</w:t>
      </w:r>
    </w:p>
    <w:p>
      <w:pPr>
        <w:pStyle w:val="BodyText"/>
        <w:numPr>
          <w:ilvl w:val="1"/>
          <w:numId w:val="1"/>
        </w:numPr>
        <w:tabs>
          <w:tab w:val="clear" w:pos="720"/>
          <w:tab w:val="left" w:pos="956" w:leader="none"/>
        </w:tabs>
        <w:spacing w:lineRule="auto" w:line="259" w:before="0" w:after="240"/>
        <w:ind w:firstLine="500" w:left="0" w:right="0"/>
        <w:jc w:val="both"/>
        <w:rPr>
          <w:sz w:val="24"/>
          <w:lang w:val="ru-RU"/>
        </w:rPr>
      </w:pPr>
      <w:r>
        <w:rPr>
          <w:rStyle w:val="Style9"/>
          <w:lang w:val="ru-RU" w:eastAsia="ru-RU"/>
        </w:rPr>
        <w:t>В составе ППР на утверждение Заказчику должны быть предоставлены по каждой линии стационарного электроосвещения следующие документы:</w:t>
      </w:r>
    </w:p>
    <w:p>
      <w:pPr>
        <w:pStyle w:val="BodyText"/>
        <w:tabs>
          <w:tab w:val="clear" w:pos="720"/>
          <w:tab w:val="left" w:pos="956" w:leader="none"/>
        </w:tabs>
        <w:spacing w:lineRule="auto" w:line="259" w:before="0" w:after="240"/>
        <w:ind w:firstLine="500" w:left="0" w:right="0"/>
        <w:jc w:val="both"/>
        <w:rPr>
          <w:sz w:val="24"/>
          <w:lang w:val="ru-RU"/>
        </w:rPr>
      </w:pPr>
      <w:r>
        <w:rPr>
          <w:sz w:val="24"/>
          <w:lang w:val="ru-RU"/>
        </w:rPr>
      </w:r>
    </w:p>
    <w:p>
      <w:pPr>
        <w:pStyle w:val="BodyText"/>
        <w:tabs>
          <w:tab w:val="clear" w:pos="720"/>
          <w:tab w:val="left" w:pos="956" w:leader="none"/>
        </w:tabs>
        <w:spacing w:lineRule="auto" w:line="259" w:before="0" w:after="240"/>
        <w:ind w:firstLine="500" w:left="0" w:right="0"/>
        <w:jc w:val="both"/>
        <w:rPr>
          <w:sz w:val="24"/>
          <w:lang w:val="ru-RU"/>
        </w:rPr>
      </w:pPr>
      <w:r>
        <w:rPr>
          <w:sz w:val="24"/>
          <w:lang w:val="ru-RU"/>
        </w:rPr>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w:t>
      </w:r>
      <w:r>
        <w:rPr>
          <w:rStyle w:val="Style9"/>
          <w:sz w:val="24"/>
          <w:lang w:val="ru-RU" w:eastAsia="ru-RU"/>
        </w:rPr>
        <w:t xml:space="preserve"> </w:t>
      </w:r>
      <w:r>
        <w:rPr>
          <w:rStyle w:val="Style9"/>
          <w:lang w:val="ru-RU" w:eastAsia="ru-RU"/>
        </w:rPr>
        <w:t>чертежи опор и закладных деталей фундаментов с размещенным на них оборудованием;</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спецификация оборудования с описанием технических характеристик;</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расчет ветровой и гололедной нагрузок;</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расчёт несущей способности фундаментов опор;</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обоснование параметров заземляющих устройств;</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поперечные профили прокладки кабельных линий и установки опор освещения;</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светотехнический расчет;</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схемы организации дорожного движения в местах производства работ;</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мероприятия по защите окружающей среды;</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мероприятия по технике безопасности при производстве работ в электроустановках, работах с грузоподъемными механизмами и в охранных зонах коммуникаций сторонних организаций;</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 технологические карты на выполняемые виды работ.</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1.8. По завершении работ Подрядчик, в соответствии с требованиями ПТЭЭП (правилами технической эксплуатации электроустановок потребителей), должен предоставить Заказчику акты фактических замеров освещенности согласно ГОСТ 24940-2016, а также протоколы электротехнической лаборатории по испытаниям сетей и оборудования.</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1.9. Все используемые материалы и применяемое оборудование должны соответствовать действующим нормативным актам. Входной контроль качества используемых оборудования и материалов осуществляет Подрядчик. Заказчику предоставляются документы, подтверждающие качество примененных оборудования и материалов.</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1.10. Скрытые виды работ подтверждаются актами на скрытые работы и актами монтажа ответственных конструкций.</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1.11. Электромонтажные работы подтверждаются актами приёма-сдачи электромонтажных работ, согласно И1.13-07 «Инструкция по оформлению приемо</w:t>
        <w:softHyphen/>
        <w:t>сдаточной документации по электромонтажным работам».</w:t>
      </w:r>
    </w:p>
    <w:p>
      <w:pPr>
        <w:pStyle w:val="BodyText"/>
        <w:widowControl/>
        <w:numPr>
          <w:ilvl w:val="0"/>
          <w:numId w:val="0"/>
        </w:numPr>
        <w:tabs>
          <w:tab w:val="clear" w:pos="720"/>
          <w:tab w:val="left" w:pos="570" w:leader="none"/>
        </w:tabs>
        <w:suppressAutoHyphens w:val="true"/>
        <w:bidi w:val="0"/>
        <w:spacing w:lineRule="auto" w:line="262" w:before="0" w:after="0"/>
        <w:ind w:firstLine="567" w:left="0" w:right="0"/>
        <w:jc w:val="both"/>
        <w:textAlignment w:val="auto"/>
        <w:rPr/>
      </w:pPr>
      <w:r>
        <w:rPr>
          <w:rStyle w:val="Style9"/>
          <w:lang w:val="ru-RU" w:eastAsia="ru-RU"/>
        </w:rPr>
        <w:t>1.12. При сдаче выполненных работ Подрядчик должен передать Заказчику исполнительную документацию по каждому адресу установки оборудования:</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подписанные акты скрытых работ и монтажа ответственных конструкций;</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 xml:space="preserve">исполнительную съемку участка дороги с фактическим размещением осветительного оборудования (на бумаге формата А4 или АЗ, а также в цифровых форматах </w:t>
      </w:r>
      <w:r>
        <w:rPr>
          <w:rStyle w:val="Style9"/>
          <w:lang w:val="en-US" w:eastAsia="en-US"/>
        </w:rPr>
        <w:t>pdf);</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акты по электромонтажным работам;</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паспорта и сертификаты на оборудование и материалы;</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гарантийные обязательства (гарантийные паспорта) и реквизиты Подрядчика и изготовителей оборудования;</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протоколы электротехнической лаборатории по испытаниям электроустановок в соответствии с действующими нормами;</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протоколы замера фактической освещенности автомобильной дороги;</w:t>
      </w:r>
    </w:p>
    <w:p>
      <w:pPr>
        <w:pStyle w:val="BodyText"/>
        <w:widowControl/>
        <w:numPr>
          <w:ilvl w:val="0"/>
          <w:numId w:val="3"/>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 xml:space="preserve">чертеж опор, металлоконструкций, фундаментной части опор (на бумаге формата А4 или АЗ, а также в цифровых форматах </w:t>
      </w:r>
      <w:r>
        <w:rPr>
          <w:rStyle w:val="Style9"/>
          <w:lang w:val="en-US" w:eastAsia="en-US"/>
        </w:rPr>
        <w:t>pdf).</w:t>
      </w:r>
    </w:p>
    <w:p>
      <w:pPr>
        <w:pStyle w:val="BodyText"/>
        <w:widowControl/>
        <w:numPr>
          <w:ilvl w:val="0"/>
          <w:numId w:val="0"/>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1.13. Контроль качества выполнения работ осуществляется инженерно-техническим персоналом Подрядчика, а также сотрудниками Заказчика.</w:t>
      </w:r>
    </w:p>
    <w:p>
      <w:pPr>
        <w:pStyle w:val="BodyText"/>
        <w:widowControl/>
        <w:numPr>
          <w:ilvl w:val="0"/>
          <w:numId w:val="0"/>
        </w:numPr>
        <w:tabs>
          <w:tab w:val="clear" w:pos="720"/>
          <w:tab w:val="left" w:pos="570" w:leader="none"/>
        </w:tabs>
        <w:suppressAutoHyphens w:val="true"/>
        <w:bidi w:val="0"/>
        <w:spacing w:lineRule="auto" w:line="262" w:before="0" w:after="0"/>
        <w:ind w:firstLine="624" w:left="0" w:right="0"/>
        <w:jc w:val="both"/>
        <w:textAlignment w:val="auto"/>
        <w:rPr/>
      </w:pPr>
      <w:r>
        <w:rPr>
          <w:rStyle w:val="Style9"/>
          <w:lang w:val="ru-RU" w:eastAsia="ru-RU"/>
        </w:rPr>
        <w:t>1.14. Гарантийный срок на электромонтажные работы, произведенные Подрядчиком, составляет 36 месяцев. Гарантия на примененные оборудование и</w:t>
        <w:br/>
        <w:t>материалы предоставляется на время не менее гарантийного срока производителя, если же он не определен - 36 месяцев со дня начала эксплуатации.</w:t>
      </w:r>
    </w:p>
    <w:p>
      <w:pPr>
        <w:pStyle w:val="BodyText"/>
        <w:widowControl/>
        <w:numPr>
          <w:ilvl w:val="0"/>
          <w:numId w:val="0"/>
        </w:numPr>
        <w:tabs>
          <w:tab w:val="clear" w:pos="720"/>
          <w:tab w:val="left" w:pos="570" w:leader="none"/>
        </w:tabs>
        <w:suppressAutoHyphens w:val="true"/>
        <w:bidi w:val="0"/>
        <w:spacing w:lineRule="auto" w:line="262" w:before="0" w:after="0"/>
        <w:ind w:firstLine="624" w:left="0" w:right="0"/>
        <w:jc w:val="both"/>
        <w:textAlignment w:val="auto"/>
        <w:rPr>
          <w:rStyle w:val="Style9"/>
          <w:lang w:val="ru-RU" w:eastAsia="ru-RU"/>
        </w:rPr>
      </w:pPr>
      <w:r>
        <w:rPr>
          <w:lang w:val="ru-RU" w:eastAsia="ru-RU"/>
        </w:rPr>
      </w:r>
    </w:p>
    <w:p>
      <w:pPr>
        <w:pStyle w:val="BodyText"/>
        <w:numPr>
          <w:ilvl w:val="0"/>
          <w:numId w:val="1"/>
        </w:numPr>
        <w:tabs>
          <w:tab w:val="clear" w:pos="720"/>
          <w:tab w:val="left" w:pos="387" w:leader="none"/>
        </w:tabs>
        <w:spacing w:lineRule="auto" w:line="259" w:before="0" w:after="0"/>
        <w:ind w:hanging="0" w:left="0" w:right="0"/>
        <w:jc w:val="center"/>
        <w:rPr>
          <w:sz w:val="24"/>
          <w:lang w:val="ru-RU"/>
        </w:rPr>
      </w:pPr>
      <w:r>
        <w:rPr>
          <w:rStyle w:val="Style9"/>
          <w:b/>
          <w:lang w:val="ru-RU" w:eastAsia="ru-RU"/>
        </w:rPr>
        <w:t>Сроки выполнения работ</w:t>
      </w:r>
    </w:p>
    <w:p>
      <w:pPr>
        <w:pStyle w:val="BodyText"/>
        <w:spacing w:lineRule="auto" w:line="259" w:before="0" w:after="300"/>
        <w:rPr>
          <w:rFonts w:ascii="Courier New" w:hAnsi="Courier New"/>
          <w:sz w:val="24"/>
          <w:lang w:val="ru-RU"/>
        </w:rPr>
      </w:pPr>
      <w:r>
        <w:rPr>
          <w:rStyle w:val="Style9"/>
          <w:lang w:val="ru-RU" w:eastAsia="ru-RU"/>
        </w:rPr>
        <w:t xml:space="preserve">- начало- с момента заключения </w:t>
      </w:r>
      <w:r>
        <w:rPr>
          <w:rStyle w:val="Style9"/>
          <w:lang w:val="ru-RU" w:eastAsia="ru-RU"/>
        </w:rPr>
        <w:t>договора</w:t>
      </w:r>
      <w:r>
        <w:rPr>
          <w:rStyle w:val="Style9"/>
          <w:lang w:val="ru-RU" w:eastAsia="ru-RU"/>
        </w:rPr>
        <w:t>; окончание- 15 ноября 2028.</w:t>
      </w:r>
    </w:p>
    <w:p>
      <w:pPr>
        <w:pStyle w:val="BodyText"/>
        <w:numPr>
          <w:ilvl w:val="0"/>
          <w:numId w:val="1"/>
        </w:numPr>
        <w:tabs>
          <w:tab w:val="clear" w:pos="720"/>
          <w:tab w:val="left" w:pos="387" w:leader="none"/>
        </w:tabs>
        <w:spacing w:lineRule="auto" w:line="259" w:before="0" w:after="0"/>
        <w:ind w:hanging="0" w:left="0" w:right="0"/>
        <w:jc w:val="center"/>
        <w:rPr>
          <w:sz w:val="24"/>
          <w:lang w:val="ru-RU"/>
        </w:rPr>
      </w:pPr>
      <w:r>
        <w:rPr>
          <w:rStyle w:val="Style9"/>
          <w:b/>
          <w:lang w:val="ru-RU" w:eastAsia="ru-RU"/>
        </w:rPr>
        <w:t>Источник финансирование</w:t>
      </w:r>
    </w:p>
    <w:p>
      <w:pPr>
        <w:pStyle w:val="BodyText"/>
        <w:spacing w:lineRule="auto" w:line="259" w:before="0" w:after="300"/>
        <w:jc w:val="both"/>
        <w:rPr>
          <w:rFonts w:ascii="Courier New" w:hAnsi="Courier New"/>
          <w:sz w:val="24"/>
          <w:lang w:val="ru-RU"/>
        </w:rPr>
      </w:pPr>
      <w:r>
        <w:rPr>
          <w:rStyle w:val="Style9"/>
          <w:lang w:val="ru-RU" w:eastAsia="ru-RU"/>
        </w:rPr>
        <w:t>- федеральный бюджет Российской Федерации.</w:t>
      </w:r>
    </w:p>
    <w:p>
      <w:pPr>
        <w:pStyle w:val="BodyText"/>
        <w:numPr>
          <w:ilvl w:val="0"/>
          <w:numId w:val="1"/>
        </w:numPr>
        <w:tabs>
          <w:tab w:val="clear" w:pos="720"/>
          <w:tab w:val="left" w:pos="387" w:leader="none"/>
        </w:tabs>
        <w:spacing w:lineRule="auto" w:line="259" w:before="0" w:after="300"/>
        <w:ind w:hanging="0" w:left="0" w:right="0"/>
        <w:jc w:val="center"/>
        <w:rPr>
          <w:sz w:val="24"/>
          <w:lang w:val="ru-RU"/>
        </w:rPr>
      </w:pPr>
      <w:r>
        <w:rPr>
          <w:rStyle w:val="Style9"/>
          <w:b/>
          <w:lang w:val="ru-RU" w:eastAsia="ru-RU"/>
        </w:rPr>
        <w:t>Технические требования</w:t>
      </w:r>
    </w:p>
    <w:p>
      <w:pPr>
        <w:pStyle w:val="BodyText"/>
        <w:widowControl/>
        <w:numPr>
          <w:ilvl w:val="1"/>
          <w:numId w:val="1"/>
        </w:numPr>
        <w:tabs>
          <w:tab w:val="clear" w:pos="720"/>
          <w:tab w:val="left" w:pos="643" w:leader="none"/>
        </w:tabs>
        <w:suppressAutoHyphens w:val="true"/>
        <w:bidi w:val="0"/>
        <w:spacing w:lineRule="auto" w:line="259" w:before="0" w:after="0"/>
        <w:ind w:firstLine="680" w:left="0" w:right="0"/>
        <w:jc w:val="both"/>
        <w:textAlignment w:val="auto"/>
        <w:rPr/>
      </w:pPr>
      <w:r>
        <w:rPr>
          <w:rStyle w:val="Style9"/>
          <w:lang w:val="ru-RU" w:eastAsia="ru-RU"/>
        </w:rPr>
        <w:t>Уровень освещенности автомобильной дороги, пешеходных переходов в одном уровне с проезжей частью и автобусных остановок принять согласно категории автомобильной дороги и действующих нормативных актов.</w:t>
      </w:r>
    </w:p>
    <w:p>
      <w:pPr>
        <w:pStyle w:val="BodyText"/>
        <w:widowControl/>
        <w:numPr>
          <w:ilvl w:val="1"/>
          <w:numId w:val="1"/>
        </w:numPr>
        <w:tabs>
          <w:tab w:val="clear" w:pos="720"/>
          <w:tab w:val="left" w:pos="643" w:leader="none"/>
        </w:tabs>
        <w:suppressAutoHyphens w:val="true"/>
        <w:bidi w:val="0"/>
        <w:spacing w:lineRule="auto" w:line="259" w:before="0" w:after="0"/>
        <w:ind w:firstLine="680" w:left="0" w:right="0"/>
        <w:jc w:val="both"/>
        <w:textAlignment w:val="auto"/>
        <w:rPr/>
      </w:pPr>
      <w:r>
        <w:rPr>
          <w:rStyle w:val="Style9"/>
          <w:lang w:val="ru-RU" w:eastAsia="ru-RU"/>
        </w:rPr>
        <w:t>Размещение линии освещения и светового оборудования - по основному ходу, справа/слева автомобильной дороги. У заездных карманов, на съездах и локальных пересечениях и примыканиях местоположение опор определить согласно условиям обеспечения заданного уровня освещенности и безопасности движения.</w:t>
      </w:r>
    </w:p>
    <w:p>
      <w:pPr>
        <w:pStyle w:val="BodyText"/>
        <w:widowControl/>
        <w:numPr>
          <w:ilvl w:val="1"/>
          <w:numId w:val="1"/>
        </w:numPr>
        <w:tabs>
          <w:tab w:val="clear" w:pos="720"/>
          <w:tab w:val="left" w:pos="643" w:leader="none"/>
        </w:tabs>
        <w:suppressAutoHyphens w:val="true"/>
        <w:bidi w:val="0"/>
        <w:spacing w:lineRule="auto" w:line="259" w:before="0" w:after="0"/>
        <w:ind w:firstLine="680" w:left="0" w:right="0"/>
        <w:jc w:val="both"/>
        <w:textAlignment w:val="auto"/>
        <w:rPr/>
      </w:pPr>
      <w:r>
        <w:rPr>
          <w:rStyle w:val="Style9"/>
          <w:lang w:val="ru-RU" w:eastAsia="ru-RU"/>
        </w:rPr>
        <w:t>Исполнение линии освещения - воздушное самонесущим изолированным проводом СИП-2, либо кабельное с применением 4-х жильного кабеля, сечением, согласованным Заказчиком.</w:t>
      </w:r>
    </w:p>
    <w:p>
      <w:pPr>
        <w:pStyle w:val="BodyText"/>
        <w:widowControl/>
        <w:numPr>
          <w:ilvl w:val="1"/>
          <w:numId w:val="1"/>
        </w:numPr>
        <w:tabs>
          <w:tab w:val="clear" w:pos="720"/>
          <w:tab w:val="left" w:pos="643" w:leader="none"/>
        </w:tabs>
        <w:suppressAutoHyphens w:val="true"/>
        <w:bidi w:val="0"/>
        <w:spacing w:lineRule="auto" w:line="259" w:before="0" w:after="0"/>
        <w:ind w:firstLine="680" w:left="0" w:right="0"/>
        <w:jc w:val="both"/>
        <w:textAlignment w:val="auto"/>
        <w:rPr/>
      </w:pPr>
      <w:r>
        <w:rPr>
          <w:rStyle w:val="Style9"/>
          <w:b/>
          <w:lang w:val="ru-RU" w:eastAsia="ru-RU"/>
        </w:rPr>
        <w:t xml:space="preserve">Тип опор освещения: </w:t>
      </w:r>
      <w:r>
        <w:rPr>
          <w:rStyle w:val="Style9"/>
          <w:lang w:val="ru-RU" w:eastAsia="ru-RU"/>
        </w:rPr>
        <w:t>опора наружного освещения металлическая СФГ-1000-10,0-01-ц (МСО-ФГ-10-10-01-Ц ГОСТ 32947-2014)</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Вид металлоконструкции: опора;</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Тип опоры: силовая (С);</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Способ установки опоры: фланцевый (Ф);</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Форма поперечного сечения опоры: граненая (Г);</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Максимальное горизонтальное усилие в точке опоры на высоте 9 м: 1000 кг;</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Высота опоры, м: 10;</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Вариант подвода кабеля: воздушный подвод к верхней части опоры (01);</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Покрытие опоры: опора имеет покрытие, нанесённое методом горячего цинкования в соответствии с ГОСТ 9.307-2021 «Покрытия цинковые горячие» от 60 мкм*;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Верхний диаметр опоры: 130мм;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Нижний диаметр опоры: 320мм;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Толщина стенки опоры: 5мм;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Диаметр фланца: 550мм;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Межцентровое расстояние: 440мм;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Количество отверстий во фланце: 12шт;</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Диаметр отверстий под крепеж: 36мм;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Толщина фланца: 25мм;</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Вес опоры: 394кг;</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Наличие ревизионного лючка: нет;</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Наличие элемента защитного заземления: да;</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Наличие элементов для установки оборудования: нет;</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Форма продольного сечения опоры: коническая;</w:t>
      </w:r>
    </w:p>
    <w:p>
      <w:pPr>
        <w:pStyle w:val="BodyText"/>
        <w:widowControl/>
        <w:suppressAutoHyphens w:val="true"/>
        <w:bidi w:val="0"/>
        <w:spacing w:lineRule="auto" w:line="259" w:before="0" w:after="0"/>
        <w:ind w:hanging="0" w:left="0" w:right="0"/>
        <w:jc w:val="both"/>
        <w:textAlignment w:val="auto"/>
        <w:rPr/>
      </w:pPr>
      <w:r>
        <w:rPr>
          <w:rStyle w:val="Style9"/>
          <w:lang w:val="ru-RU" w:eastAsia="ru-RU"/>
        </w:rPr>
        <w:t>Материал ствола опоры и фланца: сталь 09Г2С в соответствии с климатическим районом эксплуатации по СП. 16.13330.2011 с учётом коэффициента запаса прочности;</w:t>
      </w:r>
    </w:p>
    <w:p>
      <w:pPr>
        <w:pStyle w:val="BodyText"/>
        <w:widowControl/>
        <w:suppressAutoHyphens w:val="true"/>
        <w:bidi w:val="0"/>
        <w:ind w:hanging="0" w:left="0" w:right="0"/>
        <w:jc w:val="both"/>
        <w:rPr/>
      </w:pPr>
      <w:r>
        <w:rPr>
          <w:rStyle w:val="Style9"/>
          <w:lang w:val="ru-RU" w:eastAsia="ru-RU"/>
        </w:rPr>
        <w:t>Комплек</w:t>
      </w:r>
      <w:r>
        <w:rPr>
          <w:rStyle w:val="Style9"/>
          <w:rFonts w:eastAsia="Tahoma" w:cs="Noto Sans"/>
          <w:kern w:val="0"/>
          <w:szCs w:val="20"/>
          <w:lang w:val="ru-RU" w:eastAsia="ru-RU" w:bidi="hi-IN"/>
        </w:rPr>
        <w:t>тация к опорам: комплект крепежа М30 (болты, шпильки, гайки, шайбы); **</w:t>
      </w:r>
    </w:p>
    <w:p>
      <w:pPr>
        <w:pStyle w:val="BodyText"/>
        <w:widowControl/>
        <w:numPr>
          <w:ilvl w:val="1"/>
          <w:numId w:val="1"/>
        </w:numPr>
        <w:suppressAutoHyphens w:val="true"/>
        <w:bidi w:val="0"/>
        <w:spacing w:lineRule="auto" w:line="259" w:before="0" w:after="0"/>
        <w:ind w:firstLine="680" w:left="0" w:right="0"/>
        <w:jc w:val="both"/>
        <w:textAlignment w:val="auto"/>
        <w:rPr/>
      </w:pPr>
      <w:r>
        <w:rPr>
          <w:rStyle w:val="Style9"/>
          <w:rFonts w:eastAsia="Tahoma" w:cs="Noto Sans"/>
          <w:kern w:val="0"/>
          <w:szCs w:val="20"/>
          <w:lang w:val="ru-RU" w:eastAsia="ru-RU" w:bidi="hi-IN"/>
        </w:rPr>
        <w:t>Тип кронштейнов: Кронштейн 1.К1-2,5-2,0-Ф6-ц,</w:t>
      </w:r>
    </w:p>
    <w:p>
      <w:pPr>
        <w:pStyle w:val="BodyText"/>
        <w:widowControl/>
        <w:suppressAutoHyphens w:val="true"/>
        <w:bidi w:val="0"/>
        <w:ind w:hanging="0" w:left="0" w:right="0"/>
        <w:jc w:val="both"/>
        <w:rPr/>
      </w:pPr>
      <w:r>
        <w:rPr>
          <w:rStyle w:val="Style9"/>
          <w:rFonts w:eastAsia="Tahoma" w:cs="Noto Sans"/>
          <w:kern w:val="0"/>
          <w:szCs w:val="20"/>
          <w:lang w:val="ru-RU" w:eastAsia="ru-RU" w:bidi="hi-IN"/>
        </w:rPr>
        <w:t>Вид металлоконструкции: Кронштейн</w:t>
      </w:r>
    </w:p>
    <w:p>
      <w:pPr>
        <w:pStyle w:val="BodyText"/>
        <w:widowControl/>
        <w:suppressAutoHyphens w:val="true"/>
        <w:bidi w:val="0"/>
        <w:ind w:hanging="0" w:left="0" w:right="0"/>
        <w:jc w:val="both"/>
        <w:rPr/>
      </w:pPr>
      <w:r>
        <w:rPr>
          <w:rStyle w:val="Style9"/>
          <w:rFonts w:eastAsia="Tahoma" w:cs="Noto Sans"/>
          <w:kern w:val="0"/>
          <w:szCs w:val="20"/>
          <w:lang w:val="ru-RU" w:eastAsia="ru-RU" w:bidi="hi-IN"/>
        </w:rPr>
        <w:t>Количество рожков: один</w:t>
      </w:r>
    </w:p>
    <w:p>
      <w:pPr>
        <w:pStyle w:val="BodyText"/>
        <w:widowControl/>
        <w:suppressAutoHyphens w:val="true"/>
        <w:bidi w:val="0"/>
        <w:ind w:hanging="0" w:left="0" w:right="0"/>
        <w:jc w:val="both"/>
        <w:rPr>
          <w:rFonts w:ascii="Courier New" w:hAnsi="Courier New"/>
          <w:sz w:val="24"/>
          <w:lang w:val="ru-RU"/>
        </w:rPr>
      </w:pPr>
      <w:r>
        <w:rPr>
          <w:rStyle w:val="Style9"/>
          <w:rFonts w:eastAsia="Tahoma" w:cs="Noto Sans"/>
          <w:kern w:val="0"/>
          <w:szCs w:val="20"/>
          <w:lang w:val="ru-RU" w:eastAsia="ru-RU" w:bidi="hi-IN"/>
        </w:rPr>
        <w:t>Высота кро</w:t>
      </w:r>
      <w:r>
        <w:rPr>
          <w:rStyle w:val="Style9"/>
          <w:lang w:val="ru-RU" w:eastAsia="ru-RU"/>
        </w:rPr>
        <w:t>нштейна: 2,5м</w:t>
      </w:r>
    </w:p>
    <w:p>
      <w:pPr>
        <w:pStyle w:val="BodyText"/>
        <w:spacing w:lineRule="auto" w:line="259" w:before="0" w:after="0"/>
        <w:rPr>
          <w:rFonts w:ascii="Courier New" w:hAnsi="Courier New"/>
          <w:sz w:val="24"/>
          <w:lang w:val="ru-RU"/>
        </w:rPr>
      </w:pPr>
      <w:r>
        <w:rPr>
          <w:rStyle w:val="Style9"/>
          <w:lang w:val="ru-RU" w:eastAsia="ru-RU"/>
        </w:rPr>
        <w:t>Вылет кронштейна: 2,0 м</w:t>
      </w:r>
    </w:p>
    <w:p>
      <w:pPr>
        <w:pStyle w:val="BodyText"/>
        <w:spacing w:lineRule="auto" w:line="259" w:before="0" w:after="0"/>
        <w:rPr>
          <w:rFonts w:ascii="Courier New" w:hAnsi="Courier New"/>
          <w:sz w:val="24"/>
          <w:lang w:val="ru-RU"/>
        </w:rPr>
      </w:pPr>
      <w:r>
        <w:rPr>
          <w:rStyle w:val="Style9"/>
          <w:lang w:val="ru-RU" w:eastAsia="ru-RU"/>
        </w:rPr>
        <w:t>Диаметр трубы: 48 мм</w:t>
      </w:r>
    </w:p>
    <w:p>
      <w:pPr>
        <w:pStyle w:val="BodyText"/>
        <w:spacing w:lineRule="auto" w:line="259" w:before="0" w:after="0"/>
        <w:jc w:val="both"/>
        <w:rPr>
          <w:rFonts w:ascii="Courier New" w:hAnsi="Courier New"/>
          <w:sz w:val="24"/>
          <w:lang w:val="ru-RU"/>
        </w:rPr>
      </w:pPr>
      <w:r>
        <w:rPr>
          <w:rStyle w:val="Style9"/>
          <w:lang w:val="ru-RU" w:eastAsia="ru-RU"/>
        </w:rPr>
        <w:t>Тип кронштейна: фланцевый (Ф)</w:t>
      </w:r>
    </w:p>
    <w:p>
      <w:pPr>
        <w:pStyle w:val="BodyText"/>
        <w:spacing w:lineRule="auto" w:line="259" w:before="0" w:after="0"/>
        <w:jc w:val="both"/>
        <w:rPr>
          <w:rFonts w:ascii="Courier New" w:hAnsi="Courier New"/>
          <w:sz w:val="24"/>
          <w:lang w:val="ru-RU"/>
        </w:rPr>
      </w:pPr>
      <w:r>
        <w:rPr>
          <w:rStyle w:val="Style9"/>
          <w:lang w:val="ru-RU" w:eastAsia="ru-RU"/>
        </w:rPr>
        <w:t>Диаметр посадочного фланца: 135мм</w:t>
      </w:r>
    </w:p>
    <w:p>
      <w:pPr>
        <w:pStyle w:val="BodyText"/>
        <w:spacing w:lineRule="auto" w:line="259" w:before="0" w:after="0"/>
        <w:jc w:val="both"/>
        <w:rPr>
          <w:rFonts w:ascii="Courier New" w:hAnsi="Courier New"/>
          <w:sz w:val="24"/>
          <w:lang w:val="ru-RU"/>
        </w:rPr>
      </w:pPr>
      <w:r>
        <w:rPr>
          <w:rStyle w:val="Style9"/>
          <w:lang w:val="ru-RU" w:eastAsia="ru-RU"/>
        </w:rPr>
        <w:t>Диаметр заходящей трубы: 76 мм</w:t>
      </w:r>
    </w:p>
    <w:p>
      <w:pPr>
        <w:pStyle w:val="BodyText"/>
        <w:spacing w:lineRule="auto" w:line="259" w:before="0" w:after="0"/>
        <w:jc w:val="both"/>
        <w:rPr>
          <w:rFonts w:ascii="Courier New" w:hAnsi="Courier New"/>
          <w:sz w:val="24"/>
          <w:lang w:val="ru-RU"/>
        </w:rPr>
      </w:pPr>
      <w:r>
        <w:rPr>
          <w:rStyle w:val="Style9"/>
          <w:lang w:val="ru-RU" w:eastAsia="ru-RU"/>
        </w:rPr>
        <w:t>Угол наклона кронштейна: 15 гр.</w:t>
      </w:r>
    </w:p>
    <w:p>
      <w:pPr>
        <w:pStyle w:val="BodyText"/>
        <w:spacing w:lineRule="auto" w:line="259" w:before="0" w:after="0"/>
        <w:jc w:val="both"/>
        <w:rPr>
          <w:rFonts w:ascii="Courier New" w:hAnsi="Courier New"/>
          <w:sz w:val="24"/>
          <w:lang w:val="ru-RU"/>
        </w:rPr>
      </w:pPr>
      <w:r>
        <w:rPr>
          <w:rStyle w:val="Style9"/>
          <w:lang w:val="ru-RU" w:eastAsia="ru-RU"/>
        </w:rPr>
        <w:t>Вес кронштейна: 16,1кг</w:t>
      </w:r>
    </w:p>
    <w:p>
      <w:pPr>
        <w:pStyle w:val="BodyText"/>
        <w:spacing w:lineRule="auto" w:line="259" w:before="0" w:after="0"/>
        <w:rPr>
          <w:rFonts w:ascii="Courier New" w:hAnsi="Courier New"/>
          <w:sz w:val="24"/>
          <w:lang w:val="ru-RU"/>
        </w:rPr>
      </w:pPr>
      <w:r>
        <w:rPr>
          <w:rStyle w:val="Style9"/>
          <w:lang w:val="ru-RU" w:eastAsia="ru-RU"/>
        </w:rPr>
        <w:t>Покрытие кронштейна: горячее цинкование от 40 мкм.</w:t>
      </w:r>
    </w:p>
    <w:p>
      <w:pPr>
        <w:pStyle w:val="BodyText"/>
        <w:spacing w:lineRule="auto" w:line="259" w:before="0" w:after="0"/>
        <w:jc w:val="both"/>
        <w:rPr>
          <w:rFonts w:ascii="Courier New" w:hAnsi="Courier New"/>
          <w:sz w:val="24"/>
          <w:lang w:val="ru-RU"/>
        </w:rPr>
      </w:pPr>
      <w:r>
        <w:rPr>
          <w:rStyle w:val="Style9"/>
          <w:lang w:val="ru-RU" w:eastAsia="ru-RU"/>
        </w:rPr>
        <w:t>Материал кронштейна: металл;</w:t>
      </w:r>
    </w:p>
    <w:p>
      <w:pPr>
        <w:pStyle w:val="BodyText"/>
        <w:widowControl/>
        <w:numPr>
          <w:ilvl w:val="1"/>
          <w:numId w:val="1"/>
        </w:numPr>
        <w:tabs>
          <w:tab w:val="clear" w:pos="720"/>
          <w:tab w:val="left" w:pos="526" w:leader="none"/>
        </w:tabs>
        <w:suppressAutoHyphens w:val="true"/>
        <w:bidi w:val="0"/>
        <w:spacing w:lineRule="auto" w:line="259" w:before="0" w:after="0"/>
        <w:ind w:hanging="0" w:left="0" w:right="0"/>
        <w:jc w:val="both"/>
        <w:textAlignment w:val="auto"/>
        <w:rPr>
          <w:sz w:val="24"/>
          <w:lang w:val="ru-RU"/>
        </w:rPr>
      </w:pPr>
      <w:r>
        <w:rPr>
          <w:rStyle w:val="Style9"/>
          <w:b/>
          <w:lang w:val="ru-RU" w:eastAsia="ru-RU"/>
        </w:rPr>
        <w:t xml:space="preserve">Тип закладных деталей: </w:t>
      </w:r>
      <w:r>
        <w:rPr>
          <w:rStyle w:val="Style9"/>
          <w:lang w:val="ru-RU" w:eastAsia="ru-RU"/>
        </w:rPr>
        <w:t>Закладная деталь фундамента ЗФ-30/12/Д440-3,0-б</w:t>
      </w:r>
    </w:p>
    <w:p>
      <w:pPr>
        <w:pStyle w:val="BodyText"/>
        <w:spacing w:lineRule="auto" w:line="259" w:before="0" w:after="0"/>
        <w:rPr>
          <w:rFonts w:ascii="Courier New" w:hAnsi="Courier New"/>
          <w:sz w:val="24"/>
          <w:lang w:val="ru-RU"/>
        </w:rPr>
      </w:pPr>
      <w:r>
        <w:rPr>
          <w:rStyle w:val="Style9"/>
          <w:lang w:val="ru-RU" w:eastAsia="ru-RU"/>
        </w:rPr>
        <w:t>Вид металлоконструкции: Закладная деталь фундамента (фундаментная часть);</w:t>
      </w:r>
    </w:p>
    <w:p>
      <w:pPr>
        <w:pStyle w:val="BodyText"/>
        <w:spacing w:lineRule="auto" w:line="259" w:before="0" w:after="0"/>
        <w:rPr>
          <w:rFonts w:ascii="Courier New" w:hAnsi="Courier New"/>
          <w:sz w:val="24"/>
          <w:lang w:val="ru-RU"/>
        </w:rPr>
      </w:pPr>
      <w:r>
        <w:rPr>
          <w:rStyle w:val="Style9"/>
          <w:lang w:val="ru-RU" w:eastAsia="ru-RU"/>
        </w:rPr>
        <w:t>Диаметр фундаментной части 325 мм;</w:t>
      </w:r>
    </w:p>
    <w:p>
      <w:pPr>
        <w:pStyle w:val="BodyText"/>
        <w:spacing w:lineRule="auto" w:line="259" w:before="0" w:after="0"/>
        <w:rPr>
          <w:rFonts w:ascii="Courier New" w:hAnsi="Courier New"/>
          <w:sz w:val="24"/>
          <w:lang w:val="ru-RU"/>
        </w:rPr>
      </w:pPr>
      <w:r>
        <w:rPr>
          <w:rStyle w:val="Style9"/>
          <w:lang w:val="ru-RU" w:eastAsia="ru-RU"/>
        </w:rPr>
        <w:t>Толщина стенки фундаментной части: 8 мм;</w:t>
      </w:r>
    </w:p>
    <w:p>
      <w:pPr>
        <w:pStyle w:val="BodyText"/>
        <w:spacing w:lineRule="auto" w:line="259" w:before="0" w:after="0"/>
        <w:rPr>
          <w:rFonts w:ascii="Courier New" w:hAnsi="Courier New"/>
          <w:sz w:val="24"/>
          <w:lang w:val="ru-RU"/>
        </w:rPr>
      </w:pPr>
      <w:r>
        <w:rPr>
          <w:rStyle w:val="Style9"/>
          <w:lang w:val="ru-RU" w:eastAsia="ru-RU"/>
        </w:rPr>
        <w:t>Высота фундаментной части 3 м;</w:t>
      </w:r>
    </w:p>
    <w:p>
      <w:pPr>
        <w:pStyle w:val="BodyText"/>
        <w:spacing w:lineRule="auto" w:line="259" w:before="0" w:after="0"/>
        <w:rPr>
          <w:rFonts w:ascii="Courier New" w:hAnsi="Courier New"/>
          <w:sz w:val="24"/>
          <w:lang w:val="ru-RU"/>
        </w:rPr>
      </w:pPr>
      <w:r>
        <w:rPr>
          <w:rStyle w:val="Style9"/>
          <w:lang w:val="ru-RU" w:eastAsia="ru-RU"/>
        </w:rPr>
        <w:t>Диаметр фланца: 550 мм;</w:t>
      </w:r>
    </w:p>
    <w:p>
      <w:pPr>
        <w:pStyle w:val="BodyText"/>
        <w:spacing w:lineRule="auto" w:line="259" w:before="0" w:after="0"/>
        <w:rPr>
          <w:rFonts w:ascii="Courier New" w:hAnsi="Courier New"/>
          <w:sz w:val="24"/>
          <w:lang w:val="ru-RU"/>
        </w:rPr>
      </w:pPr>
      <w:r>
        <w:rPr>
          <w:rStyle w:val="Style9"/>
          <w:lang w:val="ru-RU" w:eastAsia="ru-RU"/>
        </w:rPr>
        <w:t>Межцентровое расстояние: 440 мм;</w:t>
      </w:r>
    </w:p>
    <w:p>
      <w:pPr>
        <w:pStyle w:val="BodyText"/>
        <w:spacing w:lineRule="auto" w:line="259" w:before="0" w:after="0"/>
        <w:rPr>
          <w:rFonts w:ascii="Courier New" w:hAnsi="Courier New"/>
          <w:sz w:val="24"/>
          <w:lang w:val="ru-RU"/>
        </w:rPr>
      </w:pPr>
      <w:r>
        <w:rPr>
          <w:rStyle w:val="Style9"/>
          <w:lang w:val="ru-RU" w:eastAsia="ru-RU"/>
        </w:rPr>
        <w:t>Количество отверстий во фланце: 12 шт.;</w:t>
      </w:r>
    </w:p>
    <w:p>
      <w:pPr>
        <w:pStyle w:val="BodyText"/>
        <w:spacing w:lineRule="auto" w:line="259" w:before="0" w:after="0"/>
        <w:rPr>
          <w:rFonts w:ascii="Courier New" w:hAnsi="Courier New"/>
          <w:sz w:val="24"/>
          <w:lang w:val="ru-RU"/>
        </w:rPr>
      </w:pPr>
      <w:r>
        <w:rPr>
          <w:rStyle w:val="Style9"/>
          <w:lang w:val="ru-RU" w:eastAsia="ru-RU"/>
        </w:rPr>
        <w:t>Диаметр отверстий под крепеж: 36 мм;</w:t>
      </w:r>
    </w:p>
    <w:p>
      <w:pPr>
        <w:pStyle w:val="BodyText"/>
        <w:spacing w:lineRule="auto" w:line="259" w:before="0" w:after="0"/>
        <w:rPr>
          <w:rFonts w:ascii="Courier New" w:hAnsi="Courier New"/>
          <w:sz w:val="24"/>
          <w:lang w:val="ru-RU"/>
        </w:rPr>
      </w:pPr>
      <w:r>
        <w:rPr>
          <w:rStyle w:val="Style9"/>
          <w:lang w:val="ru-RU" w:eastAsia="ru-RU"/>
        </w:rPr>
        <w:t>Толщина фланца: 25 мм;</w:t>
      </w:r>
    </w:p>
    <w:p>
      <w:pPr>
        <w:pStyle w:val="BodyText"/>
        <w:spacing w:lineRule="auto" w:line="259" w:before="0" w:after="0"/>
        <w:rPr>
          <w:rFonts w:ascii="Courier New" w:hAnsi="Courier New"/>
          <w:sz w:val="24"/>
          <w:lang w:val="ru-RU"/>
        </w:rPr>
      </w:pPr>
      <w:r>
        <w:rPr>
          <w:rStyle w:val="Style9"/>
          <w:lang w:val="ru-RU" w:eastAsia="ru-RU"/>
        </w:rPr>
        <w:t>Вес закладной детали: 225 кг;</w:t>
      </w:r>
    </w:p>
    <w:p>
      <w:pPr>
        <w:pStyle w:val="BodyText"/>
        <w:spacing w:lineRule="auto" w:line="259" w:before="0" w:after="0"/>
        <w:rPr>
          <w:rFonts w:ascii="Courier New" w:hAnsi="Courier New"/>
          <w:sz w:val="24"/>
          <w:lang w:val="ru-RU"/>
        </w:rPr>
      </w:pPr>
      <w:r>
        <w:rPr>
          <w:rStyle w:val="Style9"/>
          <w:lang w:val="ru-RU" w:eastAsia="ru-RU"/>
        </w:rPr>
        <w:t>Покрытие фундаментной части: битумный лак;</w:t>
      </w:r>
    </w:p>
    <w:p>
      <w:pPr>
        <w:pStyle w:val="BodyText"/>
        <w:spacing w:lineRule="auto" w:line="259" w:before="0" w:after="0"/>
        <w:rPr>
          <w:rFonts w:ascii="Courier New" w:hAnsi="Courier New"/>
          <w:sz w:val="24"/>
          <w:lang w:val="ru-RU"/>
        </w:rPr>
      </w:pPr>
      <w:r>
        <w:rPr>
          <w:rStyle w:val="Style9"/>
          <w:lang w:val="ru-RU" w:eastAsia="ru-RU"/>
        </w:rPr>
        <w:t>Материал фундаментной части: металл;</w:t>
      </w:r>
    </w:p>
    <w:p>
      <w:pPr>
        <w:pStyle w:val="BodyText"/>
        <w:spacing w:lineRule="auto" w:line="259" w:before="0" w:after="0"/>
        <w:jc w:val="both"/>
        <w:rPr>
          <w:rFonts w:ascii="Courier New" w:hAnsi="Courier New"/>
          <w:sz w:val="24"/>
          <w:lang w:val="ru-RU"/>
        </w:rPr>
      </w:pPr>
      <w:r>
        <w:rPr>
          <w:rStyle w:val="Style9"/>
          <w:lang w:val="ru-RU" w:eastAsia="ru-RU"/>
        </w:rPr>
        <w:t>* -Учитывая установку элементов освещения в условиях повышенной влажности и наличия морского воздействия, предусмотреть обработку опор и кронштейнов процессом пассивации оцинкованных металлоконструкций, что позволяет существенно замедлить процессы коррозии, особенно на ранних стадиях, сохранить блеск и внешний вид изделий. При этом необходимо отметить, что пассивирующий слой служит лишь дополнительной мерой и не является заменой основному цинковому покрытию.</w:t>
      </w:r>
    </w:p>
    <w:p>
      <w:pPr>
        <w:pStyle w:val="BodyText"/>
        <w:spacing w:lineRule="auto" w:line="259" w:before="0" w:after="0"/>
        <w:jc w:val="both"/>
        <w:rPr>
          <w:rFonts w:ascii="Courier New" w:hAnsi="Courier New"/>
          <w:sz w:val="24"/>
          <w:lang w:val="ru-RU"/>
        </w:rPr>
      </w:pPr>
      <w:r>
        <w:rPr>
          <w:rStyle w:val="Style9"/>
          <w:lang w:val="ru-RU" w:eastAsia="ru-RU"/>
        </w:rPr>
        <w:t>** - Опора и закладной элемент соединяются при помощи комплекта крепёжных деталей, входящих в поставку резьбовых шпилек с гайками. Монтажный комплект крепежных изделий должны обработаны термодиффузионным покрытием (ТДЦ) по ГОСТ Р 9.316- 2006 «Покрытия термодиффузионные цинковые». Покрытие ТДЦ обладает высокой коррозионной стойкостью, высокой адгезией к подложке за счет формирования диффузионного слоя, а соответственно механические свойства покрытия выше, чем у других способов цинкования.</w:t>
      </w:r>
    </w:p>
    <w:p>
      <w:pPr>
        <w:pStyle w:val="BodyText"/>
        <w:numPr>
          <w:ilvl w:val="1"/>
          <w:numId w:val="1"/>
        </w:numPr>
        <w:tabs>
          <w:tab w:val="clear" w:pos="720"/>
          <w:tab w:val="left" w:pos="594" w:leader="none"/>
        </w:tabs>
        <w:spacing w:lineRule="auto" w:line="259" w:before="0" w:after="0"/>
        <w:ind w:hanging="0" w:left="0" w:right="0"/>
        <w:jc w:val="both"/>
        <w:rPr>
          <w:sz w:val="24"/>
          <w:lang w:val="ru-RU"/>
        </w:rPr>
      </w:pPr>
      <w:r>
        <w:rPr>
          <w:rStyle w:val="Style9"/>
          <w:lang w:val="ru-RU" w:eastAsia="ru-RU"/>
        </w:rPr>
        <w:t>Закладная деталь фундаментов опор прямого исполнения, устанавливаются фланцами по уровню покрытия автомобильной дороги в котлованы на щебеночную подушку высотой не менее 200 мм, бетонируются бетоном марки не ниже В 20.</w:t>
      </w:r>
    </w:p>
    <w:p>
      <w:pPr>
        <w:pStyle w:val="BodyText"/>
        <w:numPr>
          <w:ilvl w:val="1"/>
          <w:numId w:val="1"/>
        </w:numPr>
        <w:tabs>
          <w:tab w:val="clear" w:pos="720"/>
          <w:tab w:val="left" w:pos="594" w:leader="none"/>
        </w:tabs>
        <w:spacing w:lineRule="auto" w:line="259" w:before="0" w:after="0"/>
        <w:ind w:hanging="0" w:left="0" w:right="0"/>
        <w:jc w:val="both"/>
        <w:rPr>
          <w:sz w:val="24"/>
          <w:lang w:val="ru-RU"/>
        </w:rPr>
      </w:pPr>
      <w:r>
        <w:rPr>
          <w:rStyle w:val="Style9"/>
          <w:lang w:val="ru-RU" w:eastAsia="ru-RU"/>
        </w:rPr>
        <w:t>На мостовых сооружениях и путепроводах опоры монтируются согласно решениям разработанными в ППР.</w:t>
      </w:r>
    </w:p>
    <w:p>
      <w:pPr>
        <w:pStyle w:val="BodyText"/>
        <w:numPr>
          <w:ilvl w:val="1"/>
          <w:numId w:val="1"/>
        </w:numPr>
        <w:tabs>
          <w:tab w:val="clear" w:pos="720"/>
          <w:tab w:val="left" w:pos="594" w:leader="none"/>
        </w:tabs>
        <w:spacing w:lineRule="auto" w:line="259" w:before="0" w:after="0"/>
        <w:ind w:hanging="0" w:left="0" w:right="0"/>
        <w:jc w:val="both"/>
        <w:rPr>
          <w:sz w:val="24"/>
          <w:lang w:val="ru-RU"/>
        </w:rPr>
      </w:pPr>
      <w:r>
        <w:rPr>
          <w:rStyle w:val="Style9"/>
          <w:lang w:val="ru-RU" w:eastAsia="ru-RU"/>
        </w:rPr>
        <w:t>Предусмотреть нумерацию опор краской черного цвета трафаретно шрифтом 150 мм на высоте 2 м со стороны проезжей части согласно ПУЭ-7</w:t>
      </w:r>
    </w:p>
    <w:p>
      <w:pPr>
        <w:pStyle w:val="BodyText"/>
        <w:numPr>
          <w:ilvl w:val="1"/>
          <w:numId w:val="1"/>
        </w:numPr>
        <w:tabs>
          <w:tab w:val="clear" w:pos="720"/>
          <w:tab w:val="left" w:pos="733" w:leader="none"/>
        </w:tabs>
        <w:spacing w:lineRule="auto" w:line="259" w:before="0" w:after="0"/>
        <w:ind w:hanging="0" w:left="0" w:right="0"/>
        <w:jc w:val="both"/>
        <w:rPr>
          <w:sz w:val="24"/>
          <w:lang w:val="ru-RU"/>
        </w:rPr>
      </w:pPr>
      <w:r>
        <w:rPr>
          <w:rStyle w:val="Style9"/>
          <w:lang w:val="ru-RU" w:eastAsia="ru-RU"/>
        </w:rPr>
        <w:t xml:space="preserve">Предусмотреть в нижней части опор щиты вертикальной дорожной разметки 2.1.1- 2.1.3 размером не менее </w:t>
      </w:r>
      <w:r>
        <w:rPr>
          <w:rStyle w:val="Style9"/>
          <w:lang w:val="en-US" w:eastAsia="en-US"/>
        </w:rPr>
        <w:t xml:space="preserve">300x1300 </w:t>
      </w:r>
      <w:r>
        <w:rPr>
          <w:rStyle w:val="Style9"/>
          <w:lang w:val="ru-RU" w:eastAsia="ru-RU"/>
        </w:rPr>
        <w:t>мм светоотражающей пленкой типа Б-2.</w:t>
      </w:r>
    </w:p>
    <w:p>
      <w:pPr>
        <w:pStyle w:val="BodyText"/>
        <w:numPr>
          <w:ilvl w:val="1"/>
          <w:numId w:val="1"/>
        </w:numPr>
        <w:tabs>
          <w:tab w:val="clear" w:pos="720"/>
          <w:tab w:val="left" w:pos="733" w:leader="none"/>
        </w:tabs>
        <w:spacing w:lineRule="auto" w:line="259" w:before="0" w:after="0"/>
        <w:ind w:hanging="0" w:left="0" w:right="0"/>
        <w:jc w:val="both"/>
        <w:rPr>
          <w:sz w:val="24"/>
          <w:lang w:val="ru-RU"/>
        </w:rPr>
      </w:pPr>
      <w:r>
        <w:rPr>
          <w:rStyle w:val="Style9"/>
          <w:lang w:val="ru-RU" w:eastAsia="ru-RU"/>
        </w:rPr>
        <w:t>Установка светильников на опорах на кронштейнах с углом установки светильника к горизонту 15 градусов, высотой не менее 2,5 м и длиной (выносом) не менее 2,0 м.</w:t>
      </w:r>
    </w:p>
    <w:p>
      <w:pPr>
        <w:pStyle w:val="BodyText"/>
        <w:numPr>
          <w:ilvl w:val="1"/>
          <w:numId w:val="1"/>
        </w:numPr>
        <w:tabs>
          <w:tab w:val="clear" w:pos="720"/>
          <w:tab w:val="left" w:pos="787" w:leader="none"/>
        </w:tabs>
        <w:spacing w:lineRule="auto" w:line="259" w:before="0" w:after="340"/>
        <w:ind w:hanging="0" w:left="0" w:right="0"/>
        <w:jc w:val="both"/>
        <w:rPr>
          <w:sz w:val="24"/>
          <w:lang w:val="ru-RU"/>
        </w:rPr>
      </w:pPr>
      <w:r>
        <w:rPr>
          <w:rStyle w:val="Style9"/>
          <w:b/>
          <w:sz w:val="24"/>
          <w:lang w:val="ru-RU" w:eastAsia="ru-RU"/>
        </w:rPr>
        <w:t xml:space="preserve">Тип светильника. </w:t>
      </w:r>
      <w:r>
        <w:rPr>
          <w:rStyle w:val="Style9"/>
          <w:lang w:val="ru-RU" w:eastAsia="ru-RU"/>
        </w:rPr>
        <w:t>Светильник для освещения автомобильной дороги и пешеходных переходов светодиодный мощностью не менее 120 Вт (при необходимости не менее 140 Вт);</w:t>
      </w:r>
    </w:p>
    <w:p>
      <w:pPr>
        <w:pStyle w:val="BodyText"/>
        <w:spacing w:lineRule="auto" w:line="276" w:before="0" w:after="0"/>
        <w:rPr>
          <w:rFonts w:ascii="Courier New" w:hAnsi="Courier New"/>
          <w:sz w:val="24"/>
          <w:lang w:val="ru-RU"/>
        </w:rPr>
      </w:pPr>
      <w:r>
        <w:rPr>
          <w:rStyle w:val="Style9"/>
          <w:b/>
          <w:sz w:val="24"/>
          <w:lang w:val="ru-RU" w:eastAsia="ru-RU"/>
        </w:rPr>
        <w:t>Технические данные:</w:t>
      </w:r>
    </w:p>
    <w:p>
      <w:pPr>
        <w:pStyle w:val="BodyText"/>
        <w:spacing w:lineRule="auto" w:line="259" w:before="0" w:after="0"/>
        <w:rPr>
          <w:rFonts w:ascii="Courier New" w:hAnsi="Courier New"/>
          <w:sz w:val="24"/>
          <w:lang w:val="ru-RU"/>
        </w:rPr>
      </w:pPr>
      <w:r>
        <w:rPr>
          <w:rStyle w:val="Style9"/>
          <w:lang w:val="ru-RU" w:eastAsia="ru-RU"/>
        </w:rPr>
        <w:t>Световой поток, лм, не менее 18000</w:t>
      </w:r>
    </w:p>
    <w:p>
      <w:pPr>
        <w:pStyle w:val="BodyText"/>
        <w:spacing w:lineRule="auto" w:line="259" w:before="0" w:after="0"/>
        <w:rPr>
          <w:rFonts w:ascii="Courier New" w:hAnsi="Courier New"/>
          <w:sz w:val="24"/>
          <w:lang w:val="ru-RU"/>
        </w:rPr>
      </w:pPr>
      <w:r>
        <w:rPr>
          <w:rStyle w:val="Style9"/>
          <w:lang w:val="ru-RU" w:eastAsia="ru-RU"/>
        </w:rPr>
        <w:t>Напряжение питания, В: 230+/-10%</w:t>
      </w:r>
    </w:p>
    <w:p>
      <w:pPr>
        <w:pStyle w:val="BodyText"/>
        <w:spacing w:lineRule="auto" w:line="259" w:before="0" w:after="0"/>
        <w:rPr>
          <w:rFonts w:ascii="Courier New" w:hAnsi="Courier New"/>
          <w:sz w:val="24"/>
          <w:lang w:val="ru-RU"/>
        </w:rPr>
      </w:pPr>
      <w:r>
        <w:rPr>
          <w:rStyle w:val="Style9"/>
          <w:lang w:val="ru-RU" w:eastAsia="ru-RU"/>
        </w:rPr>
        <w:t>Мощность, не менее (Вт): 120 (140 по необходимости)</w:t>
      </w:r>
    </w:p>
    <w:p>
      <w:pPr>
        <w:pStyle w:val="BodyText"/>
        <w:spacing w:lineRule="auto" w:line="259" w:before="0" w:after="0"/>
        <w:rPr>
          <w:rFonts w:ascii="Courier New" w:hAnsi="Courier New"/>
          <w:sz w:val="24"/>
          <w:lang w:val="ru-RU"/>
        </w:rPr>
      </w:pPr>
      <w:r>
        <w:rPr>
          <w:rStyle w:val="Style9"/>
          <w:lang w:val="ru-RU" w:eastAsia="ru-RU"/>
        </w:rPr>
        <w:t>Коэффициент мощности, не менее 0,95</w:t>
      </w:r>
    </w:p>
    <w:p>
      <w:pPr>
        <w:pStyle w:val="BodyText"/>
        <w:spacing w:lineRule="auto" w:line="259" w:before="0" w:after="0"/>
        <w:rPr>
          <w:rFonts w:ascii="Courier New" w:hAnsi="Courier New"/>
          <w:sz w:val="24"/>
          <w:lang w:val="ru-RU"/>
        </w:rPr>
      </w:pPr>
      <w:r>
        <w:rPr>
          <w:rStyle w:val="Style9"/>
          <w:lang w:val="ru-RU" w:eastAsia="ru-RU"/>
        </w:rPr>
        <w:t>Световая отдача светильника, не менее, 145 лм/Вт</w:t>
      </w:r>
    </w:p>
    <w:p>
      <w:pPr>
        <w:pStyle w:val="BodyText"/>
        <w:spacing w:lineRule="auto" w:line="259" w:before="0" w:after="0"/>
        <w:rPr>
          <w:rFonts w:ascii="Courier New" w:hAnsi="Courier New"/>
          <w:sz w:val="24"/>
          <w:lang w:val="ru-RU"/>
        </w:rPr>
      </w:pPr>
      <w:r>
        <w:rPr>
          <w:rStyle w:val="Style9"/>
          <w:lang w:val="ru-RU" w:eastAsia="ru-RU"/>
        </w:rPr>
        <w:t>Диапазон цветовой температуры, К, 4000</w:t>
      </w:r>
    </w:p>
    <w:p>
      <w:pPr>
        <w:pStyle w:val="BodyText"/>
        <w:spacing w:lineRule="auto" w:line="259" w:before="0" w:after="0"/>
        <w:rPr>
          <w:rFonts w:ascii="Courier New" w:hAnsi="Courier New"/>
          <w:sz w:val="24"/>
          <w:lang w:val="ru-RU"/>
        </w:rPr>
      </w:pPr>
      <w:r>
        <w:rPr>
          <w:rStyle w:val="Style9"/>
          <w:lang w:val="ru-RU" w:eastAsia="ru-RU"/>
        </w:rPr>
        <w:t xml:space="preserve">Степень защиты светильника, </w:t>
      </w:r>
      <w:r>
        <w:rPr>
          <w:rStyle w:val="Style9"/>
          <w:lang w:val="en-US" w:eastAsia="en-US"/>
        </w:rPr>
        <w:t xml:space="preserve">IP, </w:t>
      </w:r>
      <w:r>
        <w:rPr>
          <w:rStyle w:val="Style9"/>
          <w:lang w:val="ru-RU" w:eastAsia="ru-RU"/>
        </w:rPr>
        <w:t>66</w:t>
      </w:r>
    </w:p>
    <w:p>
      <w:pPr>
        <w:pStyle w:val="BodyText"/>
        <w:spacing w:lineRule="auto" w:line="259" w:before="0" w:after="0"/>
        <w:rPr>
          <w:rFonts w:ascii="Courier New" w:hAnsi="Courier New"/>
          <w:sz w:val="24"/>
          <w:lang w:val="ru-RU"/>
        </w:rPr>
      </w:pPr>
      <w:r>
        <w:rPr>
          <w:rStyle w:val="Style9"/>
          <w:lang w:val="ru-RU" w:eastAsia="ru-RU"/>
        </w:rPr>
        <w:t>Световой поток, лм, не менее 17400</w:t>
      </w:r>
    </w:p>
    <w:p>
      <w:pPr>
        <w:pStyle w:val="BodyText"/>
        <w:spacing w:lineRule="auto" w:line="259" w:before="0" w:after="0"/>
        <w:rPr>
          <w:rFonts w:ascii="Courier New" w:hAnsi="Courier New"/>
          <w:sz w:val="24"/>
          <w:lang w:val="ru-RU"/>
        </w:rPr>
      </w:pPr>
      <w:r>
        <w:rPr>
          <w:rStyle w:val="Style9"/>
          <w:lang w:val="ru-RU" w:eastAsia="ru-RU"/>
        </w:rPr>
        <w:t>Тип КСС (кривая сила света) широкая боковая 2А</w:t>
      </w:r>
    </w:p>
    <w:p>
      <w:pPr>
        <w:pStyle w:val="BodyText"/>
        <w:spacing w:lineRule="auto" w:line="259" w:before="0" w:after="0"/>
        <w:rPr>
          <w:rFonts w:ascii="Courier New" w:hAnsi="Courier New"/>
          <w:sz w:val="24"/>
          <w:lang w:val="ru-RU"/>
        </w:rPr>
      </w:pPr>
      <w:r>
        <w:rPr>
          <w:rStyle w:val="Style9"/>
          <w:lang w:val="ru-RU" w:eastAsia="ru-RU"/>
        </w:rPr>
        <w:t>Коэффициент пульсации светового потока, не более, 5%</w:t>
      </w:r>
    </w:p>
    <w:p>
      <w:pPr>
        <w:pStyle w:val="BodyText"/>
        <w:spacing w:lineRule="auto" w:line="259" w:before="0" w:after="0"/>
        <w:rPr>
          <w:rFonts w:ascii="Courier New" w:hAnsi="Courier New"/>
          <w:sz w:val="24"/>
          <w:lang w:val="ru-RU"/>
        </w:rPr>
      </w:pPr>
      <w:r>
        <w:rPr>
          <w:rStyle w:val="Style9"/>
          <w:lang w:val="ru-RU" w:eastAsia="ru-RU"/>
        </w:rPr>
        <w:t>Угол</w:t>
      </w:r>
    </w:p>
    <w:p>
      <w:pPr>
        <w:pStyle w:val="BodyText"/>
        <w:spacing w:lineRule="auto" w:line="259" w:before="0" w:after="0"/>
        <w:rPr>
          <w:rFonts w:ascii="Courier New" w:hAnsi="Courier New"/>
          <w:sz w:val="24"/>
          <w:lang w:val="ru-RU"/>
        </w:rPr>
      </w:pPr>
      <w:r>
        <w:rPr>
          <w:rStyle w:val="Style9"/>
          <w:lang w:val="ru-RU" w:eastAsia="ru-RU"/>
        </w:rPr>
        <w:t>Температура эксплуатации, С°: -50...+50</w:t>
      </w:r>
    </w:p>
    <w:p>
      <w:pPr>
        <w:pStyle w:val="BodyText"/>
        <w:spacing w:lineRule="auto" w:line="259" w:before="0" w:after="0"/>
        <w:rPr>
          <w:rFonts w:ascii="Courier New" w:hAnsi="Courier New"/>
          <w:sz w:val="24"/>
          <w:lang w:val="ru-RU"/>
        </w:rPr>
      </w:pPr>
      <w:r>
        <w:rPr>
          <w:rStyle w:val="Style9"/>
          <w:lang w:val="ru-RU" w:eastAsia="ru-RU"/>
        </w:rPr>
        <w:t xml:space="preserve">Габаритные размеры ДхШхВ (мм) </w:t>
      </w:r>
      <w:r>
        <w:rPr>
          <w:rStyle w:val="Style9"/>
          <w:lang w:val="en-US" w:eastAsia="en-US"/>
        </w:rPr>
        <w:t>607x301x115</w:t>
      </w:r>
    </w:p>
    <w:p>
      <w:pPr>
        <w:pStyle w:val="BodyText"/>
        <w:spacing w:lineRule="auto" w:line="259" w:before="0" w:after="0"/>
        <w:rPr>
          <w:rFonts w:ascii="Courier New" w:hAnsi="Courier New"/>
          <w:sz w:val="24"/>
          <w:lang w:val="ru-RU"/>
        </w:rPr>
      </w:pPr>
      <w:r>
        <w:rPr>
          <w:rStyle w:val="Style9"/>
          <w:lang w:val="ru-RU" w:eastAsia="ru-RU"/>
        </w:rPr>
        <w:t xml:space="preserve">Степень защиты от механических ударов </w:t>
      </w:r>
      <w:r>
        <w:rPr>
          <w:rStyle w:val="Style9"/>
          <w:lang w:val="en-US" w:eastAsia="en-US"/>
        </w:rPr>
        <w:t>IK08</w:t>
      </w:r>
    </w:p>
    <w:p>
      <w:pPr>
        <w:pStyle w:val="BodyText"/>
        <w:spacing w:lineRule="auto" w:line="259" w:before="0" w:after="0"/>
        <w:rPr>
          <w:rFonts w:ascii="Courier New" w:hAnsi="Courier New"/>
          <w:sz w:val="24"/>
          <w:lang w:val="ru-RU"/>
        </w:rPr>
      </w:pPr>
      <w:r>
        <w:rPr>
          <w:rStyle w:val="Style9"/>
          <w:lang w:val="ru-RU" w:eastAsia="ru-RU"/>
        </w:rPr>
        <w:t>Масса: не более 7,500 кг</w:t>
      </w:r>
    </w:p>
    <w:p>
      <w:pPr>
        <w:pStyle w:val="BodyText"/>
        <w:spacing w:lineRule="auto" w:line="259" w:before="0" w:after="0"/>
        <w:rPr>
          <w:rFonts w:ascii="Courier New" w:hAnsi="Courier New"/>
          <w:sz w:val="24"/>
          <w:lang w:val="ru-RU"/>
        </w:rPr>
      </w:pPr>
      <w:r>
        <w:rPr>
          <w:rStyle w:val="Style9"/>
          <w:lang w:val="ru-RU" w:eastAsia="ru-RU"/>
        </w:rPr>
        <w:t>Доступ в электрический отсек: бесключевой</w:t>
      </w:r>
    </w:p>
    <w:p>
      <w:pPr>
        <w:pStyle w:val="BodyText"/>
        <w:spacing w:lineRule="auto" w:line="259" w:before="0" w:after="0"/>
        <w:rPr>
          <w:rFonts w:ascii="Courier New" w:hAnsi="Courier New"/>
          <w:sz w:val="24"/>
          <w:lang w:val="ru-RU"/>
        </w:rPr>
      </w:pPr>
      <w:r>
        <w:rPr>
          <w:rStyle w:val="Style9"/>
          <w:lang w:val="ru-RU" w:eastAsia="ru-RU"/>
        </w:rPr>
        <w:t>Оптическая часть: закаленное стекло</w:t>
      </w:r>
    </w:p>
    <w:p>
      <w:pPr>
        <w:pStyle w:val="BodyText"/>
        <w:spacing w:lineRule="auto" w:line="259" w:before="0" w:after="0"/>
        <w:jc w:val="both"/>
        <w:rPr>
          <w:rFonts w:ascii="Courier New" w:hAnsi="Courier New"/>
          <w:sz w:val="24"/>
          <w:lang w:val="ru-RU"/>
        </w:rPr>
      </w:pPr>
      <w:r>
        <w:rPr>
          <w:rStyle w:val="Style9"/>
          <w:lang w:val="ru-RU" w:eastAsia="ru-RU"/>
        </w:rPr>
        <w:t>Светильнике должен оснащен вторичной оптикой, которая, была специально разработана для обеспечения требуемой нормы освещенности, средней яркости, поперечной и продольной равномерности освещения, минимальной слепимости и требуемой освещенности обочины.</w:t>
      </w:r>
    </w:p>
    <w:p>
      <w:pPr>
        <w:pStyle w:val="BodyText"/>
        <w:numPr>
          <w:ilvl w:val="1"/>
          <w:numId w:val="1"/>
        </w:numPr>
        <w:tabs>
          <w:tab w:val="clear" w:pos="720"/>
          <w:tab w:val="left" w:pos="787" w:leader="none"/>
        </w:tabs>
        <w:spacing w:lineRule="auto" w:line="259" w:before="0" w:after="0"/>
        <w:ind w:hanging="0" w:left="0" w:right="0"/>
        <w:jc w:val="both"/>
        <w:rPr>
          <w:sz w:val="24"/>
          <w:lang w:val="ru-RU"/>
        </w:rPr>
      </w:pPr>
      <w:r>
        <w:rPr>
          <w:rStyle w:val="Style9"/>
          <w:b/>
          <w:sz w:val="24"/>
          <w:lang w:val="ru-RU" w:eastAsia="ru-RU"/>
        </w:rPr>
        <w:t xml:space="preserve">КТП. </w:t>
      </w:r>
      <w:r>
        <w:rPr>
          <w:rStyle w:val="Style9"/>
          <w:lang w:val="ru-RU" w:eastAsia="ru-RU"/>
        </w:rPr>
        <w:t>Комплектные трансформаторные подстанции наружной установки (КТП) предназначены для приема, распределения трехфазного переменного тока напряжением 6-10 кВ, частотой 50 Гц и преобразования его в напряжение 0,4 кВ, а также для распределения и учета электроэнергии. КТП изготавливаются в исполнении УХЛ категории 1 в атмосфере II типа по ГОСТ 15150-69 и предназначены для работы в условиях:</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температура окружающего воздуха от -45С до +40С;</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 xml:space="preserve">степень защиты персонала и оборудования - </w:t>
      </w:r>
      <w:r>
        <w:rPr>
          <w:rStyle w:val="Style9"/>
          <w:lang w:val="en-US" w:eastAsia="en-US"/>
        </w:rPr>
        <w:t>IP34;</w:t>
      </w:r>
    </w:p>
    <w:p>
      <w:pPr>
        <w:pStyle w:val="BodyText"/>
        <w:numPr>
          <w:ilvl w:val="0"/>
          <w:numId w:val="3"/>
        </w:numPr>
        <w:tabs>
          <w:tab w:val="clear" w:pos="720"/>
          <w:tab w:val="left" w:pos="277" w:leader="none"/>
        </w:tabs>
        <w:spacing w:lineRule="auto" w:line="259" w:before="0" w:after="0"/>
        <w:ind w:hanging="0" w:left="0" w:right="0"/>
        <w:rPr>
          <w:sz w:val="24"/>
          <w:lang w:val="ru-RU"/>
        </w:rPr>
      </w:pPr>
      <w:r>
        <w:rPr>
          <w:rStyle w:val="Style9"/>
          <w:lang w:val="ru-RU" w:eastAsia="ru-RU"/>
        </w:rPr>
        <w:t xml:space="preserve">конструктивное исполнение - </w:t>
      </w:r>
      <w:r>
        <w:rPr>
          <w:rStyle w:val="Style9"/>
          <w:b/>
          <w:sz w:val="24"/>
          <w:lang w:val="ru-RU" w:eastAsia="ru-RU"/>
        </w:rPr>
        <w:t>киосковая;</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по схемному исполнению- тупиковая/проходная;</w:t>
      </w:r>
    </w:p>
    <w:p>
      <w:pPr>
        <w:pStyle w:val="BodyText"/>
        <w:numPr>
          <w:ilvl w:val="0"/>
          <w:numId w:val="3"/>
        </w:numPr>
        <w:tabs>
          <w:tab w:val="clear" w:pos="720"/>
          <w:tab w:val="left" w:pos="277" w:leader="none"/>
        </w:tabs>
        <w:spacing w:lineRule="auto" w:line="259" w:before="0" w:after="0"/>
        <w:ind w:hanging="0" w:left="0" w:right="0"/>
        <w:rPr>
          <w:sz w:val="24"/>
          <w:lang w:val="ru-RU"/>
        </w:rPr>
      </w:pPr>
      <w:r>
        <w:rPr>
          <w:rStyle w:val="Style9"/>
          <w:lang w:val="ru-RU" w:eastAsia="ru-RU"/>
        </w:rPr>
        <w:t>по типу силового трансформатора- с масляным трансформатором;</w:t>
      </w:r>
    </w:p>
    <w:p>
      <w:pPr>
        <w:pStyle w:val="BodyText"/>
        <w:numPr>
          <w:ilvl w:val="0"/>
          <w:numId w:val="3"/>
        </w:numPr>
        <w:tabs>
          <w:tab w:val="clear" w:pos="720"/>
          <w:tab w:val="left" w:pos="277" w:leader="none"/>
        </w:tabs>
        <w:spacing w:lineRule="auto" w:line="259" w:before="0" w:after="0"/>
        <w:ind w:hanging="0" w:left="0" w:right="0"/>
        <w:rPr>
          <w:sz w:val="24"/>
          <w:lang w:val="ru-RU"/>
        </w:rPr>
      </w:pPr>
      <w:r>
        <w:rPr>
          <w:rStyle w:val="Style9"/>
          <w:lang w:val="ru-RU" w:eastAsia="ru-RU"/>
        </w:rPr>
        <w:t>по выполнению высоковольтного ввода КТП- воздушный ввод/кабельный ввод;</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по числу применяемых силовых трансформаторов- 1 шт.</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габаритные размеры: не менее 3600 мм*2400 мм, высота не менее 2450/4500 мм;</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мощность силового трансформатора, кВа- 25/40;</w:t>
      </w:r>
    </w:p>
    <w:p>
      <w:pPr>
        <w:pStyle w:val="BodyText"/>
        <w:numPr>
          <w:ilvl w:val="0"/>
          <w:numId w:val="3"/>
        </w:numPr>
        <w:tabs>
          <w:tab w:val="clear" w:pos="720"/>
          <w:tab w:val="left" w:pos="277" w:leader="none"/>
        </w:tabs>
        <w:spacing w:lineRule="auto" w:line="259" w:before="0" w:after="0"/>
        <w:ind w:hanging="0" w:left="0" w:right="0"/>
        <w:rPr>
          <w:sz w:val="24"/>
          <w:lang w:val="ru-RU"/>
        </w:rPr>
      </w:pPr>
      <w:r>
        <w:rPr>
          <w:rStyle w:val="Style9"/>
          <w:lang w:val="ru-RU" w:eastAsia="ru-RU"/>
        </w:rPr>
        <w:t>гарантийный срок эксплуатации КТП- 5 лет с момента ввода в эксплуатацию.</w:t>
      </w:r>
    </w:p>
    <w:p>
      <w:pPr>
        <w:pStyle w:val="BodyText"/>
        <w:numPr>
          <w:ilvl w:val="0"/>
          <w:numId w:val="3"/>
        </w:numPr>
        <w:tabs>
          <w:tab w:val="clear" w:pos="720"/>
          <w:tab w:val="left" w:pos="272" w:leader="none"/>
        </w:tabs>
        <w:spacing w:lineRule="auto" w:line="259" w:before="0" w:after="0"/>
        <w:ind w:hanging="0" w:left="0" w:right="0"/>
        <w:rPr>
          <w:sz w:val="24"/>
          <w:lang w:val="ru-RU"/>
        </w:rPr>
      </w:pPr>
      <w:r>
        <w:rPr>
          <w:rStyle w:val="Style9"/>
          <w:lang w:val="ru-RU" w:eastAsia="ru-RU"/>
        </w:rPr>
        <w:t>полный срок службы КТП- не менее 30 лет;</w:t>
      </w:r>
    </w:p>
    <w:p>
      <w:pPr>
        <w:pStyle w:val="BodyText"/>
        <w:spacing w:lineRule="auto" w:line="259" w:before="0" w:after="0"/>
        <w:rPr>
          <w:rFonts w:ascii="Courier New" w:hAnsi="Courier New"/>
          <w:sz w:val="24"/>
          <w:lang w:val="ru-RU"/>
        </w:rPr>
      </w:pPr>
      <w:r>
        <w:rPr>
          <w:rStyle w:val="Style9"/>
          <w:lang w:val="ru-RU" w:eastAsia="ru-RU"/>
        </w:rPr>
        <w:t>Двери в КТП должны иметь возможность запирания на навесной замок.</w:t>
      </w:r>
    </w:p>
    <w:p>
      <w:pPr>
        <w:pStyle w:val="BodyText"/>
        <w:spacing w:lineRule="auto" w:line="259" w:before="0" w:after="0"/>
        <w:jc w:val="both"/>
        <w:rPr>
          <w:rFonts w:ascii="Courier New" w:hAnsi="Courier New"/>
          <w:sz w:val="24"/>
          <w:lang w:val="ru-RU"/>
        </w:rPr>
      </w:pPr>
      <w:r>
        <w:rPr>
          <w:rStyle w:val="Style9"/>
          <w:lang w:val="ru-RU" w:eastAsia="ru-RU"/>
        </w:rPr>
        <w:t>Конструкция КТП должна исключать возможность проникновения животных и птиц внутрь корпуса.</w:t>
      </w:r>
    </w:p>
    <w:p>
      <w:pPr>
        <w:pStyle w:val="BodyText"/>
        <w:spacing w:lineRule="auto" w:line="259" w:before="0" w:after="160"/>
        <w:rPr>
          <w:rFonts w:ascii="Courier New" w:hAnsi="Courier New"/>
          <w:sz w:val="24"/>
          <w:lang w:val="ru-RU"/>
        </w:rPr>
      </w:pPr>
      <w:r>
        <w:rPr>
          <w:rStyle w:val="Style9"/>
          <w:lang w:val="ru-RU" w:eastAsia="ru-RU"/>
        </w:rPr>
        <w:t>Корпус КТП должен быть выполнен из листовой оцинкованной стали не менее 2 мм.</w:t>
      </w:r>
    </w:p>
    <w:p>
      <w:pPr>
        <w:pStyle w:val="BodyText"/>
        <w:numPr>
          <w:ilvl w:val="0"/>
          <w:numId w:val="1"/>
        </w:numPr>
        <w:tabs>
          <w:tab w:val="clear" w:pos="720"/>
          <w:tab w:val="left" w:pos="355" w:leader="none"/>
        </w:tabs>
        <w:spacing w:lineRule="auto" w:line="240" w:before="0" w:after="300"/>
        <w:ind w:hanging="0" w:left="0" w:right="0"/>
        <w:jc w:val="center"/>
        <w:rPr>
          <w:sz w:val="24"/>
          <w:lang w:val="ru-RU"/>
        </w:rPr>
      </w:pPr>
      <w:r>
        <w:rPr>
          <w:rStyle w:val="Style9"/>
          <w:b/>
          <w:sz w:val="28"/>
          <w:lang w:val="ru-RU" w:eastAsia="ru-RU"/>
        </w:rPr>
        <w:t>Сертификация</w:t>
      </w:r>
    </w:p>
    <w:p>
      <w:pPr>
        <w:pStyle w:val="BodyText"/>
        <w:spacing w:lineRule="auto" w:line="257" w:before="0" w:after="300"/>
        <w:ind w:firstLine="480" w:left="0" w:right="0"/>
        <w:jc w:val="both"/>
        <w:rPr>
          <w:rFonts w:ascii="Courier New" w:hAnsi="Courier New"/>
          <w:sz w:val="24"/>
          <w:lang w:val="ru-RU"/>
        </w:rPr>
      </w:pPr>
      <w:r>
        <w:rPr>
          <w:rStyle w:val="Style9"/>
          <w:lang w:val="ru-RU" w:eastAsia="ru-RU"/>
        </w:rPr>
        <w:t>-Соответствовать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w:t>
      </w:r>
    </w:p>
    <w:p>
      <w:pPr>
        <w:pStyle w:val="BodyText"/>
        <w:numPr>
          <w:ilvl w:val="0"/>
          <w:numId w:val="1"/>
        </w:numPr>
        <w:tabs>
          <w:tab w:val="clear" w:pos="720"/>
          <w:tab w:val="left" w:pos="350" w:leader="none"/>
        </w:tabs>
        <w:spacing w:lineRule="auto" w:line="240" w:before="0" w:after="180"/>
        <w:ind w:hanging="0" w:left="0" w:right="0"/>
        <w:jc w:val="center"/>
        <w:rPr>
          <w:sz w:val="24"/>
          <w:lang w:val="ru-RU"/>
        </w:rPr>
      </w:pPr>
      <w:r>
        <w:rPr>
          <w:rStyle w:val="Style9"/>
          <w:b/>
          <w:sz w:val="28"/>
          <w:lang w:val="ru-RU" w:eastAsia="ru-RU"/>
        </w:rPr>
        <w:t>Гарантия</w:t>
      </w:r>
    </w:p>
    <w:p>
      <w:pPr>
        <w:pStyle w:val="BodyText"/>
        <w:spacing w:lineRule="auto" w:line="276" w:before="0" w:after="0"/>
        <w:ind w:firstLine="480" w:left="0" w:right="0"/>
        <w:jc w:val="both"/>
        <w:rPr>
          <w:rFonts w:ascii="Courier New" w:hAnsi="Courier New"/>
          <w:sz w:val="24"/>
          <w:lang w:val="ru-RU"/>
        </w:rPr>
      </w:pPr>
      <w:r>
        <w:rPr>
          <w:rStyle w:val="Style9"/>
          <w:lang w:val="ru-RU" w:eastAsia="ru-RU"/>
        </w:rPr>
        <w:t>-Гарантийный срок эксплуатации светильника должен составлять не менее 5 лет с момента отгрузки.</w:t>
      </w:r>
    </w:p>
    <w:p>
      <w:pPr>
        <w:pStyle w:val="BodyText"/>
        <w:spacing w:lineRule="auto" w:line="259" w:before="0" w:after="300"/>
        <w:ind w:firstLine="480" w:left="0" w:right="0"/>
        <w:jc w:val="both"/>
        <w:rPr>
          <w:rFonts w:ascii="Courier New" w:hAnsi="Courier New"/>
          <w:sz w:val="24"/>
          <w:lang w:val="ru-RU"/>
        </w:rPr>
      </w:pPr>
      <w:r>
        <w:rPr>
          <w:rStyle w:val="Style9"/>
          <w:lang w:val="ru-RU" w:eastAsia="ru-RU"/>
        </w:rPr>
        <w:t>-Срок службы светильника должен составлять не менее 12 лет.</w:t>
      </w:r>
    </w:p>
    <w:p>
      <w:pPr>
        <w:pStyle w:val="BodyText"/>
        <w:numPr>
          <w:ilvl w:val="1"/>
          <w:numId w:val="1"/>
        </w:numPr>
        <w:tabs>
          <w:tab w:val="clear" w:pos="720"/>
          <w:tab w:val="left" w:pos="566" w:leader="none"/>
        </w:tabs>
        <w:spacing w:lineRule="auto" w:line="259" w:before="0" w:after="0"/>
        <w:ind w:hanging="0" w:left="0" w:right="0"/>
        <w:jc w:val="both"/>
        <w:rPr>
          <w:sz w:val="24"/>
          <w:lang w:val="ru-RU"/>
        </w:rPr>
      </w:pPr>
      <w:r>
        <w:rPr>
          <w:rStyle w:val="Style9"/>
          <w:lang w:val="ru-RU" w:eastAsia="ru-RU"/>
        </w:rPr>
        <w:t>Освещение пешеходных переходов в одном уровне с проезжей частью в темное время суток должно обеспечивать среднюю вертикальную освещенность вдоль продольной оси перехода со стороны хода движения транспорта не менее 15 лк и не допускать ослепление водителей встречного транспорта, а также иметь среднюю горизонтальную освещенность на 50% выше средней нормируемой освещенности автомобильной дороги.</w:t>
      </w:r>
    </w:p>
    <w:p>
      <w:pPr>
        <w:pStyle w:val="BodyText"/>
        <w:numPr>
          <w:ilvl w:val="1"/>
          <w:numId w:val="1"/>
        </w:numPr>
        <w:tabs>
          <w:tab w:val="clear" w:pos="720"/>
          <w:tab w:val="left" w:pos="557" w:leader="none"/>
        </w:tabs>
        <w:spacing w:lineRule="auto" w:line="259" w:before="0" w:after="0"/>
        <w:ind w:hanging="0" w:left="0" w:right="0"/>
        <w:jc w:val="both"/>
        <w:rPr>
          <w:sz w:val="24"/>
          <w:lang w:val="ru-RU"/>
        </w:rPr>
      </w:pPr>
      <w:r>
        <w:rPr>
          <w:rStyle w:val="Style9"/>
          <w:lang w:val="ru-RU" w:eastAsia="ru-RU"/>
        </w:rPr>
        <w:t>Предусмотреть контуры заземления крайних опор освещения согласно действующих норм. Контуры заземления выполнить с помощью отдельных заземляющих электродов, количеством и длиной согласно произведенного расчета.</w:t>
      </w:r>
    </w:p>
    <w:p>
      <w:pPr>
        <w:pStyle w:val="BodyText"/>
        <w:numPr>
          <w:ilvl w:val="1"/>
          <w:numId w:val="1"/>
        </w:numPr>
        <w:tabs>
          <w:tab w:val="clear" w:pos="720"/>
          <w:tab w:val="left" w:pos="562" w:leader="none"/>
        </w:tabs>
        <w:spacing w:lineRule="auto" w:line="259" w:before="0" w:after="0"/>
        <w:ind w:hanging="0" w:left="0" w:right="0"/>
        <w:jc w:val="both"/>
        <w:rPr>
          <w:sz w:val="24"/>
          <w:lang w:val="ru-RU"/>
        </w:rPr>
      </w:pPr>
      <w:r>
        <w:rPr>
          <w:rStyle w:val="Style9"/>
          <w:lang w:val="ru-RU" w:eastAsia="ru-RU"/>
        </w:rPr>
        <w:t>Кабельные линии на вводе в закладные детали опор должны защищаться отрезками электротехнических двустенных ПНД труб длиной не менее 500 мм.</w:t>
      </w:r>
    </w:p>
    <w:p>
      <w:pPr>
        <w:pStyle w:val="BodyText"/>
        <w:numPr>
          <w:ilvl w:val="1"/>
          <w:numId w:val="1"/>
        </w:numPr>
        <w:tabs>
          <w:tab w:val="clear" w:pos="720"/>
          <w:tab w:val="left" w:pos="566" w:leader="none"/>
        </w:tabs>
        <w:spacing w:lineRule="auto" w:line="259" w:before="0" w:after="0"/>
        <w:ind w:hanging="0" w:left="0" w:right="0"/>
        <w:jc w:val="both"/>
        <w:rPr>
          <w:sz w:val="24"/>
          <w:lang w:val="ru-RU"/>
        </w:rPr>
      </w:pPr>
      <w:r>
        <w:rPr>
          <w:rStyle w:val="Style9"/>
          <w:lang w:val="ru-RU" w:eastAsia="ru-RU"/>
        </w:rPr>
        <w:t>Кабельные линии прокладываются на подушке из просеянного грунта высотой не менее 150 мм и покрываются просеянным грунтом (песка) на высоту 150 мм. Кабельная линия обозначается сигнальной лентой шириной не менее 150 мм с прокладкой, согласно действующих норм.</w:t>
      </w:r>
    </w:p>
    <w:p>
      <w:pPr>
        <w:pStyle w:val="BodyText"/>
        <w:numPr>
          <w:ilvl w:val="1"/>
          <w:numId w:val="1"/>
        </w:numPr>
        <w:tabs>
          <w:tab w:val="clear" w:pos="720"/>
          <w:tab w:val="left" w:pos="552" w:leader="none"/>
        </w:tabs>
        <w:spacing w:lineRule="auto" w:line="259" w:before="0" w:after="180"/>
        <w:ind w:hanging="0" w:left="0" w:right="0"/>
        <w:jc w:val="both"/>
        <w:rPr>
          <w:sz w:val="24"/>
          <w:lang w:val="ru-RU"/>
        </w:rPr>
      </w:pPr>
      <w:r>
        <w:rPr>
          <w:rStyle w:val="Style9"/>
          <w:lang w:val="ru-RU" w:eastAsia="ru-RU"/>
        </w:rPr>
        <w:t>При выполнении работ учесть технические условия электросетевой организации.</w:t>
      </w:r>
    </w:p>
    <w:p>
      <w:pPr>
        <w:pStyle w:val="BodyText"/>
        <w:numPr>
          <w:ilvl w:val="0"/>
          <w:numId w:val="1"/>
        </w:numPr>
        <w:tabs>
          <w:tab w:val="clear" w:pos="720"/>
          <w:tab w:val="left" w:pos="355" w:leader="none"/>
        </w:tabs>
        <w:spacing w:lineRule="auto" w:line="240" w:before="0" w:after="240"/>
        <w:ind w:hanging="0" w:left="0" w:right="0"/>
        <w:jc w:val="center"/>
        <w:rPr>
          <w:sz w:val="24"/>
          <w:lang w:val="ru-RU"/>
        </w:rPr>
      </w:pPr>
      <w:r>
        <w:rPr>
          <w:rStyle w:val="Style9"/>
          <w:b/>
          <w:sz w:val="28"/>
          <w:lang w:val="ru-RU" w:eastAsia="ru-RU"/>
        </w:rPr>
        <w:t>Особые условия</w:t>
      </w:r>
    </w:p>
    <w:p>
      <w:pPr>
        <w:pStyle w:val="BodyText"/>
        <w:numPr>
          <w:ilvl w:val="1"/>
          <w:numId w:val="1"/>
        </w:numPr>
        <w:tabs>
          <w:tab w:val="clear" w:pos="720"/>
          <w:tab w:val="left" w:pos="562" w:leader="none"/>
        </w:tabs>
        <w:spacing w:lineRule="auto" w:line="262" w:before="0" w:after="0"/>
        <w:ind w:hanging="0" w:left="0" w:right="0"/>
        <w:jc w:val="both"/>
        <w:rPr>
          <w:sz w:val="24"/>
          <w:lang w:val="ru-RU"/>
        </w:rPr>
      </w:pPr>
      <w:r>
        <w:rPr>
          <w:rStyle w:val="Style9"/>
          <w:lang w:val="ru-RU" w:eastAsia="ru-RU"/>
        </w:rPr>
        <w:t>Места производства строительно-монтажных работ - это бурение в скальных породах, развозка материалов на крутых склонах, установка опор в горных условиях, монтаж кабеля СИП-2 в горных условиях на высоте больше 8 м.</w:t>
      </w:r>
    </w:p>
    <w:p>
      <w:pPr>
        <w:pStyle w:val="BodyText"/>
        <w:numPr>
          <w:ilvl w:val="1"/>
          <w:numId w:val="1"/>
        </w:numPr>
        <w:tabs>
          <w:tab w:val="clear" w:pos="720"/>
          <w:tab w:val="left" w:pos="562" w:leader="none"/>
        </w:tabs>
        <w:spacing w:lineRule="auto" w:line="262" w:before="0" w:after="0"/>
        <w:ind w:hanging="0" w:left="0" w:right="0"/>
        <w:jc w:val="both"/>
        <w:rPr>
          <w:sz w:val="24"/>
          <w:lang w:val="ru-RU"/>
        </w:rPr>
      </w:pPr>
      <w:r>
        <w:rPr>
          <w:rStyle w:val="Style9"/>
          <w:lang w:val="ru-RU" w:eastAsia="ru-RU"/>
        </w:rPr>
        <w:t>Сложное производство работ на одной половине проезжей части при систематическом движении транспорта по другой.</w:t>
      </w:r>
    </w:p>
    <w:p>
      <w:pPr>
        <w:pStyle w:val="BodyText"/>
        <w:numPr>
          <w:ilvl w:val="1"/>
          <w:numId w:val="1"/>
        </w:numPr>
        <w:tabs>
          <w:tab w:val="clear" w:pos="720"/>
          <w:tab w:val="left" w:pos="562" w:leader="none"/>
        </w:tabs>
        <w:spacing w:lineRule="auto" w:line="262" w:before="0" w:after="240"/>
        <w:ind w:hanging="0" w:left="0" w:right="0"/>
        <w:jc w:val="both"/>
        <w:rPr>
          <w:sz w:val="24"/>
          <w:lang w:val="ru-RU"/>
        </w:rPr>
      </w:pPr>
      <w:r>
        <w:rPr>
          <w:rStyle w:val="Style9"/>
          <w:lang w:val="ru-RU" w:eastAsia="ru-RU"/>
        </w:rPr>
        <w:t>Строительно-монтажные работы аналогичны технологическому процессу нового строительства.</w:t>
      </w:r>
    </w:p>
    <w:p>
      <w:pPr>
        <w:pStyle w:val="BodyText"/>
        <w:numPr>
          <w:ilvl w:val="0"/>
          <w:numId w:val="1"/>
        </w:numPr>
        <w:tabs>
          <w:tab w:val="clear" w:pos="720"/>
          <w:tab w:val="left" w:pos="355" w:leader="none"/>
        </w:tabs>
        <w:spacing w:lineRule="auto" w:line="240" w:before="0" w:after="240"/>
        <w:ind w:hanging="0" w:left="0" w:right="0"/>
        <w:jc w:val="center"/>
        <w:rPr>
          <w:sz w:val="24"/>
          <w:lang w:val="ru-RU"/>
        </w:rPr>
      </w:pPr>
      <w:r>
        <w:rPr>
          <w:rStyle w:val="Style9"/>
          <w:b/>
          <w:sz w:val="28"/>
          <w:lang w:val="ru-RU" w:eastAsia="ru-RU"/>
        </w:rPr>
        <w:t>Техника безопасности</w:t>
      </w:r>
    </w:p>
    <w:p>
      <w:pPr>
        <w:pStyle w:val="BodyText"/>
        <w:numPr>
          <w:ilvl w:val="1"/>
          <w:numId w:val="1"/>
        </w:numPr>
        <w:tabs>
          <w:tab w:val="clear" w:pos="720"/>
          <w:tab w:val="left" w:pos="566" w:leader="none"/>
        </w:tabs>
        <w:spacing w:lineRule="auto" w:line="264" w:before="0" w:after="0"/>
        <w:ind w:hanging="0" w:left="0" w:right="0"/>
        <w:jc w:val="both"/>
        <w:rPr>
          <w:sz w:val="24"/>
          <w:lang w:val="ru-RU"/>
        </w:rPr>
      </w:pPr>
      <w:r>
        <w:rPr>
          <w:rStyle w:val="Style9"/>
          <w:lang w:val="ru-RU" w:eastAsia="ru-RU"/>
        </w:rPr>
        <w:t>Безопасность производства работ должна выполняться в строгом соответствии с действующими нормами и правилами.</w:t>
      </w:r>
    </w:p>
    <w:p>
      <w:pPr>
        <w:pStyle w:val="BodyText"/>
        <w:numPr>
          <w:ilvl w:val="1"/>
          <w:numId w:val="1"/>
        </w:numPr>
        <w:tabs>
          <w:tab w:val="clear" w:pos="720"/>
          <w:tab w:val="left" w:pos="557" w:leader="none"/>
        </w:tabs>
        <w:spacing w:lineRule="auto" w:line="264" w:before="0" w:after="0"/>
        <w:ind w:hanging="0" w:left="0" w:right="0"/>
        <w:jc w:val="both"/>
        <w:rPr>
          <w:sz w:val="24"/>
          <w:lang w:val="ru-RU"/>
        </w:rPr>
      </w:pPr>
      <w:r>
        <w:rPr>
          <w:rStyle w:val="Style9"/>
          <w:lang w:val="ru-RU" w:eastAsia="ru-RU"/>
        </w:rPr>
        <w:t>Обучение персонала безопасным методам труда и проверку знаний Подрядчик проводит самостоятельно в соответствии с действующими правилами.</w:t>
      </w:r>
    </w:p>
    <w:p>
      <w:pPr>
        <w:pStyle w:val="BodyText"/>
        <w:widowControl/>
        <w:numPr>
          <w:ilvl w:val="1"/>
          <w:numId w:val="1"/>
        </w:numPr>
        <w:tabs>
          <w:tab w:val="clear" w:pos="720"/>
          <w:tab w:val="left" w:pos="557" w:leader="none"/>
        </w:tabs>
        <w:suppressAutoHyphens w:val="true"/>
        <w:bidi w:val="0"/>
        <w:spacing w:lineRule="auto" w:line="264"/>
        <w:ind w:hanging="0" w:left="0" w:right="0"/>
        <w:jc w:val="both"/>
        <w:rPr>
          <w:sz w:val="24"/>
          <w:lang w:val="ru-RU"/>
        </w:rPr>
      </w:pPr>
      <w:r>
        <w:rPr>
          <w:rStyle w:val="Style9"/>
          <w:lang w:val="ru-RU" w:eastAsia="ru-RU"/>
        </w:rPr>
        <w:t>Орга</w:t>
      </w:r>
      <w:r>
        <w:rPr>
          <w:rStyle w:val="Style9"/>
          <w:rFonts w:eastAsia="Tahoma" w:cs="Noto Sans"/>
          <w:kern w:val="0"/>
          <w:szCs w:val="20"/>
          <w:lang w:val="ru-RU" w:eastAsia="ru-RU" w:bidi="hi-IN"/>
        </w:rPr>
        <w:t>низация движения и ограждение мест производства дорожных работ производится Подрядчиком согласно действующих норм.</w:t>
      </w:r>
    </w:p>
    <w:p>
      <w:pPr>
        <w:pStyle w:val="BodyText"/>
        <w:widowControl/>
        <w:numPr>
          <w:ilvl w:val="1"/>
          <w:numId w:val="1"/>
        </w:numPr>
        <w:tabs>
          <w:tab w:val="clear" w:pos="720"/>
          <w:tab w:val="left" w:pos="557" w:leader="none"/>
        </w:tabs>
        <w:suppressAutoHyphens w:val="true"/>
        <w:bidi w:val="0"/>
        <w:spacing w:lineRule="auto" w:line="264"/>
        <w:ind w:hanging="0" w:left="0" w:right="0"/>
        <w:jc w:val="both"/>
        <w:rPr>
          <w:sz w:val="24"/>
          <w:lang w:val="ru-RU"/>
        </w:rPr>
      </w:pPr>
      <w:r>
        <w:rPr>
          <w:rStyle w:val="Style9"/>
          <w:rFonts w:eastAsia="Tahoma" w:cs="Noto Sans"/>
          <w:kern w:val="0"/>
          <w:szCs w:val="20"/>
          <w:lang w:val="ru-RU" w:eastAsia="ru-RU" w:bidi="hi-IN"/>
        </w:rPr>
        <w:t>До нач</w:t>
      </w:r>
      <w:r>
        <w:rPr>
          <w:rStyle w:val="Style9"/>
          <w:lang w:val="ru-RU" w:eastAsia="ru-RU"/>
        </w:rPr>
        <w:t>ала производства работ Подрядчик обязан представить на согласование Заказчику схему организации дорожного движения и ограждения места производства работ.</w:t>
      </w:r>
    </w:p>
    <w:p>
      <w:pPr>
        <w:pStyle w:val="BodyText"/>
        <w:numPr>
          <w:ilvl w:val="1"/>
          <w:numId w:val="1"/>
        </w:numPr>
        <w:tabs>
          <w:tab w:val="clear" w:pos="720"/>
          <w:tab w:val="left" w:pos="668" w:leader="none"/>
        </w:tabs>
        <w:spacing w:lineRule="auto" w:line="259" w:before="0" w:after="0"/>
        <w:ind w:hanging="0" w:left="0" w:right="0"/>
        <w:jc w:val="both"/>
        <w:rPr>
          <w:sz w:val="24"/>
          <w:lang w:val="ru-RU"/>
        </w:rPr>
      </w:pPr>
      <w:r>
        <w:rPr>
          <w:rStyle w:val="Style9"/>
          <w:lang w:val="ru-RU" w:eastAsia="ru-RU"/>
        </w:rPr>
        <w:t>При производстве работ согласованная и утвержденная схема организации дорожного движения и ограждения мест производства дорожных работ должна находиться у Подрядчика, непосредственно на участке выполнения работ.</w:t>
      </w:r>
    </w:p>
    <w:p>
      <w:pPr>
        <w:pStyle w:val="BodyText"/>
        <w:numPr>
          <w:ilvl w:val="1"/>
          <w:numId w:val="1"/>
        </w:numPr>
        <w:tabs>
          <w:tab w:val="clear" w:pos="720"/>
          <w:tab w:val="left" w:pos="668" w:leader="none"/>
        </w:tabs>
        <w:spacing w:lineRule="auto" w:line="259" w:before="0" w:after="0"/>
        <w:ind w:hanging="0" w:left="0" w:right="0"/>
        <w:jc w:val="both"/>
        <w:rPr>
          <w:sz w:val="24"/>
          <w:lang w:val="ru-RU"/>
        </w:rPr>
      </w:pPr>
      <w:r>
        <w:rPr>
          <w:rStyle w:val="Style9"/>
          <w:lang w:val="ru-RU" w:eastAsia="ru-RU"/>
        </w:rPr>
        <w:t>Подрядчик должен иметь полный комплект дорожных знаков и технических средств регулирования движения и обеспечивать их установку и перестановку в точном соответствии с утвержденной схемой организации дорожного движения и ограждения мест производства дорожных работ.</w:t>
      </w:r>
    </w:p>
    <w:p>
      <w:pPr>
        <w:pStyle w:val="BodyText"/>
        <w:numPr>
          <w:ilvl w:val="1"/>
          <w:numId w:val="1"/>
        </w:numPr>
        <w:tabs>
          <w:tab w:val="clear" w:pos="720"/>
          <w:tab w:val="left" w:pos="668" w:leader="none"/>
        </w:tabs>
        <w:spacing w:lineRule="auto" w:line="259" w:before="0" w:after="240"/>
        <w:ind w:hanging="0" w:left="0" w:right="0"/>
        <w:jc w:val="both"/>
        <w:rPr>
          <w:sz w:val="24"/>
          <w:lang w:val="ru-RU"/>
        </w:rPr>
      </w:pPr>
      <w:r>
        <w:rPr>
          <w:rStyle w:val="Style9"/>
          <w:lang w:val="ru-RU" w:eastAsia="ru-RU"/>
        </w:rPr>
        <w:t>Механизаторы, рабочие и специалисты, задействованные при выполнении работ на федеральных дорогах, должны быть обеспечены спецодеждой со светоотражающими элементами оранжевого цвета и с названием предприятия.</w:t>
      </w:r>
    </w:p>
    <w:p>
      <w:pPr>
        <w:pStyle w:val="BodyText"/>
        <w:spacing w:lineRule="auto" w:line="262" w:before="0" w:after="0"/>
        <w:ind w:hanging="0" w:left="1060" w:right="0"/>
        <w:jc w:val="both"/>
        <w:rPr>
          <w:rFonts w:ascii="Courier New" w:hAnsi="Courier New"/>
          <w:sz w:val="24"/>
          <w:lang w:val="ru-RU"/>
        </w:rPr>
      </w:pPr>
      <w:r>
        <w:rPr>
          <w:rStyle w:val="Style9"/>
          <w:b/>
          <w:lang w:val="ru-RU" w:eastAsia="ru-RU"/>
        </w:rPr>
        <w:t>9. Основные указания по разработке проекта производства работ (ППР)</w:t>
      </w:r>
    </w:p>
    <w:p>
      <w:pPr>
        <w:pStyle w:val="BodyText"/>
        <w:spacing w:lineRule="auto" w:line="262" w:before="0" w:after="0"/>
        <w:ind w:hanging="0" w:left="1060" w:right="0"/>
        <w:jc w:val="both"/>
        <w:rPr>
          <w:rFonts w:ascii="Courier New" w:hAnsi="Courier New"/>
          <w:sz w:val="24"/>
          <w:lang w:val="ru-RU"/>
        </w:rPr>
      </w:pPr>
      <w:r>
        <w:rPr>
          <w:rFonts w:ascii="Courier New" w:hAnsi="Courier New"/>
          <w:sz w:val="24"/>
          <w:lang w:val="ru-RU"/>
        </w:rPr>
      </w:r>
    </w:p>
    <w:p>
      <w:pPr>
        <w:pStyle w:val="BodyText"/>
        <w:spacing w:lineRule="auto" w:line="262" w:before="0" w:after="0"/>
        <w:ind w:firstLine="760" w:left="0" w:right="0"/>
        <w:jc w:val="both"/>
        <w:rPr>
          <w:rFonts w:ascii="Courier New" w:hAnsi="Courier New"/>
          <w:sz w:val="24"/>
          <w:lang w:val="ru-RU"/>
        </w:rPr>
      </w:pPr>
      <w:r>
        <w:rPr>
          <w:rStyle w:val="Style9"/>
          <w:lang w:val="ru-RU" w:eastAsia="ru-RU"/>
        </w:rPr>
        <w:t>Проект производства работ (ППР) разрабатывается генеральной подрядной строительно-монтажной организацией (Подрядчиком) и согласовывается с Заказчиком.</w:t>
      </w:r>
    </w:p>
    <w:p>
      <w:pPr>
        <w:pStyle w:val="BodyText"/>
        <w:spacing w:lineRule="auto" w:line="262" w:before="0" w:after="0"/>
        <w:ind w:firstLine="760" w:left="0" w:right="0"/>
        <w:jc w:val="both"/>
        <w:rPr>
          <w:rFonts w:ascii="Courier New" w:hAnsi="Courier New"/>
          <w:sz w:val="24"/>
          <w:lang w:val="ru-RU"/>
        </w:rPr>
      </w:pPr>
      <w:r>
        <w:rPr>
          <w:rStyle w:val="Style9"/>
          <w:lang w:val="ru-RU" w:eastAsia="ru-RU"/>
        </w:rPr>
        <w:t>В состав ППР включается:</w:t>
      </w:r>
    </w:p>
    <w:p>
      <w:pPr>
        <w:pStyle w:val="BodyText"/>
        <w:numPr>
          <w:ilvl w:val="0"/>
          <w:numId w:val="3"/>
        </w:numPr>
        <w:tabs>
          <w:tab w:val="clear" w:pos="720"/>
          <w:tab w:val="left" w:pos="700" w:leader="none"/>
        </w:tabs>
        <w:spacing w:lineRule="auto" w:line="262" w:before="0" w:after="0"/>
        <w:ind w:firstLine="480" w:left="0" w:right="0"/>
        <w:jc w:val="both"/>
        <w:rPr>
          <w:sz w:val="24"/>
          <w:lang w:val="ru-RU"/>
        </w:rPr>
      </w:pPr>
      <w:r>
        <w:rPr>
          <w:rStyle w:val="Style9"/>
          <w:lang w:val="ru-RU" w:eastAsia="ru-RU"/>
        </w:rPr>
        <w:t>копия свидетельства об оценке состояния измерений (аттестации) в лаборатории, а в случае заключения договора с аттестованной лабораторией, в том числе и копию договора.</w:t>
      </w:r>
    </w:p>
    <w:p>
      <w:pPr>
        <w:pStyle w:val="BodyText"/>
        <w:spacing w:lineRule="auto" w:line="262" w:before="0" w:after="0"/>
        <w:ind w:firstLine="480" w:left="0" w:right="0"/>
        <w:jc w:val="both"/>
        <w:rPr>
          <w:rFonts w:ascii="Courier New" w:hAnsi="Courier New"/>
          <w:sz w:val="24"/>
          <w:lang w:val="ru-RU"/>
        </w:rPr>
      </w:pPr>
      <w:r>
        <w:rPr>
          <w:rStyle w:val="Style9"/>
          <w:lang w:val="ru-RU" w:eastAsia="ru-RU"/>
        </w:rPr>
        <w:t>Приказы о назначении ответственных лиц:</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по организации и обеспечению качества выполнения работ на Объекте;</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по подготовке исполнительной документации;</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по выполнению мероприятий противопожарной безопасности объекта;</w:t>
      </w:r>
    </w:p>
    <w:p>
      <w:pPr>
        <w:pStyle w:val="BodyText"/>
        <w:spacing w:lineRule="auto" w:line="262" w:before="0" w:after="0"/>
        <w:ind w:firstLine="480" w:left="0" w:right="0"/>
        <w:jc w:val="both"/>
        <w:rPr>
          <w:rFonts w:ascii="Courier New" w:hAnsi="Courier New"/>
          <w:sz w:val="24"/>
          <w:lang w:val="ru-RU"/>
        </w:rPr>
      </w:pPr>
      <w:r>
        <w:rPr>
          <w:rStyle w:val="Style9"/>
          <w:lang w:val="ru-RU" w:eastAsia="ru-RU"/>
        </w:rPr>
        <w:t>Содержание проекта:</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пояснительная записка;</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схема организации движения на период выполнения работ;</w:t>
      </w:r>
    </w:p>
    <w:p>
      <w:pPr>
        <w:pStyle w:val="BodyText"/>
        <w:numPr>
          <w:ilvl w:val="0"/>
          <w:numId w:val="3"/>
        </w:numPr>
        <w:tabs>
          <w:tab w:val="clear" w:pos="720"/>
          <w:tab w:val="left" w:pos="1190" w:leader="none"/>
        </w:tabs>
        <w:spacing w:lineRule="auto" w:line="262" w:before="0" w:after="0"/>
        <w:ind w:firstLine="480" w:left="0" w:right="0"/>
        <w:jc w:val="both"/>
        <w:rPr>
          <w:sz w:val="24"/>
          <w:lang w:val="ru-RU"/>
        </w:rPr>
      </w:pPr>
      <w:r>
        <w:rPr>
          <w:rStyle w:val="Style9"/>
          <w:lang w:val="ru-RU" w:eastAsia="ru-RU"/>
        </w:rPr>
        <w:t>календарный график производства работ;</w:t>
      </w:r>
    </w:p>
    <w:p>
      <w:pPr>
        <w:pStyle w:val="BodyText"/>
        <w:numPr>
          <w:ilvl w:val="0"/>
          <w:numId w:val="3"/>
        </w:numPr>
        <w:tabs>
          <w:tab w:val="clear" w:pos="720"/>
          <w:tab w:val="left" w:pos="695" w:leader="none"/>
        </w:tabs>
        <w:spacing w:lineRule="auto" w:line="262" w:before="0" w:after="0"/>
        <w:ind w:firstLine="480" w:left="0" w:right="0"/>
        <w:jc w:val="both"/>
        <w:rPr>
          <w:sz w:val="24"/>
          <w:lang w:val="ru-RU"/>
        </w:rPr>
      </w:pPr>
      <w:r>
        <w:rPr>
          <w:rStyle w:val="Style9"/>
          <w:lang w:val="ru-RU" w:eastAsia="ru-RU"/>
        </w:rPr>
        <w:t>перечень инженерно-технических работников, ознакомленных с проектом производства работ с подписями;</w:t>
      </w:r>
    </w:p>
    <w:p>
      <w:pPr>
        <w:pStyle w:val="BodyText"/>
        <w:numPr>
          <w:ilvl w:val="0"/>
          <w:numId w:val="3"/>
        </w:numPr>
        <w:tabs>
          <w:tab w:val="clear" w:pos="720"/>
          <w:tab w:val="left" w:pos="695" w:leader="none"/>
        </w:tabs>
        <w:spacing w:lineRule="auto" w:line="262" w:before="0" w:after="0"/>
        <w:ind w:firstLine="480" w:left="0" w:right="0"/>
        <w:jc w:val="both"/>
        <w:rPr>
          <w:sz w:val="24"/>
          <w:lang w:val="ru-RU"/>
        </w:rPr>
      </w:pPr>
      <w:r>
        <w:rPr>
          <w:rStyle w:val="Style9"/>
          <w:lang w:val="ru-RU" w:eastAsia="ru-RU"/>
        </w:rPr>
        <w:t>обеспечение качества строительно-монтажных работ (порядок осуществления ответственными лицами контроля качества работ, строительных материалов, конструкций и изделий), а именно:</w:t>
      </w:r>
    </w:p>
    <w:p>
      <w:pPr>
        <w:pStyle w:val="BodyText"/>
        <w:numPr>
          <w:ilvl w:val="0"/>
          <w:numId w:val="3"/>
        </w:numPr>
        <w:tabs>
          <w:tab w:val="clear" w:pos="720"/>
          <w:tab w:val="left" w:pos="700" w:leader="none"/>
        </w:tabs>
        <w:spacing w:lineRule="auto" w:line="262" w:before="0" w:after="0"/>
        <w:ind w:firstLine="480" w:left="0" w:right="0"/>
        <w:jc w:val="both"/>
        <w:rPr>
          <w:sz w:val="24"/>
          <w:lang w:val="ru-RU"/>
        </w:rPr>
      </w:pPr>
      <w:r>
        <w:rPr>
          <w:rStyle w:val="Style9"/>
          <w:lang w:val="ru-RU" w:eastAsia="ru-RU"/>
        </w:rPr>
        <w:t>осуществление технического надзора и контроля за выполнением строительно- монтажных и ремонтных работ, производства строительных материалов;</w:t>
      </w:r>
    </w:p>
    <w:p>
      <w:pPr>
        <w:pStyle w:val="BodyText"/>
        <w:numPr>
          <w:ilvl w:val="0"/>
          <w:numId w:val="3"/>
        </w:numPr>
        <w:tabs>
          <w:tab w:val="clear" w:pos="720"/>
          <w:tab w:val="left" w:pos="690" w:leader="none"/>
        </w:tabs>
        <w:spacing w:lineRule="auto" w:line="262" w:before="0" w:after="0"/>
        <w:ind w:firstLine="480" w:left="0" w:right="0"/>
        <w:jc w:val="both"/>
        <w:rPr>
          <w:sz w:val="24"/>
          <w:lang w:val="ru-RU"/>
        </w:rPr>
      </w:pPr>
      <w:r>
        <w:rPr>
          <w:rStyle w:val="Style9"/>
          <w:lang w:val="ru-RU" w:eastAsia="ru-RU"/>
        </w:rPr>
        <w:t>осуществление контроля за соблюдением требований СНиП, ГОСТ и других нормативных документов при строительно-монтажных и ремонтных работах, производстве строительных материалов;</w:t>
      </w:r>
    </w:p>
    <w:p>
      <w:pPr>
        <w:pStyle w:val="BodyText"/>
        <w:numPr>
          <w:ilvl w:val="0"/>
          <w:numId w:val="3"/>
        </w:numPr>
        <w:tabs>
          <w:tab w:val="clear" w:pos="720"/>
          <w:tab w:val="left" w:pos="690" w:leader="none"/>
        </w:tabs>
        <w:spacing w:lineRule="auto" w:line="262" w:before="0" w:after="0"/>
        <w:ind w:firstLine="480" w:left="0" w:right="0"/>
        <w:jc w:val="both"/>
        <w:rPr>
          <w:sz w:val="24"/>
          <w:lang w:val="ru-RU"/>
        </w:rPr>
      </w:pPr>
      <w:r>
        <w:rPr>
          <w:rStyle w:val="Style9"/>
          <w:lang w:val="ru-RU" w:eastAsia="ru-RU"/>
        </w:rPr>
        <w:t>осуществление контроля за соблюдением требований законодательства об охране окружающей среды;</w:t>
      </w:r>
    </w:p>
    <w:p>
      <w:pPr>
        <w:pStyle w:val="BodyText"/>
        <w:numPr>
          <w:ilvl w:val="0"/>
          <w:numId w:val="3"/>
        </w:numPr>
        <w:tabs>
          <w:tab w:val="clear" w:pos="720"/>
          <w:tab w:val="left" w:pos="700" w:leader="none"/>
        </w:tabs>
        <w:spacing w:lineRule="auto" w:line="262" w:before="0" w:after="0"/>
        <w:ind w:firstLine="480" w:left="0" w:right="0"/>
        <w:jc w:val="both"/>
        <w:rPr>
          <w:sz w:val="24"/>
          <w:lang w:val="ru-RU"/>
        </w:rPr>
      </w:pPr>
      <w:r>
        <w:rPr>
          <w:rStyle w:val="Style9"/>
          <w:lang w:val="ru-RU" w:eastAsia="ru-RU"/>
        </w:rPr>
        <w:t>осуществление контроля качества материально-технологического обеспечения работ (сплошной операционный);</w:t>
      </w:r>
    </w:p>
    <w:p>
      <w:pPr>
        <w:pStyle w:val="BodyText"/>
        <w:numPr>
          <w:ilvl w:val="0"/>
          <w:numId w:val="3"/>
        </w:numPr>
        <w:tabs>
          <w:tab w:val="clear" w:pos="720"/>
          <w:tab w:val="left" w:pos="695" w:leader="none"/>
        </w:tabs>
        <w:spacing w:lineRule="auto" w:line="262" w:before="0" w:after="0"/>
        <w:ind w:firstLine="480" w:left="0" w:right="0"/>
        <w:jc w:val="both"/>
        <w:rPr>
          <w:sz w:val="24"/>
          <w:lang w:val="ru-RU"/>
        </w:rPr>
      </w:pPr>
      <w:r>
        <w:rPr>
          <w:rStyle w:val="Style9"/>
          <w:lang w:val="ru-RU" w:eastAsia="ru-RU"/>
        </w:rPr>
        <w:t>осуществление контроля применяемого оборудования и средств измерений, методов выполнения работ (входной, приемочный);</w:t>
      </w:r>
    </w:p>
    <w:p>
      <w:pPr>
        <w:pStyle w:val="BodyText"/>
        <w:numPr>
          <w:ilvl w:val="0"/>
          <w:numId w:val="3"/>
        </w:numPr>
        <w:tabs>
          <w:tab w:val="clear" w:pos="720"/>
          <w:tab w:val="left" w:pos="700" w:leader="none"/>
        </w:tabs>
        <w:spacing w:lineRule="auto" w:line="262" w:before="0" w:after="0"/>
        <w:ind w:firstLine="480" w:left="0" w:right="0"/>
        <w:jc w:val="both"/>
        <w:rPr>
          <w:sz w:val="24"/>
          <w:lang w:val="ru-RU"/>
        </w:rPr>
      </w:pPr>
      <w:r>
        <w:rPr>
          <w:rStyle w:val="Style9"/>
          <w:lang w:val="ru-RU" w:eastAsia="ru-RU"/>
        </w:rPr>
        <w:t>описание предлагаемых к выполнению работ техники, и механизмов, их технические характеристики, а также их принадлежность;</w:t>
      </w:r>
    </w:p>
    <w:p>
      <w:pPr>
        <w:pStyle w:val="BodyText"/>
        <w:widowControl/>
        <w:numPr>
          <w:ilvl w:val="0"/>
          <w:numId w:val="3"/>
        </w:numPr>
        <w:tabs>
          <w:tab w:val="clear" w:pos="720"/>
          <w:tab w:val="left" w:pos="700" w:leader="none"/>
        </w:tabs>
        <w:suppressAutoHyphens w:val="true"/>
        <w:bidi w:val="0"/>
        <w:spacing w:lineRule="auto" w:line="262"/>
        <w:ind w:firstLine="480" w:left="0" w:right="0"/>
        <w:jc w:val="both"/>
        <w:rPr>
          <w:sz w:val="24"/>
          <w:lang w:val="ru-RU"/>
        </w:rPr>
      </w:pPr>
      <w:r>
        <w:rPr>
          <w:rStyle w:val="Style9"/>
          <w:lang w:val="ru-RU" w:eastAsia="ru-RU"/>
        </w:rPr>
        <w:t>графики потребности в кадрах с указанием ожидаемой максимальной численности и затрат труда на ве</w:t>
      </w:r>
      <w:r>
        <w:rPr>
          <w:rStyle w:val="Style9"/>
          <w:rFonts w:eastAsia="Tahoma" w:cs="Noto Sans"/>
          <w:kern w:val="0"/>
          <w:szCs w:val="20"/>
          <w:lang w:val="ru-RU" w:eastAsia="ru-RU" w:bidi="hi-IN"/>
        </w:rPr>
        <w:t>сь объем работ;</w:t>
      </w:r>
    </w:p>
    <w:p>
      <w:pPr>
        <w:pStyle w:val="BodyText"/>
        <w:widowControl/>
        <w:numPr>
          <w:ilvl w:val="0"/>
          <w:numId w:val="3"/>
        </w:numPr>
        <w:tabs>
          <w:tab w:val="clear" w:pos="720"/>
          <w:tab w:val="left" w:pos="700" w:leader="none"/>
        </w:tabs>
        <w:suppressAutoHyphens w:val="true"/>
        <w:bidi w:val="0"/>
        <w:spacing w:lineRule="auto" w:line="262"/>
        <w:ind w:firstLine="480" w:left="0" w:right="0"/>
        <w:jc w:val="both"/>
        <w:rPr>
          <w:sz w:val="24"/>
          <w:lang w:val="ru-RU"/>
        </w:rPr>
      </w:pPr>
      <w:r>
        <w:rPr>
          <w:rStyle w:val="Style9"/>
          <w:rFonts w:eastAsia="Tahoma" w:cs="Noto Sans"/>
          <w:kern w:val="0"/>
          <w:szCs w:val="20"/>
          <w:lang w:val="ru-RU" w:eastAsia="ru-RU" w:bidi="hi-IN"/>
        </w:rPr>
        <w:t>описание технологических карт (схем) на выполнение отдельных видов работ, описание методов производства работ, указанием трудозатрат и потребности материалов, дорожных машинах, приспособлениях и средствах защиты дорожных рабочих, приемочный и операционный контроль согласно СНиП;</w:t>
      </w:r>
    </w:p>
    <w:p>
      <w:pPr>
        <w:pStyle w:val="BodyText"/>
        <w:widowControl/>
        <w:numPr>
          <w:ilvl w:val="0"/>
          <w:numId w:val="3"/>
        </w:numPr>
        <w:tabs>
          <w:tab w:val="clear" w:pos="720"/>
          <w:tab w:val="left" w:pos="695" w:leader="none"/>
        </w:tabs>
        <w:suppressAutoHyphens w:val="true"/>
        <w:bidi w:val="0"/>
        <w:spacing w:lineRule="auto" w:line="262"/>
        <w:ind w:firstLine="480" w:left="0" w:right="0"/>
        <w:jc w:val="both"/>
        <w:rPr/>
      </w:pPr>
      <w:r>
        <w:rPr>
          <w:rStyle w:val="Style9"/>
          <w:rFonts w:eastAsia="Tahoma" w:cs="Noto Sans"/>
          <w:kern w:val="0"/>
          <w:szCs w:val="20"/>
          <w:lang w:val="ru-RU" w:eastAsia="ru-RU" w:bidi="hi-IN"/>
        </w:rPr>
        <w:t>описание комплекса природоохранных мероприятий при производстве работ;</w:t>
      </w:r>
    </w:p>
    <w:p>
      <w:pPr>
        <w:pStyle w:val="BodyText"/>
        <w:widowControl/>
        <w:numPr>
          <w:ilvl w:val="0"/>
          <w:numId w:val="3"/>
        </w:numPr>
        <w:tabs>
          <w:tab w:val="clear" w:pos="720"/>
          <w:tab w:val="left" w:pos="695" w:leader="none"/>
        </w:tabs>
        <w:suppressAutoHyphens w:val="true"/>
        <w:bidi w:val="0"/>
        <w:spacing w:lineRule="auto" w:line="262"/>
        <w:ind w:firstLine="480" w:left="0" w:right="0"/>
        <w:jc w:val="both"/>
        <w:rPr/>
      </w:pPr>
      <w:r>
        <w:rPr>
          <w:rStyle w:val="Style9"/>
          <w:rFonts w:eastAsia="Tahoma" w:cs="Noto Sans"/>
          <w:kern w:val="0"/>
          <w:szCs w:val="20"/>
          <w:lang w:val="ru-RU" w:eastAsia="ru-RU" w:bidi="hi-IN"/>
        </w:rPr>
        <w:t>описание мероприятий по обеспечению безопасности дорожного движения и производства работ.</w:t>
      </w:r>
    </w:p>
    <w:p>
      <w:pPr>
        <w:pStyle w:val="BodyText"/>
        <w:widowControl/>
        <w:numPr>
          <w:ilvl w:val="0"/>
          <w:numId w:val="3"/>
        </w:numPr>
        <w:tabs>
          <w:tab w:val="clear" w:pos="720"/>
          <w:tab w:val="left" w:pos="695" w:leader="none"/>
        </w:tabs>
        <w:suppressAutoHyphens w:val="true"/>
        <w:bidi w:val="0"/>
        <w:spacing w:lineRule="auto" w:line="262"/>
        <w:ind w:firstLine="480" w:left="0" w:right="0"/>
        <w:jc w:val="both"/>
        <w:rPr/>
      </w:pPr>
      <w:r>
        <w:rPr>
          <w:rStyle w:val="Style9"/>
          <w:rFonts w:eastAsia="Tahoma" w:cs="Noto Sans"/>
          <w:kern w:val="0"/>
          <w:szCs w:val="20"/>
          <w:lang w:val="ru-RU" w:eastAsia="ru-RU" w:bidi="hi-IN"/>
        </w:rPr>
        <w:t>описание комплекса противопожарных мероприятий при производстве работ.</w:t>
      </w:r>
    </w:p>
    <w:p>
      <w:pPr>
        <w:pStyle w:val="BodyText"/>
        <w:spacing w:lineRule="auto" w:line="240" w:before="0" w:after="200"/>
        <w:ind w:hanging="0" w:left="0" w:right="0"/>
        <w:jc w:val="center"/>
        <w:rPr>
          <w:rFonts w:ascii="Courier New" w:hAnsi="Courier New"/>
          <w:sz w:val="24"/>
          <w:lang w:val="ru-RU"/>
        </w:rPr>
      </w:pPr>
      <w:r>
        <w:rPr>
          <w:rFonts w:ascii="Courier New" w:hAnsi="Courier New"/>
          <w:sz w:val="24"/>
          <w:lang w:val="ru-RU"/>
        </w:rPr>
      </w:r>
    </w:p>
    <w:p>
      <w:pPr>
        <w:pStyle w:val="BodyText"/>
        <w:spacing w:lineRule="auto" w:line="240" w:before="0" w:after="200"/>
        <w:ind w:hanging="0" w:left="0" w:right="0"/>
        <w:jc w:val="center"/>
        <w:rPr>
          <w:rFonts w:ascii="Courier New" w:hAnsi="Courier New"/>
          <w:sz w:val="24"/>
          <w:lang w:val="ru-RU"/>
        </w:rPr>
      </w:pPr>
      <w:r>
        <w:rPr>
          <w:rStyle w:val="Style9"/>
          <w:b/>
          <w:lang w:val="ru-RU" w:eastAsia="ru-RU"/>
        </w:rPr>
        <w:t>10. Порядок информирования Заказчика при выполнении работ.</w:t>
      </w:r>
    </w:p>
    <w:p>
      <w:pPr>
        <w:pStyle w:val="BodyText"/>
        <w:numPr>
          <w:ilvl w:val="0"/>
          <w:numId w:val="0"/>
        </w:numPr>
        <w:tabs>
          <w:tab w:val="clear" w:pos="720"/>
          <w:tab w:val="left" w:pos="1154" w:leader="none"/>
        </w:tabs>
        <w:spacing w:lineRule="auto" w:line="240" w:before="0" w:after="0"/>
        <w:ind w:hanging="0" w:left="0" w:right="0"/>
        <w:jc w:val="both"/>
        <w:rPr>
          <w:sz w:val="24"/>
          <w:lang w:val="ru-RU"/>
        </w:rPr>
      </w:pPr>
      <w:r>
        <w:rPr>
          <w:rStyle w:val="Style9"/>
          <w:lang w:val="ru-RU" w:eastAsia="ru-RU"/>
        </w:rPr>
        <w:t>10.1 Подрядчик представляет Заказчику:</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10.1.1 по письменному запросу Заказчика дополнительные данные о ходе работ, в том числе наличие на Объекте технических и людских ресурсов, наличие Товаров и других данных, имеющих отношение к выполняемым Подрядчиком работам;</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10.1.2 ежемесячно в электронном виде фотографии, отражающие стадию производства работ на строительной площадке;</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10.1.3 по Запросу Заказчика в 3-х дневный срок любую информацию об Объекте, с приложением документов, в том числе на электронных носителях;</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10.1.4 документы, необходимые для оформления разрешения на ввод в эксплуатацию электроустановок, принимать участие в оформлении таких разрешений;</w:t>
      </w:r>
    </w:p>
    <w:p>
      <w:pPr>
        <w:pStyle w:val="BodyText"/>
        <w:numPr>
          <w:ilvl w:val="0"/>
          <w:numId w:val="0"/>
        </w:numPr>
        <w:tabs>
          <w:tab w:val="clear" w:pos="720"/>
          <w:tab w:val="left" w:pos="1105" w:leader="none"/>
        </w:tabs>
        <w:spacing w:lineRule="auto" w:line="240" w:before="0" w:after="0"/>
        <w:ind w:hanging="0" w:left="0" w:right="0"/>
        <w:jc w:val="both"/>
        <w:rPr>
          <w:sz w:val="24"/>
          <w:lang w:val="ru-RU"/>
        </w:rPr>
      </w:pPr>
      <w:r>
        <w:rPr>
          <w:rStyle w:val="Style9"/>
          <w:lang w:val="ru-RU" w:eastAsia="ru-RU"/>
        </w:rPr>
        <w:t xml:space="preserve">10.2. Подрядчик обязуется уведомлять Заказчика о любых внештатных ситуациях и происшествиях на Объекте и/или в связи с исполнением </w:t>
      </w:r>
      <w:r>
        <w:rPr>
          <w:rStyle w:val="Style9"/>
          <w:lang w:val="ru-RU" w:eastAsia="ru-RU"/>
        </w:rPr>
        <w:t>Договора</w:t>
      </w:r>
      <w:r>
        <w:rPr>
          <w:rStyle w:val="Style9"/>
          <w:lang w:val="ru-RU" w:eastAsia="ru-RU"/>
        </w:rPr>
        <w:t>, включая, но не ограничиваясь:</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10.2.1 аварии и несчастные случаи - в порядке и в сроки, установленные действующим законодательством, отраслевыми нормами и руководящими документами Заказчика (Федерального дорожного агентства);</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 xml:space="preserve">10.2.2 иные внештатные ситуации - в порядке и в сроки, предусмотренные </w:t>
      </w:r>
      <w:r>
        <w:rPr>
          <w:rStyle w:val="Style9"/>
          <w:lang w:val="ru-RU" w:eastAsia="ru-RU"/>
        </w:rPr>
        <w:t>Договором</w:t>
      </w:r>
      <w:r>
        <w:rPr>
          <w:rStyle w:val="Style9"/>
          <w:lang w:val="ru-RU" w:eastAsia="ru-RU"/>
        </w:rPr>
        <w:t>.</w:t>
      </w:r>
    </w:p>
    <w:p>
      <w:pPr>
        <w:pStyle w:val="BodyText"/>
        <w:numPr>
          <w:ilvl w:val="0"/>
          <w:numId w:val="0"/>
        </w:numPr>
        <w:tabs>
          <w:tab w:val="clear" w:pos="720"/>
          <w:tab w:val="left" w:pos="1100" w:leader="none"/>
        </w:tabs>
        <w:spacing w:lineRule="auto" w:line="240" w:before="0" w:after="0"/>
        <w:ind w:hanging="0" w:left="0" w:right="0"/>
        <w:jc w:val="both"/>
        <w:rPr>
          <w:sz w:val="24"/>
          <w:lang w:val="ru-RU"/>
        </w:rPr>
      </w:pPr>
      <w:r>
        <w:rPr>
          <w:rStyle w:val="Style9"/>
          <w:lang w:val="ru-RU" w:eastAsia="ru-RU"/>
        </w:rPr>
        <w:t>10.3. При возникновении внештатной ситуации уполномоченный представитель Подрядчика, назначенный приказом подрядной организации, обязан:</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10.3.1 в течение 15 минут с момента наступления внештатной ситуации предоставить устное донесение дежурному сотруднику (диспетчеру) Заказчика;</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10.3.2 в случае, если дежурный сотрудник (диспетчер) Заказчика не доступен для телефонной связи, уполномоченный представитель Подрядчика обязан предоставить устное донесение начальнику Заказчика или его заместителю по содержанию, при этом начальник Заказчика или его заместитель по содержанию обязаны обеспечить предоставление информации оперативном дежурному и информирование сторонних организаций;</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10.3.3 в случае, если дежурный сотрудник (диспетчер) Заказчика, начальник Заказчика и его заместитель по содержанию не доступны для телефонной связи, уполномоченный представитель Подрядчика обязан предоставить устное донесение оперативному дежурному;</w:t>
      </w:r>
    </w:p>
    <w:p>
      <w:pPr>
        <w:pStyle w:val="BodyText"/>
        <w:numPr>
          <w:ilvl w:val="0"/>
          <w:numId w:val="0"/>
        </w:numPr>
        <w:tabs>
          <w:tab w:val="clear" w:pos="720"/>
          <w:tab w:val="left" w:pos="1281" w:leader="none"/>
        </w:tabs>
        <w:spacing w:lineRule="auto" w:line="240" w:before="0" w:after="0"/>
        <w:ind w:hanging="0" w:left="0" w:right="0"/>
        <w:jc w:val="both"/>
        <w:rPr>
          <w:sz w:val="24"/>
          <w:lang w:val="ru-RU"/>
        </w:rPr>
      </w:pPr>
      <w:r>
        <w:rPr>
          <w:rStyle w:val="Style9"/>
          <w:lang w:val="ru-RU" w:eastAsia="ru-RU"/>
        </w:rPr>
        <w:t>10.3.4 в течение 60 минут с наступления внештатной ситуации предоставить письменное донесение в свободной форме дежурному сотруднику (диспетчеру) Заказчика;</w:t>
      </w:r>
    </w:p>
    <w:p>
      <w:pPr>
        <w:pStyle w:val="BodyText"/>
        <w:numPr>
          <w:ilvl w:val="0"/>
          <w:numId w:val="0"/>
        </w:numPr>
        <w:tabs>
          <w:tab w:val="clear" w:pos="720"/>
          <w:tab w:val="left" w:pos="1281" w:leader="none"/>
        </w:tabs>
        <w:spacing w:lineRule="auto" w:line="240" w:before="0" w:after="100"/>
        <w:ind w:hanging="0" w:left="0" w:right="0"/>
        <w:jc w:val="both"/>
        <w:rPr>
          <w:sz w:val="24"/>
          <w:lang w:val="ru-RU"/>
        </w:rPr>
      </w:pPr>
      <w:r>
        <w:rPr>
          <w:rStyle w:val="Style9"/>
          <w:lang w:val="ru-RU" w:eastAsia="ru-RU"/>
        </w:rPr>
        <w:t>10.3.5 к письменному донесению по возможности следует приложить фотоматериалы, позволяющие более полно оценить характер и последствия возникшей внештатной ситуации;</w:t>
      </w:r>
    </w:p>
    <w:p>
      <w:pPr>
        <w:pStyle w:val="BodyText"/>
        <w:numPr>
          <w:ilvl w:val="0"/>
          <w:numId w:val="0"/>
        </w:numPr>
        <w:tabs>
          <w:tab w:val="clear" w:pos="720"/>
          <w:tab w:val="left" w:pos="1429" w:leader="none"/>
        </w:tabs>
        <w:spacing w:lineRule="auto" w:line="257" w:before="0" w:after="0"/>
        <w:ind w:hanging="0" w:left="0" w:right="0"/>
        <w:jc w:val="both"/>
        <w:rPr>
          <w:sz w:val="24"/>
          <w:lang w:val="ru-RU"/>
        </w:rPr>
      </w:pPr>
      <w:r>
        <w:rPr>
          <w:rStyle w:val="Style9"/>
          <w:lang w:val="ru-RU" w:eastAsia="ru-RU"/>
        </w:rPr>
        <w:t xml:space="preserve">10.3.6 передача фотоматериалов должна осуществляться преимущественно посредством электронной почты, при отсутствии такой возможности - допускается передача фотоматериалов </w:t>
      </w:r>
      <w:r>
        <w:rPr>
          <w:rStyle w:val="Style9"/>
          <w:lang w:val="en-US" w:eastAsia="en-US"/>
        </w:rPr>
        <w:t>MMS</w:t>
      </w:r>
      <w:r>
        <w:rPr>
          <w:rStyle w:val="Style9"/>
          <w:lang w:val="ru-RU" w:eastAsia="ru-RU"/>
        </w:rPr>
        <w:t>-сообщением или факсимильной связью;</w:t>
      </w:r>
    </w:p>
    <w:p>
      <w:pPr>
        <w:pStyle w:val="BodyText"/>
        <w:numPr>
          <w:ilvl w:val="0"/>
          <w:numId w:val="0"/>
        </w:numPr>
        <w:tabs>
          <w:tab w:val="clear" w:pos="720"/>
          <w:tab w:val="left" w:pos="1429" w:leader="none"/>
        </w:tabs>
        <w:spacing w:lineRule="auto" w:line="257" w:before="0" w:after="0"/>
        <w:ind w:hanging="0" w:left="0" w:right="0"/>
        <w:jc w:val="both"/>
        <w:rPr>
          <w:sz w:val="24"/>
          <w:lang w:val="ru-RU"/>
        </w:rPr>
      </w:pPr>
      <w:r>
        <w:rPr>
          <w:rStyle w:val="Style9"/>
          <w:lang w:val="ru-RU" w:eastAsia="ru-RU"/>
        </w:rPr>
        <w:t>10.3.7 при невозможности предоставить письменное донесение дежурному сотруднику (диспетчеру) Заказчика, уполномоченный представитель Подрядчика обязан предоставить письменное донесение начальнику Заказчика или его заместителю по содержанию, при этом начальник Заказчика или его заместитель по содержанию обязаны обеспечить предоставление информации оперативному дежурному и информирование сторонних организаций;</w:t>
      </w:r>
    </w:p>
    <w:p>
      <w:pPr>
        <w:pStyle w:val="BodyText"/>
        <w:numPr>
          <w:ilvl w:val="0"/>
          <w:numId w:val="0"/>
        </w:numPr>
        <w:tabs>
          <w:tab w:val="clear" w:pos="720"/>
          <w:tab w:val="left" w:pos="1429" w:leader="none"/>
        </w:tabs>
        <w:spacing w:lineRule="auto" w:line="257" w:before="0" w:after="160"/>
        <w:ind w:hanging="0" w:left="0" w:right="0"/>
        <w:jc w:val="both"/>
        <w:rPr>
          <w:sz w:val="24"/>
          <w:lang w:val="ru-RU"/>
        </w:rPr>
      </w:pPr>
      <w:r>
        <w:rPr>
          <w:rStyle w:val="Style9"/>
          <w:lang w:val="ru-RU" w:eastAsia="ru-RU"/>
        </w:rPr>
        <w:t>10.3.8 при невозможности предоставить письменное донесение дежурному сотруднику (диспетчеру) Заказчика, начальнику Заказчика или его заместителю по содержанию уполномоченный представитель Подрядчика обязан предоставить письменное донесение оперативному дежурному.</w:t>
      </w:r>
    </w:p>
    <w:p>
      <w:pPr>
        <w:pStyle w:val="BodyText"/>
        <w:numPr>
          <w:ilvl w:val="0"/>
          <w:numId w:val="0"/>
        </w:numPr>
        <w:tabs>
          <w:tab w:val="clear" w:pos="720"/>
          <w:tab w:val="left" w:pos="509" w:leader="none"/>
        </w:tabs>
        <w:spacing w:lineRule="auto" w:line="240" w:before="0" w:after="240"/>
        <w:ind w:hanging="0" w:left="0" w:right="0"/>
        <w:jc w:val="center"/>
        <w:rPr>
          <w:sz w:val="24"/>
          <w:lang w:val="ru-RU"/>
        </w:rPr>
      </w:pPr>
      <w:r>
        <w:rPr>
          <w:rStyle w:val="Style9"/>
          <w:b/>
          <w:sz w:val="28"/>
          <w:lang w:val="ru-RU" w:eastAsia="ru-RU"/>
        </w:rPr>
        <w:t>11. Нормативная документация*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Приказ Минтранса России от 16.11.2012 N 402 (ред. от 20.03.2023) "Об утверждении Классификации работ по капитальному ремонту, ремонту и содержанию автомобильных дорог"</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СП 34.13330.2021-Автомобильные дороги. Актуализированная редакция СНиП 2.05.02-85;</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Методические рекомендации по ремонту и содержанию автомобильных дорог общего пользования;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СП 78.13330.2012-Свод правил. Автомобильные дороги. Актуализированная редакция СНиП 3.06.03-85;</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-ПУЭ-7-Правила устройств электроустановок;</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ПТЭЭП-Правила технической эксплуатации электроустановок потребителей;</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ПОТЭУ-Правила по охране труда при эксплуатации электроустановок;</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СП 52.13330.2016-Естественное и искусственное освещение. Актуализированная редакция СНиП 23-05-95;</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ГОСТ Р 52766-2007-Дороги автомобильные общего назначения. Элементы обустройства. Общие требования;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ГОСТ 33151-2014-Дороги автомобильные общего пользования. Элементы обустройства. Технические требования. Правила применения;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ГОСТ Р 55707-2013-Освещение наружное утилитарное. Методы измерений нормируемых параметров;</w:t>
      </w:r>
    </w:p>
    <w:p>
      <w:pPr>
        <w:pStyle w:val="BodyText"/>
        <w:numPr>
          <w:ilvl w:val="0"/>
          <w:numId w:val="4"/>
        </w:numPr>
        <w:tabs>
          <w:tab w:val="clear" w:pos="720"/>
          <w:tab w:val="left" w:pos="681" w:leader="none"/>
        </w:tabs>
        <w:spacing w:lineRule="auto" w:line="264" w:before="0" w:after="0"/>
        <w:ind w:firstLine="480" w:left="0" w:right="0"/>
        <w:jc w:val="both"/>
        <w:rPr>
          <w:sz w:val="24"/>
          <w:lang w:val="ru-RU"/>
        </w:rPr>
      </w:pPr>
      <w:r>
        <w:rPr>
          <w:rStyle w:val="Style9"/>
          <w:lang w:val="ru-RU" w:eastAsia="ru-RU"/>
        </w:rPr>
        <w:t>ГОСТ Р 55708-2013-Освещение наружное утилитарное. Методы расчета нормируемых параметров;</w:t>
      </w:r>
    </w:p>
    <w:p>
      <w:pPr>
        <w:pStyle w:val="BodyText"/>
        <w:numPr>
          <w:ilvl w:val="0"/>
          <w:numId w:val="4"/>
        </w:numPr>
        <w:tabs>
          <w:tab w:val="clear" w:pos="720"/>
          <w:tab w:val="left" w:pos="686" w:leader="none"/>
        </w:tabs>
        <w:spacing w:lineRule="auto" w:line="264" w:before="0" w:after="0"/>
        <w:ind w:firstLine="480" w:left="0" w:right="0"/>
        <w:jc w:val="both"/>
        <w:rPr>
          <w:sz w:val="24"/>
          <w:lang w:val="ru-RU"/>
        </w:rPr>
      </w:pPr>
      <w:r>
        <w:rPr>
          <w:rStyle w:val="Style9"/>
          <w:lang w:val="ru-RU" w:eastAsia="ru-RU"/>
        </w:rPr>
        <w:t>ГОСТ 33220-2015-Дороги автомобильные общего пользования. Требования к эксплуатационному состоянию;</w:t>
      </w:r>
    </w:p>
    <w:p>
      <w:pPr>
        <w:pStyle w:val="BodyText"/>
        <w:numPr>
          <w:ilvl w:val="0"/>
          <w:numId w:val="4"/>
        </w:numPr>
        <w:tabs>
          <w:tab w:val="clear" w:pos="720"/>
          <w:tab w:val="left" w:pos="681" w:leader="none"/>
        </w:tabs>
        <w:spacing w:lineRule="auto" w:line="264" w:before="0" w:after="0"/>
        <w:ind w:firstLine="480" w:left="0" w:right="0"/>
        <w:jc w:val="both"/>
        <w:rPr>
          <w:sz w:val="24"/>
          <w:lang w:val="ru-RU"/>
        </w:rPr>
      </w:pPr>
      <w:r>
        <w:rPr>
          <w:rStyle w:val="Style9"/>
          <w:lang w:val="ru-RU" w:eastAsia="ru-RU"/>
        </w:rPr>
        <w:t>СП 76.13330.2016-Электротехнические устройства. Актуализированная редакция СНиП 3.05.06-85;</w:t>
      </w:r>
    </w:p>
    <w:p>
      <w:pPr>
        <w:pStyle w:val="BodyText"/>
        <w:numPr>
          <w:ilvl w:val="0"/>
          <w:numId w:val="0"/>
        </w:numPr>
        <w:spacing w:lineRule="auto" w:line="264" w:before="0" w:after="0"/>
        <w:ind w:hanging="0" w:left="0" w:right="0"/>
        <w:jc w:val="both"/>
        <w:rPr>
          <w:rFonts w:ascii="Courier New" w:hAnsi="Courier New"/>
          <w:sz w:val="24"/>
          <w:lang w:val="ru-RU"/>
        </w:rPr>
      </w:pPr>
      <w:r>
        <w:rPr>
          <w:rStyle w:val="Style9"/>
          <w:lang w:val="ru-RU" w:eastAsia="ru-RU"/>
        </w:rPr>
        <w:t>-ГОСТ 24940-2016-Здания и сооружения. Методы измерения освещенности;</w:t>
      </w:r>
    </w:p>
    <w:p>
      <w:pPr>
        <w:pStyle w:val="BodyText"/>
        <w:numPr>
          <w:ilvl w:val="0"/>
          <w:numId w:val="4"/>
        </w:numPr>
        <w:tabs>
          <w:tab w:val="clear" w:pos="720"/>
          <w:tab w:val="left" w:pos="686" w:leader="none"/>
        </w:tabs>
        <w:spacing w:lineRule="auto" w:line="264" w:before="0" w:after="0"/>
        <w:ind w:firstLine="480" w:left="0" w:right="0"/>
        <w:jc w:val="both"/>
        <w:rPr>
          <w:sz w:val="24"/>
          <w:lang w:val="ru-RU"/>
        </w:rPr>
      </w:pPr>
      <w:r>
        <w:rPr>
          <w:rStyle w:val="Style9"/>
          <w:lang w:val="ru-RU" w:eastAsia="ru-RU"/>
        </w:rPr>
        <w:t xml:space="preserve">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w:t>
      </w:r>
      <w:r>
        <w:rPr>
          <w:rStyle w:val="Style9"/>
          <w:lang w:val="en-US" w:eastAsia="en-US"/>
        </w:rPr>
        <w:t xml:space="preserve">N </w:t>
      </w:r>
      <w:r>
        <w:rPr>
          <w:rStyle w:val="Style9"/>
          <w:lang w:val="ru-RU" w:eastAsia="ru-RU"/>
        </w:rPr>
        <w:t>261-ФЗ;</w:t>
      </w:r>
    </w:p>
    <w:p>
      <w:pPr>
        <w:pStyle w:val="BodyText"/>
        <w:numPr>
          <w:ilvl w:val="0"/>
          <w:numId w:val="4"/>
        </w:numPr>
        <w:tabs>
          <w:tab w:val="clear" w:pos="720"/>
          <w:tab w:val="left" w:pos="681" w:leader="none"/>
        </w:tabs>
        <w:spacing w:lineRule="auto" w:line="264" w:before="0" w:after="0"/>
        <w:ind w:firstLine="480" w:left="0" w:right="0"/>
        <w:jc w:val="both"/>
        <w:rPr>
          <w:sz w:val="24"/>
          <w:lang w:val="ru-RU"/>
        </w:rPr>
      </w:pPr>
      <w:r>
        <w:rPr>
          <w:rStyle w:val="Style9"/>
          <w:lang w:val="ru-RU" w:eastAsia="ru-RU"/>
        </w:rPr>
        <w:t>ГОСТ 33176-2014-Дороги автомобильные общего пользования. Горизонтальная освещенность от искусственного освещения. Технические требования;</w:t>
      </w:r>
    </w:p>
    <w:p>
      <w:pPr>
        <w:pStyle w:val="BodyText"/>
        <w:numPr>
          <w:ilvl w:val="0"/>
          <w:numId w:val="4"/>
        </w:numPr>
        <w:tabs>
          <w:tab w:val="clear" w:pos="720"/>
          <w:tab w:val="left" w:pos="686" w:leader="none"/>
        </w:tabs>
        <w:spacing w:lineRule="auto" w:line="264" w:before="0" w:after="160"/>
        <w:ind w:firstLine="480" w:left="0" w:right="0"/>
        <w:jc w:val="both"/>
        <w:rPr>
          <w:sz w:val="24"/>
          <w:lang w:val="ru-RU"/>
        </w:rPr>
      </w:pPr>
      <w:r>
        <w:rPr>
          <w:rStyle w:val="Style9"/>
          <w:lang w:val="ru-RU" w:eastAsia="ru-RU"/>
        </w:rPr>
        <w:t>И 1.13-07-Инструкция по оформлению приемосдаточной документации по электромонтажным работам;</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sz w:val="24"/>
          <w:lang w:val="ru-RU"/>
        </w:rPr>
      </w:pPr>
      <w:r>
        <w:rPr>
          <w:rStyle w:val="Style9"/>
          <w:lang w:val="ru-RU" w:eastAsia="ru-RU"/>
        </w:rPr>
        <w:t>ГОС</w:t>
      </w:r>
      <w:r>
        <w:rPr>
          <w:rStyle w:val="Style9"/>
          <w:rFonts w:eastAsia="Tahoma" w:cs="Noto Sans"/>
          <w:kern w:val="0"/>
          <w:szCs w:val="20"/>
          <w:lang w:val="ru-RU" w:eastAsia="ru-RU" w:bidi="hi-IN"/>
        </w:rPr>
        <w:t>Т Р 50597-2017-Дороги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ОДМ 218.6.019-2016-Рекомендации по организации движения и ограждению мест производства дорожных работ;</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ОДМ 218.8.007-2016-Методические рекомендации по проектированию искусственного освещения автомобильных дорог общего пользования.</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ТР ТС 014/2011 Технический регламент Таможенного союза «Безопасность автомобильных дорог».</w:t>
      </w:r>
    </w:p>
    <w:p>
      <w:pPr>
        <w:pStyle w:val="BodyText"/>
        <w:widowControl/>
        <w:numPr>
          <w:ilvl w:val="0"/>
          <w:numId w:val="4"/>
        </w:numPr>
        <w:tabs>
          <w:tab w:val="clear" w:pos="720"/>
          <w:tab w:val="left" w:pos="681" w:leader="none"/>
        </w:tabs>
        <w:suppressAutoHyphens w:val="true"/>
        <w:bidi w:val="0"/>
        <w:spacing w:lineRule="auto" w:line="264"/>
        <w:ind w:firstLine="480" w:left="0" w:right="0"/>
        <w:jc w:val="both"/>
        <w:rPr/>
      </w:pPr>
      <w:r>
        <w:rPr>
          <w:rStyle w:val="Style9"/>
          <w:rFonts w:eastAsia="Tahoma" w:cs="Noto Sans"/>
          <w:kern w:val="0"/>
          <w:szCs w:val="20"/>
          <w:lang w:val="ru-RU" w:eastAsia="ru-RU" w:bidi="hi-IN"/>
        </w:rPr>
        <w:t xml:space="preserve">в случае, если в период действия </w:t>
      </w:r>
      <w:r>
        <w:rPr>
          <w:rStyle w:val="Style9"/>
          <w:rFonts w:eastAsia="Tahoma" w:cs="Noto Sans"/>
          <w:kern w:val="0"/>
          <w:szCs w:val="20"/>
          <w:lang w:val="ru-RU" w:eastAsia="ru-RU" w:bidi="hi-IN"/>
        </w:rPr>
        <w:t>договора</w:t>
      </w:r>
      <w:r>
        <w:rPr>
          <w:rStyle w:val="Style9"/>
          <w:rFonts w:eastAsia="Tahoma" w:cs="Noto Sans"/>
          <w:kern w:val="0"/>
          <w:szCs w:val="20"/>
          <w:lang w:val="ru-RU" w:eastAsia="ru-RU" w:bidi="hi-IN"/>
        </w:rPr>
        <w:t xml:space="preserve"> указанные документы будут изменены (отменены), либо изданы новые нормативно-технические документы, регулирующие те же вопросы, следует руководствоваться измененными либо вновь изданными документами.</w:t>
      </w:r>
    </w:p>
    <w:p>
      <w:pPr>
        <w:pStyle w:val="BodyText"/>
        <w:spacing w:lineRule="auto" w:line="240" w:before="0" w:after="180"/>
        <w:ind w:firstLine="900" w:left="0" w:right="0"/>
        <w:jc w:val="both"/>
        <w:rPr>
          <w:rFonts w:ascii="Courier New" w:hAnsi="Courier New"/>
          <w:sz w:val="24"/>
          <w:lang w:val="ru-RU"/>
        </w:rPr>
      </w:pPr>
      <w:r>
        <w:rPr>
          <w:rStyle w:val="Style9"/>
          <w:lang w:val="ru-RU" w:eastAsia="ru-RU"/>
        </w:rPr>
        <w:t>Приложение № 1: Ведомость объемов работ.</w:t>
      </w:r>
    </w:p>
    <w:p>
      <w:pPr>
        <w:pStyle w:val="Normal"/>
        <w:widowControl/>
        <w:tabs>
          <w:tab w:val="clear" w:pos="720"/>
          <w:tab w:val="left" w:pos="643" w:leader="none"/>
        </w:tabs>
        <w:suppressAutoHyphens w:val="true"/>
        <w:bidi w:val="0"/>
        <w:spacing w:lineRule="auto" w:line="259" w:before="0" w:after="300"/>
        <w:ind w:firstLine="680" w:left="0" w:right="0"/>
        <w:jc w:val="both"/>
        <w:textAlignment w:val="auto"/>
        <w:rPr/>
      </w:pPr>
      <w:r>
        <w:rPr/>
      </w:r>
    </w:p>
    <w:sectPr>
      <w:type w:val="nextPage"/>
      <w:pgSz w:w="11906" w:h="16838"/>
      <w:pgMar w:left="1304" w:right="73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XO Thames">
    <w:charset w:val="01"/>
    <w:family w:val="roman"/>
    <w:pitch w:val="variable"/>
  </w:font>
  <w:font w:name="Times New Roman">
    <w:charset w:val="01"/>
    <w:family w:val="roman"/>
    <w:pitch w:val="variable"/>
  </w:font>
  <w:font w:name="Liberation Sans">
    <w:altName w:val="Arial"/>
    <w:charset w:val="01"/>
    <w:family w:val="swiss"/>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b/>
        <w:i w:val="false"/>
        <w:caps w:val="false"/>
        <w:smallCaps w:val="false"/>
        <w:strike w:val="false"/>
        <w:dstrike w:val="false"/>
        <w:spacing w:val="0"/>
        <w:w w:val="100"/>
        <w:sz w:val="24"/>
      </w:rPr>
    </w:lvl>
    <w:lvl w:ilvl="1">
      <w:start w:val="1"/>
      <w:numFmt w:val="decimal"/>
      <w:lvlText w:val="%1.%2."/>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2">
      <w:start w:val="1"/>
      <w:numFmt w:val="decimal"/>
      <w:lvlText w:val="%2.%3."/>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3">
      <w:start w:val="1"/>
      <w:numFmt w:val="decimal"/>
      <w:lvlText w:val="%3.%4."/>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4">
      <w:start w:val="1"/>
      <w:numFmt w:val="decimal"/>
      <w:lvlText w:val="%4.%5."/>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5">
      <w:start w:val="1"/>
      <w:numFmt w:val="decimal"/>
      <w:lvlText w:val="%5.%6."/>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6">
      <w:start w:val="1"/>
      <w:numFmt w:val="decimal"/>
      <w:lvlText w:val="%6.%7."/>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7">
      <w:start w:val="1"/>
      <w:numFmt w:val="decimal"/>
      <w:lvlText w:val="%7.%8."/>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lvl w:ilvl="8">
      <w:start w:val="1"/>
      <w:numFmt w:val="decimal"/>
      <w:lvlText w:val="%8.%9."/>
      <w:lvlJc w:val="left"/>
      <w:pPr>
        <w:tabs>
          <w:tab w:val="num" w:pos="0"/>
        </w:tabs>
        <w:ind w:left="0" w:hanging="0"/>
      </w:pPr>
      <w:rPr>
        <w:rFonts w:ascii="Times New Roman" w:hAnsi="Times New Roman"/>
        <w:b w:val="false"/>
        <w:i w:val="false"/>
        <w:caps w:val="false"/>
        <w:smallCaps w:val="false"/>
        <w:strike w:val="false"/>
        <w:dstrike w:val="false"/>
        <w:spacing w:val="0"/>
        <w:w w:val="100"/>
        <w:sz w:val="26"/>
      </w:rPr>
    </w:lvl>
  </w:abstractNum>
  <w:abstractNum w:abstractNumId="2">
    <w:lvl w:ilvl="0">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1">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2">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3">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4">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5">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6">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7">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8">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abstractNum>
  <w:abstractNum w:abstractNumId="3">
    <w:lvl w:ilvl="0">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1">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2">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3">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4">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5">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6">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7">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8">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abstractNum>
  <w:abstractNum w:abstractNumId="4">
    <w:lvl w:ilvl="0">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1">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2">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3">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4">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5">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6">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7">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lvl w:ilvl="8">
      <w:start w:val="1"/>
      <w:numFmt w:val="bullet"/>
      <w:lvlText w:val="-"/>
      <w:lvlJc w:val="left"/>
      <w:pPr>
        <w:tabs>
          <w:tab w:val="num" w:pos="0"/>
        </w:tabs>
        <w:ind w:left="0" w:hanging="0"/>
      </w:pPr>
      <w:rPr>
        <w:rFonts w:ascii="Times New Roman" w:hAnsi="Times New Roman" w:cs="Times New Roman" w:hint="default"/>
        <w:b w:val="false"/>
        <w:i w:val="false"/>
        <w:caps w:val="false"/>
        <w:smallCaps w:val="false"/>
        <w:strike w:val="false"/>
        <w:dstrike w:val="false"/>
        <w:spacing w:val="0"/>
        <w:w w:val="100"/>
        <w:sz w:val="26"/>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Tahoma" w:cs="Noto Sans"/>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Tahoma" w:cs="Noto Sans"/>
      <w:b/>
      <w:color w:val="000000"/>
      <w:spacing w:val="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40" w:before="120" w:after="120"/>
      <w:ind w:hanging="0" w:left="0" w:right="0"/>
      <w:jc w:val="both"/>
      <w:outlineLvl w:val="1"/>
    </w:pPr>
    <w:rPr>
      <w:rFonts w:ascii="XO Thames" w:hAnsi="XO Thames" w:eastAsia="Tahoma" w:cs="Noto Sans"/>
      <w:b/>
      <w:color w:val="000000"/>
      <w:spacing w:val="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Tahoma"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Tahoma"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Tahoma" w:cs="Noto Sans"/>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Contents3">
    <w:name w:val="Contents 3"/>
    <w:qFormat/>
    <w:rPr>
      <w:rFonts w:ascii="XO Thames" w:hAnsi="XO Thames"/>
      <w:sz w:val="28"/>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Contents9">
    <w:name w:val="Contents 9"/>
    <w:qFormat/>
    <w:rPr>
      <w:rFonts w:ascii="XO Thames" w:hAnsi="XO Thames"/>
      <w:sz w:val="2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1">
    <w:name w:val="Subtitle1"/>
    <w:qFormat/>
    <w:rPr>
      <w:rFonts w:ascii="XO Thames" w:hAnsi="XO Thames"/>
      <w:i/>
      <w:sz w:val="24"/>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Heading21">
    <w:name w:val="Heading 21"/>
    <w:qFormat/>
    <w:rPr>
      <w:rFonts w:ascii="XO Thames" w:hAnsi="XO Thames"/>
      <w:b/>
      <w:sz w:val="28"/>
    </w:rPr>
  </w:style>
  <w:style w:type="character" w:styleId="DefaultParagraphFont">
    <w:name w:val="Default Paragraph Font"/>
    <w:qFormat/>
    <w:rPr/>
  </w:style>
  <w:style w:type="character" w:styleId="Style9">
    <w:name w:val="Основной текст_"/>
    <w:basedOn w:val="DefaultParagraphFont"/>
    <w:qFormat/>
    <w:rPr>
      <w:rFonts w:ascii="Times New Roman" w:hAnsi="Times New Roman"/>
      <w:b w:val="false"/>
      <w:i w:val="false"/>
      <w:caps w:val="false"/>
      <w:smallCaps w:val="false"/>
      <w:strike w:val="false"/>
      <w:dstrike w:val="false"/>
      <w:color w:val="000000"/>
      <w:spacing w:val="0"/>
      <w:w w:val="100"/>
      <w:sz w:val="26"/>
      <w:u w:val="none"/>
    </w:rPr>
  </w:style>
  <w:style w:type="paragraph" w:styleId="Style10">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qFormat/>
    <w:pPr>
      <w:spacing w:lineRule="auto" w:line="259" w:before="0" w:after="0"/>
      <w:textAlignment w:val="auto"/>
    </w:pPr>
    <w:rPr>
      <w:rFonts w:ascii="Times New Roman" w:hAnsi="Times New Roman"/>
      <w:b w:val="false"/>
      <w:i w:val="false"/>
      <w:caps w:val="false"/>
      <w:smallCaps w:val="false"/>
      <w:strike w:val="false"/>
      <w:dstrike w:val="false"/>
      <w:sz w:val="26"/>
      <w:u w:val="none"/>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1">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Tahoma" w:cs="Noto Sans"/>
      <w:color w:val="000000"/>
      <w:spacing w:val="0"/>
      <w:kern w:val="0"/>
      <w:sz w:val="28"/>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Tahoma" w:cs="Noto Sans"/>
      <w:color w:val="000000"/>
      <w:spacing w:val="0"/>
      <w:kern w:val="0"/>
      <w:sz w:val="28"/>
      <w:szCs w:val="20"/>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Tahoma"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Tahoma" w:cs="Noto Sans"/>
      <w:color w:val="000000"/>
      <w:spacing w:val="0"/>
      <w:kern w:val="0"/>
      <w:sz w:val="28"/>
      <w:szCs w:val="20"/>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Tahoma" w:cs="Noto Sans"/>
      <w:color w:val="000000"/>
      <w:spacing w:val="0"/>
      <w:kern w:val="0"/>
      <w:sz w:val="28"/>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XO Thames" w:hAnsi="XO Thames" w:eastAsia="Tahoma" w:cs="Noto Sans"/>
      <w:color w:val="0000FF"/>
      <w:spacing w:val="0"/>
      <w:kern w:val="0"/>
      <w:sz w:val="24"/>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Tahoma" w:cs="Noto Sans"/>
      <w:b/>
      <w:color w:val="000000"/>
      <w:spacing w:val="0"/>
      <w:kern w:val="0"/>
      <w:sz w:val="28"/>
      <w:szCs w:val="20"/>
      <w:lang w:val="ru-RU" w:eastAsia="zh-CN" w:bidi="hi-IN"/>
    </w:rPr>
  </w:style>
  <w:style w:type="paragraph" w:styleId="user2">
    <w:name w:val="Колонтитулы (user)"/>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Tahoma" w:cs="Noto Sans"/>
      <w:color w:val="000000"/>
      <w:spacing w:val="0"/>
      <w:kern w:val="0"/>
      <w:sz w:val="28"/>
      <w:szCs w:val="20"/>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Tahoma" w:cs="Noto Sans"/>
      <w:color w:val="000000"/>
      <w:spacing w:val="0"/>
      <w:kern w:val="0"/>
      <w:sz w:val="28"/>
      <w:szCs w:val="20"/>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Tahoma" w:cs="Noto Sans"/>
      <w:color w:val="000000"/>
      <w:spacing w:val="0"/>
      <w:kern w:val="0"/>
      <w:sz w:val="28"/>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Tahoma" w:cs="Noto Sans"/>
      <w:i/>
      <w:color w:val="000000"/>
      <w:spacing w:val="0"/>
      <w:kern w:val="0"/>
      <w:sz w:val="24"/>
      <w:szCs w:val="20"/>
      <w:lang w:val="ru-RU" w:eastAsia="zh-CN" w:bidi="hi-IN"/>
    </w:rPr>
  </w:style>
  <w:style w:type="paragraph" w:styleId="Title">
    <w:name w:val="Title"/>
    <w:next w:val="Normal"/>
    <w:uiPriority w:val="10"/>
    <w:qFormat/>
    <w:pPr>
      <w:widowControl/>
      <w:suppressAutoHyphens w:val="true"/>
      <w:bidi w:val="0"/>
      <w:spacing w:lineRule="auto" w:line="240" w:before="567" w:after="567"/>
      <w:ind w:hanging="0" w:left="0" w:right="0"/>
      <w:jc w:val="center"/>
    </w:pPr>
    <w:rPr>
      <w:rFonts w:ascii="XO Thames" w:hAnsi="XO Thames" w:eastAsia="Tahoma" w:cs="Noto Sans"/>
      <w:b/>
      <w:caps/>
      <w:color w:val="000000"/>
      <w:spacing w:val="0"/>
      <w:kern w:val="0"/>
      <w:sz w:val="40"/>
      <w:szCs w:val="20"/>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LibreOffice/25.8.7.3$Linux_X86_64 LibreOffice_project/30742500f2d3eb4366ac312fa33d3dcabdb3eba5</Application>
  <AppVersion>15.0000</AppVersion>
  <Pages>11</Pages>
  <Words>2963</Words>
  <Characters>21203</Characters>
  <CharactersWithSpaces>23829</CharactersWithSpaces>
  <Paragraphs>230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2025-07-25T09:04:47Z</dcterms:created>
  <dc:creator/>
  <dc:description/>
  <dc:language>ru-RU</dc:language>
  <cp:lastModifiedBy/>
  <dcterms:modified xsi:type="dcterms:W3CDTF">2026-10-13T13:58:00Z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