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26" w:leader="none"/>
          <w:tab w:val="left" w:pos="1134" w:leader="none"/>
          <w:tab w:val="left" w:pos="3828" w:leader="none"/>
          <w:tab w:val="left" w:pos="3969" w:leader="none"/>
          <w:tab w:val="left" w:pos="4536" w:leader="none"/>
          <w:tab w:val="left" w:pos="5103" w:leader="none"/>
        </w:tabs>
        <w:spacing w:lineRule="auto" w:line="276"/>
        <w:jc w:val="center"/>
        <w:rPr>
          <w:rFonts w:eastAsia="SimSun"/>
          <w:b/>
          <w:lang w:eastAsia="zh-CN"/>
        </w:rPr>
      </w:pPr>
      <w:bookmarkStart w:id="0" w:name="_Hlk9323903"/>
      <w:bookmarkStart w:id="1" w:name="_Toc233786909"/>
      <w:bookmarkStart w:id="2" w:name="_GoBack"/>
      <w:bookmarkEnd w:id="0"/>
      <w:bookmarkEnd w:id="1"/>
      <w:bookmarkEnd w:id="2"/>
      <w:r>
        <w:rPr>
          <w:rFonts w:eastAsia="SimSun"/>
          <w:b/>
          <w:lang w:eastAsia="zh-CN"/>
        </w:rPr>
        <w:t>ТЕХНИЧЕСКОЕ ЗАДАНИЕ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 xml:space="preserve">внедрение "Модуля раскрытия государственного регистрационного знака" в зоне фиксации автоматических пунктов весогабаритного контроля 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426" w:leader="none"/>
        </w:tabs>
        <w:spacing w:lineRule="auto" w:line="276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>Объект закупки:</w:t>
      </w:r>
    </w:p>
    <w:p>
      <w:pPr>
        <w:pStyle w:val="Normal"/>
        <w:shd w:val="clear" w:color="auto" w:fill="FFFFFF"/>
        <w:ind w:firstLine="709"/>
        <w:jc w:val="both"/>
        <w:rPr>
          <w:lang w:eastAsia="ru-RU"/>
        </w:rPr>
      </w:pPr>
      <w:r>
        <w:rPr>
          <w:lang w:eastAsia="ru-RU"/>
        </w:rPr>
      </w:r>
    </w:p>
    <w:tbl>
      <w:tblPr>
        <w:tblW w:w="9781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39"/>
        <w:gridCol w:w="7474"/>
        <w:gridCol w:w="828"/>
        <w:gridCol w:w="940"/>
      </w:tblGrid>
      <w:tr>
        <w:trPr/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 xml:space="preserve">№ </w:t>
            </w:r>
            <w:r>
              <w:rPr>
                <w:rFonts w:eastAsia="Droid Sans Fallback"/>
                <w:bCs/>
                <w:kern w:val="2"/>
                <w:lang w:eastAsia="hi-IN" w:bidi="hi-IN"/>
              </w:rPr>
              <w:t>п/п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 xml:space="preserve">Наименование 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Кол-во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Ед. изм.</w:t>
            </w:r>
          </w:p>
        </w:tc>
      </w:tr>
      <w:tr>
        <w:trPr>
          <w:trHeight w:val="270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 xml:space="preserve">«ПАК» 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4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Шт.</w:t>
            </w:r>
          </w:p>
        </w:tc>
      </w:tr>
      <w:tr>
        <w:trPr>
          <w:trHeight w:val="195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2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Droid Sans Fallback"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>Операционная система. Лицензия «Astra Linux Special Edition 1,8», уровень защищенности «Усиленный» («Воронеж»), (ФСТЭК) поддержка 36 месяцев (до 2-х CPU)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Лиц.</w:t>
            </w:r>
          </w:p>
        </w:tc>
      </w:tr>
      <w:tr>
        <w:trPr>
          <w:trHeight w:val="416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3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 xml:space="preserve">Сервер 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Шт.</w:t>
            </w:r>
          </w:p>
        </w:tc>
      </w:tr>
      <w:tr>
        <w:trPr>
          <w:trHeight w:val="416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4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Droid Sans Fallback"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>ПО «Модуль раскрытия ГРЗ» (модернизация ИС «Ангел: ВГК»), включая период информационно-технического сопровождения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Лиц.</w:t>
            </w:r>
          </w:p>
        </w:tc>
      </w:tr>
      <w:tr>
        <w:trPr>
          <w:trHeight w:val="416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5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eastAsia="Droid Sans Fallback"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>Монтаж и пусконаладка ПАК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4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Усл.ед.</w:t>
            </w:r>
          </w:p>
        </w:tc>
      </w:tr>
      <w:tr>
        <w:trPr>
          <w:trHeight w:val="416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6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eastAsia="Droid Sans Fallback"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>Монтаж и пусконаладка сервера и ПО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Усл.ед.</w:t>
            </w:r>
          </w:p>
        </w:tc>
      </w:tr>
      <w:tr>
        <w:trPr>
          <w:trHeight w:val="416" w:hRule="atLeast"/>
        </w:trPr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59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7</w:t>
            </w:r>
          </w:p>
        </w:tc>
        <w:tc>
          <w:tcPr>
            <w:tcW w:w="7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eastAsia="Droid Sans Fallback"/>
                <w:kern w:val="2"/>
                <w:lang w:eastAsia="hi-IN" w:bidi="hi-IN"/>
              </w:rPr>
            </w:pPr>
            <w:r>
              <w:rPr>
                <w:rFonts w:eastAsia="Droid Sans Fallback"/>
                <w:kern w:val="2"/>
                <w:lang w:eastAsia="hi-IN" w:bidi="hi-IN"/>
              </w:rPr>
              <w:t>Пусконаладка ПО «Модуль раскрытия ГРЗ»</w:t>
            </w:r>
          </w:p>
        </w:tc>
        <w:tc>
          <w:tcPr>
            <w:tcW w:w="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11"/>
              <w:jc w:val="center"/>
              <w:rPr>
                <w:rFonts w:eastAsia="Droid Sans Fallback"/>
                <w:bCs/>
                <w:kern w:val="2"/>
                <w:lang w:eastAsia="hi-IN" w:bidi="hi-IN"/>
              </w:rPr>
            </w:pPr>
            <w:r>
              <w:rPr>
                <w:rFonts w:eastAsia="Droid Sans Fallback"/>
                <w:bCs/>
                <w:kern w:val="2"/>
                <w:lang w:eastAsia="hi-IN" w:bidi="hi-IN"/>
              </w:rPr>
              <w:t>Усл.ед.</w:t>
            </w:r>
          </w:p>
        </w:tc>
      </w:tr>
    </w:tbl>
    <w:p>
      <w:pPr>
        <w:pStyle w:val="6"/>
        <w:spacing w:lineRule="auto" w:line="240" w:before="0" w:after="0"/>
        <w:ind w:firstLine="720" w:start="0"/>
        <w:rPr>
          <w:b w:val="false"/>
          <w:bCs/>
        </w:rPr>
      </w:pPr>
      <w:r>
        <w:rPr>
          <w:b w:val="false"/>
          <w:bCs/>
        </w:rPr>
      </w:r>
    </w:p>
    <w:p>
      <w:pPr>
        <w:pStyle w:val="Heading2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3" w:name="_Toc233786950"/>
      <w:bookmarkStart w:id="4" w:name="_Toc233200576"/>
      <w:bookmarkStart w:id="5" w:name="_Toc226453667"/>
      <w:bookmarkStart w:id="6" w:name="_Toc222147664"/>
      <w:bookmarkStart w:id="7" w:name="_Toc206582402"/>
      <w:r>
        <w:rPr>
          <w:rFonts w:ascii="Times New Roman" w:hAnsi="Times New Roman"/>
          <w:b/>
          <w:color w:val="auto"/>
          <w:sz w:val="24"/>
          <w:szCs w:val="24"/>
        </w:rPr>
        <w:t xml:space="preserve">2. </w:t>
      </w:r>
      <w:bookmarkStart w:id="8" w:name="_Hlk238638637"/>
      <w:bookmarkEnd w:id="7"/>
      <w:r>
        <w:rPr>
          <w:rFonts w:ascii="Times New Roman" w:hAnsi="Times New Roman"/>
          <w:b/>
          <w:color w:val="auto"/>
          <w:sz w:val="24"/>
          <w:szCs w:val="24"/>
        </w:rPr>
        <w:t>Требования к функциональным, техническим характеристикам</w:t>
      </w:r>
      <w:bookmarkEnd w:id="8"/>
      <w:r>
        <w:rPr>
          <w:rFonts w:ascii="Times New Roman" w:hAnsi="Times New Roman"/>
          <w:b/>
          <w:color w:val="auto"/>
          <w:sz w:val="24"/>
          <w:szCs w:val="24"/>
        </w:rPr>
        <w:t xml:space="preserve"> и комплектации </w:t>
      </w:r>
      <w:bookmarkEnd w:id="3"/>
      <w:bookmarkEnd w:id="4"/>
      <w:bookmarkEnd w:id="5"/>
      <w:bookmarkEnd w:id="6"/>
      <w:r>
        <w:rPr>
          <w:rFonts w:ascii="Times New Roman" w:hAnsi="Times New Roman"/>
          <w:b/>
          <w:color w:val="auto"/>
          <w:sz w:val="24"/>
          <w:szCs w:val="24"/>
        </w:rPr>
        <w:t>ПАК</w:t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tabs>
          <w:tab w:val="clear" w:pos="708"/>
          <w:tab w:val="left" w:pos="1276" w:leader="none"/>
          <w:tab w:val="left" w:pos="1701" w:leader="none"/>
        </w:tabs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60"/>
        <w:gridCol w:w="5644"/>
        <w:gridCol w:w="3685"/>
      </w:tblGrid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Normal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Значение параметра или наличие функции (функционала)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Состав ПАК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модуль управления, камера распознающая, модуль ИК подсветки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Размер вычислительного модуля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более 400х500х210 мм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Вес вычислительного модуля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более 30кг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Размер камеры распознающей 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более 400х200х200 мм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Вес камеры распознающей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более 7 кг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Количество мегапикселей камеры распознающей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5MP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Разрешение камеры распознающей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2448*2048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Фокусное расстояние камеры распознающей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14-50мм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Размер ИК прожектора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100х100х100 мм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Режим излучения ИК прожектора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импульсный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Максимум интенсивности излучения ИК прожектора на длине волн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850 нм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автоматической фиксации проездов ТС, без фиксации нарушений ПДД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ПАК обеспечивает автоматическую фиксацию проездов ТС в режиме непрерывной работы при размещении стационарно на стойках, опорах и иных конструкциях.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Синхронизация внутренней шкалы времени ПАК с национальной шкалой времени Российской Федерации UTC(SU)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Регистрация грузовых транспортных средств, находящихся в зоне видеоконтроля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Распознавание передних и задних одно- и двухстрочных регистрационных знаков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Возможность распознавания государственных регистрационных знаков следующих стран: Армения, Беларусь, Казахстан, Латвия, Узбекистан, а также других стран по запросу заказчика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Инфракрасная подсветка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Распознавание ГРЗ самим ПАК, без дополнительного использования серверных мощностей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Формирование базы данных о зафиксированных фактах проездов грузовых ТС с сохранением информации о времени, дате, распознанном ГРЗ ТС, месте проезда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Сохранение данных о зафиксированных фактах проездов грузовых ТС во внутренней энергонезависимой памяти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кольцевой записи материалов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Возможность присвоения текстового признака каждой видеокамере ПАК 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Возможность экспорта материалов в общепринятые форматы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Мониторинг состояния по независимому от Заказчика технологическому каналу связи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Возможность удаленного перезапуска ПАК при отсутствии связи с ним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разграничения прав доступа пользователей ПАК) в соответствии с ролевой политикой для предустановленного программного обеспечения ПАК 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Обеспечение сохранности данных при потере питания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полного распознавания государственных регистрационных знаков транспортных средств (движущихся или неподвижных)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менее 93%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условного распознавания ГРЗ ТС (движущихся или неподвижных)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менее 95%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полного распознавания государственных регистрационных знаков транспортных средств (для чистых ГРЗ, соотв. требованиям Конвенции дорожном движении 1968 г.)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менее 98%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ошибки распознавания ГРЗ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более 4%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пропуска ТС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более 4%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Вероятность появления дубликатов и фантомов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более 0,1%</w:t>
            </w:r>
            <w:bookmarkStart w:id="9" w:name="_Hlk204245312"/>
            <w:bookmarkEnd w:id="9"/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Передача сформированных материалов на удаленный </w:t>
            </w:r>
            <w:r>
              <w:rPr>
                <w:color w:val="000000"/>
                <w:lang w:val="en-US" w:eastAsia="ru-RU"/>
              </w:rPr>
              <w:t>FTP</w:t>
            </w:r>
            <w:r>
              <w:rPr>
                <w:color w:val="000000"/>
                <w:lang w:eastAsia="ru-RU"/>
              </w:rPr>
              <w:t>-сервер клиента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Режим работы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круглосуточно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Средняя наработка на отказ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не менее 35 000 час.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eastAsia="TimesNewRoman"/>
                <w:lang w:eastAsia="ru-RU"/>
              </w:rPr>
            </w:pPr>
            <w:r>
              <w:rPr>
                <w:rFonts w:eastAsia="TimesNewRoman"/>
                <w:lang w:eastAsia="ru-RU"/>
              </w:rPr>
              <w:t>Пределы допускаемой абсолютной погрешности синхронизации шкалы</w:t>
            </w:r>
          </w:p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rFonts w:eastAsia="TimesNewRoman"/>
                <w:lang w:eastAsia="ru-RU"/>
              </w:rPr>
              <w:t>времени комплексов с национальной шкалой времени UTC(SU), мкс</w:t>
            </w:r>
            <w:r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±1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rFonts w:eastAsia="TimesNewRoman"/>
                <w:lang w:eastAsia="ru-RU"/>
              </w:rPr>
              <w:t>Доверительные границы допускаемой абсолютной погрешности определения координат местоположения комплексов, м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±3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Рабочая температура ПАК в диапазоне, не менее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от -60 до +70 °C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Степень защиты по </w:t>
            </w:r>
            <w:r>
              <w:rPr>
                <w:color w:val="000000"/>
                <w:shd w:fill="FFFFFF" w:val="clear"/>
                <w:lang w:eastAsia="ru-RU"/>
              </w:rPr>
              <w:t xml:space="preserve">ГОСТ 14254-2015 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не ниже </w:t>
            </w:r>
            <w:r>
              <w:rPr>
                <w:color w:val="000000"/>
                <w:lang w:val="en-US" w:eastAsia="ru-RU"/>
              </w:rPr>
              <w:t>IP</w:t>
            </w:r>
            <w:r>
              <w:rPr>
                <w:color w:val="000000"/>
                <w:lang w:eastAsia="ru-RU"/>
              </w:rPr>
              <w:t>66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Работа в режиме накопления информации при отсутствии связи с внешними аппаратно-программными (системами с последующей автоматической передачей накопленной информации при восстановлении связи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ГЛОНАСС/GPS приемник с антенной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</w:t>
            </w:r>
          </w:p>
        </w:tc>
        <w:tc>
          <w:tcPr>
            <w:tcW w:w="5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Лицензия на подключение ПАК к ПО «Модуль раскрытия ГРЗ», эксплуатируемое заказчиком»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  <w:bookmarkStart w:id="10" w:name="_Hlk238639004"/>
            <w:bookmarkEnd w:id="10"/>
          </w:p>
        </w:tc>
      </w:tr>
    </w:tbl>
    <w:p>
      <w:pPr>
        <w:pStyle w:val="Normal"/>
        <w:tabs>
          <w:tab w:val="clear" w:pos="708"/>
          <w:tab w:val="left" w:pos="1276" w:leader="none"/>
          <w:tab w:val="left" w:pos="1701" w:leader="none"/>
        </w:tabs>
        <w:rPr>
          <w:b/>
          <w:bCs/>
          <w:color w:val="000000"/>
          <w:kern w:val="2"/>
          <w:lang w:eastAsia="ru-RU"/>
        </w:rPr>
      </w:pPr>
      <w:r>
        <w:rPr>
          <w:b/>
          <w:bCs/>
          <w:color w:val="000000"/>
          <w:kern w:val="2"/>
          <w:lang w:eastAsia="ru-RU"/>
        </w:rPr>
      </w:r>
    </w:p>
    <w:p>
      <w:pPr>
        <w:pStyle w:val="Normal"/>
        <w:widowControl w:val="false"/>
        <w:ind w:firstLine="709"/>
        <w:jc w:val="both"/>
        <w:rPr>
          <w:bCs/>
        </w:rPr>
      </w:pPr>
      <w:r>
        <w:rPr>
          <w:b/>
          <w:color w:val="FF0000"/>
        </w:rPr>
        <w:t>Модуль управления</w:t>
      </w:r>
      <w:r>
        <w:rPr>
          <w:bCs/>
          <w:color w:val="FF0000"/>
        </w:rPr>
        <w:t xml:space="preserve"> </w:t>
      </w:r>
      <w:r>
        <w:rPr>
          <w:bCs/>
        </w:rPr>
        <w:t>должен представлять собой шкаф климатический с предустановленным оборудованием, позволяющим обеспечивать подключение смежного оборудования, обработку видеопотоков от камеры, распознающей в реальном времени фиксацию проездов грузовых ТС, запись и хранение материалов, осуществлять их трансляцию на центральный сервер по различным каналам связи.</w:t>
      </w:r>
    </w:p>
    <w:p>
      <w:pPr>
        <w:pStyle w:val="Normal"/>
        <w:widowControl w:val="false"/>
        <w:ind w:firstLine="709"/>
        <w:jc w:val="both"/>
        <w:rPr>
          <w:bCs/>
        </w:rPr>
      </w:pPr>
      <w:r>
        <w:rPr>
          <w:b/>
          <w:color w:val="FF0000"/>
        </w:rPr>
        <w:t>Камера распознающая</w:t>
      </w:r>
      <w:r>
        <w:rPr>
          <w:bCs/>
          <w:color w:val="FF0000"/>
        </w:rPr>
        <w:t xml:space="preserve"> </w:t>
      </w:r>
      <w:r>
        <w:rPr>
          <w:bCs/>
        </w:rPr>
        <w:t xml:space="preserve">должна состоять из всепогодного термокожуха, установленного в него камеры машинного зрения с объективом. Предназначена для формирования фотоизображения автотранспортного средства в виде, позволяющем осуществить считывание и дальнейшее распознание ГРЗ ТС, а также для формирования фотоизображений общего плана, содержащего объекты улично-дорожной сети, с качеством изображения, обеспечивающим достаточную доказательную базу. Вся информация с камеры идет в модуль управления для дальнейшей обработки. </w:t>
      </w:r>
    </w:p>
    <w:p>
      <w:pPr>
        <w:pStyle w:val="Normal"/>
        <w:widowControl w:val="false"/>
        <w:ind w:firstLine="709"/>
        <w:jc w:val="both"/>
        <w:rPr>
          <w:bCs/>
        </w:rPr>
      </w:pPr>
      <w:r>
        <w:rPr>
          <w:b/>
          <w:color w:val="FF0000"/>
        </w:rPr>
        <w:t>Модуль ИК</w:t>
      </w:r>
      <w:r>
        <w:rPr>
          <w:bCs/>
        </w:rPr>
        <w:t xml:space="preserve"> подсветки может состоять из одного или двух ИК прожекторов и 1 блока коммутации или может быть встроен в модуль распознающей камеры</w:t>
      </w:r>
    </w:p>
    <w:p>
      <w:pPr>
        <w:pStyle w:val="Normal"/>
        <w:widowControl w:val="false"/>
        <w:jc w:val="both"/>
        <w:rPr>
          <w:bCs/>
        </w:rPr>
      </w:pPr>
      <w:r>
        <w:rPr>
          <w:bCs/>
        </w:rPr>
      </w:r>
    </w:p>
    <w:p>
      <w:pPr>
        <w:pStyle w:val="Normal"/>
        <w:widowControl w:val="false"/>
        <w:ind w:firstLine="709"/>
        <w:jc w:val="both"/>
        <w:rPr>
          <w:bCs/>
        </w:rPr>
      </w:pPr>
      <w:r>
        <w:rPr>
          <w:bCs/>
        </w:rPr>
        <w:t>Периодическая метрологическая поверка ПАК должна осуществляться без демонтажа с опоры. Интервал между поверками должен составлять не менее 24 (двадцати четырех) месяцев.</w:t>
      </w:r>
    </w:p>
    <w:p>
      <w:pPr>
        <w:pStyle w:val="Normal"/>
        <w:tabs>
          <w:tab w:val="clear" w:pos="708"/>
          <w:tab w:val="left" w:pos="1276" w:leader="none"/>
          <w:tab w:val="left" w:pos="1701" w:leader="none"/>
        </w:tabs>
        <w:rPr>
          <w:b/>
          <w:bCs/>
          <w:color w:val="000000"/>
          <w:kern w:val="2"/>
          <w:lang w:eastAsia="ru-RU"/>
        </w:rPr>
      </w:pPr>
      <w:r>
        <w:rPr>
          <w:b/>
          <w:bCs/>
          <w:color w:val="000000"/>
          <w:kern w:val="2"/>
          <w:lang w:eastAsia="ru-RU"/>
        </w:rPr>
      </w:r>
    </w:p>
    <w:p>
      <w:pPr>
        <w:pStyle w:val="Heading2"/>
        <w:jc w:val="both"/>
        <w:rPr>
          <w:rFonts w:ascii="Times New Roman" w:hAnsi="Times New Roman"/>
          <w:b/>
          <w:color w:val="auto"/>
          <w:sz w:val="24"/>
        </w:rPr>
      </w:pPr>
      <w:bookmarkStart w:id="11" w:name="_Toc222147665"/>
      <w:bookmarkStart w:id="12" w:name="_Toc226453668"/>
      <w:bookmarkStart w:id="13" w:name="_Toc233200577"/>
      <w:bookmarkStart w:id="14" w:name="_Toc233786951"/>
      <w:r>
        <w:rPr>
          <w:rFonts w:ascii="Times New Roman" w:hAnsi="Times New Roman"/>
          <w:b/>
          <w:color w:val="auto"/>
          <w:sz w:val="24"/>
        </w:rPr>
        <w:t>Монтаж. ПАК</w:t>
      </w:r>
      <w:bookmarkEnd w:id="11"/>
      <w:bookmarkEnd w:id="12"/>
      <w:bookmarkEnd w:id="13"/>
      <w:bookmarkEnd w:id="14"/>
      <w:r>
        <w:rPr>
          <w:rFonts w:ascii="Times New Roman" w:hAnsi="Times New Roman"/>
          <w:b/>
          <w:color w:val="auto"/>
          <w:sz w:val="24"/>
        </w:rPr>
        <w:t>:</w:t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940" w:leader="none"/>
        </w:tabs>
        <w:ind w:firstLine="709"/>
        <w:jc w:val="both"/>
        <w:rPr/>
      </w:pPr>
      <w:r>
        <w:rPr/>
        <w:t>Подрядчик обязан: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42" w:leader="none"/>
          <w:tab w:val="left" w:pos="993" w:leader="none"/>
          <w:tab w:val="left" w:pos="2940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 xml:space="preserve">доставить </w:t>
      </w:r>
      <w:bookmarkStart w:id="15" w:name="_Hlk236216735"/>
      <w:r>
        <w:rPr/>
        <w:t xml:space="preserve">ПАК </w:t>
      </w:r>
      <w:bookmarkEnd w:id="15"/>
      <w:r>
        <w:rPr/>
        <w:t>до мест установки;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34" w:leader="none"/>
          <w:tab w:val="left" w:pos="142" w:leader="none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смонтировать оборудование ПАК в местах размещения, указанных в Приложении №1 к настоящему Техническому заданию;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подвес (прокладку) электрических кабельных линий от точки технологического присоединения к сети электроснабжения до ПАК, в случае отсутствия опор для подвеса питающего кабеля, установить железобетонные опоры типа СВ-105. Длина кабельной продукции для линии электропередачи от точки технологического присоединения до ПАК   определяется Исполнителем исходя из технических возможностей поставляемого ПАК (кабель, элементы крепления и прочие материалы предоставляются Исполнителем);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подключение ПАК к электроснабжению на основании технических условий, предоставленных Заказчиком;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подвес (прокладку) электрических и информационных кабельных линий между оборудованием ПАК на рубеже;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34" w:leader="none"/>
          <w:tab w:val="left" w:pos="142" w:leader="none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осуществить настройку (наладку) оборудования ПАК на фиксацию проездов грузовых транспортных средств, осуществляющих перевозку крупногабаритных и (или) тяжеловесных грузов;</w:t>
      </w:r>
    </w:p>
    <w:p>
      <w:pPr>
        <w:pStyle w:val="Normal"/>
        <w:rPr/>
      </w:pPr>
      <w:r>
        <w:rPr/>
        <w:t xml:space="preserve">          </w:t>
      </w:r>
      <w:r>
        <w:rPr/>
        <w:t>-    обеспечить подключение оборудования ПАК на рубеже к каналам передачи данных, предоставленными Заказчиком;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обеспечить подключение оборудования ПАК на рубеже, с организацией канала передачи данных</w:t>
      </w:r>
      <w:r>
        <w:rPr>
          <w:color w:val="0070C0"/>
        </w:rPr>
        <w:t>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пусконаладочные работы всего оборудования ПАК;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проведение пробного испытания ПАК с предоставлением сформированного материала проезда грузового ТС с разных направлений в ПО;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выполнить ввод в эксплуатацию, с предоставлением свидетельств о поверке, руководства по эксплуатации, паспортов, исполнительной документации на завершенный объект. Исполнительная документация (паспорта, руководство по эксплуатации, свидетельства) должна быть предоставлена Заказчику.</w:t>
      </w:r>
    </w:p>
    <w:p>
      <w:pPr>
        <w:pStyle w:val="Normal"/>
        <w:widowControl w:val="false"/>
        <w:tabs>
          <w:tab w:val="clear" w:pos="708"/>
          <w:tab w:val="left" w:pos="142" w:leader="none"/>
        </w:tabs>
        <w:ind w:firstLine="709"/>
        <w:jc w:val="both"/>
        <w:rPr/>
      </w:pPr>
      <w:r>
        <w:rPr/>
        <w:t>Поставщик при установке вправе использовать инновационное оборудование.</w:t>
      </w:r>
    </w:p>
    <w:p>
      <w:pPr>
        <w:pStyle w:val="Normal"/>
        <w:ind w:firstLine="709"/>
        <w:jc w:val="both"/>
        <w:rPr/>
      </w:pPr>
      <w:r>
        <w:rPr/>
        <w:t>Поставщик за 2 (два) рабочих дня перед установкой ПАК предоставляет Заказчику техническую документацию (паспорт, свидетельство о поверке средства измерения, руководство по эксплуатации). Заказчик в течение 2 (двух) рабочих дней с даты уведомления и предоставления технической документации производит сверку технических и эксплуатационных характеристик поставляемого ПАК на соответствие условиям описания настоящего Технического задания.</w:t>
      </w:r>
    </w:p>
    <w:p>
      <w:pPr>
        <w:pStyle w:val="Heading1"/>
        <w:spacing w:before="280" w:after="280"/>
        <w:rPr>
          <w:sz w:val="24"/>
          <w:szCs w:val="24"/>
        </w:rPr>
      </w:pPr>
      <w:bookmarkStart w:id="16" w:name="_Toc233786952"/>
      <w:bookmarkStart w:id="17" w:name="_Toc233200578"/>
      <w:bookmarkStart w:id="18" w:name="_Toc206674911"/>
      <w:r>
        <w:rPr>
          <w:sz w:val="24"/>
          <w:szCs w:val="24"/>
        </w:rPr>
        <w:t xml:space="preserve">3. </w:t>
      </w:r>
      <w:bookmarkStart w:id="19" w:name="_Hlk238638884"/>
      <w:r>
        <w:rPr>
          <w:sz w:val="24"/>
          <w:szCs w:val="24"/>
        </w:rPr>
        <w:t>Операционная система. Лицензия «Astra Linux Special Edition 1,8», уровень защищенности «Усиленный» («Воронеж»), (ФСТЭК) поддержка 36 месяцев (до 2-х CPU)</w:t>
      </w:r>
      <w:bookmarkEnd w:id="16"/>
      <w:bookmarkEnd w:id="17"/>
      <w:bookmarkEnd w:id="18"/>
      <w:bookmarkEnd w:id="19"/>
    </w:p>
    <w:tbl>
      <w:tblPr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241"/>
        <w:gridCol w:w="6104"/>
      </w:tblGrid>
      <w:tr>
        <w:trPr/>
        <w:tc>
          <w:tcPr>
            <w:tcW w:w="32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характеристики</w:t>
            </w:r>
          </w:p>
        </w:tc>
        <w:tc>
          <w:tcPr>
            <w:tcW w:w="6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характеристики</w:t>
            </w:r>
          </w:p>
        </w:tc>
      </w:tr>
      <w:tr>
        <w:trPr>
          <w:trHeight w:val="610" w:hRule="atLeast"/>
        </w:trPr>
        <w:tc>
          <w:tcPr>
            <w:tcW w:w="32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 лицензии</w:t>
            </w:r>
          </w:p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W w:w="6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Исключительная</w:t>
            </w:r>
          </w:p>
        </w:tc>
      </w:tr>
      <w:tr>
        <w:trPr>
          <w:trHeight w:val="300" w:hRule="atLeast"/>
        </w:trPr>
        <w:tc>
          <w:tcPr>
            <w:tcW w:w="32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6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(02.09) Операционные системы общего назначения</w:t>
            </w:r>
          </w:p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</w:tr>
      <w:tr>
        <w:trPr>
          <w:trHeight w:val="902" w:hRule="atLeast"/>
        </w:trPr>
        <w:tc>
          <w:tcPr>
            <w:tcW w:w="32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Способ предоставления</w:t>
            </w:r>
          </w:p>
        </w:tc>
        <w:tc>
          <w:tcPr>
            <w:tcW w:w="6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Экземпляр на материальном носителе</w:t>
            </w:r>
          </w:p>
        </w:tc>
      </w:tr>
    </w:tbl>
    <w:p>
      <w:pPr>
        <w:pStyle w:val="Heading1"/>
        <w:spacing w:before="280" w:after="280"/>
        <w:rPr>
          <w:sz w:val="24"/>
          <w:szCs w:val="24"/>
        </w:rPr>
      </w:pPr>
      <w:r>
        <w:rPr>
          <w:sz w:val="24"/>
          <w:szCs w:val="24"/>
        </w:rPr>
        <w:t>4. Требования к функциональным, техническим характеристикам сервера</w:t>
      </w:r>
    </w:p>
    <w:tbl>
      <w:tblPr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220"/>
        <w:gridCol w:w="3171"/>
        <w:gridCol w:w="2954"/>
      </w:tblGrid>
      <w:tr>
        <w:trPr/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характеристики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характеристики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Единица измерения характеристики</w:t>
            </w:r>
          </w:p>
        </w:tc>
      </w:tr>
      <w:tr>
        <w:trPr/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Количество установленных процессоров</w:t>
            </w:r>
          </w:p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≥ </w:t>
            </w:r>
            <w:r>
              <w:rPr>
                <w:sz w:val="22"/>
                <w:szCs w:val="22"/>
                <w:lang w:eastAsia="ru-RU"/>
              </w:rPr>
              <w:t>1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Штука</w:t>
            </w:r>
          </w:p>
        </w:tc>
      </w:tr>
      <w:tr>
        <w:trPr>
          <w:trHeight w:val="46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Максимальное количество процессоров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≥ </w:t>
            </w:r>
            <w:r>
              <w:rPr>
                <w:sz w:val="22"/>
                <w:szCs w:val="22"/>
                <w:lang w:eastAsia="ru-RU"/>
              </w:rPr>
              <w:t>2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Штука</w:t>
            </w:r>
          </w:p>
        </w:tc>
      </w:tr>
      <w:tr>
        <w:trPr>
          <w:trHeight w:val="9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Базовая частота каждого установленного дискретного графического контроллера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fill="FFFFFF" w:val="clear"/>
              </w:rPr>
              <w:t xml:space="preserve">≥ </w:t>
            </w:r>
            <w:r>
              <w:rPr>
                <w:rFonts w:ascii="Roboto" w:hAnsi="Roboto"/>
                <w:color w:val="334059"/>
                <w:sz w:val="21"/>
                <w:szCs w:val="21"/>
                <w:shd w:fill="FFFFFF" w:val="clear"/>
              </w:rPr>
              <w:t>2.4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Гигагерц</w:t>
            </w:r>
          </w:p>
        </w:tc>
      </w:tr>
      <w:tr>
        <w:trPr>
          <w:trHeight w:val="15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Максимальный общий поддерживаемый объем оперативной памяти сервера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32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Гигабайт</w:t>
            </w:r>
          </w:p>
        </w:tc>
      </w:tr>
      <w:tr>
        <w:trPr>
          <w:trHeight w:val="204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Объем кэш-памяти третьего уровня (L3) каждого установленного процессора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30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Мегабайт</w:t>
            </w:r>
          </w:p>
        </w:tc>
      </w:tr>
      <w:tr>
        <w:trPr>
          <w:trHeight w:val="78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Скорость передачи данных каждого установленного модуля оперативной памяти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 xml:space="preserve">4500 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МТ/с</w:t>
            </w:r>
          </w:p>
        </w:tc>
      </w:tr>
      <w:tr>
        <w:trPr>
          <w:trHeight w:val="286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Система удаленного управления сервером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96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Возможность установки плат стандарта PCIe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5</w:t>
            </w:r>
            <w:r>
              <w:rPr>
                <w:lang w:eastAsia="ru-RU"/>
              </w:rPr>
              <w:t>.0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226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Объем каждого установленного модуля оперативной памяти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Гигабайт</w:t>
            </w:r>
          </w:p>
        </w:tc>
      </w:tr>
      <w:tr>
        <w:trPr>
          <w:trHeight w:val="49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Тип оперативной памяти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DDR5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46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Количество ядер каждого установленного процессора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≥</w:t>
            </w:r>
            <w:r>
              <w:rPr>
                <w:lang w:eastAsia="ru-RU"/>
              </w:rPr>
              <w:t>12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Штука</w:t>
            </w:r>
          </w:p>
        </w:tc>
      </w:tr>
      <w:tr>
        <w:trPr>
          <w:trHeight w:val="123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Количество потоков каждого установленного процессора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24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Штука</w:t>
            </w:r>
          </w:p>
        </w:tc>
      </w:tr>
      <w:tr>
        <w:trPr>
          <w:trHeight w:val="126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Базовая частота каждого установленного процессора (без учета технологии динамического изменения частоты)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2,4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Гигагерц</w:t>
            </w:r>
          </w:p>
        </w:tc>
      </w:tr>
      <w:tr>
        <w:trPr>
          <w:trHeight w:val="13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Интерфейс подключения накопителей информации к дисковому контроллеру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SATA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11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 xml:space="preserve">Поддерживаемые дисковым контроллером типы </w:t>
            </w:r>
          </w:p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RAID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0, 1, 5, 10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85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Количество LFF (3,5) слотов для накопителей на лицевой панели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24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Количество SFF (2,5) слотов для накопителей на лицевой панели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3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Количество установленных накопителей (тип 1)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Штука</w:t>
            </w:r>
          </w:p>
        </w:tc>
      </w:tr>
      <w:tr>
        <w:trPr>
          <w:trHeight w:val="28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Объем каждого установленного накопителя (тип 1)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480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Гигабайт</w:t>
            </w:r>
          </w:p>
        </w:tc>
      </w:tr>
      <w:tr>
        <w:trPr>
          <w:trHeight w:val="19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Тип установленных накопителей (тип 1)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SSD 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21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Интерфейс установленных накопителей (тип 1)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SATA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21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Количество установленных накопителей (тип 2)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Штука</w:t>
            </w:r>
          </w:p>
        </w:tc>
      </w:tr>
      <w:tr>
        <w:trPr>
          <w:trHeight w:val="240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Объем каждого установленного накопителя (тип 2)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4000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Гигабайт</w:t>
            </w:r>
          </w:p>
        </w:tc>
      </w:tr>
      <w:tr>
        <w:trPr>
          <w:trHeight w:val="231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Тип установленных накопителей (тип 2)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HDD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9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Интерфейс установленных накопителей (тип 2)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SATA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237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 xml:space="preserve">Наличие интегрированного видеоадаптера: 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68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Сервисные или вспомогательные разъемы и подключения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VGA; DisplayPort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—</w:t>
            </w:r>
          </w:p>
        </w:tc>
      </w:tr>
      <w:tr>
        <w:trPr>
          <w:trHeight w:val="135" w:hRule="atLeast"/>
        </w:trPr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Количество USB 3.x портов</w:t>
            </w:r>
          </w:p>
        </w:tc>
        <w:tc>
          <w:tcPr>
            <w:tcW w:w="3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≥ </w:t>
            </w:r>
            <w:r>
              <w:rPr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Штука</w:t>
            </w:r>
          </w:p>
        </w:tc>
      </w:tr>
    </w:tbl>
    <w:p>
      <w:pPr>
        <w:pStyle w:val="Normal"/>
        <w:rPr/>
      </w:pPr>
      <w:r>
        <w:rPr/>
      </w:r>
      <w:bookmarkStart w:id="20" w:name="_Hlk9323903"/>
      <w:bookmarkStart w:id="21" w:name="_Toc233786909"/>
      <w:bookmarkStart w:id="22" w:name="_Hlk9323903"/>
      <w:bookmarkStart w:id="23" w:name="_Toc233786909"/>
      <w:bookmarkEnd w:id="22"/>
      <w:bookmarkEnd w:id="23"/>
    </w:p>
    <w:p>
      <w:pPr>
        <w:pStyle w:val="6"/>
        <w:spacing w:lineRule="auto" w:line="240" w:before="0" w:after="0"/>
        <w:ind w:firstLine="720" w:start="0"/>
        <w:rPr>
          <w:b w:val="false"/>
          <w:bCs/>
        </w:rPr>
      </w:pPr>
      <w:r>
        <w:rPr>
          <w:b w:val="false"/>
          <w:bCs/>
        </w:rPr>
      </w:r>
    </w:p>
    <w:p>
      <w:pPr>
        <w:pStyle w:val="Normal"/>
        <w:rPr>
          <w:b/>
          <w:bCs/>
        </w:rPr>
      </w:pPr>
      <w:bookmarkStart w:id="24" w:name="_Toc233786917"/>
      <w:r>
        <w:rPr>
          <w:b/>
          <w:bCs/>
        </w:rPr>
        <w:t>5. Требования к функциональным, техническим характеристикам ПО</w:t>
      </w:r>
      <w:bookmarkEnd w:id="24"/>
      <w:r>
        <w:rPr>
          <w:b/>
          <w:bCs/>
        </w:rPr>
        <w:t xml:space="preserve"> «Модуль раскрытия ГРЗ»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Дополнительные характеристики</w:t>
      </w:r>
    </w:p>
    <w:tbl>
      <w:tblPr>
        <w:tblW w:w="1017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60"/>
        <w:gridCol w:w="4510"/>
        <w:gridCol w:w="5103"/>
      </w:tblGrid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Normal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Значение параметра или наличие функции (функционала)</w:t>
            </w:r>
          </w:p>
        </w:tc>
      </w:tr>
      <w:tr>
        <w:trPr>
          <w:trHeight w:val="5377" w:hRule="atLeast"/>
        </w:trPr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Назначение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автоматизация процесса поиска и анализа информации о ГРЗ крупногабаритных и/или тяжеловесных ТС, осуществляющих движение со скрытыми или плохо читаемым государственными регистрационными знаками в зоне фиксации АПВГК, расположенных на дорогах регионального значения Псковской области; автоматическое формирование доказательной базы, необходимой для подтверждения факта совершения административного правонарушения и привлечения собственников (владельцев) крупногабаритных и/или тяжеловесных ТС, двигающихся в зоне осуществления автоматического весогабаритного контроля со скрытым или плохо читаемым государственными регистрационными знаками, к ответственности, предусмотренной положениями статьи 12.21.1 КоАП РФ.</w:t>
            </w:r>
          </w:p>
        </w:tc>
      </w:tr>
      <w:tr>
        <w:trPr>
          <w:trHeight w:val="1295" w:hRule="atLeast"/>
        </w:trPr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состав ПО «Модуль раскрытия ГРЗ»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Подсистема взаимодействия с внешними ИС; Подсистема «Раскрытие ГРЗ»; Подсистема «Карта»; Подсистема «Контроль качества»; Подсистема «Администрирование».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Штатный режим работы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 часа 365 дней в году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Доступность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95%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Количество одновременно работающих пользователей (сотрудников)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Не менее 5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возможность двустороннего взаимодействия с находящейся в эксплуатации Заказчика информационной системой весогабаритного контроля - «Ангел: Весогабаритный контроль» (Реестровая запись №4964 от 03.12.2018 в Едином реестре российских программ для электронных вычислительных машин и баз данных) в части приема информации о проездах крупногабаритных и/или тяжеловесных ТС со скрытыми ГРЗ зафиксированной АПВГК с целью дальнейшего поиска информации о ГРЗ ТС и формирования доказательственной базы, необходимой для привлечения собственника (владельца) к административной ответственности, предусмотренной  ст. 12.21.1 КоАП РФ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механизм идентификации и проверки подлинности пользователей при входе в ИС «Ангел: ВГК» с использованием идентификатора (логина) и пароля и осуществлять их доступ в соответствии с заданными Администратором ПО «Модуль раскрытия ГРЗ» ролями (правами доступа к функционалу ПО «Модуль раскрытия ГРЗ»)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Да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Подсистема взаимодействия с внешними ИС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прием от ИС «Ангел: ВГК» запросов на обработку, содержащих данные о проезде ТС, нуждающихся в раскрытии ГРЗ; периодическое информирование ИС «Ангел: ВГК» о статусе обработки материала (начальный и конечный), полученного от нее с целью раскрытия ГРЗ или по запросу из ИС «Ангел: ВГК»; двустороннее взаимодействие с ИС «Ангел: ВГК» в части получения и сохранения исторической информации о проездах грузовых ТС, необходимой для эффективной работы подсистемы «Раскрытие ГРЗ»; выгрузка в ИС «Ангел: ВГК» результатов работы подсистемы «Раскрытие ГРЗ», с сопутствующими данными (при наличии): фотоматериал, информация о ГРЗ, место и время фиксации проезда, направлении движения, сведениях о поверке и сертификации ПАК; </w:t>
            </w:r>
            <w:r>
              <w:rPr>
                <w:lang w:eastAsia="ru-RU"/>
              </w:rPr>
              <w:t>синхронизация ИС «Ангел: ВГК» с ПО «Модуль раскрытия ГРЗ» в части отдельных элементов справочников АПВГК, а также информации о местах их дислокации, координатах, поверке и сертификации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Подсистема «Раскрытие ГРЗ»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загрузка данных о проездах грузовых ТС, потенциально двигающихся в зоне фиксации АПВГК со скрытым или плохо читаемым ГРЗ, с поставляемых в рамках настоящего Технического задания ПАК; возможность осуществлять хранение информации о проездах ТС (необходимых для функционирования ПО «Модуль раскрытия ГРЗ»), включая фотоматериалы, и устанавливать сроки хранения данной информации; сопоставление снимка проезда ТС через АПВГК со скрытым ГРЗ с полученным массивом фотоматериала, полученного с попутных ПАК к данному АПВГК с целью поиска фотоизображения с открытым ГРЗ. В процессе поиска подсистема должна анализировать исключительно участки фотоснимков, на которых расположено само ТС, без учета фона (дорожного покрытия, горизонта, объектов придорожной инфраструктуры и т.п.); поиск в ИС «Ангел: ВГК» исторического материала (данных о проездах грузовых ТС) и его дальнейший анализ с целью обеспечения максимальной релевантности результата работы ПО «Модуль раскрытия ГРЗ»; сохранение результатов анализа каждого обработанного фотоизображения, с целью их дальнейшего оперативного использования в работе ПО «Модуль раскрытия ГРЗ»;  в процессе работы, подсистема должна оперировать не только визуальными признаками схожести ТС на фотоизображениях, но и также учитывать предполагаемый маршрут движения, среднюю предполагаемую скорость ТС и время прохождения расстояния между попутных ПАК и АПВГК.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Подсистема «Карта»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отображение на картографической подложке АПВГК и ПАК; анализ предполагаемого маршрута следования ТС, двигающегося с признаками нарушения действующего законодательства в части движения тяжеловесных и (или) крупногабаритных ТС в зоне проведения автоматического весогабаритного контроля со скрытым ГРЗ; визуальное отображение на картографической подложке предполагаемого маршрута следования тяжеловесного и/или крупногабаритного ТС, от АПВГК к попутному ПАК; доступ к ресурсу https://www.openstreetmap.org или аналогичному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Подсистема «Контроль качества»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визуальное сопоставление снимка ТС со скрытым ГРЗ и найденными максимально релевантными ему фактами фиксации ТС с попутных ПАК; ознакомление с сопутствующими распознающим и обзорным (при наличии) снимками ТС; ознакомление с сопутствующей текстовой и графической информацией: </w:t>
              <w:tab/>
              <w:t>дата, время и место фиксации; предполагаемое расстояние между попутными ПАК и АПВГК, предполагаемая средняя скорость, предполагаемый маршрут следования, результат распознавания ГРЗ, отдельный снимок ГРЗ;возможность зуммирования фотоизображения ТС;</w:t>
            </w:r>
          </w:p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возможность обработать результат работы ПО «Модуль раскрытия ГРЗ» с подтверждением корректности результата распознавания ГРЗ и установлением логической связи между проездами ТС через АПВГК и через ПАК; возможность обработать результат работы ПО «Модуль раскрытия ГРЗ» без подтверждения корректности результата распознавания ГРЗ (в случаях, когда ТС не было идентифицировано)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4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Подсистема «Администрирование»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>использование ролевой модели пользователей. Ролевая модель доступа к ПО «Модуль раскрытия ГРЗ» должна обеспечивать для различных пользователей различные права доступа к отдельным наборам данных и функций ПО «Модуль раскрытия ГРЗ» в соответствии с назначенной им ролью; регистрация (протоколирование) всех действий пользователей ПО «Модуль раскрытия ГРЗ» в журнале администрирования; работа с журналом администрирования, включая просмотр списка действий пользователей за текущую неделю, поиск и фильтрация списка действий пользователей; ведение справочников АПВГК и ПАК; настройки соответствия направлений фиксации попутных ПАК по отношению к АПВГК; настройки и администрирование протоколов и форматов сбора данных с ПАК</w:t>
            </w:r>
          </w:p>
        </w:tc>
      </w:tr>
    </w:tbl>
    <w:p>
      <w:pPr>
        <w:pStyle w:val="Normal"/>
        <w:ind w:firstLine="708"/>
        <w:jc w:val="both"/>
        <w:rPr/>
      </w:pPr>
      <w:r>
        <w:rPr/>
        <w:t>Доступ пользователей к функциональным сервисам компонентов ПО «Модуль раскрытия ГРЗ» должен осуществляться по технологии веб-интерфейса (пользовательский интерфейс на базе веб-страниц).</w:t>
      </w:r>
    </w:p>
    <w:p>
      <w:pPr>
        <w:pStyle w:val="Normal"/>
        <w:ind w:firstLine="709"/>
        <w:jc w:val="both"/>
        <w:rPr/>
      </w:pPr>
      <w:r>
        <w:rPr/>
        <w:t>Устанавливаемое ПО «Модуль раскрытия ГРЗ» должно соответствовать требованиям нормативной документации по ГОСТ Р 8.654-2015, ГОСТ Р 8.883-2015, в частности должно быть подтверждено, что: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метрологически значимая часть выделена отдельно, разделение ПО «Модуль раскрытия ГРЗ» реализовано на «высоком» уровне;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влияние на метрологически значимую часть ПО «Модуль раскрытия ГРЗ» отсутствует;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влияние человека на процедуру фиксации событий в ПО «Модуль раскрытия ГРЗ» отсутствует;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ПО работает в автоматическом режиме (за исключением этапа контроля результатов);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 xml:space="preserve">идентификационные признаки ПО «Модуль раскрытия ГРЗ» не зависят от способа идентификации и их достаточно для однозначной идентификации используемого программного обеспечения.   </w:t>
      </w:r>
    </w:p>
    <w:p>
      <w:pPr>
        <w:pStyle w:val="131"/>
        <w:spacing w:lineRule="auto" w:line="240"/>
        <w:rPr/>
      </w:pPr>
      <w:r>
        <w:rPr/>
      </w:r>
    </w:p>
    <w:p>
      <w:pPr>
        <w:pStyle w:val="Heading3"/>
        <w:spacing w:before="0" w:after="0"/>
        <w:ind w:firstLine="709"/>
        <w:rPr>
          <w:rFonts w:ascii="Times New Roman" w:hAnsi="Times New Roman"/>
          <w:b/>
          <w:bCs/>
          <w:color w:val="auto"/>
        </w:rPr>
      </w:pPr>
      <w:bookmarkStart w:id="25" w:name="_Toc233786927"/>
      <w:r>
        <w:rPr>
          <w:rFonts w:ascii="Times New Roman" w:hAnsi="Times New Roman"/>
          <w:b/>
          <w:bCs/>
          <w:color w:val="auto"/>
        </w:rPr>
        <w:t>Требования к информационной безопасности</w:t>
      </w:r>
      <w:bookmarkEnd w:id="25"/>
    </w:p>
    <w:p>
      <w:pPr>
        <w:pStyle w:val="131"/>
        <w:tabs>
          <w:tab w:val="clear" w:pos="708"/>
          <w:tab w:val="left" w:pos="993" w:leader="none"/>
        </w:tabs>
        <w:spacing w:lineRule="auto" w:line="240"/>
        <w:rPr/>
      </w:pPr>
      <w:r>
        <w:rPr/>
        <w:t>Обеспечение информационной безопасности должно обеспечивать возможность управления правами доступа пользователей к программным компонентам ПО «Модуль раскрытия ГРЗ». Предоставление прав доступа, определяемых для устанавливаемого подключения, должно быть организовано на основе трёх автономно работающих компонентов:</w:t>
      </w:r>
    </w:p>
    <w:p>
      <w:pPr>
        <w:pStyle w:val="131"/>
        <w:numPr>
          <w:ilvl w:val="0"/>
          <w:numId w:val="4"/>
        </w:numPr>
        <w:tabs>
          <w:tab w:val="clear" w:pos="708"/>
          <w:tab w:val="left" w:pos="993" w:leader="none"/>
          <w:tab w:val="left" w:pos="1418" w:leader="none"/>
        </w:tabs>
        <w:spacing w:lineRule="auto" w:line="240"/>
        <w:ind w:firstLine="709" w:start="0"/>
        <w:rPr/>
      </w:pPr>
      <w:r>
        <w:rPr/>
        <w:t>на уровне системы хранения данных;</w:t>
      </w:r>
    </w:p>
    <w:p>
      <w:pPr>
        <w:pStyle w:val="131"/>
        <w:numPr>
          <w:ilvl w:val="0"/>
          <w:numId w:val="4"/>
        </w:numPr>
        <w:tabs>
          <w:tab w:val="clear" w:pos="708"/>
          <w:tab w:val="left" w:pos="993" w:leader="none"/>
          <w:tab w:val="left" w:pos="1418" w:leader="none"/>
        </w:tabs>
        <w:spacing w:lineRule="auto" w:line="240"/>
        <w:ind w:firstLine="709" w:start="0"/>
        <w:rPr/>
      </w:pPr>
      <w:r>
        <w:rPr/>
        <w:t>на уровне системы управления логикой работы пользовательского приложения;</w:t>
      </w:r>
    </w:p>
    <w:p>
      <w:pPr>
        <w:pStyle w:val="131"/>
        <w:numPr>
          <w:ilvl w:val="0"/>
          <w:numId w:val="4"/>
        </w:numPr>
        <w:tabs>
          <w:tab w:val="clear" w:pos="708"/>
          <w:tab w:val="left" w:pos="993" w:leader="none"/>
          <w:tab w:val="left" w:pos="1418" w:leader="none"/>
        </w:tabs>
        <w:spacing w:lineRule="auto" w:line="240"/>
        <w:ind w:firstLine="709" w:start="0"/>
        <w:rPr/>
      </w:pPr>
      <w:r>
        <w:rPr/>
        <w:t>на уровне управления, контроля и маршрутизации передаваемых данных.</w:t>
      </w:r>
    </w:p>
    <w:p>
      <w:pPr>
        <w:pStyle w:val="131"/>
        <w:tabs>
          <w:tab w:val="clear" w:pos="708"/>
          <w:tab w:val="left" w:pos="993" w:leader="none"/>
        </w:tabs>
        <w:spacing w:lineRule="auto" w:line="240"/>
        <w:rPr/>
      </w:pPr>
      <w:r>
        <w:rPr/>
        <w:t>ПО «Модуль раскрытия ГРЗ» должно:</w:t>
      </w:r>
    </w:p>
    <w:p>
      <w:pPr>
        <w:pStyle w:val="131"/>
        <w:numPr>
          <w:ilvl w:val="0"/>
          <w:numId w:val="5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идентифицировать и проверять подлинность пользователей при входе в компоненты ПО «Модуль раскрытия ГРЗ» по идентификатору (логину) и паролю и осуществлять их доступ в соответствии с предоставленными ролями;</w:t>
      </w:r>
    </w:p>
    <w:p>
      <w:pPr>
        <w:pStyle w:val="131"/>
        <w:numPr>
          <w:ilvl w:val="0"/>
          <w:numId w:val="5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вести регистрацию пользователей, их идентификацию и аутентификацию на пользователей и администраторов ПО «Модуль раскрытия ГРЗ»;</w:t>
      </w:r>
    </w:p>
    <w:p>
      <w:pPr>
        <w:pStyle w:val="131"/>
        <w:tabs>
          <w:tab w:val="clear" w:pos="708"/>
          <w:tab w:val="left" w:pos="993" w:leader="none"/>
        </w:tabs>
        <w:spacing w:lineRule="auto" w:line="240"/>
        <w:rPr/>
      </w:pPr>
      <w:r>
        <w:rPr/>
        <w:t xml:space="preserve">Требования по обеспечению защиты конфиденциальной информации (в том числе персональных данных): </w:t>
      </w:r>
    </w:p>
    <w:p>
      <w:pPr>
        <w:pStyle w:val="131"/>
        <w:numPr>
          <w:ilvl w:val="0"/>
          <w:numId w:val="4"/>
        </w:numPr>
        <w:tabs>
          <w:tab w:val="clear" w:pos="708"/>
          <w:tab w:val="left" w:pos="993" w:leader="none"/>
          <w:tab w:val="left" w:pos="1418" w:leader="none"/>
        </w:tabs>
        <w:spacing w:lineRule="auto" w:line="240"/>
        <w:ind w:firstLine="709" w:start="0"/>
        <w:rPr/>
      </w:pPr>
      <w:bookmarkStart w:id="26" w:name="_Hlk236301726"/>
      <w:r>
        <w:rPr/>
        <w:t xml:space="preserve">ПО «Модуль раскрытия ГРЗ» </w:t>
      </w:r>
      <w:bookmarkEnd w:id="26"/>
      <w:r>
        <w:rPr/>
        <w:t>должно обеспечивать защиту информации ограниченного доступа, не содержащей сведения, составляющие государственную тайну (включая информацию, являющуюся коммерческой тайной), в соответствии с требованиями законодательства Российской Федерации;</w:t>
      </w:r>
    </w:p>
    <w:p>
      <w:pPr>
        <w:pStyle w:val="131"/>
        <w:numPr>
          <w:ilvl w:val="0"/>
          <w:numId w:val="4"/>
        </w:numPr>
        <w:tabs>
          <w:tab w:val="clear" w:pos="708"/>
          <w:tab w:val="left" w:pos="993" w:leader="none"/>
          <w:tab w:val="left" w:pos="1418" w:leader="none"/>
        </w:tabs>
        <w:spacing w:lineRule="auto" w:line="240"/>
        <w:ind w:firstLine="709" w:start="0"/>
        <w:rPr/>
      </w:pPr>
      <w:r>
        <w:rPr/>
        <w:t>в составе ПО «Модуль раскрытия ГРЗ» должно использоваться СЗИ, имеющее действующий сертификат ФСТЭК России по защите от НСД не ниже 5 класса и по уровню контроля отсутствия не декларированных возможностей (НДВ) не ниже 4 уровня. Обеспечение информационной безопасности предполагает наличие возможности управления правами доступа пользователей к программным компонентам ПО.</w:t>
      </w:r>
    </w:p>
    <w:p>
      <w:pPr>
        <w:pStyle w:val="131"/>
        <w:tabs>
          <w:tab w:val="clear" w:pos="708"/>
          <w:tab w:val="left" w:pos="1418" w:leader="none"/>
        </w:tabs>
        <w:spacing w:lineRule="auto" w:line="240"/>
        <w:ind w:hang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3"/>
        <w:spacing w:before="0" w:after="0"/>
        <w:ind w:firstLine="709"/>
        <w:jc w:val="both"/>
        <w:rPr>
          <w:rFonts w:ascii="Times New Roman" w:hAnsi="Times New Roman"/>
          <w:b/>
          <w:bCs/>
          <w:color w:val="auto"/>
        </w:rPr>
      </w:pPr>
      <w:bookmarkStart w:id="27" w:name="_Hlk190770019"/>
      <w:bookmarkStart w:id="28" w:name="_Toc233786928"/>
      <w:r>
        <w:rPr>
          <w:rFonts w:ascii="Times New Roman" w:hAnsi="Times New Roman"/>
          <w:b/>
          <w:bCs/>
          <w:color w:val="auto"/>
        </w:rPr>
        <w:t xml:space="preserve">Требования к недопустимости внешнего воздействия на </w:t>
      </w:r>
      <w:bookmarkEnd w:id="28"/>
      <w:r>
        <w:rPr>
          <w:rFonts w:ascii="Times New Roman" w:hAnsi="Times New Roman"/>
          <w:b/>
          <w:bCs/>
          <w:color w:val="auto"/>
        </w:rPr>
        <w:t>ПО «Модуль раскрытия ГРЗ»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/>
      </w:pPr>
      <w:r>
        <w:rPr/>
        <w:t>В соответствии с п. 2.3. настоящего Технического задания работа ПО «Модуль раскрытия ГРЗ» должна быть реализована с: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уровнем защиты, соответствующим уровню «высокий» согласно п. 6.6.5 ГОСТ Р 8.883-2015;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 xml:space="preserve">соблюдением принципа недопустимости влияния пользователя на результат идентификации ГРЗ ТС. В результате соблюдения данного принципа пользователю должен предоставляться доступ только к конечному результату идентификации ГРЗ для его оценки.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/>
      </w:pPr>
      <w:bookmarkStart w:id="29" w:name="_Hlk190770019"/>
      <w:r>
        <w:rPr/>
        <w:t xml:space="preserve">Уровень защиты и соблюдение принципа недопустимости влияния на результаты идентификации ГРЗ ТС должны быть подтверждены сертификатом соответствия. </w:t>
      </w:r>
      <w:bookmarkEnd w:id="29"/>
    </w:p>
    <w:p>
      <w:pPr>
        <w:pStyle w:val="131"/>
        <w:tabs>
          <w:tab w:val="clear" w:pos="708"/>
          <w:tab w:val="left" w:pos="1418" w:leader="none"/>
        </w:tabs>
        <w:spacing w:lineRule="auto" w:line="240"/>
        <w:ind w:hanging="0"/>
        <w:rPr/>
      </w:pPr>
      <w:r>
        <w:rPr/>
      </w:r>
    </w:p>
    <w:p>
      <w:pPr>
        <w:pStyle w:val="Heading3"/>
        <w:spacing w:before="0" w:after="0"/>
        <w:ind w:firstLine="709"/>
        <w:rPr>
          <w:rFonts w:ascii="Times New Roman" w:hAnsi="Times New Roman"/>
          <w:b/>
          <w:bCs/>
          <w:color w:val="auto"/>
        </w:rPr>
      </w:pPr>
      <w:bookmarkStart w:id="30" w:name="_Toc233786929"/>
      <w:r>
        <w:rPr>
          <w:rFonts w:ascii="Times New Roman" w:hAnsi="Times New Roman"/>
          <w:b/>
          <w:bCs/>
          <w:color w:val="auto"/>
        </w:rPr>
        <w:t>Требования к патентной чистоте</w:t>
      </w:r>
      <w:bookmarkEnd w:id="30"/>
      <w:r>
        <w:rPr>
          <w:rFonts w:ascii="Times New Roman" w:hAnsi="Times New Roman"/>
          <w:b/>
          <w:bCs/>
          <w:color w:val="auto"/>
        </w:rPr>
        <w:t xml:space="preserve"> </w:t>
      </w:r>
    </w:p>
    <w:p>
      <w:pPr>
        <w:pStyle w:val="131"/>
        <w:tabs>
          <w:tab w:val="clear" w:pos="708"/>
          <w:tab w:val="left" w:pos="1418" w:leader="none"/>
        </w:tabs>
        <w:spacing w:lineRule="auto" w:line="240"/>
        <w:rPr/>
      </w:pPr>
      <w:r>
        <w:rPr/>
        <w:t>Установка ПО в целом, как и установка отдельных частей и модулей ПО «Модуль раскрытия ГРЗ», не должна предъявлять дополнительных требований к Заказчику о покупке лицензий на программное обеспечение сторонних производителей, за исключением:</w:t>
      </w:r>
    </w:p>
    <w:p>
      <w:pPr>
        <w:pStyle w:val="131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серверной операционной системы;</w:t>
      </w:r>
    </w:p>
    <w:p>
      <w:pPr>
        <w:pStyle w:val="131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операционных систем АРМ;</w:t>
      </w:r>
    </w:p>
    <w:p>
      <w:pPr>
        <w:pStyle w:val="131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программного обеспечения для безопасной передачи данных в защищённой сети (</w:t>
      </w:r>
      <w:r>
        <w:rPr>
          <w:lang w:val="en-US"/>
        </w:rPr>
        <w:t>VipNet</w:t>
      </w:r>
      <w:r>
        <w:rPr/>
        <w:t xml:space="preserve"> или аналоги);</w:t>
      </w:r>
    </w:p>
    <w:p>
      <w:pPr>
        <w:pStyle w:val="131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специального программного обеспечения, предназначенного для формирования электронных цифровых подписей;</w:t>
      </w:r>
    </w:p>
    <w:p>
      <w:pPr>
        <w:pStyle w:val="131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40"/>
        <w:ind w:firstLine="709" w:start="0"/>
        <w:rPr/>
      </w:pPr>
      <w:r>
        <w:rPr/>
        <w:t>систем управления реляционными базами данных.</w:t>
      </w:r>
    </w:p>
    <w:p>
      <w:pPr>
        <w:pStyle w:val="131"/>
        <w:tabs>
          <w:tab w:val="clear" w:pos="708"/>
          <w:tab w:val="left" w:pos="1418" w:leader="none"/>
        </w:tabs>
        <w:spacing w:lineRule="auto" w:line="240"/>
        <w:ind w:hanging="0"/>
        <w:rPr/>
      </w:pPr>
      <w:r>
        <w:rPr/>
      </w:r>
    </w:p>
    <w:p>
      <w:pPr>
        <w:pStyle w:val="Heading3"/>
        <w:spacing w:before="0" w:after="0"/>
        <w:ind w:firstLine="709"/>
        <w:rPr>
          <w:rFonts w:ascii="Times New Roman" w:hAnsi="Times New Roman"/>
          <w:b/>
          <w:bCs/>
          <w:color w:val="auto"/>
        </w:rPr>
      </w:pPr>
      <w:bookmarkStart w:id="31" w:name="_Toc233786930"/>
      <w:r>
        <w:rPr>
          <w:rFonts w:ascii="Times New Roman" w:hAnsi="Times New Roman"/>
          <w:b/>
          <w:bCs/>
          <w:color w:val="auto"/>
        </w:rPr>
        <w:t>Требования по стандартизации и унификации</w:t>
      </w:r>
      <w:bookmarkEnd w:id="31"/>
    </w:p>
    <w:p>
      <w:pPr>
        <w:pStyle w:val="131"/>
        <w:spacing w:lineRule="auto" w:line="240"/>
        <w:rPr/>
      </w:pPr>
      <w:r>
        <w:rPr/>
        <w:t xml:space="preserve">ПО «Модуль раскрытия ГРЗ» должно иметь унифицированный пользовательский интерфейс. Средства автоматизации </w:t>
      </w:r>
      <w:bookmarkStart w:id="32" w:name="_Hlk236302276"/>
      <w:r>
        <w:rPr/>
        <w:t xml:space="preserve">ПО «Модуль раскрытия ГРЗ» </w:t>
      </w:r>
      <w:bookmarkEnd w:id="32"/>
      <w:r>
        <w:rPr/>
        <w:t>должны создаваться на основе максимально возможной унификации используемых аппаратно-программных средств, модульности построения и наращиваемости структуры.</w:t>
      </w:r>
    </w:p>
    <w:p>
      <w:pPr>
        <w:pStyle w:val="131"/>
        <w:tabs>
          <w:tab w:val="clear" w:pos="708"/>
          <w:tab w:val="left" w:pos="1418" w:leader="none"/>
        </w:tabs>
        <w:spacing w:lineRule="auto" w:line="240"/>
        <w:ind w:hanging="0"/>
        <w:rPr/>
      </w:pPr>
      <w:r>
        <w:rPr/>
      </w:r>
    </w:p>
    <w:p>
      <w:pPr>
        <w:pStyle w:val="Heading2"/>
        <w:spacing w:before="0" w:after="0"/>
        <w:ind w:firstLine="709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33" w:name="_Toc233786938"/>
      <w:r>
        <w:rPr>
          <w:rFonts w:ascii="Times New Roman" w:hAnsi="Times New Roman"/>
          <w:b/>
          <w:bCs/>
          <w:color w:val="auto"/>
          <w:sz w:val="24"/>
          <w:szCs w:val="24"/>
        </w:rPr>
        <w:t>Требования к технической документации</w:t>
      </w:r>
      <w:bookmarkEnd w:id="33"/>
    </w:p>
    <w:p>
      <w:pPr>
        <w:pStyle w:val="Normal"/>
        <w:ind w:firstLine="709"/>
        <w:jc w:val="both"/>
        <w:rPr/>
      </w:pPr>
      <w:r>
        <w:rPr/>
        <w:t>Поставщик предоставляет Заказчику: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дистрибутивный (установочный) комплект ПО «Модуль раскрытия ГРЗ» на CD или DVD диске;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руководство пользователя в бумажном и электронном виде;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руководство администратора в бумажном и электронном виде;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формуляр на ПО «Модуль раскрытия ГРЗ» в бумажном виде;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лицензия на право использования экземпляра ПО «Модуль раскрытия ГРЗ» в бумажном виде;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709" w:start="0"/>
        <w:contextualSpacing/>
        <w:jc w:val="both"/>
        <w:rPr/>
      </w:pPr>
      <w:r>
        <w:rPr/>
        <w:t>утвержденную программу и методику испытаний ПО «Модуль раскрытия ГРЗ».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Техническая документация на ПО «Модуль раскрытия ГРЗ» должна быть выполнена на русском языке. Документация на ПО «Модуль раскрытия ГРЗ» в электронном виде должна быть предоставлена Заказчику в формате: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567" w:start="142"/>
        <w:contextualSpacing/>
        <w:jc w:val="both"/>
        <w:rPr/>
      </w:pPr>
      <w:r>
        <w:rPr/>
        <w:t>текстовые документы – в редактируемом текстовом формате;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993" w:leader="none"/>
        </w:tabs>
        <w:suppressAutoHyphens w:val="false"/>
        <w:spacing w:before="0" w:after="0"/>
        <w:ind w:firstLine="567" w:start="142"/>
        <w:contextualSpacing/>
        <w:jc w:val="both"/>
        <w:rPr/>
      </w:pPr>
      <w:r>
        <w:rPr/>
        <w:t>схемы, рисунки и другие графические материалы – в редактируемом графическом формате.</w:t>
      </w:r>
    </w:p>
    <w:p>
      <w:pPr>
        <w:pStyle w:val="Normal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bookmarkStart w:id="34" w:name="_Toc79076981"/>
      <w:bookmarkStart w:id="35" w:name="_Toc79076981"/>
      <w:bookmarkEnd w:id="35"/>
    </w:p>
    <w:p>
      <w:pPr>
        <w:pStyle w:val="131"/>
        <w:spacing w:lineRule="auto" w:line="240"/>
        <w:rPr/>
      </w:pPr>
      <w:r>
        <w:rPr/>
        <w:t>Комплект технической документации должен содержать сведения, достаточные для эксплуатации, развития программного обеспечения и технических средств ПО «Модуль раскрытия ГРЗ» в соответствии с требованиями нормативных правовых актов Российской Федерации.</w:t>
      </w:r>
    </w:p>
    <w:p>
      <w:pPr>
        <w:pStyle w:val="131"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31"/>
        <w:spacing w:lineRule="auto" w:line="240"/>
        <w:rPr>
          <w:b/>
        </w:rPr>
      </w:pPr>
      <w:r>
        <w:rPr>
          <w:b/>
        </w:rPr>
        <w:t>Руководство пользователя и администратора</w:t>
      </w:r>
    </w:p>
    <w:p>
      <w:pPr>
        <w:pStyle w:val="131"/>
        <w:spacing w:lineRule="auto" w:line="240"/>
        <w:rPr/>
      </w:pPr>
      <w:r>
        <w:rPr/>
        <w:t>Руководство пользователя и администратора должно содержать описание выполнения операций (действий) персонала в технологическом процессе пользователя ПО «Модуль раскрытия ГРЗ», т.е. описание должно строиться на основе технологических задач персонала с использованием возможностей ПО «Модуль раскрытия ГРЗ» и не должно сводиться к простому описанию (перечислению) функций ПО «Модуль раскрытия ГРЗ». При этом в указанных документах должна быть отражена работа всех функций подсистем, указанным в настоящем Техническом задании.</w:t>
      </w:r>
    </w:p>
    <w:p>
      <w:pPr>
        <w:pStyle w:val="131"/>
        <w:spacing w:lineRule="auto" w:line="24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ind w:firstLine="709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36" w:name="_Toc233786939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Проведение испытаний </w:t>
      </w:r>
      <w:bookmarkEnd w:id="36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ПО «Модуль раскрытия ГРЗ» </w:t>
      </w:r>
    </w:p>
    <w:p>
      <w:pPr>
        <w:pStyle w:val="131"/>
        <w:spacing w:lineRule="auto" w:line="240"/>
        <w:rPr/>
      </w:pPr>
      <w:r>
        <w:rPr/>
        <w:t xml:space="preserve">  </w:t>
      </w:r>
      <w:r>
        <w:rPr/>
        <w:t xml:space="preserve">Подтверждение соответствия ПО «Модуль раскрытия ГРЗ» требованиям, установленным в настоящем Техническом задании, выполняется при проведении испытаний ПО «Модуль раскрытия ГРЗ». Испытания проводятся на основании разрабатываемой Поставщиков и утверждаемой Заказчиком программы и методики испытаний (ПМИ) в присутствии Комиссии, формируемой из представителей Заказчика и Поставщика. Результатом проводимых испытаний является решение Комиссии о соответствии/несоответствии ПО «Модуль раскрытия ГРЗ» установленным требованиям, которое оформляется протоколом и актом. </w:t>
      </w:r>
    </w:p>
    <w:p>
      <w:pPr>
        <w:pStyle w:val="131"/>
        <w:spacing w:lineRule="auto" w:line="240"/>
        <w:rPr/>
      </w:pPr>
      <w:r>
        <w:rPr/>
      </w:r>
    </w:p>
    <w:p>
      <w:pPr>
        <w:pStyle w:val="Heading2"/>
        <w:spacing w:before="0" w:after="0"/>
        <w:ind w:firstLine="709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37" w:name="_Toc233786940"/>
      <w:r>
        <w:rPr>
          <w:rFonts w:ascii="Times New Roman" w:hAnsi="Times New Roman"/>
          <w:b/>
          <w:bCs/>
          <w:color w:val="auto"/>
          <w:sz w:val="24"/>
          <w:szCs w:val="24"/>
        </w:rPr>
        <w:t>Требования к организационному обеспечению</w:t>
      </w:r>
      <w:bookmarkEnd w:id="37"/>
    </w:p>
    <w:p>
      <w:pPr>
        <w:pStyle w:val="131"/>
        <w:spacing w:lineRule="auto" w:line="240"/>
        <w:rPr>
          <w:lang w:eastAsia="en-US" w:bidi="en-US"/>
        </w:rPr>
      </w:pPr>
      <w:r>
        <w:rPr>
          <w:lang w:eastAsia="en-US" w:bidi="en-US"/>
        </w:rPr>
        <w:t xml:space="preserve">По завершению установки </w:t>
      </w:r>
      <w:bookmarkStart w:id="38" w:name="_Hlk238644191"/>
      <w:r>
        <w:rPr/>
        <w:t>ПО «Модуль раскрытия ГРЗ»</w:t>
      </w:r>
      <w:bookmarkEnd w:id="38"/>
      <w:r>
        <w:rPr>
          <w:lang w:eastAsia="en-US" w:bidi="en-US"/>
        </w:rPr>
        <w:t xml:space="preserve"> должно быть проведено обучение (инструктаж) пользователей по использованию функциональных возможностей </w:t>
      </w:r>
      <w:r>
        <w:rPr/>
        <w:t>ПО «Модуль раскрытия ГРЗ»</w:t>
      </w:r>
      <w:r>
        <w:rPr>
          <w:lang w:eastAsia="en-US" w:bidi="en-US"/>
        </w:rPr>
        <w:t xml:space="preserve">, а также должно быть предусмотрено обучение обслуживающего персонала – администраторов </w:t>
      </w:r>
      <w:r>
        <w:rPr/>
        <w:t>ПО «Модуль раскрытия ГРЗ»</w:t>
      </w:r>
      <w:r>
        <w:rPr>
          <w:lang w:eastAsia="en-US" w:bidi="en-US"/>
        </w:rPr>
        <w:t>. Допускается проведение обучения пользователей посредством видео-конференц-связи.</w:t>
      </w:r>
    </w:p>
    <w:p>
      <w:pPr>
        <w:pStyle w:val="131"/>
        <w:spacing w:lineRule="auto" w:line="240"/>
        <w:rPr>
          <w:lang w:eastAsia="en-US" w:bidi="en-US"/>
        </w:rPr>
      </w:pPr>
      <w:r>
        <w:rPr>
          <w:lang w:eastAsia="en-US" w:bidi="en-US"/>
        </w:rPr>
        <w:t xml:space="preserve">При интеграции </w:t>
      </w:r>
      <w:bookmarkStart w:id="39" w:name="_Hlk236302029"/>
      <w:r>
        <w:rPr/>
        <w:t>ПО «Модуль раскрытия ГРЗ»</w:t>
      </w:r>
      <w:r>
        <w:rPr>
          <w:lang w:eastAsia="en-US" w:bidi="en-US"/>
        </w:rPr>
        <w:t xml:space="preserve"> </w:t>
      </w:r>
      <w:bookmarkEnd w:id="39"/>
      <w:r>
        <w:rPr>
          <w:lang w:eastAsia="en-US" w:bidi="en-US"/>
        </w:rPr>
        <w:t>с внешними информационными системами Заказчик должен обеспечить выполнение всех организационных мероприятий, необходимых для обеспечения функционирующего канала связи с такими системами.</w:t>
      </w:r>
    </w:p>
    <w:p>
      <w:pPr>
        <w:pStyle w:val="131"/>
        <w:spacing w:lineRule="auto" w:line="240"/>
        <w:rPr/>
      </w:pPr>
      <w:r>
        <w:rPr>
          <w:lang w:eastAsia="en-US" w:bidi="en-US"/>
        </w:rPr>
        <w:t xml:space="preserve">Поставщик осуществляет </w:t>
      </w:r>
      <w:r>
        <w:rPr/>
        <w:t>установку и настройку ПО «Модуль раскрытия ГРЗ», обеспечивает двухстороннее взаимодействие с эксплуатируемым Заказчиком ИС «Ангел: ВГК».</w:t>
      </w:r>
    </w:p>
    <w:p>
      <w:pPr>
        <w:pStyle w:val="131"/>
        <w:spacing w:lineRule="auto" w:line="240"/>
        <w:rPr/>
      </w:pPr>
      <w:r>
        <w:rPr/>
        <w:t>Новые функциональные возможности должны быть отражены в руководствах пользователя и администратора ИС «Ангел: ВГК» и предоставлены Заказчику в бумажном и электронном виде по аналогии с технической документацией на ПО «Модуль раскрытия ГРЗ».</w:t>
      </w:r>
    </w:p>
    <w:p>
      <w:pPr>
        <w:pStyle w:val="131"/>
        <w:spacing w:lineRule="auto" w:line="240"/>
        <w:rPr>
          <w:lang w:eastAsia="en-US" w:bidi="en-US"/>
        </w:rPr>
      </w:pPr>
      <w:r>
        <w:rPr>
          <w:lang w:eastAsia="en-US" w:bidi="en-US"/>
        </w:rPr>
      </w:r>
    </w:p>
    <w:p>
      <w:pPr>
        <w:pStyle w:val="Normal"/>
        <w:widowControl w:val="false"/>
        <w:tabs>
          <w:tab w:val="clear" w:pos="708"/>
          <w:tab w:val="left" w:pos="851" w:leader="none"/>
        </w:tabs>
        <w:ind w:firstLine="709" w:end="23"/>
        <w:jc w:val="both"/>
        <w:rPr>
          <w:bCs/>
        </w:rPr>
      </w:pPr>
      <w:r>
        <w:rPr>
          <w:bCs/>
        </w:rPr>
        <w:t xml:space="preserve">Поставщик должен документально подтвердить наличие прав на модификацию и иное использование </w:t>
      </w:r>
      <w:r>
        <w:rPr/>
        <w:t>ИС «Ангел: ВГК»</w:t>
      </w:r>
      <w:r>
        <w:rPr>
          <w:bCs/>
        </w:rPr>
        <w:t>, выданных автором или иным правообладателем, что может быть подтверждено одним из перечисленных документов:</w:t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08"/>
          <w:tab w:val="left" w:pos="993" w:leader="none"/>
          <w:tab w:val="left" w:pos="1134" w:leader="none"/>
        </w:tabs>
        <w:suppressAutoHyphens w:val="false"/>
        <w:spacing w:before="0" w:after="0"/>
        <w:ind w:firstLine="709" w:start="0" w:end="23"/>
        <w:contextualSpacing/>
        <w:jc w:val="both"/>
        <w:rPr>
          <w:bCs/>
        </w:rPr>
      </w:pPr>
      <w:r>
        <w:rPr>
          <w:bCs/>
        </w:rPr>
        <w:t xml:space="preserve">документом, подтверждающим наличие у поставщика исключительных прав на </w:t>
      </w:r>
      <w:r>
        <w:rPr/>
        <w:t>ИС «Ангел: ВГК»</w:t>
      </w:r>
      <w:r>
        <w:rPr>
          <w:bCs/>
        </w:rPr>
        <w:t>;</w:t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08"/>
          <w:tab w:val="left" w:pos="993" w:leader="none"/>
          <w:tab w:val="left" w:pos="1134" w:leader="none"/>
        </w:tabs>
        <w:suppressAutoHyphens w:val="false"/>
        <w:spacing w:before="0" w:after="0"/>
        <w:ind w:firstLine="709" w:start="0" w:end="23"/>
        <w:contextualSpacing/>
        <w:jc w:val="both"/>
        <w:rPr>
          <w:bCs/>
          <w:sz w:val="28"/>
          <w:szCs w:val="28"/>
        </w:rPr>
      </w:pPr>
      <w:r>
        <w:rPr>
          <w:bCs/>
        </w:rPr>
        <w:t>лицензионный договор (лицензионное соглашение) с правообладателем, предоставляющий Поставщику полномочия, необходимые и достаточные для оказания услуг.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end"/>
        <w:rPr>
          <w:b/>
          <w:bCs/>
        </w:rPr>
      </w:pPr>
      <w:r>
        <w:rPr>
          <w:b/>
          <w:bCs/>
        </w:rPr>
        <w:t>Приложение №1</w:t>
      </w:r>
    </w:p>
    <w:p>
      <w:pPr>
        <w:pStyle w:val="Normal"/>
        <w:ind w:firstLine="709"/>
        <w:jc w:val="end"/>
        <w:rPr>
          <w:b/>
          <w:bCs/>
        </w:rPr>
      </w:pPr>
      <w:r>
        <w:rPr>
          <w:b/>
          <w:bCs/>
        </w:rPr>
        <w:t>к Техническому заданию</w:t>
      </w:r>
    </w:p>
    <w:p>
      <w:pPr>
        <w:pStyle w:val="Normal"/>
        <w:ind w:firstLine="709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709"/>
        <w:jc w:val="center"/>
        <w:rPr>
          <w:b/>
          <w:bCs/>
        </w:rPr>
      </w:pPr>
      <w:r>
        <w:rPr>
          <w:b/>
          <w:bCs/>
        </w:rPr>
        <w:t xml:space="preserve">Места размещения стационарных программно-аппаратных комплексов </w:t>
      </w:r>
    </w:p>
    <w:p>
      <w:pPr>
        <w:pStyle w:val="Normal"/>
        <w:ind w:firstLine="709"/>
        <w:jc w:val="center"/>
        <w:rPr>
          <w:b/>
          <w:bCs/>
        </w:rPr>
      </w:pPr>
      <w:r>
        <w:rPr>
          <w:b/>
          <w:bCs/>
        </w:rPr>
        <w:t>и серверного оборудования</w:t>
      </w:r>
    </w:p>
    <w:p>
      <w:pPr>
        <w:pStyle w:val="Normal"/>
        <w:ind w:firstLine="709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709"/>
        <w:jc w:val="both"/>
        <w:rPr/>
      </w:pPr>
      <w:r>
        <w:rPr/>
        <w:t>Места размещения стационарных программно-аппаратных комплексов (далее – ПАК) и серверного оборудования, установленные Заказчиком после обследования мест выполнения и выявления условий, препятствующих установке элементов ПАК:</w:t>
      </w:r>
    </w:p>
    <w:p>
      <w:pPr>
        <w:pStyle w:val="Normal"/>
        <w:ind w:firstLine="709"/>
        <w:jc w:val="both"/>
        <w:rPr/>
      </w:pPr>
      <w:r>
        <w:rPr/>
      </w:r>
    </w:p>
    <w:tbl>
      <w:tblPr>
        <w:tblW w:w="1034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noHBand="0" w:noVBand="1" w:firstColumn="0" w:lastRow="0" w:lastColumn="0" w:firstRow="0"/>
      </w:tblPr>
      <w:tblGrid>
        <w:gridCol w:w="703"/>
        <w:gridCol w:w="3123"/>
        <w:gridCol w:w="3403"/>
        <w:gridCol w:w="3119"/>
      </w:tblGrid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Наименование автомобильной дороги общего пользования регионального значения Псковской области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Координаты точки установки ПАК 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Направление движения</w:t>
            </w:r>
          </w:p>
        </w:tc>
      </w:tr>
      <w:tr>
        <w:trPr>
          <w:trHeight w:val="562" w:hRule="atLeast"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58А-379 Лудони – Павы – Боровичи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58.1616666667. 29.3811111111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Боровичи – Лудони</w:t>
            </w:r>
          </w:p>
        </w:tc>
      </w:tr>
      <w:tr>
        <w:trPr>
          <w:trHeight w:val="629" w:hRule="atLeast"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58А-379 Лудони – Павы – Боровичи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58.134229. 29.399322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Лудони – Боровичи</w:t>
            </w:r>
          </w:p>
        </w:tc>
      </w:tr>
      <w:tr>
        <w:trPr>
          <w:trHeight w:val="629" w:hRule="atLeast"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58К-032 Великие Луки – Усвяты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55.8525. 30.8688888889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Усвяты – Великие Луки </w:t>
            </w:r>
          </w:p>
        </w:tc>
      </w:tr>
      <w:tr>
        <w:trPr>
          <w:trHeight w:val="629" w:hRule="atLeast"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58К-032 Великие Луки – Усвяты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55.7708333333. 30.8061111111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Великие Луки - Усвяты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 w:val="false"/>
        <w:ind w:firstLine="709"/>
        <w:jc w:val="both"/>
        <w:rPr>
          <w:lang w:bidi="en-US"/>
        </w:rPr>
      </w:pPr>
      <w:r>
        <w:rPr>
          <w:b/>
          <w:bCs/>
          <w:lang w:bidi="en-US"/>
        </w:rPr>
        <w:t xml:space="preserve">Место поставки и установки серверного оборудования, </w:t>
      </w:r>
      <w:r>
        <w:rPr>
          <w:lang w:bidi="en-US"/>
        </w:rPr>
        <w:t>г. Псков, ул. Пароменская, 23.</w:t>
      </w:r>
    </w:p>
    <w:p>
      <w:pPr>
        <w:pStyle w:val="Normal"/>
        <w:widowControl w:val="false"/>
        <w:ind w:firstLine="709"/>
        <w:jc w:val="both"/>
        <w:rPr>
          <w:lang w:bidi="en-US"/>
        </w:rPr>
      </w:pPr>
      <w:r>
        <w:rPr>
          <w:lang w:bidi="en-US"/>
        </w:rPr>
      </w:r>
    </w:p>
    <w:p>
      <w:pPr>
        <w:pStyle w:val="Normal"/>
        <w:widowControl w:val="false"/>
        <w:ind w:firstLine="709"/>
        <w:jc w:val="both"/>
        <w:rPr>
          <w:lang w:bidi="en-US"/>
        </w:rPr>
      </w:pPr>
      <w:r>
        <w:rPr>
          <w:b/>
          <w:bCs/>
          <w:lang w:bidi="en-US"/>
        </w:rPr>
        <w:t xml:space="preserve">Поставка ПО «Модуль раскрытия ГРЗ» путем интеграции в ПО «Ангел: ВГК» выполняются по адресу: </w:t>
      </w:r>
      <w:r>
        <w:rPr>
          <w:lang w:bidi="en-US"/>
        </w:rPr>
        <w:t>г. Псков, ул. Пароменская, 23 в удаленном режиме средствами информационных технологий и телекоммуникаций.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Roboto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14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48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"/>
      <w:lvlJc w:val="start"/>
      <w:pPr>
        <w:tabs>
          <w:tab w:val="num" w:pos="0"/>
        </w:tabs>
        <w:ind w:star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45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2d72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paragraph" w:styleId="Heading1">
    <w:name w:val="heading 1"/>
    <w:basedOn w:val="Normal"/>
    <w:link w:val="1"/>
    <w:uiPriority w:val="9"/>
    <w:qFormat/>
    <w:rsid w:val="00332d72"/>
    <w:pPr>
      <w:suppressAutoHyphens w:val="false"/>
      <w:spacing w:beforeAutospacing="1" w:afterAutospacing="1"/>
      <w:outlineLvl w:val="0"/>
    </w:pPr>
    <w:rPr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332d72"/>
    <w:pPr>
      <w:keepNext w:val="true"/>
      <w:keepLines/>
      <w:spacing w:before="40" w:after="0"/>
      <w:outlineLvl w:val="1"/>
    </w:pPr>
    <w:rPr>
      <w:rFonts w:ascii="Cambria" w:hAnsi="Cambria"/>
      <w:color w:val="365F91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81fe8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332d7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" w:customStyle="1">
    <w:name w:val="Заголовок 2 Знак"/>
    <w:basedOn w:val="DefaultParagraphFont"/>
    <w:uiPriority w:val="9"/>
    <w:semiHidden/>
    <w:qFormat/>
    <w:rsid w:val="00332d72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  <w:lang w:eastAsia="ar-SA"/>
    </w:rPr>
  </w:style>
  <w:style w:type="character" w:styleId="Style11" w:customStyle="1">
    <w:name w:val="Основной текст Знак"/>
    <w:basedOn w:val="DefaultParagraphFont"/>
    <w:qFormat/>
    <w:rsid w:val="00332d72"/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character" w:styleId="21" w:customStyle="1">
    <w:name w:val="Заголовок 2 Знак1"/>
    <w:uiPriority w:val="9"/>
    <w:qFormat/>
    <w:rsid w:val="00332d72"/>
    <w:rPr>
      <w:rFonts w:ascii="Cambria" w:hAnsi="Cambria" w:eastAsia="Times New Roman" w:cs="Times New Roman"/>
      <w:color w:val="365F91"/>
      <w:sz w:val="26"/>
      <w:szCs w:val="26"/>
      <w:lang w:eastAsia="ru-RU"/>
    </w:rPr>
  </w:style>
  <w:style w:type="character" w:styleId="Style12" w:customStyle="1">
    <w:name w:val="Абзац списка Знак"/>
    <w:link w:val="ListParagraph"/>
    <w:qFormat/>
    <w:locked/>
    <w:rsid w:val="00332d72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3" w:customStyle="1">
    <w:name w:val="Заголовок 3 Знак"/>
    <w:basedOn w:val="DefaultParagraphFont"/>
    <w:uiPriority w:val="9"/>
    <w:semiHidden/>
    <w:qFormat/>
    <w:rsid w:val="00381fe8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13" w:customStyle="1">
    <w:name w:val="Стиль13 Знак"/>
    <w:link w:val="131"/>
    <w:qFormat/>
    <w:rsid w:val="00381fe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1"/>
    <w:rsid w:val="00332d72"/>
    <w:pPr>
      <w:spacing w:before="0" w:after="120"/>
    </w:pPr>
    <w:rPr>
      <w:lang w:val="x-none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2"/>
    <w:qFormat/>
    <w:rsid w:val="00332d72"/>
    <w:pPr>
      <w:ind w:start="720"/>
    </w:pPr>
    <w:rPr/>
  </w:style>
  <w:style w:type="paragraph" w:styleId="211" w:customStyle="1">
    <w:name w:val="Заголовок 21"/>
    <w:basedOn w:val="Normal"/>
    <w:qFormat/>
    <w:rsid w:val="00332d72"/>
    <w:pPr>
      <w:keepNext w:val="true"/>
      <w:keepLines/>
      <w:spacing w:before="200" w:after="0"/>
    </w:pPr>
    <w:rPr>
      <w:rFonts w:ascii="Cambria" w:hAnsi="Cambria" w:eastAsia="0"/>
      <w:b/>
      <w:color w:val="4F81BD"/>
      <w:sz w:val="26"/>
    </w:rPr>
  </w:style>
  <w:style w:type="paragraph" w:styleId="6" w:customStyle="1">
    <w:name w:val="Стиль6"/>
    <w:basedOn w:val="ListParagraph"/>
    <w:uiPriority w:val="99"/>
    <w:qFormat/>
    <w:rsid w:val="00332d72"/>
    <w:pPr>
      <w:widowControl w:val="false"/>
      <w:tabs>
        <w:tab w:val="clear" w:pos="708"/>
        <w:tab w:val="left" w:pos="567" w:leader="none"/>
      </w:tabs>
      <w:suppressAutoHyphens w:val="false"/>
      <w:spacing w:lineRule="auto" w:line="276" w:before="120" w:after="120"/>
      <w:ind w:hanging="360" w:start="644"/>
      <w:jc w:val="both"/>
    </w:pPr>
    <w:rPr>
      <w:b/>
      <w:lang w:eastAsia="ru-RU"/>
    </w:rPr>
  </w:style>
  <w:style w:type="paragraph" w:styleId="131" w:customStyle="1">
    <w:name w:val="Стиль13"/>
    <w:basedOn w:val="Normal"/>
    <w:link w:val="13"/>
    <w:qFormat/>
    <w:rsid w:val="00381fe8"/>
    <w:pPr>
      <w:widowControl w:val="false"/>
      <w:suppressAutoHyphens w:val="false"/>
      <w:spacing w:lineRule="auto" w:line="276"/>
      <w:ind w:firstLine="709"/>
      <w:jc w:val="both"/>
    </w:pPr>
    <w:rPr>
      <w:lang w:eastAsia="ru-RU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LibreOffice/25.8.7.3$Linux_X86_64 LibreOffice_project/30742500f2d3eb4366ac312fa33d3dcabdb3eba5</Application>
  <AppVersion>15.0000</AppVersion>
  <Pages>13</Pages>
  <Words>3232</Words>
  <Characters>22754</Characters>
  <CharactersWithSpaces>25605</CharactersWithSpaces>
  <Paragraphs>414</Paragraphs>
  <Company>ПАО "Ростелеком"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2026-10-13T15:36:00Z</dcterms:created>
  <dc:creator>Григорьева Светлана Вячеславовна</dc:creator>
  <dc:description/>
  <dc:language>ru-RU</dc:language>
  <cp:lastModifiedBy/>
  <dcterms:modified xsi:type="dcterms:W3CDTF">2026-10-14T15:16:45Z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