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28"/>
          <w:szCs w:val="28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Style w:val="Strong1"/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t xml:space="preserve">ОКПД 2: 26.30.50.152 </w:t>
      </w:r>
      <w:r>
        <w:rPr>
          <w:rStyle w:val="Strong1"/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em w:val="none"/>
          <w:lang w:val="ru-RU" w:eastAsia="ru-RU" w:bidi="ar-SA"/>
        </w:rPr>
        <w:t>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оставка средств обнаружения и ограничения доступа</w:t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>для нужд Кубанского филиала.</w:t>
      </w:r>
    </w:p>
    <w:p>
      <w:pPr>
        <w:pStyle w:val="Style17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 w:before="0" w:after="0"/>
        <w:ind w:firstLine="851" w:left="0" w:right="0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продукции.………………………………………………………………………………3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продукции…………………………………………………………………….4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3. Требования к документации по ценообразованию на этапе закупки...…………………………….8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0" w:left="720" w:right="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75446566"/>
      <w:bookmarkStart w:id="2" w:name="_Toc125473240"/>
      <w:bookmarkStart w:id="3" w:name="_Toc125476050"/>
      <w:bookmarkStart w:id="4" w:name="_Toc51339692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auto" w:line="240" w:before="120" w:after="60"/>
        <w:ind w:hanging="0" w:left="720" w:right="0"/>
        <w:jc w:val="center"/>
        <w:outlineLvl w:val="0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spacing w:lineRule="auto" w:line="264" w:before="0" w:after="0"/>
        <w:jc w:val="both"/>
        <w:rPr/>
      </w:pPr>
      <w:r>
        <w:rPr>
          <w:rStyle w:val="Strong1"/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 xml:space="preserve">ОКПД 2: 26.30.50.152 </w:t>
      </w:r>
      <w:r>
        <w:rPr>
          <w:rStyle w:val="Strong1"/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оставка средств обнаружения и ограничения доступа </w:t>
      </w:r>
      <w:r>
        <w:rPr>
          <w:rFonts w:cs="Times New Roman" w:ascii="Times New Roman" w:hAnsi="Times New Roman"/>
          <w:color w:val="000000"/>
          <w:sz w:val="24"/>
          <w:szCs w:val="24"/>
          <w:u w:val="none"/>
          <w:lang w:eastAsia="ru-RU"/>
        </w:rPr>
        <w:t>для нужд Кубанского филиала.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numPr>
          <w:ilvl w:val="1"/>
        </w:numPr>
        <w:tabs>
          <w:tab w:val="clear" w:pos="708"/>
          <w:tab w:val="left" w:pos="426" w:leader="none"/>
          <w:tab w:val="left" w:pos="993" w:leader="none"/>
        </w:tabs>
        <w:jc w:val="left"/>
        <w:rPr/>
      </w:pP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>Исполнение договора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 xml:space="preserve">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0" w:right="0"/>
        <w:jc w:val="center"/>
        <w:outlineLvl w:val="0"/>
        <w:rPr>
          <w:sz w:val="24"/>
          <w:szCs w:val="24"/>
        </w:rPr>
      </w:pPr>
      <w:bookmarkStart w:id="9" w:name="_Toc125476056"/>
      <w:bookmarkStart w:id="10" w:name="_Toc125473249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51339693"/>
      <w:bookmarkStart w:id="12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17" w:right="0"/>
        <w:jc w:val="center"/>
        <w:outlineLvl w:val="0"/>
        <w:rPr>
          <w:rFonts w:ascii="Times New Roman" w:hAnsi="Times New Roman" w:cs="Times New Roman"/>
          <w:b/>
          <w:iCs/>
          <w:lang w:eastAsia="x-none"/>
        </w:rPr>
      </w:pPr>
      <w:r>
        <w:rPr>
          <w:rFonts w:cs="Times New Roman" w:ascii="Times New Roman" w:hAnsi="Times New Roman"/>
          <w:b/>
          <w:iCs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auto" w:line="240" w:before="120" w:after="0"/>
        <w:ind w:hanging="567" w:left="567" w:right="0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1227" w:left="1227" w:right="0"/>
        <w:outlineLvl w:val="2"/>
        <w:rPr>
          <w:sz w:val="24"/>
          <w:szCs w:val="24"/>
        </w:rPr>
      </w:pPr>
      <w:bookmarkStart w:id="14" w:name="_Toc75446575"/>
      <w:bookmarkStart w:id="15" w:name="_Toc125476057"/>
      <w:bookmarkStart w:id="16" w:name="_Toc125473250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17" w:name="_Toc125473251"/>
      <w:bookmarkStart w:id="18" w:name="_Toc125476058"/>
      <w:bookmarkStart w:id="19" w:name="_Toc75446576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p>
      <w:pPr>
        <w:pStyle w:val="Normal"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12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6460"/>
        <w:gridCol w:w="1413"/>
        <w:gridCol w:w="1544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Электромеханическое запирающее устройство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РУБЕЖ-М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351" w:hRule="atLeast"/>
        </w:trPr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Электромеханическое запирающее устройство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БАЗАЛЬТ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>
        <w:trPr>
          <w:trHeight w:val="351" w:hRule="atLeast"/>
        </w:trPr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Привод планетарный “ПРЕПОНА” ПВР-02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 w:right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21" w:name="_Toc75446579"/>
      <w:bookmarkStart w:id="22" w:name="_Toc125476060"/>
      <w:bookmarkStart w:id="23" w:name="_Toc125473253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217" w:type="dxa"/>
        <w:jc w:val="left"/>
        <w:tblInd w:w="1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551"/>
        <w:gridCol w:w="2239"/>
        <w:gridCol w:w="3556"/>
      </w:tblGrid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64" w:before="0" w:after="0"/>
              <w:jc w:val="left"/>
              <w:rPr/>
            </w:pPr>
            <w:r>
              <w:rPr>
                <w:rStyle w:val="Strong1"/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ОКПД 2: 26.30.50.152 </w:t>
            </w:r>
            <w:r>
              <w:rPr>
                <w:rStyle w:val="Strong1"/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оставка средств обнаружения и ограничения доступа</w:t>
            </w:r>
          </w:p>
          <w:p>
            <w:pPr>
              <w:pStyle w:val="Normal"/>
              <w:widowControl w:val="false"/>
              <w:spacing w:lineRule="auto" w:line="264" w:before="0" w:after="0"/>
              <w:jc w:val="left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FFFFFF" w:val="clear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FFFFFF" w:val="clear"/>
                <w:lang w:eastAsia="ru-RU"/>
              </w:rPr>
              <w:t>для нужд Кубанского филиала.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40 календарных дней с даты подписания договора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6061_Копия_1_Копия_1_Копия_1_Ко"/>
      <w:bookmarkStart w:id="28" w:name="_Toc125473255_Копия_1_Копия_1_Копия_1_Ко"/>
      <w:bookmarkStart w:id="29" w:name="_Toc125473255_Копия_1_Копия_1_Копия_1_Ко"/>
      <w:bookmarkStart w:id="30" w:name="_Toc125473255_Копия_1_Копия_1_Копия_1_Ко"/>
      <w:bookmarkStart w:id="31" w:name="_Toc125476061_Копия_1_Копия_1_Копия_1_Ко"/>
      <w:bookmarkStart w:id="32" w:name="_Toc125476061_Копия_1_Копия_1_Копия_1_Ко"/>
      <w:bookmarkStart w:id="33" w:name="_Toc125473255_Копия_1_Копия_1_Копия_1_Ко"/>
      <w:bookmarkStart w:id="34" w:name="_Toc125476061_Копия_1_Копия_1_Копия_1_Ко"/>
      <w:bookmarkStart w:id="35" w:name="_Toc125476061_Копия_1"/>
      <w:bookmarkStart w:id="36" w:name="_Toc125473255_Копия_1_Копия_1_Копия_1"/>
      <w:bookmarkStart w:id="37" w:name="_Toc125473255_Копия_1_Копия_1_Копия_1_Ко"/>
      <w:bookmarkStart w:id="38" w:name="_Toc125476061_Копия_1_Копия_1_Копия_1"/>
      <w:bookmarkStart w:id="39" w:name="_Toc125473255_Копия_1_Копия_1_Копия_1_Ко"/>
      <w:bookmarkStart w:id="40" w:name="_Toc125476061_Копия_1_Копия_1_Копия_1_Ко"/>
      <w:bookmarkStart w:id="41" w:name="_Toc125473255_Копия_1_Копия_1"/>
      <w:bookmarkStart w:id="42" w:name="_Toc125476061_Копия_1_Копия_1_Копия_1_Ко"/>
      <w:bookmarkStart w:id="43" w:name="_Toc125473255_Копия_1_Копия_1_Копия_1_Ко"/>
      <w:bookmarkStart w:id="44" w:name="_Toc125476061_Копия_1_Копия_1_Копия_1_Ко"/>
      <w:bookmarkStart w:id="45" w:name="_Toc125476061_Копия_1_Копия_1_Копия_1_Ко"/>
      <w:bookmarkStart w:id="46" w:name="_Toc125473255_Копия_1_Копия_1_Копия_1_Ко"/>
      <w:bookmarkStart w:id="47" w:name="_Toc125476061_Копия_1_Копия_1_Копия_1_Ко"/>
      <w:bookmarkStart w:id="48" w:name="_Toc125476061_Копия_1_Копия_1_Копия_1_Ко"/>
      <w:bookmarkStart w:id="49" w:name="_Toc125473255_Копия_1_Копия_1_Копия_1_Ко"/>
      <w:bookmarkStart w:id="50" w:name="_Toc125476061_Копия_1_Копия_1_Копия_1_Ко"/>
      <w:bookmarkStart w:id="51" w:name="_Toc125473255_Копия_1_Копия_1_Копия_1_Ко"/>
      <w:bookmarkStart w:id="52" w:name="_Toc125476061_Копия_1_Копия_1_Копия_1_Ко"/>
      <w:bookmarkStart w:id="53" w:name="_Toc125473255_Копия_1_Копия_1_Копия_1_Ко"/>
      <w:bookmarkStart w:id="54" w:name="_Toc125473255_Копия_1"/>
      <w:bookmarkStart w:id="55" w:name="_Toc125473255_Копия_1_Копия_1_Копия_1_Ко"/>
      <w:bookmarkStart w:id="56" w:name="_Toc125476061_Копия_1_Копия_1"/>
      <w:bookmarkStart w:id="57" w:name="_Toc125476061_Копия_1_Копия_1_Копия_1_Ко"/>
      <w:bookmarkStart w:id="58" w:name="_Toc125473255_Копия_1_Копия_1_Копия_1_Ко"/>
      <w:bookmarkStart w:id="59" w:name="_Toc125476061_Копия_1_Копия_1_Копия_1_Ко"/>
      <w:bookmarkStart w:id="60" w:name="_Toc125473255_Копия_1_Копия_1_Копия_1_Ко"/>
      <w:bookmarkStart w:id="61" w:name="_Toc125476061_Копия_1_Копия_1_Копия_1_Ко"/>
      <w:bookmarkStart w:id="62" w:name="_Toc125473255_Копия_1_Копия_1_Копия_1_Ко"/>
      <w:bookmarkStart w:id="63" w:name="_Toc125473255_Копия_1_Копия_1_Копия_1_Ко"/>
      <w:bookmarkStart w:id="64" w:name="_Toc125473255_Копия_1_Копия_1_Копия_1_Ко"/>
      <w:bookmarkStart w:id="65" w:name="_Toc125476061_Копия_1_Копия_1_Копия_1_Ко"/>
      <w:bookmarkStart w:id="66" w:name="_Toc125476061_Копия_1_Копия_1_Копия_1_Ко"/>
      <w:bookmarkStart w:id="67" w:name="_Toc125473255_Копия_1_Копия_1_Копия_1_Ко"/>
      <w:bookmarkStart w:id="68" w:name="_Toc125476061_Копия_1_Копия_1_Копия_1_Ко"/>
      <w:bookmarkStart w:id="69" w:name="_Toc125476061_Копия_1"/>
      <w:bookmarkStart w:id="70" w:name="_Toc125473255_Копия_1_Копия_1_Копия_1"/>
      <w:bookmarkStart w:id="71" w:name="_Toc125473255_Копия_1_Копия_1_Копия_1_Ко"/>
      <w:bookmarkStart w:id="72" w:name="_Toc125476061_Копия_1_Копия_1_Копия_1"/>
      <w:bookmarkStart w:id="73" w:name="_Toc125473255_Копия_1_Копия_1_Копия_1_Ко"/>
      <w:bookmarkStart w:id="74" w:name="_Toc125476061_Копия_1_Копия_1_Копия_1_Ко"/>
      <w:bookmarkStart w:id="75" w:name="_Toc125473255_Копия_1_Копия_1"/>
      <w:bookmarkStart w:id="76" w:name="_Toc125476061_Копия_1_Копия_1_Копия_1_Ко"/>
      <w:bookmarkStart w:id="77" w:name="_Toc125473255_Копия_1_Копия_1_Копия_1_Ко"/>
      <w:bookmarkStart w:id="78" w:name="_Toc125476061_Копия_1_Копия_1_Копия_1_Ко"/>
      <w:bookmarkStart w:id="79" w:name="_Toc125476061_Копия_1_Копия_1_Копия_1_Ко"/>
      <w:bookmarkStart w:id="80" w:name="_Toc125473255_Копия_1_Копия_1_Копия_1_Ко"/>
      <w:bookmarkStart w:id="81" w:name="_Toc125476061_Копия_1_Копия_1_Копия_1_Ко"/>
      <w:bookmarkStart w:id="82" w:name="_Toc125476061_Копия_1_Копия_1_Копия_1_Ко"/>
      <w:bookmarkStart w:id="83" w:name="_Toc125473255_Копия_1_Копия_1_Копия_1_Ко"/>
      <w:bookmarkStart w:id="84" w:name="_Toc125476061_Копия_1_Копия_1_Копия_1_Ко"/>
      <w:bookmarkStart w:id="85" w:name="_Toc125473255_Копия_1_Копия_1_Копия_1_Ко"/>
      <w:bookmarkStart w:id="86" w:name="_Toc125476061_Копия_1_Копия_1_Копия_1_Ко"/>
      <w:bookmarkStart w:id="87" w:name="_Toc125473255_Копия_1_Копия_1_Копия_1_Ко"/>
      <w:bookmarkStart w:id="88" w:name="_Toc125473255_Копия_1"/>
      <w:bookmarkStart w:id="89" w:name="_Toc125473255_Копия_1_Копия_1_Копия_1_Ко"/>
      <w:bookmarkStart w:id="90" w:name="_Toc125476061_Копия_1_Копия_1"/>
      <w:bookmarkStart w:id="91" w:name="_Toc125476061_Копия_1_Копия_1_Копия_1_Ко"/>
      <w:bookmarkStart w:id="92" w:name="_Toc125473255_Копия_1_Копия_1_Копия_1_Ко"/>
      <w:bookmarkStart w:id="93" w:name="_Toc125476061_Копия_1_Копия_1_Копия_1_Ко"/>
      <w:bookmarkStart w:id="94" w:name="_Toc125473255_Копия_1_Копия_1_Копия_1_Ко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>
      <w:pPr>
        <w:sectPr>
          <w:footerReference w:type="default" r:id="rId2"/>
          <w:type w:val="nextPage"/>
          <w:pgSz w:w="11906" w:h="16838"/>
          <w:pgMar w:left="1134" w:right="624" w:gutter="0" w:header="0" w:top="454" w:footer="0" w:bottom="454"/>
          <w:pgNumType w:fmt="decimal"/>
          <w:formProt w:val="false"/>
          <w:textDirection w:val="lrTb"/>
          <w:docGrid w:type="default" w:linePitch="360" w:charSpace="61440"/>
        </w:sectPr>
        <w:pStyle w:val="Normal"/>
        <w:spacing w:lineRule="auto" w:line="240" w:before="0" w:after="0"/>
        <w:rPr>
          <w:sz w:val="24"/>
          <w:szCs w:val="24"/>
        </w:rPr>
      </w:pPr>
      <w:bookmarkStart w:id="95" w:name="_Toc125476061_Копия_1_Копия_1_Копия_1_Ко"/>
      <w:bookmarkStart w:id="96" w:name="_Toc125473255_Копия_1_Копия_1_Копия_1_Ко"/>
      <w:bookmarkEnd w:id="95"/>
      <w:bookmarkEnd w:id="96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97" w:name="_Toc125476062_Копия_1"/>
      <w:bookmarkStart w:id="98" w:name="_Toc125473256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97"/>
      <w:bookmarkEnd w:id="98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>Наименование продукции: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shd w:fill="FFFFFF" w:val="clear"/>
          <w:lang w:eastAsia="ru-RU"/>
        </w:rPr>
        <w:t>.</w:t>
      </w:r>
    </w:p>
    <w:tbl>
      <w:tblPr>
        <w:tblW w:w="15938" w:type="dxa"/>
        <w:jc w:val="left"/>
        <w:tblInd w:w="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4"/>
        <w:gridCol w:w="4947"/>
        <w:gridCol w:w="4950"/>
        <w:gridCol w:w="2882"/>
        <w:gridCol w:w="2195"/>
      </w:tblGrid>
      <w:tr>
        <w:trPr>
          <w:trHeight w:val="675" w:hRule="atLeast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п/п</w:t>
            </w:r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Наименование параметра</w:t>
            </w:r>
          </w:p>
        </w:tc>
        <w:tc>
          <w:tcPr>
            <w:tcW w:w="4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Требование заказчика</w:t>
            </w:r>
          </w:p>
        </w:tc>
        <w:tc>
          <w:tcPr>
            <w:tcW w:w="5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305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95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74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3</w:t>
            </w: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4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5</w:t>
            </w:r>
          </w:p>
        </w:tc>
      </w:tr>
      <w:tr>
        <w:trPr>
          <w:trHeight w:val="9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</w:t>
            </w:r>
          </w:p>
        </w:tc>
        <w:tc>
          <w:tcPr>
            <w:tcW w:w="149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23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1.1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Электромеханическое запирающее устройство </w:t>
            </w: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Рубеж-М</w:t>
            </w:r>
          </w:p>
        </w:tc>
        <w:tc>
          <w:tcPr>
            <w:tcW w:w="288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</w:t>
            </w:r>
          </w:p>
        </w:tc>
        <w:tc>
          <w:tcPr>
            <w:tcW w:w="219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6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1.1.1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Параметры импульсов блокирования/разблокирования, В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20 до 30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86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1.1.2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Параметры импульсов блокирования/разблокирования, 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не более 0,05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72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1.1.3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Прочность засова на срез, Н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roboto ltregular;arial;sans-ser" w:hAnsi="roboto ltregular;arial;sans-ser"/>
                <w:color w:val="000000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не менее 4600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323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1.1.4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Диапазон рабочих температур, °С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-60 до + 60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23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Ресурс срабатываний, циклы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400 000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Электромеханическое запирающее устройство БАЗАЛЬТ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Предназначено для установки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 внутренней стороны охраняемой зоны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1.2.2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Эксплуатируется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 открытом воздухе в особо жестких климатических условиях как в составе системы управления доступом и охранной сигнализации, так и от автономного пульта управления.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1.2.3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Повышенная прочность и коррозийная стойкость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Всех элементов конструкции.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1.2.4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160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Компенсация сдвигов створок Относительно друг друга при сезонных колебаниях грунта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1.2.5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Дистанционное разблокирование засова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Да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1.2.6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Датчики контроля положения ригеля «Открыто / Закрыто» и блокирующего механизма «Заблокировано / Разблокировано»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Да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1.2.7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Возможность аварийного разблокирования (блокирования) ключом изнутри охраняемой зоны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</w:numPr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1.2.8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Автоматическое блокирование запорного элемента при закрытии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Да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242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1.2.9</w:t>
            </w:r>
          </w:p>
        </w:tc>
        <w:tc>
          <w:tcPr>
            <w:tcW w:w="49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 xml:space="preserve">Допустимое поперечное отклонение створок ворот, </w:t>
            </w: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Не более +5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242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-5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1.2.10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Прочность засова на срез, Н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15 000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Ресурс срабатываний, циклы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200 000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1.2.12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Напряжение импульса разблокирования, В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От 20 до 30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4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1.2.13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Ток импульса разблокирования, 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более 0,23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242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1.2.14</w:t>
            </w:r>
          </w:p>
        </w:tc>
        <w:tc>
          <w:tcPr>
            <w:tcW w:w="49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Диапазон рабочих температур, °С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Не более +60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242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-60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1.2.15</w:t>
            </w:r>
          </w:p>
        </w:tc>
        <w:tc>
          <w:tcPr>
            <w:tcW w:w="49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Допустимое смещение створок между собой, мм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Не более +35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-35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1.2.16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Блок управления запирающим устройством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ИБПУ.468324.001 ПС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Привод планетарный “ПРЕПОНА” ПВР-02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2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Рекомендуемая длина створки ворот, м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До 4,5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142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49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Время открывания/закрывания створок ворот (регулируемое), с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От 8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142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До 20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1.3.3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Номинальный угол открывания створок, о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1.3.4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Потребляемая мощность, кВт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Не более 0,5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1.3.5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Тип редуктора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Планетарный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1.3.6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Тип электропривода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Асинхронный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1.3.7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Степень защиты оболочки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IP54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1.3.8</w:t>
            </w:r>
          </w:p>
        </w:tc>
        <w:tc>
          <w:tcPr>
            <w:tcW w:w="49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Диапазон рабочих температур, °С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Не более +40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</w:rPr>
              <w:t>Не менее -60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1.3.9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Напряжение питания, В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220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1.3.10</w:t>
            </w:r>
          </w:p>
        </w:tc>
        <w:tc>
          <w:tcPr>
            <w:tcW w:w="49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 комплект входит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управления приводом для распашных ворот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Привод планетарный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обогрева на привод планетарный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 кнопочный выносной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ПКЕ 222-1У 2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Фотоэлементы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Сигнальна лампа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LAMP-PRO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Выключатель бесконтактный индуктивный</w:t>
            </w:r>
          </w:p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ВБИ-М30-76У-112-3.9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Коробка распределительньная 100х100х50мм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Коробка распределительная 190х140х70мм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334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1592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Гарантия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FFFFFF" w:val="clear"/>
                <w:lang w:val="ru-RU" w:eastAsia="ru-RU" w:bidi="ar-SA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022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2.2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r>
          </w:p>
        </w:tc>
      </w:tr>
      <w:tr>
        <w:trPr>
          <w:trHeight w:val="51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8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качества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01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3.2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 на продукцию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9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3.3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Технический паспорт на русском языке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3.4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документы предусмотренные п 3.3 договора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 экземпляра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19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1298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4.1</w:t>
            </w:r>
          </w:p>
        </w:tc>
        <w:tc>
          <w:tcPr>
            <w:tcW w:w="4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Место поставки</w:t>
            </w: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  <w:tab w:val="left" w:pos="1134" w:leader="none"/>
              </w:tabs>
              <w:spacing w:before="0" w:after="0"/>
              <w:ind w:hanging="0" w:left="0" w:right="0"/>
              <w:contextualSpacing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357007, Ставропольский край, Кочубеевский р-н, с. Кочубеевское, АВТОДОРОГА «КАВКАЗ» 246КМ+1200М(СПРАВА).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4.2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Условия поставки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 счет средств Поставщика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spacing w:before="0" w:after="160"/>
              <w:jc w:val="center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4.3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LineNumbers/>
              <w:spacing w:before="0" w:after="16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4.5</w:t>
            </w:r>
          </w:p>
        </w:tc>
        <w:tc>
          <w:tcPr>
            <w:tcW w:w="98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88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</w:tbl>
    <w:p>
      <w:pPr>
        <w:pStyle w:val="BodyText"/>
        <w:rPr>
          <w:rFonts w:ascii="Times New Roman" w:hAnsi="Times New Roman"/>
          <w:shd w:fill="auto" w:val="clear"/>
        </w:rPr>
      </w:pPr>
      <w:r>
        <w:rPr>
          <w:rFonts w:ascii="Times New Roman" w:hAnsi="Times New Roman"/>
          <w:shd w:fill="auto" w:val="clear"/>
        </w:rPr>
      </w:r>
    </w:p>
    <w:p>
      <w:pPr>
        <w:pStyle w:val="BodyText"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r>
        <w:rPr>
          <w:rFonts w:cs="Times New Roman" w:ascii="Times New Roman" w:hAnsi="Times New Roman"/>
          <w:b/>
          <w:sz w:val="24"/>
          <w:szCs w:val="24"/>
          <w:shd w:fill="auto" w:val="clear"/>
          <w:lang w:eastAsia="x-none"/>
        </w:rPr>
        <w:t>Требования</w:t>
      </w:r>
      <w:bookmarkStart w:id="99" w:name="_Toc125485145"/>
      <w:r>
        <w:rPr>
          <w:rFonts w:cs="Times New Roman" w:ascii="Times New Roman" w:hAnsi="Times New Roman"/>
          <w:b/>
          <w:sz w:val="24"/>
          <w:szCs w:val="24"/>
          <w:shd w:fill="auto" w:val="clear"/>
          <w:lang w:eastAsia="x-none"/>
        </w:rPr>
        <w:t xml:space="preserve"> к документации по ценообразованию на этапе закупки.</w:t>
      </w:r>
      <w:bookmarkEnd w:id="99"/>
    </w:p>
    <w:p>
      <w:pPr>
        <w:pStyle w:val="BodyText"/>
        <w:rPr>
          <w:rFonts w:ascii="Times New Roman" w:hAnsi="Times New Roman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eastAsia="ru-RU"/>
        </w:rPr>
        <w:t>3.1.В обоснование стоимости своей заявки Участник предоставляет Коммерческое предложение.</w:t>
      </w:r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spacing w:lineRule="auto" w:line="240" w:before="60" w:after="0"/>
        <w:ind w:hanging="0" w:left="0" w:right="0"/>
        <w:contextualSpacing/>
        <w:jc w:val="both"/>
        <w:rPr>
          <w:rFonts w:ascii="Times New Roman" w:hAnsi="Times New Roman" w:cs="Times New Roman"/>
          <w:sz w:val="24"/>
          <w:szCs w:val="24"/>
          <w:shd w:fill="auto" w:val="clear"/>
          <w:lang w:eastAsia="ru-RU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eastAsia="ru-RU"/>
        </w:rPr>
        <w:t>3.2. Дополнительные документы по ценообразованию в состав заявки не включаются.</w:t>
      </w:r>
    </w:p>
    <w:p>
      <w:pPr>
        <w:pStyle w:val="ListParagraph"/>
        <w:widowControl/>
        <w:tabs>
          <w:tab w:val="clear" w:pos="708"/>
          <w:tab w:val="left" w:pos="567" w:leader="none"/>
          <w:tab w:val="left" w:pos="10065" w:leader="none"/>
        </w:tabs>
        <w:suppressAutoHyphens w:val="true"/>
        <w:overflowPunct w:val="true"/>
        <w:bidi w:val="0"/>
        <w:spacing w:lineRule="auto" w:line="240" w:before="60" w:after="0"/>
        <w:ind w:hanging="0" w:left="1247" w:right="0"/>
        <w:contextualSpacing/>
        <w:jc w:val="both"/>
        <w:rPr>
          <w:rFonts w:ascii="Times New Roman" w:hAnsi="Times New Roman" w:cs="Times New Roman"/>
          <w:sz w:val="24"/>
          <w:szCs w:val="24"/>
          <w:shd w:fill="auto" w:val="clear"/>
          <w:lang w:eastAsia="ru-RU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eastAsia="ru-RU"/>
        </w:rPr>
      </w:r>
    </w:p>
    <w:p>
      <w:pPr>
        <w:pStyle w:val="Normal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ListParagraph"/>
        <w:keepNext w:val="true"/>
        <w:keepLines/>
        <w:numPr>
          <w:ilvl w:val="0"/>
          <w:numId w:val="0"/>
        </w:numPr>
        <w:spacing w:before="120" w:after="0"/>
        <w:ind w:hanging="0" w:left="0" w:right="0"/>
        <w:contextualSpacing/>
        <w:jc w:val="right"/>
        <w:outlineLvl w:val="0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454" w:right="454" w:gutter="0" w:header="0" w:top="450" w:footer="0" w:bottom="624"/>
      <w:pgNumType w:fmt="decimal"/>
      <w:formProt w:val="false"/>
      <w:textDirection w:val="lrTb"/>
      <w:docGrid w:type="default" w:linePitch="36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roboto ltregular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8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numPr>
        <w:ilvl w:val="0"/>
        <w:numId w:val="0"/>
      </w:num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Style12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Tahoma" w:cs="Tahoma"/>
      <w:b/>
      <w:bCs/>
      <w:sz w:val="28"/>
      <w:szCs w:val="28"/>
    </w:rPr>
  </w:style>
  <w:style w:type="paragraph" w:styleId="Heading4">
    <w:name w:val="Heading 4"/>
    <w:basedOn w:val="Style12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>
    <w:name w:val="Нижний колонтитул Знак1"/>
    <w:basedOn w:val="DefaultParagraphFont"/>
    <w:qFormat/>
    <w:rPr/>
  </w:style>
  <w:style w:type="character" w:styleId="Style6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>
    <w:name w:val="line number1"/>
    <w:qFormat/>
    <w:rPr/>
  </w:style>
  <w:style w:type="character" w:styleId="Linenumber">
    <w:name w:val="line number"/>
    <w:qFormat/>
    <w:rPr/>
  </w:style>
  <w:style w:type="character" w:styleId="Style7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>
    <w:name w:val="Маркеры"/>
    <w:qFormat/>
    <w:rPr>
      <w:rFonts w:ascii="OpenSymbol" w:hAnsi="OpenSymbol" w:eastAsia="OpenSymbol" w:cs="OpenSymbol"/>
    </w:rPr>
  </w:style>
  <w:style w:type="character" w:styleId="Style9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jc w:val="center"/>
    </w:pPr>
    <w:rPr>
      <w:b/>
      <w:bCs/>
    </w:rPr>
  </w:style>
  <w:style w:type="paragraph" w:styleId="Style1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hanging="0" w:left="283" w:right="0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hanging="0" w:left="567" w:right="0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paragraph" w:styleId="Style18">
    <w:name w:val="Абзац списка"/>
    <w:basedOn w:val="Normal"/>
    <w:qFormat/>
    <w:pPr>
      <w:widowControl w:val="false"/>
      <w:spacing w:before="0" w:after="0"/>
      <w:ind w:hanging="0" w:left="720" w:right="0"/>
      <w:contextualSpacing/>
    </w:pPr>
    <w:rPr/>
  </w:style>
  <w:style w:type="numbering" w:styleId="123">
    <w:name w:val="Нумерованный 123"/>
    <w:qFormat/>
  </w:style>
  <w:style w:type="numbering" w:styleId="9124036821">
    <w:name w:val="9124036821"/>
    <w:qFormat/>
  </w:style>
  <w:style w:type="numbering" w:styleId="26549995371">
    <w:name w:val="26549995371"/>
    <w:qFormat/>
  </w:style>
  <w:style w:type="numbering" w:styleId="8885772351">
    <w:name w:val="888577235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18508</TotalTime>
  <Application>AlterOffice/2026.2.1.0$Linux_X86_64 LibreOffice_project/f008988ffacaa0b2bf57911c2759d08ca79831df</Application>
  <AppVersion>15.0000</AppVersion>
  <Pages>8</Pages>
  <Words>895</Words>
  <Characters>6258</Characters>
  <CharactersWithSpaces>6930</CharactersWithSpaces>
  <Paragraphs>228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velikosvyatnn@corp.gidroogk.com</cp:lastModifiedBy>
  <cp:lastPrinted>2025-10-03T13:40:31Z</cp:lastPrinted>
  <dcterms:modified xsi:type="dcterms:W3CDTF">2026-10-14T15:53:31Z</dcterms:modified>
  <cp:revision>181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