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pacing w:lineRule="auto" w:line="240"/>
        <w:ind w:left="5069" w:right="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right"/>
        <w:rPr>
          <w:rFonts w:eastAsia="Calibri"/>
        </w:rPr>
      </w:pPr>
      <w:r>
        <w:rPr>
          <w:rFonts w:eastAsia="Calibri"/>
        </w:rPr>
      </w:r>
    </w:p>
    <w:p>
      <w:pPr>
        <w:pStyle w:val="19"/>
        <w:shd w:val="clear" w:color="auto" w:fill="auto"/>
        <w:spacing w:lineRule="auto" w:line="240"/>
        <w:rPr/>
      </w:pPr>
      <w:r>
        <w:rPr/>
      </w:r>
    </w:p>
    <w:p>
      <w:pPr>
        <w:pStyle w:val="19"/>
        <w:spacing w:lineRule="auto" w:line="240"/>
        <w:ind w:left="5670" w:right="40"/>
        <w:rPr/>
      </w:pPr>
      <w:r>
        <w:rPr/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Технические требования на оказание услуг</w:t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ОКПД 2 45.20.21 Оказание услуг по техническому обслуживанию и ремонту автотранспортных средств марки КАМАЗ Северо-Осетинского производственного участка Северо-Кавказского филиала АО «Гидроремонт-ВКК» в с.Заюково</w:t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ind w:left="4188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auto"/>
              <w:sz w:val="24"/>
              <w:szCs w:val="24"/>
            </w:rPr>
            <w:t>СОДЕРЖАНИЕ</w:t>
          </w:r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7"/>
              <w:vanish w:val="false"/>
            </w:rPr>
            <w:instrText xml:space="preserve"> TOC \z \o "1-3" \u \h</w:instrText>
          </w:r>
          <w:r>
            <w:rPr>
              <w:webHidden/>
              <w:rStyle w:val="Style17"/>
              <w:vanish w:val="false"/>
            </w:rPr>
            <w:fldChar w:fldCharType="separate"/>
          </w:r>
          <w:hyperlink w:anchor="_Toc127198201">
            <w:r>
              <w:rPr>
                <w:webHidden/>
                <w:rStyle w:val="Style17"/>
                <w:vanish w:val="false"/>
              </w:rPr>
              <w:t>1.</w:t>
            </w:r>
            <w:r>
              <w:rPr>
                <w:rStyle w:val="Style17"/>
                <w:rFonts w:eastAsia="" w:cs="" w:cstheme="minorBidi" w:eastAsiaTheme="minorEastAsia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/>
          </w:pPr>
          <w:hyperlink w:anchor="_Toc127198202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7"/>
                <w:rFonts w:eastAsia="" w:cs="" w:cstheme="minorBidi" w:eastAsiaTheme="minorEastAsia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/>
          </w:pPr>
          <w:hyperlink w:anchor="_Toc127198203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7"/>
                <w:rFonts w:eastAsia="" w:cs="" w:cstheme="minorBidi" w:eastAsiaTheme="minorEastAsia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Наименование закупаемой продукции.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/>
          </w:pPr>
          <w:hyperlink w:anchor="_Toc127198204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7"/>
                <w:rFonts w:eastAsia="" w:cs="" w:cstheme="minorBidi" w:eastAsiaTheme="minorEastAsia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Цель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left" w:pos="560" w:leader="none"/>
              <w:tab w:val="right" w:pos="9911" w:leader="dot"/>
            </w:tabs>
            <w:rPr/>
          </w:pPr>
          <w:hyperlink w:anchor="_Toc127198211">
            <w:r>
              <w:rPr>
                <w:webHidden/>
                <w:rStyle w:val="Style17"/>
                <w:vanish w:val="false"/>
              </w:rPr>
              <w:t>2.</w:t>
            </w:r>
            <w:r>
              <w:rPr>
                <w:rStyle w:val="Style17"/>
                <w:rFonts w:eastAsia="" w:cs="" w:cstheme="minorBidi" w:eastAsiaTheme="minorEastAsia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>Требования к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/>
          </w:pPr>
          <w:hyperlink w:anchor="_Toc127198212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7"/>
                <w:rFonts w:eastAsia="" w:cs="" w:cstheme="minorBidi" w:eastAsiaTheme="minorEastAsia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объемам и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/>
          </w:pPr>
          <w:hyperlink w:anchor="_Toc127198213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 xml:space="preserve">2.1.1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перечню и объему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2719821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_Toc127198214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 1.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/>
          </w:pPr>
          <w:hyperlink w:anchor="_Toc127198215">
            <w:r>
              <w:rPr>
                <w:webHidden/>
                <w:rStyle w:val="Style17"/>
                <w:vanish w:val="false"/>
                <w:sz w:val="24"/>
                <w:szCs w:val="24"/>
              </w:rPr>
              <w:t>2.1.2.</w:t>
            </w:r>
            <w:r>
              <w:rPr>
                <w:rStyle w:val="Style17"/>
                <w:rFonts w:eastAsia="" w:cs="" w:cstheme="minorBidi" w:eastAsiaTheme="minorEastAsia"/>
                <w:sz w:val="24"/>
                <w:szCs w:val="24"/>
              </w:rPr>
              <w:t xml:space="preserve">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2719821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_Toc127198216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 2. 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/>
          </w:pPr>
          <w:hyperlink w:anchor="_Toc127198217">
            <w:r>
              <w:rPr>
                <w:webHidden/>
                <w:rStyle w:val="Style17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7"/>
                <w:rFonts w:eastAsia="" w:cs="" w:cstheme="minorBidi" w:eastAsiaTheme="minorEastAsia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sz w:val="24"/>
                <w:szCs w:val="24"/>
              </w:rPr>
              <w:t>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20"/>
              <w:tab w:val="right" w:pos="9911" w:leader="dot"/>
            </w:tabs>
            <w:rPr/>
          </w:pPr>
          <w:hyperlink w:anchor="_Toc12719821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_Toc127198218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 3.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sz w:val="24"/>
              <w:szCs w:val="24"/>
            </w:rPr>
          </w:pPr>
          <w:r>
            <w:rPr>
              <w:sz w:val="24"/>
              <w:szCs w:val="24"/>
            </w:rPr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Heading1"/>
        <w:numPr>
          <w:ilvl w:val="0"/>
          <w:numId w:val="3"/>
        </w:numPr>
        <w:ind w:hanging="0" w:left="0"/>
        <w:jc w:val="center"/>
        <w:rPr>
          <w:sz w:val="24"/>
          <w:szCs w:val="24"/>
        </w:rPr>
      </w:pPr>
      <w:r>
        <w:br w:type="page"/>
      </w:r>
      <w:bookmarkStart w:id="0" w:name="_Toc127198201"/>
      <w:bookmarkStart w:id="1" w:name="_Toc54643694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2"/>
        <w:numPr>
          <w:ilvl w:val="1"/>
          <w:numId w:val="3"/>
        </w:numPr>
        <w:rPr/>
      </w:pPr>
      <w:bookmarkStart w:id="2" w:name="_Toc127198202"/>
      <w:bookmarkStart w:id="3" w:name="_Toc54643695"/>
      <w:bookmarkStart w:id="4" w:name="_Toc46743505"/>
      <w:r>
        <w:rPr/>
        <w:t>Обозначения и сокращения</w:t>
      </w:r>
      <w:bookmarkEnd w:id="2"/>
      <w:bookmarkEnd w:id="3"/>
      <w:bookmarkEnd w:id="4"/>
    </w:p>
    <w:tbl>
      <w:tblPr>
        <w:tblW w:w="983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628"/>
        <w:gridCol w:w="6205"/>
      </w:tblGrid>
      <w:tr>
        <w:trPr>
          <w:cantSplit w:val="true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Техническое обслуживание</w:t>
            </w:r>
          </w:p>
        </w:tc>
      </w:tr>
      <w:tr>
        <w:trPr>
          <w:cantSplit w:val="true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9"/>
              <w:shd w:val="clear" w:color="auto" w:fill="auto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9"/>
              <w:shd w:val="clear" w:color="auto" w:fill="auto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</w:tbl>
    <w:p>
      <w:pPr>
        <w:pStyle w:val="Normal"/>
        <w:rPr>
          <w:sz w:val="24"/>
          <w:szCs w:val="24"/>
          <w:highlight w:val="yellow"/>
          <w:lang w:eastAsia="x-none"/>
        </w:rPr>
      </w:pPr>
      <w:r>
        <w:rPr>
          <w:sz w:val="24"/>
          <w:szCs w:val="24"/>
          <w:highlight w:val="yellow"/>
          <w:lang w:eastAsia="x-none"/>
        </w:rPr>
      </w:r>
    </w:p>
    <w:p>
      <w:pPr>
        <w:pStyle w:val="Heading2"/>
        <w:numPr>
          <w:ilvl w:val="1"/>
          <w:numId w:val="3"/>
        </w:numPr>
        <w:rPr>
          <w:lang w:val="ru-RU"/>
        </w:rPr>
      </w:pPr>
      <w:bookmarkStart w:id="5" w:name="_Toc127198203"/>
      <w:bookmarkStart w:id="6" w:name="_Toc54643696"/>
      <w:bookmarkStart w:id="7" w:name="_Toc46743506"/>
      <w:r>
        <w:rPr/>
        <w:t>Наименование закупаемой продукции</w:t>
      </w:r>
      <w:bookmarkEnd w:id="6"/>
      <w:bookmarkEnd w:id="7"/>
      <w:r>
        <w:rPr>
          <w:lang w:val="ru-RU"/>
        </w:rPr>
        <w:t>.</w:t>
      </w:r>
      <w:bookmarkEnd w:id="5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ОКПД 2 45.20.21 Оказание услуг по техническому обслуживанию и ремонту автотранспортных средств</w:t>
      </w:r>
      <w:r>
        <w:rPr/>
        <w:t xml:space="preserve"> </w:t>
      </w:r>
      <w:r>
        <w:rPr>
          <w:sz w:val="24"/>
          <w:szCs w:val="24"/>
          <w:lang w:eastAsia="x-none"/>
        </w:rPr>
        <w:t>марки КАМАЗ Северо-Осетинского производственного участка Северо-Кавказского филиала АО «Гидроремонт-ВКК» в с.Заюково</w:t>
      </w:r>
    </w:p>
    <w:p>
      <w:pPr>
        <w:pStyle w:val="Heading2"/>
        <w:numPr>
          <w:ilvl w:val="1"/>
          <w:numId w:val="3"/>
        </w:numPr>
        <w:rPr/>
      </w:pPr>
      <w:bookmarkStart w:id="8" w:name="_Toc54643697"/>
      <w:bookmarkStart w:id="9" w:name="_Toc127198204"/>
      <w:bookmarkStart w:id="10" w:name="_Toc46743507"/>
      <w:r>
        <w:rPr/>
        <w:t xml:space="preserve">Цель </w:t>
      </w:r>
      <w:bookmarkEnd w:id="10"/>
      <w:r>
        <w:rPr/>
        <w:t>оказания услуг</w:t>
      </w:r>
      <w:bookmarkEnd w:id="9"/>
      <w:r>
        <w:rPr/>
        <w:t xml:space="preserve"> </w:t>
      </w:r>
      <w:bookmarkEnd w:id="8"/>
    </w:p>
    <w:p>
      <w:pPr>
        <w:pStyle w:val="Normal"/>
        <w:tabs>
          <w:tab w:val="clear" w:pos="720"/>
          <w:tab w:val="left" w:pos="567" w:leader="none"/>
        </w:tabs>
        <w:jc w:val="both"/>
        <w:rPr/>
      </w:pPr>
      <w:r>
        <w:rPr>
          <w:bCs/>
          <w:sz w:val="24"/>
          <w:szCs w:val="24"/>
        </w:rPr>
        <w:t xml:space="preserve">Содержание транспортных средств </w:t>
      </w:r>
      <w:r>
        <w:rPr>
          <w:sz w:val="24"/>
          <w:szCs w:val="24"/>
        </w:rPr>
        <w:t>Северо-Осетинского производственного участка</w:t>
      </w:r>
      <w:r>
        <w:rPr>
          <w:bCs/>
          <w:sz w:val="24"/>
          <w:szCs w:val="24"/>
        </w:rPr>
        <w:t xml:space="preserve"> Северо-Кавказского филиала АО «Гидроремонт-ВКК» в с. Заюково в технически исправном состоянии, проведение своевременного и качественного технического обслуживания и ремонта, обеспечение </w:t>
      </w:r>
      <w:r>
        <w:rPr>
          <w:sz w:val="24"/>
          <w:szCs w:val="24"/>
        </w:rPr>
        <w:t>работоспособности и безопасной эксплуатации автомобилей.</w:t>
      </w:r>
      <w:r>
        <w:rPr>
          <w:bCs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567" w:leader="none"/>
        </w:tabs>
        <w:jc w:val="both"/>
        <w:rPr/>
      </w:pPr>
      <w:r>
        <w:rPr>
          <w:bCs/>
          <w:sz w:val="24"/>
          <w:szCs w:val="24"/>
        </w:rPr>
        <w:t>П</w:t>
      </w:r>
      <w:r>
        <w:rPr>
          <w:sz w:val="24"/>
          <w:szCs w:val="24"/>
        </w:rPr>
        <w:t>одготовка транспортных средств к эксплуатации в весенне-летний и осенне-зимний периоды.</w:t>
      </w:r>
      <w:bookmarkStart w:id="11" w:name="_Toc127198205"/>
      <w:bookmarkEnd w:id="11"/>
    </w:p>
    <w:p>
      <w:pPr>
        <w:pStyle w:val="Heading1"/>
        <w:numPr>
          <w:ilvl w:val="0"/>
          <w:numId w:val="3"/>
        </w:numPr>
        <w:ind w:hanging="0" w:left="0"/>
        <w:jc w:val="center"/>
        <w:rPr/>
      </w:pPr>
      <w:bookmarkStart w:id="12" w:name="_Toc54643702"/>
      <w:bookmarkStart w:id="13" w:name="_Toc127198211"/>
      <w:bookmarkStart w:id="14" w:name="_Toc51339693"/>
      <w:r>
        <w:rPr>
          <w:bCs/>
          <w:sz w:val="24"/>
          <w:szCs w:val="24"/>
          <w:lang w:val="ru-RU"/>
        </w:rPr>
        <w:t>Требования</w:t>
      </w:r>
      <w:r>
        <w:rPr>
          <w:bCs/>
          <w:sz w:val="24"/>
          <w:szCs w:val="24"/>
        </w:rPr>
        <w:t xml:space="preserve"> к продукци</w:t>
      </w:r>
      <w:bookmarkEnd w:id="12"/>
      <w:bookmarkEnd w:id="13"/>
      <w:bookmarkEnd w:id="14"/>
      <w:r>
        <w:rPr>
          <w:bCs/>
          <w:sz w:val="24"/>
          <w:szCs w:val="24"/>
        </w:rPr>
        <w:t>и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/>
      </w:pPr>
      <w:r>
        <w:rPr>
          <w:b/>
          <w:bCs/>
          <w:sz w:val="24"/>
          <w:szCs w:val="24"/>
        </w:rPr>
        <w:t>2.1 Требования к объемам и срокам оказания услуг</w:t>
      </w:r>
    </w:p>
    <w:p>
      <w:pPr>
        <w:pStyle w:val="Heading2"/>
        <w:numPr>
          <w:ilvl w:val="2"/>
          <w:numId w:val="3"/>
        </w:numPr>
        <w:ind w:hanging="0" w:left="0"/>
        <w:jc w:val="left"/>
        <w:rPr/>
      </w:pPr>
      <w:bookmarkStart w:id="15" w:name="_Toc54643703"/>
      <w:bookmarkStart w:id="16" w:name="_Toc127198212"/>
      <w:r>
        <w:rPr/>
        <w:t xml:space="preserve"> </w:t>
      </w:r>
      <w:bookmarkEnd w:id="15"/>
      <w:bookmarkEnd w:id="16"/>
      <w:r>
        <w:rPr/>
        <w:t>Требования к перечню и объему услуг</w:t>
      </w:r>
    </w:p>
    <w:p>
      <w:pPr>
        <w:pStyle w:val="Heading1"/>
        <w:ind w:hanging="426" w:left="426"/>
        <w:jc w:val="left"/>
        <w:rPr>
          <w:bCs/>
        </w:rPr>
      </w:pPr>
      <w:bookmarkStart w:id="17" w:name="_Toc54643705"/>
      <w:bookmarkStart w:id="18" w:name="_Toc127198214"/>
      <w:bookmarkStart w:id="19" w:name="_Toc51339695"/>
      <w:r>
        <w:rPr>
          <w:bCs/>
          <w:sz w:val="24"/>
          <w:szCs w:val="24"/>
        </w:rPr>
        <w:t xml:space="preserve">Таблица 1. Перечень </w:t>
      </w:r>
      <w:bookmarkEnd w:id="19"/>
      <w:r>
        <w:rPr>
          <w:bCs/>
          <w:sz w:val="24"/>
          <w:szCs w:val="24"/>
        </w:rPr>
        <w:t>и объем оказываемых услуг</w:t>
      </w:r>
      <w:bookmarkEnd w:id="17"/>
      <w:bookmarkEnd w:id="18"/>
    </w:p>
    <w:tbl>
      <w:tblPr>
        <w:tblW w:w="10325" w:type="dxa"/>
        <w:jc w:val="left"/>
        <w:tblInd w:w="-7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503"/>
        <w:gridCol w:w="4951"/>
        <w:gridCol w:w="2318"/>
        <w:gridCol w:w="2552"/>
      </w:tblGrid>
      <w:tr>
        <w:trPr/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Style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349" w:hRule="atLeast"/>
        </w:trPr>
        <w:tc>
          <w:tcPr>
            <w:tcW w:w="5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 45.20.21 Оказание услуг по техническому обслуживанию и ремонту автотранспортных средств марки КАМАЗ Северо-Осетинского производственного участка Северо-Кавказского филиала АО «Гидроремонт-ВКК» в с.Заюково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Перечень автотранспортных средств Северо-Осетинского производственного участка Северо-Кавказского филиала, подлежащих ремонту и техническому обслуживанию</w:t>
      </w:r>
    </w:p>
    <w:p>
      <w:pPr>
        <w:pStyle w:val="Normal"/>
        <w:ind w:hanging="426" w:left="426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tbl>
      <w:tblPr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2"/>
        <w:gridCol w:w="1843"/>
        <w:gridCol w:w="1558"/>
        <w:gridCol w:w="2553"/>
        <w:gridCol w:w="1416"/>
        <w:gridCol w:w="2381"/>
      </w:tblGrid>
      <w:tr>
        <w:trPr>
          <w:trHeight w:val="30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Марка автомобиля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Гос.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номер автомобиля</w:t>
            </w:r>
          </w:p>
        </w:tc>
        <w:tc>
          <w:tcPr>
            <w:tcW w:w="25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VIN-номер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работ по ремонту и техническому обслуживанию</w:t>
            </w:r>
          </w:p>
        </w:tc>
      </w:tr>
      <w:tr>
        <w:trPr>
          <w:trHeight w:val="170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2"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Камаз 65111-013-62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E705PT15</w:t>
            </w:r>
          </w:p>
        </w:tc>
        <w:tc>
          <w:tcPr>
            <w:tcW w:w="25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2"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ХТС651113С2424869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Норма/час</w:t>
            </w:r>
          </w:p>
        </w:tc>
        <w:tc>
          <w:tcPr>
            <w:tcW w:w="2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(согласовывается дополнительно в заказ-наряде при сдаче в ремонт)</w:t>
            </w:r>
          </w:p>
        </w:tc>
      </w:tr>
    </w:tbl>
    <w:p>
      <w:pPr>
        <w:pStyle w:val="Heading3"/>
        <w:numPr>
          <w:ilvl w:val="2"/>
          <w:numId w:val="3"/>
        </w:numPr>
        <w:ind w:hanging="0" w:left="0"/>
        <w:rPr/>
      </w:pPr>
      <w:bookmarkStart w:id="20" w:name="_Toc127198215"/>
      <w:bookmarkStart w:id="21" w:name="_Toc51339696"/>
      <w:r>
        <w:rPr/>
        <w:t>Требования</w:t>
      </w:r>
      <w:bookmarkEnd w:id="21"/>
      <w:r>
        <w:rPr/>
        <w:t xml:space="preserve"> к срокам оказания услуг</w:t>
      </w:r>
      <w:bookmarkEnd w:id="20"/>
    </w:p>
    <w:p>
      <w:pPr>
        <w:pStyle w:val="Heading1"/>
        <w:ind w:hanging="426" w:left="426"/>
        <w:rPr>
          <w:sz w:val="24"/>
          <w:szCs w:val="24"/>
        </w:rPr>
      </w:pPr>
      <w:bookmarkStart w:id="22" w:name="_Toc54643707"/>
      <w:bookmarkStart w:id="23" w:name="_Toc127198216"/>
      <w:bookmarkStart w:id="24" w:name="_Toc51339697"/>
      <w:bookmarkStart w:id="25" w:name="_Toc50125127"/>
      <w:r>
        <w:rPr>
          <w:sz w:val="24"/>
          <w:szCs w:val="24"/>
        </w:rPr>
        <w:t xml:space="preserve">Таблица 2 </w:t>
      </w:r>
      <w:bookmarkStart w:id="26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4"/>
      <w:bookmarkEnd w:id="25"/>
      <w:bookmarkEnd w:id="26"/>
      <w:r>
        <w:rPr>
          <w:sz w:val="24"/>
          <w:szCs w:val="24"/>
          <w:lang w:val="ru-RU"/>
        </w:rPr>
        <w:t>оказания услуг</w:t>
      </w:r>
      <w:bookmarkEnd w:id="22"/>
      <w:bookmarkEnd w:id="23"/>
    </w:p>
    <w:tbl>
      <w:tblPr>
        <w:tblW w:w="1034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96"/>
        <w:gridCol w:w="4507"/>
        <w:gridCol w:w="2553"/>
        <w:gridCol w:w="2691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/>
              <w:rPr/>
            </w:pPr>
            <w:r>
              <w:rPr/>
            </w:r>
          </w:p>
          <w:p>
            <w:pPr>
              <w:pStyle w:val="ListParagraph"/>
              <w:widowControl w:val="false"/>
              <w:ind w:left="0"/>
              <w:rPr/>
            </w:pPr>
            <w:r>
              <w:rPr/>
            </w:r>
          </w:p>
          <w:p>
            <w:pPr>
              <w:pStyle w:val="ListParagraph"/>
              <w:widowControl w:val="false"/>
              <w:ind w:left="0"/>
              <w:rPr/>
            </w:pPr>
            <w:r>
              <w:rPr/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ind w:hanging="0" w:left="720"/>
              <w:rPr/>
            </w:pPr>
            <w:r>
              <w:rPr/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9"/>
              <w:shd w:val="clear" w:color="auto" w:fill="auto"/>
              <w:spacing w:lineRule="auto" w:line="240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ОКПД 2 45.20.21 Оказание услуг по техническому обслуживанию и ремонту автотранспортных средств марки КАМАЗ Северо-Осетинского производственного участка Северо-Кавказского филиала АО «Гидроремонт-ВКК» в с.Заюково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  <w:lang w:val="en-US"/>
              </w:rPr>
              <w:t>01.11</w:t>
            </w:r>
            <w:bookmarkStart w:id="27" w:name="_GoBack"/>
            <w:bookmarkEnd w:id="27"/>
            <w:r>
              <w:rPr>
                <w:sz w:val="24"/>
                <w:szCs w:val="24"/>
                <w:lang w:val="en-US"/>
              </w:rPr>
              <w:t>.2026 г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Не позднее 31.12.2026г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left="1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1"/>
          <w:numId w:val="3"/>
        </w:numPr>
        <w:rPr/>
      </w:pPr>
      <w:bookmarkStart w:id="28" w:name="_Toc127198217"/>
      <w:r>
        <w:rPr/>
        <w:t xml:space="preserve">Требования к </w:t>
      </w:r>
      <w:r>
        <w:rPr>
          <w:lang w:val="ru-RU"/>
        </w:rPr>
        <w:t>качеству услуг</w:t>
      </w:r>
      <w:bookmarkEnd w:id="28"/>
    </w:p>
    <w:p>
      <w:pPr>
        <w:pStyle w:val="Heading1"/>
        <w:ind w:hanging="426" w:left="426"/>
        <w:jc w:val="left"/>
        <w:rPr>
          <w:sz w:val="24"/>
          <w:szCs w:val="24"/>
        </w:rPr>
      </w:pPr>
      <w:bookmarkStart w:id="29" w:name="_Toc127198218"/>
      <w:r>
        <w:rPr>
          <w:sz w:val="24"/>
          <w:szCs w:val="24"/>
        </w:rPr>
        <w:t xml:space="preserve">Таблица 3. Требования к </w:t>
      </w:r>
      <w:r>
        <w:rPr>
          <w:sz w:val="24"/>
          <w:szCs w:val="24"/>
          <w:lang w:val="ru-RU"/>
        </w:rPr>
        <w:t>качеству услуг</w:t>
      </w:r>
      <w:bookmarkEnd w:id="29"/>
      <w:r>
        <w:rPr>
          <w:sz w:val="24"/>
          <w:szCs w:val="24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i/>
          <w:color w:val="000000" w:themeColor="text1"/>
          <w:sz w:val="24"/>
          <w:szCs w:val="24"/>
        </w:rPr>
        <w:t xml:space="preserve">в соответствии с Таблицей 1 ТТ «Перечень и объем оказываемых услуг» </w:t>
      </w:r>
    </w:p>
    <w:tbl>
      <w:tblPr>
        <w:tblStyle w:val="affffa"/>
        <w:tblW w:w="1034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7"/>
        <w:gridCol w:w="1695"/>
        <w:gridCol w:w="149"/>
        <w:gridCol w:w="7657"/>
      </w:tblGrid>
      <w:tr>
        <w:trPr>
          <w:trHeight w:val="580" w:hRule="atLeast"/>
        </w:trPr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6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6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/>
              <w:contextualSpacing/>
              <w:jc w:val="center"/>
              <w:outlineLvl w:val="1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bookmarkStart w:id="30" w:name="_Toc127198219"/>
            <w:bookmarkEnd w:id="30"/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1"/>
              <w:rPr>
                <w:sz w:val="24"/>
                <w:szCs w:val="24"/>
              </w:rPr>
            </w:pPr>
            <w:bookmarkStart w:id="31" w:name="_Toc127198220"/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  <w:bookmarkEnd w:id="31"/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1.1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360" w:left="360"/>
              <w:contextualSpacing/>
              <w:jc w:val="both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3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tabs>
                <w:tab w:val="clear" w:pos="720"/>
                <w:tab w:val="left" w:pos="567" w:leader="none"/>
              </w:tabs>
              <w:suppressAutoHyphens w:val="true"/>
              <w:spacing w:before="0" w:after="0"/>
              <w:ind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Услуги по ТО ТС должны включать работы: по диагностике, замене запчастей, ремонту и техническому обслуживанию транспортных средств Заказчика, согласно Перечня автотранспортных средств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360" w:left="360"/>
              <w:contextualSpacing/>
              <w:jc w:val="both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184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и место оказания услуг</w:t>
            </w:r>
          </w:p>
        </w:tc>
        <w:tc>
          <w:tcPr>
            <w:tcW w:w="7657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20"/>
                <w:tab w:val="left" w:pos="567" w:leader="none"/>
              </w:tabs>
              <w:suppressAutoHyphens w:val="true"/>
              <w:spacing w:before="0" w:after="0"/>
              <w:ind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Оказываемые услуги (работы) по ремонту и техническому обслуживанию ТС, проводятся на сервисной базе Исполнителя, на территории Республики Северная Осетия-Алания с использованием собственного оборудования, расходных материалов и запасных частей Исполнителя.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567" w:leader="none"/>
              </w:tabs>
              <w:suppressAutoHyphens w:val="true"/>
              <w:spacing w:before="0" w:after="0"/>
              <w:ind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Фактический объем услуг определяется Заказчиком, исходя из его потребностей, на основании поданных заказ-нарядов.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1.2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>
          <w:trHeight w:val="1923" w:hRule="atLeast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06" w:leader="none"/>
              </w:tabs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7657" w:type="dxa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  <w:tab w:val="left" w:pos="567" w:leader="none"/>
              </w:tabs>
              <w:suppressAutoHyphens w:val="true"/>
              <w:spacing w:before="0" w:after="0"/>
              <w:ind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Услуги должны быть выполнены в соответствии с РД 03112178-1023-99. «Сборник норм времени на техническое обслуживание и ремонт легковых, грузовых автомобилей и автобусов» и соответствовать государственным стандартам, техническим условиям, сертификатам качества, иной нормативно-технической документации, подтверждающей качество продукции.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1.3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при оказании услуг должен использовать оригинальные запасные части, смазочные и других эксплуатационные и расходные материалы.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Запасные части, расходные материалы должны быть новыми, не иметь дефектов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1.4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иметь квалифицированный и аттестованный, на оказываемые услуги  персонал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оказании услуг персонал должен соблюдать правила и инструкции по охране труда,  пожарной и электробезопасности.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2.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2.1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прошедшие техническое обслуживание и ремонт должны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 (Постановление Правительства РФ от 23.10.1993г. №1090 «О  правилах дорожного движения»).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2.2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5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2.2.1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Palatino Linotype" w:cs="Times New Roman"/>
                <w:kern w:val="0"/>
                <w:sz w:val="24"/>
                <w:szCs w:val="24"/>
                <w:lang w:val="ru-RU" w:eastAsia="en-US" w:bidi="ar-SA"/>
              </w:rPr>
              <w:t>Исполнитель обязан предоставлять гарантию на установленные запасные части, детали, агрегаты в течение срока гарантии, установленной заводом – изготовителем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2.3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695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услуг</w:t>
            </w:r>
          </w:p>
        </w:tc>
        <w:tc>
          <w:tcPr>
            <w:tcW w:w="780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считаются оказанными Исполнителем и принятыми Заказчиком с момента подписания Сторонами Акта сдачи-приемки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2.4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6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Оформление документов</w:t>
            </w:r>
          </w:p>
        </w:tc>
        <w:tc>
          <w:tcPr>
            <w:tcW w:w="78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сдачи-приемки Услуг в 2-х экземплярах должен быть представлен Исполнителем по окончанию ремонта ТС в месяце, в  котором они были оказаны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3.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337" w:hRule="atLeast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ind w:left="17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3.1</w:t>
            </w:r>
          </w:p>
        </w:tc>
        <w:tc>
          <w:tcPr>
            <w:tcW w:w="169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соблюдать</w:t>
            </w:r>
          </w:p>
        </w:tc>
        <w:tc>
          <w:tcPr>
            <w:tcW w:w="780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по охране труда на автомобильном транспорте (утв. Приказом Минтруда России от 18.12.2020 №871н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ind w:left="17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3.2</w:t>
            </w:r>
          </w:p>
        </w:tc>
        <w:tc>
          <w:tcPr>
            <w:tcW w:w="169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80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Санитарные правила и нормы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(утв. постановлением Главного государственного санитарного врача Российской Федерации от 28 января 2021 года N 3</w:t>
            </w:r>
          </w:p>
        </w:tc>
      </w:tr>
      <w:tr>
        <w:trPr>
          <w:trHeight w:val="673" w:hRule="atLeast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uppressAutoHyphens w:val="true"/>
              <w:spacing w:before="0" w:after="0"/>
              <w:ind w:left="-57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   </w:t>
            </w:r>
            <w:r>
              <w:rPr>
                <w:rFonts w:cs="Times New Roman"/>
                <w:kern w:val="0"/>
                <w:lang w:val="ru-RU" w:eastAsia="ru-RU" w:bidi="ar-SA"/>
              </w:rPr>
              <w:t>3.3</w:t>
            </w:r>
          </w:p>
        </w:tc>
        <w:tc>
          <w:tcPr>
            <w:tcW w:w="1695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780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Законодательство РФ при эксплуатации, обслуживании и предоставлении транспортных средств, подъемных сооружении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4.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20"/>
                <w:tab w:val="left" w:pos="232" w:leader="none"/>
              </w:tabs>
              <w:suppressAutoHyphens w:val="true"/>
              <w:spacing w:before="0" w:after="0"/>
              <w:ind w:left="-113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    </w:t>
            </w:r>
            <w:r>
              <w:rPr>
                <w:rFonts w:cs="Times New Roman"/>
                <w:kern w:val="0"/>
                <w:lang w:val="ru-RU" w:eastAsia="ru-RU" w:bidi="ar-SA"/>
              </w:rPr>
              <w:t>4.1</w:t>
            </w:r>
          </w:p>
        </w:tc>
        <w:tc>
          <w:tcPr>
            <w:tcW w:w="16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</w:t>
            </w:r>
          </w:p>
        </w:tc>
        <w:tc>
          <w:tcPr>
            <w:tcW w:w="780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на оказание услуг (работ) по ТО и ремонту транспортных средств;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Отсутствие признаков банкротства;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Отсутствие просроченной задолженности перед бюджетами всех уровней и внебюджетными фондами.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Отсутствие текущих судебных дел с Контрагентами по заключенным договорам.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5.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>
          <w:trHeight w:val="417" w:hRule="atLeast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5.1</w:t>
            </w:r>
          </w:p>
        </w:tc>
        <w:tc>
          <w:tcPr>
            <w:tcW w:w="16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иметь</w:t>
            </w:r>
          </w:p>
        </w:tc>
        <w:tc>
          <w:tcPr>
            <w:tcW w:w="780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Автосервис  в собственности или на правах аренды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6.</w:t>
            </w:r>
          </w:p>
        </w:tc>
        <w:tc>
          <w:tcPr>
            <w:tcW w:w="950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6.1</w:t>
            </w:r>
          </w:p>
        </w:tc>
        <w:tc>
          <w:tcPr>
            <w:tcW w:w="1695" w:type="dxa"/>
            <w:tcBorders/>
            <w:vAlign w:val="center"/>
          </w:tcPr>
          <w:p>
            <w:pPr>
              <w:pStyle w:val="Style30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за 1 нормо/час</w:t>
            </w:r>
          </w:p>
        </w:tc>
        <w:tc>
          <w:tcPr>
            <w:tcW w:w="7806" w:type="dxa"/>
            <w:gridSpan w:val="2"/>
            <w:tcBorders/>
            <w:vAlign w:val="center"/>
          </w:tcPr>
          <w:p>
            <w:pPr>
              <w:pStyle w:val="Style30"/>
              <w:keepNext w:val="false"/>
              <w:widowControl w:val="false"/>
              <w:suppressAutoHyphens w:val="true"/>
              <w:spacing w:before="0" w:after="6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П</w:t>
            </w:r>
            <w:bookmarkStart w:id="32" w:name="_Toc125982018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о каждой единице ТС является фиксированной ценой на протяжении всего срока действия договора</w:t>
            </w:r>
            <w:bookmarkEnd w:id="32"/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Heading1"/>
        <w:numPr>
          <w:ilvl w:val="0"/>
          <w:numId w:val="3"/>
        </w:numPr>
        <w:spacing w:before="0" w:after="0"/>
        <w:ind w:hanging="4188" w:left="0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spacing w:lineRule="auto" w:line="240"/>
        <w:rPr/>
      </w:pPr>
      <w:r>
        <w:rPr/>
      </w:r>
    </w:p>
    <w:sectPr>
      <w:headerReference w:type="even" r:id="rId2"/>
      <w:headerReference w:type="default" r:id="rId3"/>
      <w:footerReference w:type="default" r:id="rId4"/>
      <w:type w:val="nextPage"/>
      <w:pgSz w:w="11906" w:h="16838"/>
      <w:pgMar w:left="1134" w:right="851" w:gutter="0" w:header="0" w:top="567" w:footer="0" w:bottom="56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11367991"/>
    </w:sdtPr>
    <w:sdtContent>
      <w:p>
        <w:pPr>
          <w:pStyle w:val="Footer"/>
          <w:jc w:val="right"/>
          <w:rPr>
            <w:sz w:val="24"/>
            <w:szCs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i w:val="false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1.1.%1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1.2.%1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/>
    </w:lvl>
  </w:abstractNum>
  <w:abstractNum w:abstractNumId="9">
    <w:lvl w:ilvl="0">
      <w:start w:val="1"/>
      <w:numFmt w:val="decimal"/>
      <w:lvlText w:val="1.3.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1.4.%1"/>
      <w:lvlJc w:val="left"/>
      <w:pPr>
        <w:tabs>
          <w:tab w:val="num" w:pos="0"/>
        </w:tabs>
        <w:ind w:left="74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6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8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0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2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4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6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8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05" w:hanging="180"/>
      </w:pPr>
      <w:rPr/>
    </w:lvl>
  </w:abstractNum>
  <w:abstractNum w:abstractNumId="11">
    <w:lvl w:ilvl="0">
      <w:start w:val="1"/>
      <w:numFmt w:val="decimal"/>
      <w:lvlText w:val="2.1.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2.4.%1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2.3.%1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2a3f50"/>
    <w:pPr>
      <w:keepNext w:val="true"/>
      <w:tabs>
        <w:tab w:val="clear" w:pos="720"/>
        <w:tab w:val="left" w:pos="0" w:leader="none"/>
        <w:tab w:val="left" w:pos="567" w:leader="none"/>
        <w:tab w:val="left" w:pos="851" w:leader="none"/>
      </w:tabs>
      <w:spacing w:before="120" w:after="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2a3f50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3c12f6"/>
    <w:rPr>
      <w:sz w:val="28"/>
      <w:szCs w:val="28"/>
      <w:shd w:fill="FFFFFF" w:val="clear"/>
    </w:rPr>
  </w:style>
  <w:style w:type="character" w:styleId="Style15" w:customStyle="1">
    <w:name w:val="Нижний колонтитул Знак"/>
    <w:basedOn w:val="DefaultParagraphFont"/>
    <w:uiPriority w:val="99"/>
    <w:qFormat/>
    <w:rsid w:val="00fc560b"/>
    <w:rPr>
      <w:sz w:val="28"/>
      <w:szCs w:val="28"/>
    </w:rPr>
  </w:style>
  <w:style w:type="character" w:styleId="Style16" w:customStyle="1">
    <w:name w:val="Основной текст + Малые прописные"/>
    <w:uiPriority w:val="99"/>
    <w:qFormat/>
    <w:rsid w:val="00932916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7" w:customStyle="1">
    <w:name w:val="Ссылка указателя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371bc6"/>
    <w:pPr>
      <w:tabs>
        <w:tab w:val="clear" w:pos="720"/>
        <w:tab w:val="left" w:pos="567" w:leader="none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371bc6"/>
    <w:pPr>
      <w:tabs>
        <w:tab w:val="clear" w:pos="720"/>
        <w:tab w:val="left" w:pos="560" w:leader="none"/>
        <w:tab w:val="right" w:pos="9911" w:leader="dot"/>
      </w:tabs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20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99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3c12f6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2d5c4a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9C31F-ADD5-41C9-BB9E-CAB107A10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AlterOffice/2026.2.1.0$Linux_X86_64 LibreOffice_project/f008988ffacaa0b2bf57911c2759d08ca79831df</Application>
  <AppVersion>15.0000</AppVersion>
  <Pages>5</Pages>
  <Words>936</Words>
  <Characters>6573</Characters>
  <CharactersWithSpaces>7383</CharactersWithSpaces>
  <Paragraphs>157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2026-10-13T07:44:00Z</dcterms:created>
  <dc:creator>Быстров Олег Геннадьевич</dc:creator>
  <dc:description/>
  <dc:language>ru-RU</dc:language>
  <cp:lastModifiedBy>velikosvyatnn@corp.gidroogk.com</cp:lastModifiedBy>
  <cp:lastPrinted>2023-02-13T05:20:00Z</cp:lastPrinted>
  <dcterms:modified xsi:type="dcterms:W3CDTF">2026-10-14T16:31:02Z</dcterms:modified>
  <cp:revision>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