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ind w:firstLine="851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Heading1"/>
        <w:widowControl w:val="false"/>
        <w:spacing w:lineRule="auto" w:line="264"/>
        <w:jc w:val="center"/>
        <w:rPr/>
      </w:pPr>
      <w:r>
        <w:rPr>
          <w:b w:val="false"/>
          <w:color w:val="000000"/>
          <w:lang w:eastAsia="ru-RU"/>
        </w:rPr>
        <w:t>ОКПД 2: 26.20.40.111 «Поставка источников бесперебойного питания для нужд Кубанского филиала»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ЛОТ № 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spacing w:lineRule="auto" w:line="264"/>
        <w:ind w:firstLine="851" w:left="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2"/>
            <w:shd w:fill="FFFFFF" w:val="clear"/>
            <w:rPr>
              <w:rFonts w:ascii="Times New Roman" w:hAnsi="Times New Roman" w:cs="Times New Roman"/>
              <w:b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instrText xml:space="preserve"> TOC \o "1-3" \h</w:instrText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fldChar w:fldCharType="separate"/>
          </w:r>
          <w:r>
            <w:rPr>
              <w:rFonts w:cs="Times New Roman" w:ascii="Times New Roman" w:hAnsi="Times New Roman"/>
              <w:b/>
              <w:sz w:val="24"/>
              <w:szCs w:val="24"/>
              <w:lang w:eastAsia="ru-RU"/>
            </w:rPr>
          </w:r>
        </w:p>
        <w:p>
          <w:pPr>
            <w:pStyle w:val="Normal"/>
            <w:widowControl w:val="false"/>
            <w:numPr>
              <w:ilvl w:val="0"/>
              <w:numId w:val="0"/>
            </w:numPr>
            <w:shd w:val="clear" w:color="auto" w:fill="FFFFFF"/>
            <w:spacing w:lineRule="auto" w:line="264"/>
            <w:ind w:firstLine="851" w:left="0"/>
            <w:jc w:val="center"/>
            <w:outlineLvl w:val="1"/>
            <w:rPr>
              <w:rFonts w:ascii="Times New Roman" w:hAnsi="Times New Roman"/>
              <w:sz w:val="24"/>
              <w:szCs w:val="24"/>
            </w:rPr>
          </w:pPr>
          <w:bookmarkStart w:id="0" w:name="_Toc125476049"/>
          <w:r>
            <w:rPr>
              <w:rFonts w:eastAsia="Times New Roman" w:ascii="Times New Roman" w:hAnsi="Times New Roman"/>
              <w:b/>
              <w:bCs/>
              <w:sz w:val="24"/>
              <w:szCs w:val="24"/>
              <w:lang w:eastAsia="ar-SA"/>
            </w:rPr>
            <w:t>СОДЕРЖАНИЕ</w:t>
          </w:r>
          <w:bookmarkEnd w:id="0"/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1.Общие сведения</w:t>
            <w:tab/>
            <w:t>3</w:t>
          </w:r>
        </w:p>
        <w:p>
          <w:pPr>
            <w:pStyle w:val="TOC2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1.1.</w:t>
            <w:tab/>
            <w:t>Наименование закупаемой продукции.</w:t>
            <w:tab/>
            <w:t>3</w:t>
          </w:r>
        </w:p>
        <w:p>
          <w:pPr>
            <w:pStyle w:val="TOC2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 xml:space="preserve"> </w:t>
          </w: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1.2.</w:t>
            <w:tab/>
            <w:t>Цель использования закупаемой продукции.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2.Требования к продукции.</w:t>
            <w:tab/>
            <w:t>3</w:t>
          </w:r>
        </w:p>
        <w:p>
          <w:pPr>
            <w:pStyle w:val="TOC3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2.1.1</w:t>
            <w:tab/>
            <w:t>Перечень и объем закупаемой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1.1 Перечень и объем закупаемой продукции</w:t>
            <w:tab/>
            <w:t>3</w:t>
          </w:r>
        </w:p>
        <w:p>
          <w:pPr>
            <w:pStyle w:val="TOC3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2.1.2</w:t>
            <w:tab/>
            <w:t>Требования к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2.1 Требования по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2.2 Требование к качеству продукции…………………………………………………………..………3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3. Требования к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3.Требования к документации по ценообразованию на этапе закупки.</w:t>
            <w:tab/>
            <w:t>7</w:t>
          </w:r>
          <w:r>
            <w:rPr>
              <w:sz w:val="24"/>
              <w:b w:val="false"/>
              <w:shd w:fill="FFFFFF" w:val="clear"/>
              <w:szCs w:val="24"/>
              <w:color w:val="000000"/>
            </w:rPr>
            <w:fldChar w:fldCharType="end"/>
          </w:r>
        </w:p>
      </w:sdtContent>
    </w:sdt>
    <w:p>
      <w:pPr>
        <w:pStyle w:val="TOC1"/>
        <w:rPr>
          <w:lang w:eastAsia="ar-SA"/>
        </w:rPr>
      </w:pPr>
      <w:r>
        <w:rPr>
          <w:lang w:eastAsia="ar-SA"/>
        </w:rPr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jc w:val="center"/>
        <w:rPr>
          <w:sz w:val="24"/>
          <w:szCs w:val="24"/>
        </w:rPr>
      </w:pPr>
      <w:bookmarkStart w:id="1" w:name="_Toc75446566"/>
      <w:bookmarkStart w:id="2" w:name="_Toc125476050"/>
      <w:bookmarkStart w:id="3" w:name="_Toc125473240"/>
      <w:bookmarkStart w:id="4" w:name="_Toc51339692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ListParagraph"/>
        <w:widowControl w:val="false"/>
        <w:numPr>
          <w:ilvl w:val="0"/>
          <w:numId w:val="0"/>
        </w:numPr>
        <w:spacing w:before="0" w:after="0"/>
        <w:ind w:hanging="0" w:left="0"/>
        <w:contextualSpacing/>
        <w:outlineLvl w:val="1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ОКПД 2: 26.20.40.111 «Поставка источников бесперебойного питания для нужд Кубанского филиала» (далее продукция).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spacing w:before="0" w:after="0"/>
        <w:ind w:hanging="0" w:left="0"/>
        <w:contextualSpacing/>
        <w:outlineLvl w:val="1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1.2. </w:t>
      </w: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Исполнение Договора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№ 20-ККГЭС-СМР-2022 от 30.06.2022г «Выполнение работ по созданию комплексной системы безопасности на ГАЭС Каскада </w:t>
      </w:r>
      <w:r>
        <w:rPr>
          <w:rFonts w:eastAsia="Times New Roman" w:cs="Times New Roman" w:ascii="Times New Roman" w:hAnsi="Times New Roman"/>
          <w:bCs/>
          <w:sz w:val="24"/>
          <w:szCs w:val="24"/>
          <w:shd w:fill="FFFFFF" w:val="clear"/>
          <w:lang w:eastAsia="ar-SA"/>
        </w:rPr>
        <w:t>Кубанских ГЭС</w:t>
      </w:r>
      <w:r>
        <w:rPr>
          <w:rFonts w:eastAsia="Times New Roman" w:cs="Times New Roman" w:ascii="Times New Roman" w:hAnsi="Times New Roman"/>
          <w:bCs/>
          <w:sz w:val="24"/>
          <w:szCs w:val="24"/>
          <w:shd w:fill="FFFFFF" w:val="clear"/>
          <w:lang w:eastAsia="ru-RU"/>
        </w:rPr>
        <w:t>, заключенного между ПАО «Федеральная гидрогенерирующая компания – РусГидро» и АО «Гидроремонт-ВКК».</w:t>
      </w:r>
      <w:bookmarkStart w:id="9" w:name="_Toc125473249"/>
      <w:bookmarkStart w:id="10" w:name="_Toc125476056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rPr>
          <w:rFonts w:ascii="Times New Roman" w:hAnsi="Times New Roman" w:eastAsia="Times New Roman" w:cs="Times New Roman"/>
          <w:bCs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shd w:fill="FFFFFF" w:val="clear"/>
          <w:lang w:eastAsia="ru-RU"/>
        </w:rPr>
      </w:r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bookmarkStart w:id="13" w:name="_Toc75446574"/>
      <w:r>
        <w:rPr>
          <w:b w:val="false"/>
          <w:bCs w:val="false"/>
        </w:rPr>
        <w:t xml:space="preserve"> </w:t>
      </w:r>
      <w:r>
        <w:rPr>
          <w:bCs w:val="false"/>
        </w:rPr>
        <w:t>Требования к объемам и срокам постав</w:t>
      </w:r>
      <w:r>
        <w:rPr/>
        <w:t>ки</w:t>
      </w:r>
      <w:bookmarkEnd w:id="13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bookmarkStart w:id="14" w:name="_Toc75446575"/>
      <w:bookmarkStart w:id="15" w:name="_Toc125473250"/>
      <w:bookmarkStart w:id="16" w:name="_Toc125476057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17" w:name="_Toc75446576"/>
      <w:bookmarkStart w:id="18" w:name="_Toc125476058"/>
      <w:bookmarkStart w:id="19" w:name="_Toc125473251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107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0"/>
        <w:gridCol w:w="6470"/>
        <w:gridCol w:w="1349"/>
        <w:gridCol w:w="1557"/>
      </w:tblGrid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Телекоммуникационный шкаф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Онлайн ИБП 10 кВА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Онлайн ИБП 15 кВА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00" w:val="clear"/>
              </w:rPr>
            </w:r>
          </w:p>
        </w:tc>
        <w:tc>
          <w:tcPr>
            <w:tcW w:w="6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Батарейный модуль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00" w:val="clear"/>
              </w:rPr>
            </w:r>
          </w:p>
        </w:tc>
        <w:tc>
          <w:tcPr>
            <w:tcW w:w="6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Карта удаленного управления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00" w:val="clear"/>
              </w:rPr>
            </w:r>
          </w:p>
        </w:tc>
        <w:tc>
          <w:tcPr>
            <w:tcW w:w="6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Монтажный комплект рельс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</w:tr>
      <w:tr>
        <w:trPr/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00" w:val="clear"/>
              </w:rPr>
            </w:r>
          </w:p>
        </w:tc>
        <w:tc>
          <w:tcPr>
            <w:tcW w:w="6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Блок байпас ББ-380/10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00" w:val="clear"/>
              </w:rPr>
            </w:r>
          </w:p>
        </w:tc>
        <w:tc>
          <w:tcPr>
            <w:tcW w:w="6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Блок байпас ББ-380/15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Таблица 1.2 Перечень и объем закупаемых сопутствующих услуг</w:t>
      </w:r>
    </w:p>
    <w:tbl>
      <w:tblPr>
        <w:tblW w:w="10207" w:type="dxa"/>
        <w:jc w:val="left"/>
        <w:tblInd w:w="-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6520"/>
        <w:gridCol w:w="1422"/>
        <w:gridCol w:w="1413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Наименование услуг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Ед. измерения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Количество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  <w:t>4</w:t>
            </w:r>
          </w:p>
        </w:tc>
      </w:tr>
      <w:tr>
        <w:trPr>
          <w:trHeight w:val="454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x-none"/>
              </w:rPr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Услуга шефмонтажа оборудования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усл. </w:t>
            </w:r>
            <w:r>
              <w:rPr>
                <w:rFonts w:ascii="Times New Roman" w:hAnsi="Times New Roman"/>
                <w:sz w:val="24"/>
                <w:szCs w:val="24"/>
                <w:lang w:val="en-US" w:eastAsia="x-none"/>
              </w:rPr>
              <w:t>ед.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x-none"/>
              </w:rPr>
              <w:t>4</w:t>
            </w:r>
          </w:p>
        </w:tc>
      </w:tr>
      <w:tr>
        <w:trPr>
          <w:trHeight w:val="419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Услуга шефналадки оборудования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усл. </w:t>
            </w:r>
            <w:r>
              <w:rPr>
                <w:rFonts w:ascii="Times New Roman" w:hAnsi="Times New Roman"/>
                <w:sz w:val="24"/>
                <w:szCs w:val="24"/>
                <w:lang w:val="en-US" w:eastAsia="x-none"/>
              </w:rPr>
              <w:t>ед.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x-none"/>
              </w:rPr>
              <w:t>4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21" w:name="_Toc125473253"/>
      <w:bookmarkStart w:id="22" w:name="_Toc75446579"/>
      <w:bookmarkStart w:id="23" w:name="_Toc125476060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140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5"/>
        <w:gridCol w:w="2867"/>
        <w:gridCol w:w="2835"/>
        <w:gridCol w:w="3672"/>
      </w:tblGrid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1348" w:hRule="atLeast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contextualSpacing/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ОКПД 2: 26.20.40.111 «Поставка источников бесперебойного питания для нужд Кубанского филиала».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календарных дней с даты подписания договора</w:t>
            </w:r>
          </w:p>
        </w:tc>
      </w:tr>
      <w:tr>
        <w:trPr>
          <w:trHeight w:val="1348" w:hRule="atLeast"/>
        </w:trPr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 шефмонтажа оборудования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10 календарных дней с даты направления заявки</w:t>
            </w:r>
          </w:p>
        </w:tc>
        <w:tc>
          <w:tcPr>
            <w:tcW w:w="3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45 календарных дней с даты направления заявки</w:t>
            </w:r>
          </w:p>
        </w:tc>
      </w:tr>
      <w:tr>
        <w:trPr>
          <w:trHeight w:val="1348" w:hRule="atLeast"/>
        </w:trPr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 шефналадки оборудования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10 календарных дней с даты направления заявки</w:t>
            </w:r>
          </w:p>
        </w:tc>
        <w:tc>
          <w:tcPr>
            <w:tcW w:w="3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45 календарных дней с даты направления заявки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r>
        <w:rPr/>
        <w:t xml:space="preserve"> </w:t>
      </w:r>
      <w:bookmarkStart w:id="27" w:name="_Toc125473255"/>
      <w:bookmarkStart w:id="28" w:name="_Toc125476061"/>
      <w:r>
        <w:rPr/>
        <w:t>Требования к качеству продукции</w:t>
      </w:r>
      <w:bookmarkEnd w:id="27"/>
      <w:bookmarkEnd w:id="28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29" w:name="_Toc125476062"/>
      <w:bookmarkStart w:id="30" w:name="_Toc125473256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3. Требования к </w:t>
      </w:r>
      <w:r>
        <w:rPr>
          <w:rFonts w:cs="Times New Roman" w:ascii="Times New Roman" w:hAnsi="Times New Roman"/>
          <w:b/>
          <w:sz w:val="24"/>
          <w:szCs w:val="24"/>
          <w:shd w:fill="auto" w:val="clear"/>
          <w:lang w:eastAsia="x-none"/>
        </w:rPr>
        <w:t xml:space="preserve">качеству </w:t>
      </w:r>
      <w:r>
        <w:rPr>
          <w:rFonts w:cs="Times New Roman" w:ascii="Times New Roman" w:hAnsi="Times New Roman"/>
          <w:b/>
          <w:sz w:val="24"/>
          <w:szCs w:val="24"/>
          <w:shd w:fill="auto" w:val="clear"/>
          <w:lang w:val="x-none" w:eastAsia="x-none"/>
        </w:rPr>
        <w:t>продукции</w:t>
      </w:r>
      <w:bookmarkEnd w:id="29"/>
      <w:bookmarkEnd w:id="30"/>
      <w:r>
        <w:rPr>
          <w:rFonts w:cs="Times New Roman" w:ascii="Times New Roman" w:hAnsi="Times New Roman"/>
          <w:b/>
          <w:sz w:val="24"/>
          <w:szCs w:val="24"/>
          <w:shd w:fill="auto" w:val="clear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31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shd w:fill="auto" w:val="clear"/>
          <w:lang w:eastAsia="ar-SA"/>
        </w:rPr>
        <w:t>Наименование продукции: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shd w:fill="auto" w:val="clear"/>
          <w:lang w:eastAsia="ar-SA"/>
        </w:rPr>
        <w:t xml:space="preserve">  согласно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 xml:space="preserve">Таблицы 1.1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«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  <w:lang w:eastAsia="x-none"/>
        </w:rPr>
        <w:t>Перечень и объем закупаемой продукции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»</w:t>
      </w:r>
      <w:bookmarkEnd w:id="31"/>
    </w:p>
    <w:tbl>
      <w:tblPr>
        <w:tblW w:w="10157" w:type="dxa"/>
        <w:jc w:val="left"/>
        <w:tblInd w:w="4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793"/>
        <w:gridCol w:w="1333"/>
        <w:gridCol w:w="143"/>
        <w:gridCol w:w="1721"/>
        <w:gridCol w:w="2521"/>
        <w:gridCol w:w="1988"/>
        <w:gridCol w:w="1658"/>
      </w:tblGrid>
      <w:tr>
        <w:trPr/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9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 продукции</w:t>
            </w:r>
          </w:p>
        </w:tc>
        <w:tc>
          <w:tcPr>
            <w:tcW w:w="3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9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97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>
        <w:trPr>
          <w:trHeight w:val="658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ind w:left="-11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Участник должен представить в заявке согласие поставить продукцию, полностью соответствую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6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Телекоммуникационный шкаф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«Парус электро»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ШАТ-27U/1000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Высота стойки для оборудования, U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Глубина, мм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Комплектация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Передняя и задняя дверь с замком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Нагрузочная способность, кг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51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Онлайн ИБП 10кВА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«Парус электро»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Модель ИБП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СИП380А10КД.10-33/БПС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Полная мощность, кВА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1.2.4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Hyperlink"/>
                <w:rFonts w:ascii="Times New Roman" w:hAnsi="Times New Roman"/>
                <w:color w:val="000000"/>
                <w:sz w:val="24"/>
                <w:szCs w:val="24"/>
                <w:u w:val="none"/>
              </w:rPr>
              <w:t>Фазы на входе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/>
            </w:pPr>
            <w:hyperlink r:id="rId2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3</w:t>
              </w:r>
            </w:hyperlink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1.2.5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Фазы на выходе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/>
            </w:pPr>
            <w:r>
              <w:rPr>
                <w:rStyle w:val="Hyperlink"/>
                <w:rFonts w:ascii="Times New Roman" w:hAnsi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1.2.6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Номинальное входное напряжение,В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380, 400, 415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1.2.7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Номинальный входной ток, А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1.2.8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Входной коэффициент мощности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0,99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1.2.9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Защита от всплесков напряжения, джоуль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1.2.10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Интерфейсные порты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RS232/485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Внутренний слот для карты управления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Есть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Онлайн ИБП 15кВА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«Парус электро»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Модель ИБП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СИП380А15КД.10-33/БПС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Полная мощность, кВА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Hyperlink"/>
                <w:rFonts w:ascii="Times New Roman" w:hAnsi="Times New Roman"/>
                <w:color w:val="000000"/>
                <w:sz w:val="24"/>
                <w:szCs w:val="24"/>
                <w:u w:val="none"/>
              </w:rPr>
              <w:t>Фазы на входе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1.3.5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Фазы на выходе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1.3.6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Номинальное входное напряжение,В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380, 400, 415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1.3.7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Номинальный входной ток, А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1.3.8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Входной коэффициент мощности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0,99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1.3.9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Защита от всплесков напряжения, джоуль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1.3.10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Интерфейсные порты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RS232/485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1.3.11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Внутренний слот для карты управления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Есть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Батарейный модуль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«Парус электро»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БМСИПБ15-20КД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аккумуляторных батарей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Свинцово-кислотные герметизированные с защитой от утечки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Максимальная ёмкость АКБ, Ач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встроенных АКБ, шт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1.4.6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Напряжение на шине постоянного тока, В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1.5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Карта удаленного управления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«Парус электро»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1.5.2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NetAgent CB506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1.5.3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Протоколы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'http, https, IPv.4, IPv.6, SNMP v.1/v.2с/v.3, TCP/IP, SMTP, SSL(2048бит)/TLS, SSH, SNTP, DHCP, Telnet, BOOTP, DNS, DDNS, PPPoE, Radius, Modbus по TCP/IP, BACnet, Syslog, LDAP'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1.5.4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установки во внутренний слот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1.5.5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Разъемы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 x RJ45 Ethernet 10/100/1000M UTP, USB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1.6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Монтажный комплект рельс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«Парус электро»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1.6.2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Rail Kit 19" 3U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1" w:hRule="atLeast"/>
        </w:trPr>
        <w:tc>
          <w:tcPr>
            <w:tcW w:w="79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1.6.3</w:t>
            </w:r>
          </w:p>
        </w:tc>
        <w:tc>
          <w:tcPr>
            <w:tcW w:w="3197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Комплектация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левая направляющая- 1 шт,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1" w:hRule="atLeast"/>
        </w:trPr>
        <w:tc>
          <w:tcPr>
            <w:tcW w:w="79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197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правая направляющая- 1 шт,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71" w:hRule="atLeast"/>
        </w:trPr>
        <w:tc>
          <w:tcPr>
            <w:tcW w:w="79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197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крепежный комплект- 1 шт.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1.6.4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Нагрузочная способность, кг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1.7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Блок байпас ББ-380/10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«Парус электро»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1.7.2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ББ-380/10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1.7.3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Номинальное напряжение, В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380/400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1.7.4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размещения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19-ти дюймовая стойка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1.7.5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Суммарная мощность потребителей, кВА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1.8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Блок байпас ББ-380/15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«Парус электро»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1.8.2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Модель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ББ-380/15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1.8.3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Номинальное напряжение, В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380/400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1.8.4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размещения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19-ти дюймовая стойка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1.8.5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Суммарная мощность потребителей, кВА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9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Гарантия, не менее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 (тридцать шесть) месяцев, исчисляемый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Требования к сопу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т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ствующим услугам: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pacing w:before="0"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Требования к шефмонтажу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4.1.1.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сопутствующих услуг по шеф-монтажу должна быть включена в стоимость оборудования.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4.1.2.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оказания услуг по шеф-монтажу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Россия, Карачаево-Черкесская Республика, Прикубанский район  п. Водораздельный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4.1.3.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 выполняются в соответствии с документацией: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Правила по охране труда при эксплуатации электроустановок, утвержденные приказом Минтруда России от 15.12.2020 № 903н;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Правила по охране труда при работе на высоте, утвержденные Приказом Минтруда России №782н от 16.11.2020;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Правила технической эксплуатации электрических станций и сетей Российской Федерации, утвержденные Приказом Минэнерго России №1070 от 04.10.2022;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Правила устройства электроустановок, издание 7-е, утвержденные приказом Минэнерго России от 08.07.2002 № 204;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Приказ Минтруда РФ от 28.10.2020 № 753н «Об утверждении Правил по охране труда при погрузочно-разгрузочных работах и размещении грузов»;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РД 34.03.204 «Правила безопасности при работе с инструментом и приспособлениями»;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РД-153-34.0-03.301-00 (ВППБ 01-02-95) Правила пожарной безопасности для энергетических предприятий;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Положение о Технической политике ПАО «РусГидро»;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Свод правил 76.13330.2016 «Электротехнические устройства»;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Объемы и нормы испытаний электрооборудования СТО 34.01</w:t>
              <w:noBreakHyphen/>
              <w:t>23.1</w:t>
              <w:noBreakHyphen/>
              <w:t>001</w:t>
              <w:noBreakHyphen/>
              <w:t>2017;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Федеральный закон № 89-ФЗ от 24.06.1998 «Об отходах производства и потребления»;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Федеральный закон N 7-ФЗ от 10.01.2002 "Об охране окружающей среды";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0" w:after="200"/>
              <w:ind w:hanging="0" w:left="3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министерства природных ресурсов экологии РФ от 08.12.2020 №1026"О порядке проведения паспортизации отходов I - IV классов опасности" (вместе с "Правилами проведения паспортизации отходов I - IV классов опасности").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4.1.4.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Требование к порядку оказания услуг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ind w:hanging="0" w:left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услуг собственными силами разрабатывает программу ПНР, утверждает ее и согласовывает с Заказчиком. Исполнитель услуг предоставляет на согласование Заказчику программу официальным письмом. Заказчик в течение 7 рабочих дней рассматривает предоставленную Программу проведения испытаний, и официальным письмом уведомляет Исполнителя услуг о согласовании или направляет замечания. Исполнитель услуг, получив замечания, в течение 3 рабочих дней устраняет замечания и направляет официальным письмом на согласование.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ind w:hanging="0" w:left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замечания, указания, предписания надзорных органов, предъявленные Заказчику по качеству выполнения услуг во время выполнения услуг, устраняются Исполнителем услуг в указанные сроки за счет собственных средств.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ind w:hanging="0" w:left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выполнении услуг Исполнителю услуг необходимо: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исключить падение монтируемых конструкций, оборудования;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безопасность персонала Заказчика, собственного персонала, персонала подрядных организаций, находящегося в зоне выполнения работ в период производства услуг;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нести ответственность за сохранность оборудования, механизмов, средств, систем, конструкций, сооружений и транспортных приспособлений Заказчика и подрядных организаций, находящихся в зоне выполнения услуг в период производства услуг.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ind w:hanging="0" w:left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услуг самостоятельно обеспечивает наличие необходимого для выполнения услуг инструмента и приспособлений. Исполнитель работ должен иметь в собственности или на правах аренды весь необходимый для производства услуг инструмент, оборудование, машины и механизмы.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ind w:hanging="0" w:left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Исполнитель услуг обязан соблюдать установленные на предприятии Заказчика противопожарный и внутриобъектовый режимы.</w:t>
            </w:r>
          </w:p>
          <w:p>
            <w:pPr>
              <w:pStyle w:val="ListParagraph"/>
              <w:widowControl w:val="false"/>
              <w:numPr>
                <w:ilvl w:val="3"/>
                <w:numId w:val="7"/>
              </w:numPr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ind w:hanging="0" w:left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Допуск персонала Исполнитель услуг для выполнения услуг осуществляется после: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ind w:left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проведения вводного инструктажа в службе охраны труда и пожарного подразделения на территории Филиала (при проведении инструктажей в обязательном порядке наличие протоколов по проверке знаний для всего персонала, выкопировка из трудовых договоров с подтверждением о занимаемой должности и сроках трудоустройства);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ind w:left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 проведения первичного инструктажа на рабочем месте.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7. Проведение испытаний оборудования выполнить в соответствии с программой и с привлечением персонала Заказчика.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4.1.5.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Допуск персонала Исполнителя для оказания услуг осуществляется в соответствии с Регламентом процесса «Допуск персонала подрядных организаций на объекты ПАО «РусГидро» (утв. приказом ОАО «РусГидро» №300 от 28.04.2023г.)» с обязательным оформлением необходимых нарядов-допусков.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4.1.6.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Требование к информационной безопасности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475" w:leader="none"/>
                <w:tab w:val="left" w:pos="670" w:leader="none"/>
                <w:tab w:val="left" w:pos="8640" w:leader="none"/>
              </w:tabs>
              <w:spacing w:before="0" w:after="200"/>
              <w:ind w:left="1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4.1.7.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персоналу Исполнителя оказывающего услугу, непосредственно связанную с обеспечением безопасности объектов топливно-энергетического комплекса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постановлением Правительства РФ от 09.11.2022 N 2011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"Об утверждении Правил проверки субъектом топливно-энергетического комплекса сведений, указанных в статье 10 Федерального закона "О безопасности объектов топливно-энергетического комплекса", в отношении физических лиц, выполняющих работу, непосредственно связанную с обеспечением безопасности объектов топливно-энергетического комплекса, по трудовым договорам или гражданско-правовым договорам, заключенным с субъектом топливно-энергетического комплекса, и перечня сведений, указанных в статье 10 Федерального закона "О безопасности объектов топливно-энергетического комплекса", представляемых физическими лицами, выполняющими работу, непосредственно связанную с обеспечением безопасности объектов топливно-энергетического комплекса, по трудовым договорам или гражданско-правовым договорам, заключенным с субъектом топливно-энергетического комплекса.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4.1.8.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начала оказания услуг в рамках исполнения договора после его заключения исполнитель предоставляет список персонала с указанием сведений о квалификации персонала, группе по электробезопасности с приложением копий удостоверений на производство специальных видов работ и копий протокола по электробезопасности.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передаче персональных данных Поставщик обязуется передать Покупателю согласие данных лиц на обработку и передачу их персональных данных.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4.1.9.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Результат оказания услуг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 шеф-инженера считаются выполненными с момента подписания акта сдачи-приемки сопутствующих услуг.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4.1.10.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передает заказчику акт приемки-сдачи оказанных услуг в двух экземплярах.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4.1.11.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Требования к ответственности и гарантиям исполнителя на услуги по шеф-наладке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Гарантийный срок на результат услуг по шеф-монтажу должен составлять 36 (тридцать шесть) месяцев с даты подписания акта сдачи-приемки сопутствующих услуг и ввода Продукции в эксплуатацию, но не более 48 (сорока восьми) месяцев с даты подписания Сторонами товарной накладной по форме ТОРГ-12 или Универсального передаточного документа (УПД). Установленный в отношении Продукции Гарантийный срок распространяется на все составные части и комплектующие Продукции.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Требования к шефналадке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4.2.1.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сопутствующих услуг по шеф-наладке должна быть включена в стоимость оборудования.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4.2.2.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оказания услуг по шеф-наладке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Россия, Карачаево-Черкесская Республика, Прикубанский район  п. Водораздельный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4.2.3.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оказании услуг Исполнитель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Правительства РФ от 16.09.2020 №1479. "Правила противопожарного режима в Российской Федерации";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 153-34.03.305-2003 «Инструкция о мерах пожарной безопасности при проведении огневых работ на энергетических предприятиях»;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Межотраслевые правила по охране труда при работе на высоте (Приказ от 16 ноября 2020 года №782н);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и социальной защиты Российской Федерации от 15 декабря 2020 года N 903н об утверждении Правил по охране труда при эксплуатации электроустановок;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27.11.2020 N 833н "Об утверждении Правил по охране труда при размещении, монтаже, техническом обслуживании и ремонте технологического оборудования" (Зарегистрировано в Минюсте России 11.12.2020 N 61413);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Минтруда России от 27.11.2020 N 835н "Об утверждении Правил по охране труда при работе с инструментом и приспособлениями" (Зарегистрировано в Минюсте России 11.12.2020 N 61411);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 охране труда при погрузочно-разгрузочных работах и размещении грузов, утвержденными приказом Минтруда РФ от 28.10.2020 № 753н;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 охране труда при выполнении электросварочных и газосварочных работ, утвержденными приказом Минтруда РФ от      11 декабря 2020 г. № 884н;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 охране труда при эксплуатации электроустановок, утвержденными приказом Минтруда РФ 15.12.2020 № 903н;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 охране труда при размещении, монтаже, техническом обслуживании и ремонте технологического оборудования, утвержденными приказом Минтруда от 27.11.2020 № 833н.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4.2.4.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Требование к порядку оказания услуг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Шеф-наладочные услуги включают в себя: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сопровождение на этапе наладки и пуска в эксплуатацию оборудования;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    Осмотр, проверка и контроль подключения оборудования;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Проверки, при необходимости настройка рабочих параметров оборудования согласно проектной и конструкторской документации;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  Устранение замечаний Заказчика;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Инструктаж персонала Заказчика по технике безопасности с безопасными методами обслуживания, параметрирования и эксплуатации оборудования.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По завершению оказания услуг оборудование должно быть полностью готово к последующему вводу в эксплуатацию без дополнительных затрат со стороны Заказчика.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услуг подтверждается подписанием Сторонами Акта оказания сопутствующих услуг (с нулевой ценой).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4.2.5.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Допуск персонала Исполнителя для оказания услуг осуществляется в соответствии с Регламентом процесса «Допуск персонала подрядных организаций на объекты ПАО «РусГидро» (утв. приказом ОАО «РусГидро» №300 от 28.04.2023г.)» с обязательным оформлением необходимых нарядов-допусков.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4.2.6.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Требование к информационной безопасности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4.2.7.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персоналу Исполнителя оказывающего услугу, непосредственно связанную с обеспечением безопасности объектов топливно-энергетического комплекса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В соответствии с постановлением Правительства РФ от 09.11.2022 N 2011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"Об утверждении Правил проверки субъектом топливно-энергетического комплекса сведений, указанных в статье 10 Федерального закона "О безопасности объектов топливно-энергетического комплекса", в отношении физических лиц, выполняющих работу, непосредственно связанную с обеспечением безопасности объектов топливно-энергетического комплекса, по трудовым договорам или гражданско-правовым договорам, заключенным с субъектом топливно-энергетического комплекса, и перечня сведений, указанных в статье 10 Федерального закона "О безопасности объектов топливно-энергетического комплекса", представляемых физическими лицами, выполняющими работу, непосредственно связанную с обеспечением безопасности объектов топливно-энергетического комплекса, по трудовым договорам или гражданско-правовым договорам, заключенным с субъектом топливно-энергетического комплекса.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4.2.8.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До начала оказания услуг в рамках исполнения договора после его заключения исполнитель предоставляет список персонала с указанием сведений о квалификации персонала, группе по электробезопасности с приложением копий удостоверений на производство специальных видов работ и копий протокола по электробезопасности.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передаче персональных данных Поставщик обязуется передать Покупателю согласие данных лиц на обработку и передачу их персональных данных.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4.2.9.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оказания услуг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Услуги шеф-инженера (шеф-наладчика) считаются выполненными с момента сдачи оборудования в эксплуатацию и подписания акта сдачи-приемки сопутствующих услуг.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4.2.10.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Исполнитель передает заказчику акт приемки-сдачи оказанных услуг в двух экземплярах.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4.2.11.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ответственности и гарантиям исполнителя на услуги по шеф-наладке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Гарантийный срок на результат услуг по шеф-наладке должен составлять 36 (тридцать шесть) месяцев с даты подписания акта сдачи-приемки сопутствующих услуг и ввода Продукции в эксплуатацию, но не более 48 (сорока восьми) месяцев с даты подписания Сторонами товарной накладной по форме ТОРГ-12 или Универсального передаточного документа (УПД). Установленный в отношении Продукции Гарантийный срок распространяется на все составные части и комплектующие Продукции.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57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422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Паспорт качества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экземпляра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соответствия (декларация соответствия)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страны происхождения (РФ)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92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47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</w:t>
            </w:r>
          </w:p>
        </w:tc>
        <w:tc>
          <w:tcPr>
            <w:tcW w:w="42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43" w:hRule="atLeast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</w:t>
            </w:r>
            <w:bookmarkStart w:id="32" w:name="_GoBack"/>
            <w:bookmarkEnd w:id="32"/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43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склад Покупателя по адресу: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Кубанский филиал АО «Гидроремонт – ВКК» в г. Невинномысск, Ставропольский край, Кочубеевский р-н,с.Кочубеевское, АВТОДОРОГА «КАВКАЗ» 246КМ+1200М (СПРАВА) в рабочие дни:с 9-00 до 12-00 и с 13-00 до 16-00 (по местному времени)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 за счет средств Поставщика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571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ListParagraph"/>
              <w:widowControl w:val="false"/>
              <w:spacing w:lineRule="auto" w:line="259" w:before="0" w:after="200"/>
              <w:ind w:lef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1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before="120" w:after="0"/>
        <w:ind w:hanging="0" w:left="0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3. </w:t>
      </w:r>
      <w:bookmarkStart w:id="33" w:name="_Toc125485145"/>
      <w:r>
        <w:rPr>
          <w:rFonts w:cs="Times New Roman" w:ascii="Times New Roman" w:hAnsi="Times New Roman"/>
          <w:b/>
          <w:sz w:val="24"/>
          <w:szCs w:val="24"/>
          <w:lang w:eastAsia="x-none"/>
        </w:rPr>
        <w:t>Требования к документации по ценообразованию на этапе закупки.</w:t>
      </w:r>
      <w:bookmarkEnd w:id="33"/>
    </w:p>
    <w:p>
      <w:pPr>
        <w:pStyle w:val="ListParagraph"/>
        <w:numPr>
          <w:ilvl w:val="0"/>
          <w:numId w:val="7"/>
        </w:numPr>
        <w:tabs>
          <w:tab w:val="clear" w:pos="708"/>
          <w:tab w:val="left" w:pos="567" w:leader="none"/>
        </w:tabs>
        <w:spacing w:before="60" w:after="0"/>
        <w:ind w:hanging="0" w:left="0"/>
        <w:contextualSpacing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приведённой в Документации о закупке.</w:t>
      </w:r>
    </w:p>
    <w:p>
      <w:pPr>
        <w:pStyle w:val="ListParagraph"/>
        <w:spacing w:before="0" w:after="0"/>
        <w:ind w:left="0"/>
        <w:contextualSpacing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3.2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   Дополнительные документы по ценообразованию в состав заявки не включаются.</w:t>
      </w:r>
    </w:p>
    <w:p>
      <w:pPr>
        <w:pStyle w:val="ListParagraph"/>
        <w:keepNext w:val="true"/>
        <w:keepLines/>
        <w:numPr>
          <w:ilvl w:val="0"/>
          <w:numId w:val="0"/>
        </w:numPr>
        <w:spacing w:before="120" w:after="0"/>
        <w:ind w:hanging="0" w:left="0"/>
        <w:contextualSpacing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3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2867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3.%1"/>
      <w:lvlJc w:val="left"/>
      <w:pPr>
        <w:tabs>
          <w:tab w:val="num" w:pos="0"/>
        </w:tabs>
        <w:ind w:left="720" w:hanging="360"/>
      </w:pPr>
      <w:rPr>
        <w:sz w:val="24"/>
        <w:b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2"/>
      <w:numFmt w:val="bullet"/>
      <w:lvlText w:val="-"/>
      <w:lvlJc w:val="left"/>
      <w:pPr>
        <w:tabs>
          <w:tab w:val="num" w:pos="0"/>
        </w:tabs>
        <w:ind w:left="372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32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Strong1" w:customStyle="1">
    <w:name w:val="Strong1"/>
    <w:qFormat/>
    <w:rPr>
      <w:b/>
      <w:bCs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 w:customStyle="1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rong2" w:customStyle="1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2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12"/>
    <w:qFormat/>
    <w:pPr/>
    <w:rPr/>
  </w:style>
  <w:style w:type="paragraph" w:styleId="Style18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shd w:val="clear" w:color="auto" w:fill="FFFFFF"/>
      <w:tabs>
        <w:tab w:val="clear" w:pos="708"/>
        <w:tab w:val="right" w:pos="10138" w:leader="dot"/>
      </w:tabs>
      <w:spacing w:before="0" w:after="100"/>
    </w:pPr>
    <w:rPr>
      <w:rFonts w:ascii="Times New Roman" w:hAnsi="Times New Roman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26903232511" w:customStyle="1">
    <w:name w:val="26903232511"/>
    <w:qFormat/>
  </w:style>
  <w:style w:type="numbering" w:styleId="41329559151" w:customStyle="1">
    <w:name w:val="4132955915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vseinstrumenti.ru/tag-page/sfp-moduli-1310-nm-1689085/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4381</TotalTime>
  <Application>AlterOffice/2026.2.0.0$Linux_X86_64 LibreOffice_project/bc4ef1adf80b36c7a6365f8ed6cbf29021361edd</Application>
  <AppVersion>15.0000</AppVersion>
  <Pages>2</Pages>
  <Words>2544</Words>
  <Characters>17901</Characters>
  <CharactersWithSpaces>20009</CharactersWithSpaces>
  <Paragraphs>440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2024-05-02T12:37:00Z</dcterms:created>
  <dc:creator>Катков Олег Валерьевич</dc:creator>
  <dc:description/>
  <dc:language>ru-RU</dc:language>
  <cp:lastModifiedBy>korolevaa@corp.gidroogk.com</cp:lastModifiedBy>
  <cp:lastPrinted>2023-12-12T08:29:00Z</cp:lastPrinted>
  <dcterms:modified xsi:type="dcterms:W3CDTF">2026-09-24T12:33:48Z</dcterms:modified>
  <cp:revision>115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