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glossary/endnotes.xml" ContentType="application/vnd.openxmlformats-officedocument.wordprocessingml.end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numbering.xml" ContentType="application/vnd.openxmlformats-officedocument.wordprocessingml.numbering+xml"/>
  <Override PartName="/word/glossary/document.xml" ContentType="application/vnd.openxmlformats-officedocument.wordprocessingml.document.glossary+xml"/>
  <Override PartName="/customXml/itemProps1.xml" ContentType="application/vnd.openxmlformats-officedocument.customXmlProperties+xml"/>
  <Override PartName="/word/glossary/webSettings.xml" ContentType="application/vnd.openxmlformats-officedocument.wordprocessingml.webSettings+xml"/>
  <Override PartName="/word/glossary/footnotes.xml" ContentType="application/vnd.openxmlformats-officedocument.wordprocessingml.footnotes+xml"/>
  <Override PartName="/word/footnotes.xml" ContentType="application/vnd.openxmlformats-officedocument.wordprocessingml.footnotes+xml"/>
  <Override PartName="/word/styles.xml" ContentType="application/vnd.openxmlformats-officedocument.wordprocessingml.styl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</w:pPr>
      <w:r/>
      <w:r/>
    </w:p>
    <w:p>
      <w:pPr>
        <w:pStyle w:val="977"/>
        <w:ind w:left="3686"/>
      </w:pPr>
      <w:r/>
      <w:r/>
    </w:p>
    <w:tbl>
      <w:tblPr>
        <w:tblW w:w="0" w:type="auto"/>
        <w:tblLook w:val="01E0" w:firstRow="1" w:lastRow="1" w:firstColumn="1" w:lastColumn="1" w:noHBand="0" w:noVBand="0"/>
      </w:tblPr>
      <w:tblGrid>
        <w:gridCol w:w="4694"/>
        <w:gridCol w:w="5161"/>
      </w:tblGrid>
      <w:tr>
        <w:tblPrEx/>
        <w:trPr/>
        <w:tc>
          <w:tcPr>
            <w:tcW w:w="4694" w:type="dxa"/>
            <w:textDirection w:val="lrTb"/>
            <w:noWrap w:val="false"/>
          </w:tcPr>
          <w:p>
            <w:pPr>
              <w:tabs>
                <w:tab w:val="left" w:pos="0" w:leader="none"/>
              </w:tabs>
              <w:rPr>
                <w:sz w:val="22"/>
              </w:rPr>
            </w:pPr>
            <w:r/>
            <w:bookmarkStart w:id="0" w:name="_Toc260918437"/>
            <w:r/>
            <w:bookmarkStart w:id="1" w:name="_Toc283298630"/>
            <w:r/>
            <w:bookmarkStart w:id="2" w:name="_Toc330804379"/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5161" w:type="dxa"/>
            <w:textDirection w:val="lrTb"/>
            <w:noWrap w:val="false"/>
          </w:tcPr>
          <w:p>
            <w:pPr>
              <w:jc w:val="right"/>
              <w:tabs>
                <w:tab w:val="left" w:pos="0" w:leader="none"/>
              </w:tabs>
              <w:rPr>
                <w:szCs w:val="28"/>
              </w:rPr>
            </w:pPr>
            <w:r>
              <w:rPr>
                <w:szCs w:val="28"/>
              </w:rPr>
              <w:t xml:space="preserve">УТВЕРЖДАЮ</w:t>
            </w:r>
            <w:r>
              <w:rPr>
                <w:szCs w:val="28"/>
              </w:rPr>
            </w:r>
            <w:r>
              <w:rPr>
                <w:szCs w:val="28"/>
              </w:rPr>
            </w:r>
          </w:p>
          <w:p>
            <w:pPr>
              <w:jc w:val="right"/>
              <w:tabs>
                <w:tab w:val="left" w:pos="0" w:leader="none"/>
              </w:tabs>
              <w:rPr>
                <w:szCs w:val="28"/>
              </w:rPr>
            </w:pPr>
            <w:r>
              <w:rPr>
                <w:szCs w:val="28"/>
              </w:rPr>
              <w:t xml:space="preserve">_______________________ </w:t>
            </w:r>
            <w:r>
              <w:rPr>
                <w:szCs w:val="28"/>
              </w:rPr>
            </w:r>
            <w:r>
              <w:rPr>
                <w:szCs w:val="28"/>
              </w:rPr>
            </w:r>
          </w:p>
          <w:p>
            <w:pPr>
              <w:jc w:val="right"/>
              <w:tabs>
                <w:tab w:val="left" w:pos="0" w:leader="none"/>
              </w:tabs>
              <w:rPr>
                <w:szCs w:val="28"/>
              </w:rPr>
            </w:pPr>
            <w:r>
              <w:rPr>
                <w:szCs w:val="28"/>
              </w:rPr>
              <w:t xml:space="preserve">__________________ /_________/</w:t>
            </w:r>
            <w:r>
              <w:rPr>
                <w:szCs w:val="28"/>
              </w:rPr>
            </w:r>
            <w:r>
              <w:rPr>
                <w:szCs w:val="28"/>
              </w:rPr>
            </w:r>
          </w:p>
          <w:p>
            <w:pPr>
              <w:jc w:val="right"/>
              <w:tabs>
                <w:tab w:val="left" w:pos="0" w:leader="none"/>
              </w:tabs>
              <w:rPr>
                <w:szCs w:val="28"/>
              </w:rPr>
            </w:pPr>
            <w:r>
              <w:rPr>
                <w:szCs w:val="28"/>
              </w:rPr>
              <w:t xml:space="preserve">"____" ________________ 202</w:t>
            </w:r>
            <w:r>
              <w:rPr>
                <w:szCs w:val="28"/>
                <w:lang w:val="en-US"/>
              </w:rPr>
              <w:t xml:space="preserve">6</w:t>
            </w:r>
            <w:r>
              <w:rPr>
                <w:szCs w:val="28"/>
              </w:rPr>
              <w:t xml:space="preserve"> г.</w:t>
            </w:r>
            <w:r>
              <w:rPr>
                <w:szCs w:val="28"/>
              </w:rPr>
            </w:r>
            <w:r>
              <w:rPr>
                <w:szCs w:val="28"/>
              </w:rPr>
            </w:r>
          </w:p>
          <w:p>
            <w:pPr>
              <w:jc w:val="right"/>
              <w:tabs>
                <w:tab w:val="left" w:pos="0" w:leader="none"/>
              </w:tabs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  <w:p>
            <w:pPr>
              <w:tabs>
                <w:tab w:val="left" w:pos="0" w:leader="none"/>
              </w:tabs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</w:tr>
    </w:tbl>
    <w:p>
      <w:pPr>
        <w:tabs>
          <w:tab w:val="left" w:pos="0" w:leader="none"/>
        </w:tabs>
      </w:pPr>
      <w:r/>
      <w:r/>
    </w:p>
    <w:p>
      <w:pPr>
        <w:tabs>
          <w:tab w:val="left" w:pos="0" w:leader="none"/>
        </w:tabs>
      </w:pPr>
      <w:r/>
      <w:r/>
    </w:p>
    <w:p>
      <w:pPr>
        <w:tabs>
          <w:tab w:val="left" w:pos="0" w:leader="none"/>
        </w:tabs>
      </w:pPr>
      <w:r/>
      <w:r/>
    </w:p>
    <w:p>
      <w:pPr>
        <w:tabs>
          <w:tab w:val="left" w:pos="0" w:leader="none"/>
        </w:tabs>
      </w:pPr>
      <w:r/>
      <w:r/>
    </w:p>
    <w:p>
      <w:pPr>
        <w:tabs>
          <w:tab w:val="left" w:pos="0" w:leader="none"/>
        </w:tabs>
      </w:pPr>
      <w:r/>
      <w:r/>
    </w:p>
    <w:p>
      <w:pPr>
        <w:tabs>
          <w:tab w:val="left" w:pos="0" w:leader="none"/>
        </w:tabs>
      </w:pPr>
      <w:r/>
      <w:r/>
    </w:p>
    <w:p>
      <w:pPr>
        <w:tabs>
          <w:tab w:val="left" w:pos="0" w:leader="none"/>
        </w:tabs>
      </w:pPr>
      <w:r/>
      <w:r/>
    </w:p>
    <w:p>
      <w:pPr>
        <w:tabs>
          <w:tab w:val="left" w:pos="0" w:leader="none"/>
        </w:tabs>
      </w:pPr>
      <w:r/>
      <w:r/>
    </w:p>
    <w:p>
      <w:pPr>
        <w:tabs>
          <w:tab w:val="left" w:pos="0" w:leader="none"/>
        </w:tabs>
      </w:pPr>
      <w:r/>
      <w:r/>
    </w:p>
    <w:p>
      <w:pPr>
        <w:pStyle w:val="813"/>
        <w:ind w:left="788" w:hanging="357"/>
        <w:jc w:val="center"/>
        <w:keepLines w:val="0"/>
        <w:spacing w:before="0"/>
        <w:tabs>
          <w:tab w:val="left" w:pos="6424" w:leader="none"/>
        </w:tabs>
        <w:rPr>
          <w:rFonts w:ascii="Times New Roman" w:hAnsi="Times New Roman" w:eastAsia="MS Mincho"/>
          <w:color w:val="auto"/>
          <w:szCs w:val="24"/>
        </w:rPr>
      </w:pPr>
      <w:r/>
      <w:bookmarkStart w:id="3" w:name="_Toc190199519"/>
      <w:r>
        <w:rPr>
          <w:rFonts w:ascii="Times New Roman" w:hAnsi="Times New Roman" w:eastAsia="MS Mincho"/>
          <w:color w:val="auto"/>
          <w:szCs w:val="24"/>
        </w:rPr>
        <w:t xml:space="preserve">ДОКУМЕНТАЦИЯ</w:t>
      </w:r>
      <w:bookmarkEnd w:id="3"/>
      <w:r>
        <w:rPr>
          <w:rFonts w:ascii="Times New Roman" w:hAnsi="Times New Roman" w:eastAsia="MS Mincho"/>
          <w:color w:val="auto"/>
          <w:szCs w:val="24"/>
        </w:rPr>
      </w:r>
      <w:r>
        <w:rPr>
          <w:rFonts w:ascii="Times New Roman" w:hAnsi="Times New Roman" w:eastAsia="MS Mincho"/>
          <w:color w:val="auto"/>
          <w:szCs w:val="24"/>
        </w:rPr>
      </w:r>
    </w:p>
    <w:p>
      <w:pPr>
        <w:pStyle w:val="813"/>
        <w:ind w:left="788" w:hanging="357"/>
        <w:jc w:val="center"/>
        <w:keepLines w:val="0"/>
        <w:spacing w:before="0"/>
        <w:tabs>
          <w:tab w:val="left" w:pos="6424" w:leader="none"/>
        </w:tabs>
        <w:rPr>
          <w:rFonts w:ascii="Times New Roman" w:hAnsi="Times New Roman" w:cs="Times New Roman"/>
          <w:color w:val="auto"/>
          <w:szCs w:val="24"/>
        </w:rPr>
      </w:pPr>
      <w:r/>
      <w:bookmarkStart w:id="4" w:name="_Toc190199520"/>
      <w:r>
        <w:rPr>
          <w:rFonts w:ascii="Times New Roman" w:hAnsi="Times New Roman" w:eastAsia="MS Mincho"/>
          <w:color w:val="auto"/>
          <w:szCs w:val="24"/>
        </w:rPr>
        <w:t xml:space="preserve">О ПРО</w:t>
      </w:r>
      <w:r>
        <w:rPr>
          <w:rFonts w:ascii="Times New Roman" w:hAnsi="Times New Roman" w:eastAsia="Times New Roman" w:cs="Times New Roman"/>
          <w:color w:val="auto"/>
          <w:szCs w:val="24"/>
        </w:rPr>
        <w:t xml:space="preserve">ВЕДЕНИИ </w:t>
      </w:r>
      <w:bookmarkEnd w:id="4"/>
      <w:r>
        <w:rPr>
          <w:rFonts w:ascii="Times New Roman" w:hAnsi="Times New Roman" w:eastAsia="Times New Roman" w:cs="Times New Roman"/>
        </w:rPr>
      </w:r>
      <w:sdt>
        <w:sdtPr>
          <w15:appearance w15:val="boundingBox"/>
          <w:id w:val="-1896808041"/>
          <w:placeholder>
            <w:docPart w:val="66AD5A000763434EB2BA9A3A068EB232"/>
          </w:placeholder>
          <w:comboBox>
            <w:listItem w:displayText="КОНКУРСА" w:value="КОНКУРСА"/>
            <w:listItem w:displayText="ЗАПРОСА ПРЕДЛОЖЕНИЙ" w:value="ЗАПРОСА ПРЕДЛОЖЕНИЙ"/>
          </w:comboBox>
          <w:rPr>
            <w:rFonts w:ascii="Times New Roman" w:hAnsi="Times New Roman" w:eastAsia="Times New Roman" w:cs="Times New Roman"/>
            <w:color w:val="auto"/>
            <w:szCs w:val="24"/>
          </w:rPr>
        </w:sdtPr>
        <w:sdtContent>
          <w:r>
            <w:rPr>
              <w:rFonts w:ascii="Times New Roman" w:hAnsi="Times New Roman" w:eastAsia="Times New Roman" w:cs="Times New Roman"/>
              <w:color w:val="auto"/>
              <w:szCs w:val="24"/>
            </w:rPr>
            <w:t xml:space="preserve">КОНКУРСА</w:t>
          </w:r>
        </w:sdtContent>
      </w:sdt>
      <w:r>
        <w:rPr>
          <w:rFonts w:ascii="Times New Roman" w:hAnsi="Times New Roman" w:eastAsia="Times New Roman" w:cs="Times New Roman"/>
          <w:b w:val="0"/>
          <w:bCs w:val="0"/>
          <w:color w:val="auto"/>
        </w:rPr>
        <w:t xml:space="preserve"> </w:t>
      </w:r>
      <w:bookmarkStart w:id="5" w:name="_Toc190199521"/>
      <w:r>
        <w:rPr>
          <w:rFonts w:ascii="Times New Roman" w:hAnsi="Times New Roman" w:eastAsia="Times New Roman" w:cs="Times New Roman"/>
          <w:color w:val="auto"/>
          <w:szCs w:val="24"/>
        </w:rPr>
        <w:t xml:space="preserve">В ЭЛЕКТРОННОЙ ФОРМЕ</w:t>
      </w:r>
      <w:bookmarkEnd w:id="5"/>
      <w:r>
        <w:rPr>
          <w:rFonts w:ascii="Times New Roman" w:hAnsi="Times New Roman" w:eastAsia="Times New Roman" w:cs="Times New Roman"/>
          <w:color w:val="auto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auto"/>
        </w:rPr>
        <w:t xml:space="preserve">ДЛЯ СУБЪЕКТОВ МАЛОГО И СРЕДНЕГО ПРЕДПРИНИМАТЕЛЬСТВА</w:t>
      </w:r>
      <w:r>
        <w:rPr>
          <w:rFonts w:ascii="Times New Roman" w:hAnsi="Times New Roman" w:cs="Times New Roman"/>
          <w:color w:val="auto"/>
          <w:szCs w:val="24"/>
        </w:rPr>
      </w:r>
      <w:r>
        <w:rPr>
          <w:rFonts w:ascii="Times New Roman" w:hAnsi="Times New Roman" w:cs="Times New Roman"/>
          <w:color w:val="auto"/>
          <w:szCs w:val="24"/>
        </w:rPr>
      </w:r>
    </w:p>
    <w:p>
      <w:pPr>
        <w:jc w:val="both"/>
        <w:tabs>
          <w:tab w:val="left" w:pos="0" w:leader="none"/>
        </w:tabs>
      </w:pPr>
      <w:r/>
      <w:r/>
    </w:p>
    <w:p>
      <w:pPr>
        <w:jc w:val="center"/>
      </w:pPr>
      <w:r>
        <w:rPr>
          <w:b/>
        </w:rPr>
        <w:t xml:space="preserve">на </w:t>
      </w:r>
      <w:r>
        <w:rPr>
          <w:b/>
        </w:rPr>
        <w:t xml:space="preserve">поставку </w:t>
      </w:r>
      <w:r>
        <w:rPr>
          <w:b/>
        </w:rPr>
        <w:t xml:space="preserve">радиостоек</w:t>
      </w:r>
      <w:r>
        <w:rPr>
          <w:b/>
        </w:rPr>
        <w:t xml:space="preserve"> и прочих изделий для эксплуатации сети</w:t>
      </w:r>
      <w:r/>
    </w:p>
    <w:p>
      <w:pPr>
        <w:jc w:val="center"/>
        <w:tabs>
          <w:tab w:val="left" w:pos="0" w:leader="none"/>
        </w:tabs>
        <w:rPr>
          <w:b/>
        </w:rPr>
      </w:pPr>
      <w:r>
        <w:rPr>
          <w:b/>
        </w:rPr>
      </w:r>
      <w:r>
        <w:rPr>
          <w:b/>
        </w:rPr>
      </w:r>
      <w:r>
        <w:rPr>
          <w:b/>
        </w:rPr>
      </w:r>
    </w:p>
    <w:p>
      <w:pPr>
        <w:jc w:val="both"/>
        <w:tabs>
          <w:tab w:val="left" w:pos="0" w:leader="none"/>
        </w:tabs>
        <w:rPr>
          <w:b/>
        </w:rPr>
      </w:pPr>
      <w:r>
        <w:rPr>
          <w:b/>
        </w:rPr>
      </w:r>
      <w:r>
        <w:rPr>
          <w:b/>
        </w:rPr>
      </w:r>
      <w:r>
        <w:rPr>
          <w:b/>
        </w:rPr>
      </w:r>
    </w:p>
    <w:p>
      <w:pPr>
        <w:jc w:val="both"/>
        <w:tabs>
          <w:tab w:val="left" w:pos="0" w:leader="none"/>
        </w:tabs>
        <w:rPr>
          <w:b/>
        </w:rPr>
      </w:pPr>
      <w:r>
        <w:rPr>
          <w:b/>
        </w:rPr>
      </w:r>
      <w:r>
        <w:rPr>
          <w:b/>
        </w:rPr>
      </w:r>
      <w:r>
        <w:rPr>
          <w:b/>
        </w:rPr>
      </w:r>
    </w:p>
    <w:p>
      <w:pPr>
        <w:jc w:val="both"/>
        <w:tabs>
          <w:tab w:val="left" w:pos="0" w:leader="none"/>
        </w:tabs>
        <w:rPr>
          <w:b/>
        </w:rPr>
      </w:pPr>
      <w:r>
        <w:rPr>
          <w:b/>
        </w:rPr>
      </w:r>
      <w:r>
        <w:rPr>
          <w:b/>
        </w:rPr>
      </w:r>
      <w:r>
        <w:rPr>
          <w:b/>
        </w:rPr>
      </w:r>
    </w:p>
    <w:p>
      <w:pPr>
        <w:jc w:val="both"/>
        <w:tabs>
          <w:tab w:val="left" w:pos="0" w:leader="none"/>
        </w:tabs>
        <w:rPr>
          <w:b/>
        </w:rPr>
      </w:pPr>
      <w:r>
        <w:rPr>
          <w:b/>
        </w:rPr>
      </w:r>
      <w:r>
        <w:rPr>
          <w:b/>
        </w:rPr>
      </w:r>
      <w:r>
        <w:rPr>
          <w:b/>
        </w:rPr>
      </w:r>
    </w:p>
    <w:p>
      <w:pPr>
        <w:jc w:val="both"/>
        <w:tabs>
          <w:tab w:val="left" w:pos="0" w:leader="none"/>
        </w:tabs>
      </w:pPr>
      <w:r/>
      <w:r/>
    </w:p>
    <w:p>
      <w:pPr>
        <w:tabs>
          <w:tab w:val="left" w:pos="0" w:leader="none"/>
        </w:tabs>
      </w:pPr>
      <w:r/>
      <w:r/>
    </w:p>
    <w:p>
      <w:pPr>
        <w:tabs>
          <w:tab w:val="left" w:pos="0" w:leader="none"/>
        </w:tabs>
      </w:pPr>
      <w:r/>
      <w:r/>
    </w:p>
    <w:p>
      <w:pPr>
        <w:tabs>
          <w:tab w:val="left" w:pos="0" w:leader="none"/>
        </w:tabs>
      </w:pPr>
      <w:r/>
      <w:r/>
    </w:p>
    <w:p>
      <w:pPr>
        <w:tabs>
          <w:tab w:val="left" w:pos="0" w:leader="none"/>
        </w:tabs>
      </w:pPr>
      <w:r/>
      <w:r/>
    </w:p>
    <w:p>
      <w:pPr>
        <w:tabs>
          <w:tab w:val="left" w:pos="0" w:leader="none"/>
        </w:tabs>
      </w:pPr>
      <w:r/>
      <w:r/>
    </w:p>
    <w:p>
      <w:pPr>
        <w:tabs>
          <w:tab w:val="left" w:pos="0" w:leader="none"/>
        </w:tabs>
      </w:pPr>
      <w:r/>
      <w:r/>
    </w:p>
    <w:p>
      <w:pPr>
        <w:tabs>
          <w:tab w:val="left" w:pos="0" w:leader="none"/>
        </w:tabs>
      </w:pPr>
      <w:r/>
      <w:r/>
    </w:p>
    <w:p>
      <w:pPr>
        <w:tabs>
          <w:tab w:val="left" w:pos="0" w:leader="none"/>
        </w:tabs>
      </w:pPr>
      <w:r/>
      <w:r/>
    </w:p>
    <w:p>
      <w:pPr>
        <w:tabs>
          <w:tab w:val="left" w:pos="0" w:leader="none"/>
        </w:tabs>
      </w:pPr>
      <w:r/>
      <w:r/>
    </w:p>
    <w:p>
      <w:pPr>
        <w:tabs>
          <w:tab w:val="left" w:pos="0" w:leader="none"/>
        </w:tabs>
      </w:pPr>
      <w:r/>
      <w:r/>
    </w:p>
    <w:p>
      <w:pPr>
        <w:tabs>
          <w:tab w:val="left" w:pos="0" w:leader="none"/>
        </w:tabs>
      </w:pPr>
      <w:r/>
      <w:r/>
    </w:p>
    <w:p>
      <w:pPr>
        <w:tabs>
          <w:tab w:val="left" w:pos="0" w:leader="none"/>
        </w:tabs>
      </w:pPr>
      <w:r/>
      <w:r/>
    </w:p>
    <w:p>
      <w:pPr>
        <w:tabs>
          <w:tab w:val="left" w:pos="0" w:leader="none"/>
        </w:tabs>
      </w:pPr>
      <w:r/>
      <w:r/>
    </w:p>
    <w:p>
      <w:pPr>
        <w:tabs>
          <w:tab w:val="left" w:pos="0" w:leader="none"/>
        </w:tabs>
      </w:pPr>
      <w:r/>
      <w:r/>
    </w:p>
    <w:p>
      <w:pPr>
        <w:tabs>
          <w:tab w:val="left" w:pos="0" w:leader="none"/>
        </w:tabs>
      </w:pPr>
      <w:r/>
      <w:r/>
    </w:p>
    <w:p>
      <w:pPr>
        <w:tabs>
          <w:tab w:val="left" w:pos="0" w:leader="none"/>
        </w:tabs>
      </w:pPr>
      <w:r/>
      <w:r/>
    </w:p>
    <w:p>
      <w:pPr>
        <w:tabs>
          <w:tab w:val="left" w:pos="0" w:leader="none"/>
        </w:tabs>
      </w:pPr>
      <w:r/>
      <w:r/>
    </w:p>
    <w:p>
      <w:pPr>
        <w:tabs>
          <w:tab w:val="left" w:pos="0" w:leader="none"/>
        </w:tabs>
      </w:pPr>
      <w:r/>
      <w:r/>
    </w:p>
    <w:p>
      <w:pPr>
        <w:tabs>
          <w:tab w:val="left" w:pos="0" w:leader="none"/>
        </w:tabs>
      </w:pPr>
      <w:r/>
      <w:r/>
    </w:p>
    <w:p>
      <w:pPr>
        <w:tabs>
          <w:tab w:val="left" w:pos="0" w:leader="none"/>
        </w:tabs>
      </w:pPr>
      <w:r/>
      <w:r/>
    </w:p>
    <w:p>
      <w:pPr>
        <w:tabs>
          <w:tab w:val="left" w:pos="0" w:leader="none"/>
        </w:tabs>
      </w:pPr>
      <w:r/>
      <w:r/>
    </w:p>
    <w:p>
      <w:pPr>
        <w:tabs>
          <w:tab w:val="left" w:pos="0" w:leader="none"/>
        </w:tabs>
      </w:pPr>
      <w:r/>
      <w:r/>
    </w:p>
    <w:p>
      <w:pPr>
        <w:jc w:val="center"/>
        <w:tabs>
          <w:tab w:val="left" w:pos="0" w:leader="none"/>
        </w:tabs>
      </w:pPr>
      <w:r/>
      <w:bookmarkEnd w:id="0"/>
      <w:r/>
      <w:bookmarkEnd w:id="1"/>
      <w:r/>
      <w:bookmarkEnd w:id="2"/>
      <w:r/>
      <w:r/>
    </w:p>
    <w:p>
      <w:pPr>
        <w:jc w:val="center"/>
        <w:tabs>
          <w:tab w:val="left" w:pos="0" w:leader="none"/>
        </w:tabs>
      </w:pPr>
      <w:r/>
      <w:r/>
    </w:p>
    <w:p>
      <w:pPr>
        <w:pStyle w:val="977"/>
      </w:pPr>
      <w:r>
        <w:t xml:space="preserve">г. Москва</w:t>
      </w:r>
      <w:r>
        <w:t xml:space="preserve">,</w:t>
      </w:r>
      <w:r>
        <w:t xml:space="preserve"> 202</w:t>
      </w:r>
      <w:r>
        <w:t xml:space="preserve">6</w:t>
      </w:r>
      <w:r/>
    </w:p>
    <w:p>
      <w:pPr>
        <w:rPr>
          <w:rFonts w:eastAsia="MS Mincho"/>
          <w:color w:val="17365d"/>
        </w:rPr>
      </w:pPr>
      <w:r>
        <w:br w:type="page" w:clear="all"/>
      </w:r>
      <w:bookmarkStart w:id="6" w:name="_РАЗДЕЛ_I._ОБЩАЯ"/>
      <w:r/>
      <w:bookmarkStart w:id="7" w:name="_Toc23149533"/>
      <w:r/>
      <w:bookmarkStart w:id="8" w:name="_Toc54336086"/>
      <w:r/>
      <w:bookmarkStart w:id="9" w:name="_Toc190199522"/>
      <w:r/>
      <w:bookmarkEnd w:id="6"/>
      <w:r>
        <w:rPr>
          <w:rFonts w:eastAsia="MS Mincho"/>
          <w:color w:val="17365d"/>
        </w:rPr>
        <w:t xml:space="preserve">РАЗДЕЛ I. </w:t>
      </w:r>
      <w:bookmarkEnd w:id="7"/>
      <w:r>
        <w:rPr>
          <w:rFonts w:eastAsia="MS Mincho"/>
          <w:color w:val="17365d"/>
        </w:rPr>
        <w:t xml:space="preserve">ОБЩАЯ ЧАСТЬ</w:t>
      </w:r>
      <w:bookmarkEnd w:id="8"/>
      <w:r/>
      <w:bookmarkEnd w:id="9"/>
      <w:r>
        <w:rPr>
          <w:bCs/>
        </w:rPr>
        <w:t xml:space="preserve"> </w:t>
      </w:r>
      <w:r>
        <w:rPr>
          <w:rFonts w:eastAsia="MS Mincho"/>
          <w:color w:val="17365d"/>
        </w:rPr>
      </w:r>
      <w:r>
        <w:rPr>
          <w:rFonts w:eastAsia="MS Mincho"/>
          <w:color w:val="17365d"/>
        </w:rPr>
      </w:r>
    </w:p>
    <w:p>
      <w:pPr>
        <w:pStyle w:val="989"/>
        <w:numPr>
          <w:ilvl w:val="0"/>
          <w:numId w:val="3"/>
        </w:numPr>
        <w:jc w:val="center"/>
        <w:keepNext/>
        <w:spacing w:before="120" w:beforeAutospacing="0" w:after="120" w:afterAutospacing="0"/>
        <w:tabs>
          <w:tab w:val="num" w:pos="1418" w:leader="none"/>
          <w:tab w:val="num" w:pos="2912" w:leader="none"/>
        </w:tabs>
        <w:rPr>
          <w:b/>
          <w:sz w:val="28"/>
        </w:rPr>
        <w:outlineLvl w:val="1"/>
      </w:pPr>
      <w:r/>
      <w:bookmarkStart w:id="10" w:name="_Toc54336087"/>
      <w:r/>
      <w:bookmarkStart w:id="11" w:name="_Toc190199523"/>
      <w:r>
        <w:rPr>
          <w:b/>
          <w:sz w:val="28"/>
        </w:rPr>
        <w:t xml:space="preserve">Термины и определения</w:t>
      </w:r>
      <w:bookmarkEnd w:id="10"/>
      <w:r/>
      <w:bookmarkEnd w:id="11"/>
      <w:r>
        <w:rPr>
          <w:b/>
          <w:sz w:val="28"/>
        </w:rPr>
        <w:tab/>
      </w:r>
      <w:r>
        <w:rPr>
          <w:b/>
          <w:sz w:val="28"/>
        </w:rPr>
      </w:r>
      <w:r>
        <w:rPr>
          <w:b/>
          <w:sz w:val="28"/>
        </w:rPr>
      </w:r>
    </w:p>
    <w:p>
      <w:pPr>
        <w:ind w:firstLine="709"/>
        <w:jc w:val="both"/>
      </w:pPr>
      <w:r>
        <w:rPr>
          <w:b/>
        </w:rPr>
        <w:t xml:space="preserve">Заказчик (Предприятие)</w:t>
      </w:r>
      <w:r>
        <w:t xml:space="preserve"> – Акционерное общество «Российские сети вещания и оповещения» (АО «РСВО»). </w:t>
      </w:r>
      <w:r/>
    </w:p>
    <w:p>
      <w:pPr>
        <w:ind w:firstLine="709"/>
        <w:jc w:val="both"/>
        <w:shd w:val="clear" w:color="auto" w:fill="ffffff"/>
        <w:widowControl w:val="off"/>
        <w:rPr>
          <w:color w:val="000000"/>
        </w:rPr>
      </w:pPr>
      <w:r>
        <w:rPr>
          <w:b/>
        </w:rPr>
        <w:t xml:space="preserve">Закупочная комиссия</w:t>
      </w:r>
      <w:r>
        <w:t xml:space="preserve"> –</w:t>
      </w:r>
      <w:r>
        <w:rPr>
          <w:b/>
          <w:color w:val="000000"/>
        </w:rPr>
        <w:t xml:space="preserve"> </w:t>
      </w:r>
      <w:r>
        <w:rPr>
          <w:color w:val="000000"/>
        </w:rPr>
        <w:t xml:space="preserve">коллегиальный орган, назначаемый Заказчиком, для осуществления деятельности в рамках проведения закупочных процедур,</w:t>
      </w:r>
      <w:r>
        <w:rPr>
          <w:color w:val="000000"/>
        </w:rPr>
        <w:br/>
        <w:t xml:space="preserve">в том числе для принятия решений в ходе закупки, включа</w:t>
      </w:r>
      <w:r>
        <w:rPr>
          <w:color w:val="000000"/>
        </w:rPr>
        <w:t xml:space="preserve">я допуск участников по итогам рассмотрения Заявок, определение победителя (победителей) закупки, признание процедуры закупки несостоявшейся, принятие решения о закупке способом у единственного поставщика (подрядчика, исполнителя) в пределах ее компетенции.</w:t>
      </w:r>
      <w:r>
        <w:rPr>
          <w:color w:val="000000"/>
        </w:rPr>
      </w:r>
      <w:r>
        <w:rPr>
          <w:color w:val="000000"/>
        </w:rPr>
      </w:r>
    </w:p>
    <w:p>
      <w:pPr>
        <w:ind w:firstLine="709"/>
        <w:jc w:val="both"/>
        <w:shd w:val="clear" w:color="auto" w:fill="ffffff"/>
        <w:widowControl w:val="off"/>
        <w:rPr>
          <w:rFonts w:eastAsia="Calibri" w:cs="Arial"/>
          <w:b/>
          <w:bCs/>
          <w:lang w:eastAsia="en-US"/>
        </w:rPr>
      </w:pPr>
      <w:r>
        <w:rPr>
          <w:rFonts w:eastAsia="Calibri" w:cs="Arial"/>
          <w:b/>
          <w:bCs/>
          <w:lang w:eastAsia="en-US"/>
        </w:rPr>
        <w:t xml:space="preserve">извещение о закупке </w:t>
      </w:r>
      <w:r>
        <w:t xml:space="preserve">– документ, формируемый посредством функционала ЕИС и содержащий установленные Законом № 223-ФЗ и Положением о закупке сведения о процедуре закупки.</w:t>
      </w:r>
      <w:r>
        <w:rPr>
          <w:rFonts w:eastAsia="Calibri" w:cs="Arial"/>
          <w:b/>
          <w:bCs/>
          <w:lang w:eastAsia="en-US"/>
        </w:rPr>
      </w:r>
      <w:r>
        <w:rPr>
          <w:rFonts w:eastAsia="Calibri" w:cs="Arial"/>
          <w:b/>
          <w:bCs/>
          <w:lang w:eastAsia="en-US"/>
        </w:rPr>
      </w:r>
    </w:p>
    <w:p>
      <w:pPr>
        <w:ind w:firstLine="709"/>
        <w:jc w:val="both"/>
        <w:shd w:val="clear" w:color="auto" w:fill="ffffff"/>
        <w:widowControl w:val="off"/>
        <w:rPr>
          <w:b/>
        </w:rPr>
      </w:pPr>
      <w:r>
        <w:rPr>
          <w:b/>
        </w:rPr>
        <w:t xml:space="preserve">лот </w:t>
      </w:r>
      <w:r>
        <w:t xml:space="preserve">–</w:t>
      </w:r>
      <w:r>
        <w:rPr>
          <w:b/>
        </w:rPr>
        <w:t xml:space="preserve"> </w:t>
      </w:r>
      <w:r>
        <w:t xml:space="preserve">часть закупаемых товаров, работ, услуг, явно обособленная</w:t>
      </w:r>
      <w:r>
        <w:br/>
        <w:t xml:space="preserve">в закупочной документации, на которую в рамках проведения процедуры закупки допускается подача отдельной заявки и заключение отдельного договора.</w:t>
      </w:r>
      <w:r>
        <w:rPr>
          <w:b/>
        </w:rPr>
        <w:t xml:space="preserve"> </w:t>
      </w:r>
      <w:r>
        <w:rPr>
          <w:b/>
        </w:rPr>
      </w:r>
      <w:r>
        <w:rPr>
          <w:b/>
        </w:rPr>
      </w:r>
    </w:p>
    <w:p>
      <w:pPr>
        <w:ind w:firstLine="720"/>
        <w:jc w:val="both"/>
        <w:rPr>
          <w:rFonts w:eastAsia="Calibri" w:cs="Arial"/>
          <w:b/>
          <w:bCs/>
          <w:lang w:eastAsia="en-US"/>
        </w:rPr>
      </w:pPr>
      <w:r>
        <w:rPr>
          <w:rFonts w:eastAsia="Calibri" w:cs="Arial"/>
          <w:b/>
          <w:bCs/>
          <w:lang w:eastAsia="en-US"/>
        </w:rPr>
        <w:t xml:space="preserve">максимальное значение цены договора</w:t>
      </w:r>
      <w:r>
        <w:rPr>
          <w:rFonts w:eastAsia="Calibri" w:cs="Arial"/>
          <w:lang w:eastAsia="en-US"/>
        </w:rPr>
        <w:t xml:space="preserve"> – максимальная сумма денежных средств, которая </w:t>
      </w:r>
      <w:r>
        <w:rPr>
          <w:rFonts w:eastAsia="Calibri" w:cs="Arial"/>
          <w:lang w:eastAsia="en-US"/>
        </w:rPr>
        <w:t xml:space="preserve">может быть потрачена на закупку товаров, работ, услуг в период действия договора, определенная в извещении об осуществлении закупки, документации о закупке исходя из фактической потребности в таких товарах, работах, услугах. Максимальное значение цены дого</w:t>
      </w:r>
      <w:r>
        <w:rPr>
          <w:rFonts w:eastAsia="Calibri" w:cs="Arial"/>
          <w:lang w:eastAsia="en-US"/>
        </w:rPr>
        <w:t xml:space="preserve">вора устанавливается в случае, когда невозможно заранее определить необходимое количество товаров, необходимый объем работ, услуг на момент проведения процедуры закупки. Максимальное значение цены договора не подлежит изменению по итогам процедуры закупки.</w:t>
      </w:r>
      <w:r>
        <w:rPr>
          <w:rFonts w:eastAsia="Calibri" w:cs="Arial"/>
          <w:b/>
          <w:bCs/>
          <w:lang w:eastAsia="en-US"/>
        </w:rPr>
        <w:t xml:space="preserve"> </w:t>
      </w:r>
      <w:r>
        <w:rPr>
          <w:rFonts w:eastAsia="Calibri" w:cs="Arial"/>
          <w:lang w:eastAsia="en-US"/>
        </w:rPr>
        <w:t xml:space="preserve">Максимальное значение цены договора определяется размером денежных средств, которые могут быть выделены на закупку товаров, работ, услуг.</w:t>
      </w:r>
      <w:r>
        <w:rPr>
          <w:rFonts w:eastAsia="Calibri" w:cs="Arial"/>
          <w:b/>
          <w:bCs/>
          <w:lang w:eastAsia="en-US"/>
        </w:rPr>
      </w:r>
      <w:r>
        <w:rPr>
          <w:rFonts w:eastAsia="Calibri" w:cs="Arial"/>
          <w:b/>
          <w:bCs/>
          <w:lang w:eastAsia="en-US"/>
        </w:rPr>
      </w:r>
    </w:p>
    <w:p>
      <w:pPr>
        <w:ind w:firstLine="720"/>
        <w:jc w:val="both"/>
        <w:rPr>
          <w:rFonts w:eastAsia="Calibri" w:cs="Arial"/>
          <w:lang w:eastAsia="en-US"/>
        </w:rPr>
      </w:pPr>
      <w:r>
        <w:rPr>
          <w:rFonts w:eastAsia="Calibri" w:cs="Arial"/>
          <w:b/>
          <w:bCs/>
          <w:lang w:eastAsia="en-US"/>
        </w:rPr>
        <w:t xml:space="preserve">начальная (максимальная) сумма цен единиц товара, работы,</w:t>
      </w:r>
      <w:r>
        <w:rPr>
          <w:rFonts w:eastAsia="Calibri" w:cs="Arial"/>
          <w:b/>
          <w:bCs/>
          <w:lang w:eastAsia="en-US"/>
        </w:rPr>
        <w:br/>
        <w:t xml:space="preserve">услуги</w:t>
      </w:r>
      <w:r>
        <w:rPr>
          <w:rFonts w:eastAsia="Calibri" w:cs="Arial"/>
          <w:lang w:eastAsia="en-US"/>
        </w:rPr>
        <w:t xml:space="preserve"> – </w:t>
      </w:r>
      <w:bookmarkStart w:id="12" w:name="_Hlk61962593"/>
      <w:r>
        <w:rPr>
          <w:rFonts w:eastAsia="Calibri" w:cs="Arial"/>
          <w:lang w:eastAsia="en-US"/>
        </w:rPr>
        <w:t xml:space="preserve">максимальная сумма цен единиц закупаемых товаров, работ, услуг, определенная в извещении об осуществлении закупки, документации о закупке, которая не может быть превышена по результатам проведения закупки</w:t>
      </w:r>
      <w:bookmarkEnd w:id="12"/>
      <w:r>
        <w:rPr>
          <w:rFonts w:eastAsia="Calibri" w:cs="Arial"/>
          <w:lang w:eastAsia="en-US"/>
        </w:rPr>
        <w:t xml:space="preserve">.</w:t>
      </w:r>
      <w:r>
        <w:rPr>
          <w:rFonts w:eastAsia="Calibri" w:cs="Arial"/>
          <w:lang w:eastAsia="en-US"/>
        </w:rPr>
      </w:r>
      <w:r>
        <w:rPr>
          <w:rFonts w:eastAsia="Calibri" w:cs="Arial"/>
          <w:lang w:eastAsia="en-US"/>
        </w:rPr>
      </w:r>
    </w:p>
    <w:p>
      <w:pPr>
        <w:ind w:firstLine="709"/>
        <w:jc w:val="both"/>
        <w:shd w:val="clear" w:color="auto" w:fill="ffffff"/>
        <w:widowControl w:val="off"/>
      </w:pPr>
      <w:r>
        <w:rPr>
          <w:b/>
        </w:rPr>
        <w:t xml:space="preserve">начальная (максимальная) цена договора (цена лота)</w:t>
      </w:r>
      <w:r>
        <w:t xml:space="preserve"> – предельно допустимая цена договора (лота), выше размера которой не может быть заключен договор по итогам проведения закупки.</w:t>
      </w:r>
      <w:r/>
    </w:p>
    <w:p>
      <w:pPr>
        <w:ind w:firstLine="720"/>
        <w:jc w:val="both"/>
        <w:rPr>
          <w:rFonts w:eastAsia="Calibri" w:cs="Arial"/>
          <w:lang w:eastAsia="en-US"/>
        </w:rPr>
      </w:pPr>
      <w:r>
        <w:rPr>
          <w:rFonts w:eastAsia="Calibri" w:cs="Arial"/>
          <w:b/>
          <w:bCs/>
          <w:lang w:eastAsia="en-US"/>
        </w:rPr>
        <w:t xml:space="preserve">начальная (максимальная) цена единицы товара, работы, услуги </w:t>
      </w:r>
      <w:r>
        <w:rPr>
          <w:rFonts w:eastAsia="Calibri" w:cs="Arial"/>
          <w:lang w:eastAsia="en-US"/>
        </w:rPr>
        <w:t xml:space="preserve">– максимальная цена единицы закупаемого товара, работы, услуги, определенная в извещении об осуществлении закупки, документации о закупке, которая не может быть превышена по результатам проведения закупки.</w:t>
      </w:r>
      <w:r>
        <w:rPr>
          <w:rFonts w:eastAsia="Calibri" w:cs="Arial"/>
          <w:lang w:eastAsia="en-US"/>
        </w:rPr>
      </w:r>
      <w:r>
        <w:rPr>
          <w:rFonts w:eastAsia="Calibri" w:cs="Arial"/>
          <w:lang w:eastAsia="en-US"/>
        </w:rPr>
      </w:r>
    </w:p>
    <w:p>
      <w:pPr>
        <w:ind w:firstLine="709"/>
        <w:jc w:val="both"/>
      </w:pPr>
      <w:r>
        <w:rPr>
          <w:b/>
        </w:rPr>
        <w:t xml:space="preserve">оператор</w:t>
      </w:r>
      <w:r>
        <w:rPr>
          <w:b/>
          <w:color w:val="000000"/>
        </w:rPr>
        <w:t xml:space="preserve"> электронной площадки </w:t>
      </w:r>
      <w:r>
        <w:rPr>
          <w:color w:val="000000"/>
        </w:rPr>
        <w:t xml:space="preserve">– юридическое лицо, являющееся коммерческой организацией, созданное в соответствии с законодательством </w:t>
      </w:r>
      <w:r>
        <w:rPr>
          <w:bCs/>
          <w:color w:val="000000"/>
        </w:rPr>
        <w:t xml:space="preserve">Российской Федерации</w:t>
      </w:r>
      <w:r>
        <w:rPr>
          <w:color w:val="000000"/>
        </w:rPr>
        <w:t xml:space="preserve"> в организационно-правовой форме общества с ограниченной ответственностью или непубличного акционерного общества, в уставном капитале которых доля иностранных граждан, лиц бе</w:t>
      </w:r>
      <w:r>
        <w:rPr>
          <w:color w:val="000000"/>
        </w:rPr>
        <w:t xml:space="preserve">з гражданства, иностранных юридических лиц либо количество голосующих акций, которыми владеют указанные граждане и лица, составляет не более чем двадцать пять процентов, владеющее электронной площадкой, в том числе необходимыми для ее функционирования обор</w:t>
      </w:r>
      <w:r>
        <w:rPr>
          <w:color w:val="000000"/>
        </w:rPr>
        <w:t xml:space="preserve">удованием и программно-техническими средствами (далее также – программно-аппаратные средства электронной площадки), и обеспечивающее проведение конкурентных закупок в электронной форме в соответствии с положениями Федерального закона от 18.07.2011 № 223-ФЗ</w:t>
      </w:r>
      <w:r>
        <w:rPr>
          <w:color w:val="000000"/>
        </w:rPr>
        <w:br/>
        <w:t xml:space="preserve">«О закупках товаров, работ, услуг отдельными видами юридических лиц».</w:t>
      </w:r>
      <w:r>
        <w:t xml:space="preserve"> </w:t>
      </w:r>
      <w:r/>
    </w:p>
    <w:p>
      <w:pPr>
        <w:ind w:firstLine="709"/>
        <w:jc w:val="both"/>
        <w:shd w:val="clear" w:color="auto" w:fill="ffffff"/>
        <w:widowControl w:val="off"/>
        <w:rPr>
          <w:bCs/>
          <w:color w:val="000000"/>
        </w:rPr>
      </w:pPr>
      <w:r>
        <w:rPr>
          <w:b/>
          <w:bCs/>
          <w:color w:val="000000"/>
        </w:rPr>
        <w:t xml:space="preserve">Официальный сайт Единой информационной системы в сфере закупок в информационно-телекоммуникационной сети «Интернет» (ЕИС) </w:t>
      </w:r>
      <w:r>
        <w:rPr>
          <w:bCs/>
          <w:color w:val="000000"/>
        </w:rPr>
        <w:t xml:space="preserve">– </w:t>
      </w:r>
      <w:r>
        <w:rPr>
          <w:spacing w:val="-4"/>
        </w:rPr>
        <w:t xml:space="preserve">совокупность информации и</w:t>
      </w:r>
      <w:r>
        <w:rPr>
          <w:spacing w:val="-4"/>
          <w:lang w:val="en-US"/>
        </w:rPr>
        <w:t xml:space="preserve"> </w:t>
      </w:r>
      <w:r>
        <w:rPr>
          <w:spacing w:val="-4"/>
        </w:rPr>
        <w:t xml:space="preserve">документов, </w:t>
      </w:r>
      <w:r>
        <w:t xml:space="preserve">размещение которых предусмотрено Федеральным законом от 18.07.2011 № 223-ФЗ «О закупках товаров, работ, услуг отдельными видами юридических лиц», иными нормативными правовыми актами в сфере закупок, и </w:t>
      </w:r>
      <w:r>
        <w:rPr>
          <w:spacing w:val="-4"/>
        </w:rPr>
        <w:t xml:space="preserve">содержащейся в базах данных, информационных технологий и технических средств, обеспечивающих формирование, обработку, хранение такой информации, а также ее предоставление с использованием </w:t>
      </w:r>
      <w:hyperlink r:id="rId13" w:tooltip="consultantplus://offline/ref=4EC7C5ABBFE81CDAA8ECCF21FD8C032FA341226F7845897019ADCBE211DDF4F4B5BC683FEC0265CE08C7O" w:history="1">
        <w:r>
          <w:rPr>
            <w:spacing w:val="-4"/>
          </w:rPr>
          <w:t xml:space="preserve">официального сайта</w:t>
        </w:r>
      </w:hyperlink>
      <w:r>
        <w:rPr>
          <w:spacing w:val="-4"/>
        </w:rPr>
        <w:t xml:space="preserve"> единой информационной системы в </w:t>
      </w:r>
      <w:r>
        <w:rPr>
          <w:spacing w:val="-4"/>
        </w:rPr>
        <w:t xml:space="preserve">информационно-телекоммуникационной сети «Интернет».</w:t>
      </w:r>
      <w:r>
        <w:rPr>
          <w:bCs/>
          <w:color w:val="000000"/>
        </w:rPr>
        <w:t xml:space="preserve"> В случае технических или иных неполадок, блокирующих доступ к ЕИС в течение более чем 1 (одного) рабочего дня, информация, подлежащая размещению в ЕИС в соответствии с действующим законодател</w:t>
      </w:r>
      <w:r>
        <w:rPr>
          <w:bCs/>
          <w:color w:val="000000"/>
        </w:rPr>
        <w:t xml:space="preserve">ьством Российской Федерации в сфере закупок и Положением о закупке, размещается Заказчиком на сайте Предприятия с последующим размещением ее в ЕИС в течение 1 (одного) рабочего дня со дня устранения технических или иных неполадок, блокирующих доступ к ЕИС.</w:t>
      </w:r>
      <w:r>
        <w:rPr>
          <w:bCs/>
          <w:color w:val="000000"/>
        </w:rPr>
      </w:r>
      <w:r>
        <w:rPr>
          <w:bCs/>
          <w:color w:val="000000"/>
        </w:rPr>
      </w:r>
    </w:p>
    <w:p>
      <w:pPr>
        <w:ind w:firstLine="709"/>
        <w:jc w:val="both"/>
        <w:rPr>
          <w:bCs/>
        </w:rPr>
      </w:pPr>
      <w:r>
        <w:rPr>
          <w:b/>
        </w:rPr>
        <w:t xml:space="preserve">Положение о закупках</w:t>
      </w:r>
      <w:r>
        <w:t xml:space="preserve"> – Положение о </w:t>
      </w:r>
      <w:r>
        <w:rPr>
          <w:bCs/>
        </w:rPr>
        <w:t xml:space="preserve">закупке товаров, работ, услуг АО «РСВО», </w:t>
      </w:r>
      <w:r>
        <w:t xml:space="preserve">утвержденное Генеральным директором АО «РСВО», размещенное в установленном порядке </w:t>
      </w:r>
      <w:r>
        <w:br/>
        <w:t xml:space="preserve">в ЕИС и на сайте Предприятия.</w:t>
      </w:r>
      <w:r>
        <w:rPr>
          <w:bCs/>
        </w:rPr>
      </w:r>
      <w:r>
        <w:rPr>
          <w:bCs/>
        </w:rPr>
      </w:r>
    </w:p>
    <w:p>
      <w:pPr>
        <w:ind w:firstLine="709"/>
        <w:jc w:val="both"/>
        <w:rPr>
          <w:b/>
        </w:rPr>
      </w:pPr>
      <w:r>
        <w:rPr>
          <w:b/>
        </w:rPr>
        <w:t xml:space="preserve">продукция </w:t>
      </w:r>
      <w:r>
        <w:t xml:space="preserve">- товары, работы, услуги, приобретаемые Заказчиком на возмездной основе.</w:t>
      </w:r>
      <w:r>
        <w:rPr>
          <w:b/>
        </w:rPr>
      </w:r>
      <w:r>
        <w:rPr>
          <w:b/>
        </w:rPr>
      </w:r>
    </w:p>
    <w:p>
      <w:pPr>
        <w:ind w:firstLine="709"/>
        <w:jc w:val="both"/>
      </w:pPr>
      <w:r>
        <w:rPr>
          <w:b/>
        </w:rPr>
        <w:t xml:space="preserve">Регламент работы ЭП</w:t>
      </w:r>
      <w:r>
        <w:t xml:space="preserve"> – документы оператора ЭП, регламентирующие порядок проведения закупок на ЭП в соответствии с Законом № 223-ФЗ, определяющие деятельность оператора ЭП по обеспечению проведения закупок в соответствии с Законом № 223-ФЗ.</w:t>
      </w:r>
      <w:r/>
    </w:p>
    <w:p>
      <w:pPr>
        <w:ind w:firstLine="709"/>
        <w:jc w:val="both"/>
        <w:rPr>
          <w:rFonts w:eastAsia="Calibri"/>
        </w:rPr>
      </w:pPr>
      <w:r>
        <w:rPr>
          <w:rFonts w:eastAsia="Calibri"/>
          <w:b/>
        </w:rPr>
        <w:t xml:space="preserve">сайт Предприятия</w:t>
      </w:r>
      <w:r>
        <w:rPr>
          <w:rFonts w:eastAsia="Calibri"/>
        </w:rPr>
        <w:t xml:space="preserve"> </w:t>
      </w:r>
      <w:r>
        <w:t xml:space="preserve">– официальный сайт Заказчика в информационно-телекоммуникационной сети «Интернет»: </w:t>
      </w:r>
      <w:hyperlink r:id="rId14" w:tooltip="https://rsvo.ru/" w:history="1">
        <w:r>
          <w:rPr>
            <w:rStyle w:val="978"/>
          </w:rPr>
          <w:t xml:space="preserve">https://rsvo.ru/</w:t>
        </w:r>
      </w:hyperlink>
      <w:r>
        <w:t xml:space="preserve">.</w:t>
      </w:r>
      <w:r>
        <w:rPr>
          <w:rFonts w:eastAsia="Calibri"/>
        </w:rPr>
      </w:r>
      <w:r>
        <w:rPr>
          <w:rFonts w:eastAsia="Calibri"/>
        </w:rPr>
      </w:r>
    </w:p>
    <w:p>
      <w:pPr>
        <w:ind w:firstLine="709"/>
        <w:jc w:val="both"/>
      </w:pPr>
      <w:r>
        <w:rPr>
          <w:b/>
          <w:bCs/>
        </w:rPr>
        <w:t xml:space="preserve">субъект МСП </w:t>
      </w:r>
      <w:r>
        <w:rPr>
          <w:b/>
        </w:rPr>
        <w:t xml:space="preserve">– </w:t>
      </w:r>
      <w:r>
        <w:t xml:space="preserve">хозяйствующие субъекты (юри</w:t>
      </w:r>
      <w:r>
        <w:t xml:space="preserve">дические лица и индивидуальные предприниматели), отнесенные в соответствии с условиями, установленными Федеральным законом от 24.07.2007 № 209-ФЗ «О развитии малого и среднего предпринимательства в Российской Федерации» к малым предприятиям, в том числе к </w:t>
      </w:r>
      <w:r>
        <w:t xml:space="preserve">микропредприятиям</w:t>
      </w:r>
      <w:r>
        <w:t xml:space="preserve">, и средним предприятиям, сведения о которых внесены в единый реестр субъектов малого и среднего предпринимательства.</w:t>
      </w:r>
      <w:r/>
    </w:p>
    <w:p>
      <w:pPr>
        <w:ind w:firstLine="709"/>
        <w:jc w:val="both"/>
      </w:pPr>
      <w:r>
        <w:rPr>
          <w:b/>
        </w:rPr>
        <w:t xml:space="preserve">участник закупки (участник)</w:t>
      </w:r>
      <w:r>
        <w:t xml:space="preserve"> – любое юридическое лицо или несколько юридических лиц, выс</w:t>
      </w:r>
      <w:r>
        <w:t xml:space="preserve">тупающих на стороне одного участника, независимо от организационно-правовой формы, формы собственности, места нахождения и места происхождения капитала, за исключением юридического лица, являющегося иностранным агентом в соответствии с Федеральным законом </w:t>
      </w:r>
      <w:r>
        <w:br/>
        <w:t xml:space="preserve">от 14 июля 2022 г. № 255-ФЗ «О контроле за деятельностью лиц, находящихся под иностранным влиянием», либо любое физическое лицо или несколько физических лиц, выступающих на стороне одного участни</w:t>
      </w:r>
      <w:r>
        <w:t xml:space="preserve">ка, в том числе индивидуальный предприниматель или несколько индивидуальных предпринимателей, выступающих на стороне одного участника, за исключением физического лица, являющегося иностранным агентом в соответствии с Федеральным законом от 14 июля 2022 г. </w:t>
      </w:r>
      <w:r>
        <w:br/>
        <w:t xml:space="preserve">№ 255-ФЗ «О контроле за деятельностью лиц, находящихся под иностранным влиянием».</w:t>
      </w:r>
      <w:r/>
    </w:p>
    <w:p>
      <w:pPr>
        <w:ind w:firstLine="709"/>
        <w:jc w:val="both"/>
        <w:shd w:val="clear" w:color="auto" w:fill="ffffff"/>
        <w:widowControl w:val="off"/>
      </w:pPr>
      <w:r>
        <w:rPr>
          <w:b/>
        </w:rPr>
        <w:t xml:space="preserve">электронная площадка </w:t>
      </w:r>
      <w:r>
        <w:t xml:space="preserve">– комплекс информационных и технических решений, обеспечивающий взаимодействие покупателя (заказчика) с продавцом (поставщиком) через электронные каналы связи на всех этапах заключения сделки.</w:t>
      </w:r>
      <w:r/>
    </w:p>
    <w:p>
      <w:pPr>
        <w:ind w:firstLine="709"/>
        <w:jc w:val="both"/>
        <w:shd w:val="clear" w:color="auto" w:fill="ffffff"/>
        <w:widowControl w:val="off"/>
      </w:pPr>
      <w:r/>
      <w:r/>
    </w:p>
    <w:p>
      <w:pPr>
        <w:ind w:firstLine="709"/>
        <w:jc w:val="both"/>
      </w:pPr>
      <w:r>
        <w:t xml:space="preserve">В настоящей документации применяются следующие сокращения:</w:t>
      </w:r>
      <w:r/>
    </w:p>
    <w:p>
      <w:pPr>
        <w:ind w:firstLine="709"/>
        <w:jc w:val="both"/>
      </w:pPr>
      <w:r>
        <w:rPr>
          <w:b/>
        </w:rPr>
        <w:t xml:space="preserve">ГК РФ</w:t>
      </w:r>
      <w:r>
        <w:t xml:space="preserve"> – Гражданский кодекс РФ. </w:t>
      </w:r>
      <w:r/>
    </w:p>
    <w:p>
      <w:pPr>
        <w:ind w:firstLine="709"/>
        <w:jc w:val="both"/>
      </w:pPr>
      <w:r>
        <w:rPr>
          <w:b/>
        </w:rPr>
        <w:t xml:space="preserve">ЕИС</w:t>
      </w:r>
      <w:r>
        <w:t xml:space="preserve"> – Единая информационная система.</w:t>
      </w:r>
      <w:r/>
    </w:p>
    <w:p>
      <w:pPr>
        <w:ind w:firstLine="709"/>
        <w:jc w:val="both"/>
      </w:pPr>
      <w:r>
        <w:rPr>
          <w:b/>
        </w:rPr>
        <w:t xml:space="preserve">Закон № 223-ФЗ</w:t>
      </w:r>
      <w:r>
        <w:t xml:space="preserve"> – Федеральный закон от 18.07.2011 № 223-ФЗ «О закупках товаров, работ, услуг отдельными видами юридических лиц».</w:t>
      </w:r>
      <w:r/>
    </w:p>
    <w:p>
      <w:pPr>
        <w:ind w:firstLine="709"/>
        <w:jc w:val="both"/>
        <w:rPr>
          <w:bCs/>
        </w:rPr>
      </w:pPr>
      <w:r>
        <w:rPr>
          <w:b/>
          <w:bCs/>
        </w:rPr>
        <w:t xml:space="preserve">Закон № 63-ФЗ</w:t>
      </w:r>
      <w:r>
        <w:rPr>
          <w:bCs/>
        </w:rPr>
        <w:t xml:space="preserve"> </w:t>
      </w:r>
      <w:r>
        <w:t xml:space="preserve">– </w:t>
      </w:r>
      <w:r>
        <w:rPr>
          <w:bCs/>
        </w:rPr>
        <w:t xml:space="preserve">Федеральный закон от 06.04.2011 № 63-ФЗ «Об электронной подписи».</w:t>
      </w:r>
      <w:r>
        <w:rPr>
          <w:bCs/>
        </w:rPr>
      </w:r>
      <w:r>
        <w:rPr>
          <w:bCs/>
        </w:rPr>
      </w:r>
    </w:p>
    <w:p>
      <w:pPr>
        <w:ind w:firstLine="709"/>
        <w:jc w:val="both"/>
      </w:pPr>
      <w:r>
        <w:rPr>
          <w:b/>
        </w:rPr>
        <w:t xml:space="preserve">НДС</w:t>
      </w:r>
      <w:r>
        <w:t xml:space="preserve"> – налог на добавленную стоимость в соответствии с главой 21 Налогового кодекса РФ.</w:t>
      </w:r>
      <w:r/>
    </w:p>
    <w:p>
      <w:pPr>
        <w:ind w:firstLine="709"/>
        <w:jc w:val="both"/>
        <w:rPr>
          <w:b/>
        </w:rPr>
      </w:pPr>
      <w:r>
        <w:rPr>
          <w:b/>
        </w:rPr>
        <w:t xml:space="preserve">НМЦ, </w:t>
      </w:r>
      <w:r>
        <w:rPr>
          <w:b/>
        </w:rPr>
        <w:t xml:space="preserve">НМЦед</w:t>
      </w:r>
      <w:r>
        <w:rPr>
          <w:b/>
        </w:rPr>
        <w:t xml:space="preserve"> </w:t>
      </w:r>
      <w:r>
        <w:t xml:space="preserve">– начальная (максимальная) цена, начальная (максимальная) цена единицы продукции.</w:t>
      </w:r>
      <w:r>
        <w:rPr>
          <w:b/>
        </w:rPr>
      </w:r>
      <w:r>
        <w:rPr>
          <w:b/>
        </w:rPr>
      </w:r>
    </w:p>
    <w:p>
      <w:pPr>
        <w:ind w:firstLine="709"/>
        <w:jc w:val="both"/>
      </w:pPr>
      <w:r>
        <w:rPr>
          <w:b/>
        </w:rPr>
        <w:t xml:space="preserve">Постановление Правительства РФ № 1875 </w:t>
      </w:r>
      <w:r>
        <w:t xml:space="preserve">– постановлен</w:t>
      </w:r>
      <w:r>
        <w:t xml:space="preserve">ие Правительства РФ от 23.12.2024 № 1875 «О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лиц».</w:t>
      </w:r>
      <w:r/>
    </w:p>
    <w:p>
      <w:pPr>
        <w:ind w:firstLine="709"/>
        <w:jc w:val="both"/>
      </w:pPr>
      <w:r>
        <w:rPr>
          <w:b/>
        </w:rPr>
        <w:t xml:space="preserve">Постановление Правительства РФ № 1352</w:t>
      </w:r>
      <w:r>
        <w:t xml:space="preserve"> – постановление Правительства РФ от 11.12.2014 № 1352 «Об особенностях участия субъектов малого и среднего предпринимательства в закупках товаров, работ, услуг отдельными видами юридических лиц».</w:t>
      </w:r>
      <w:r/>
    </w:p>
    <w:p>
      <w:pPr>
        <w:ind w:firstLine="709"/>
        <w:jc w:val="both"/>
      </w:pPr>
      <w:r>
        <w:rPr>
          <w:b/>
        </w:rPr>
        <w:t xml:space="preserve">РФ</w:t>
      </w:r>
      <w:r>
        <w:t xml:space="preserve"> – Российская Федерация.</w:t>
      </w:r>
      <w:r/>
    </w:p>
    <w:p>
      <w:pPr>
        <w:ind w:firstLine="709"/>
        <w:jc w:val="both"/>
      </w:pPr>
      <w:r>
        <w:rPr>
          <w:b/>
        </w:rPr>
        <w:t xml:space="preserve">ЭП</w:t>
      </w:r>
      <w:r>
        <w:t xml:space="preserve"> – электронная площадка.</w:t>
      </w:r>
      <w:r/>
    </w:p>
    <w:p>
      <w:pPr>
        <w:pStyle w:val="992"/>
        <w:ind w:firstLine="567"/>
        <w:jc w:val="right"/>
        <w:rPr>
          <w:i/>
          <w:color w:val="bfbfbf"/>
          <w:sz w:val="12"/>
          <w:szCs w:val="12"/>
        </w:rPr>
      </w:pPr>
      <w:r>
        <w:rPr>
          <w:i/>
          <w:color w:val="bfbfbf"/>
          <w:sz w:val="12"/>
          <w:szCs w:val="12"/>
        </w:rPr>
      </w:r>
      <w:r>
        <w:rPr>
          <w:i/>
          <w:color w:val="bfbfbf"/>
          <w:sz w:val="12"/>
          <w:szCs w:val="12"/>
        </w:rPr>
      </w:r>
      <w:r>
        <w:rPr>
          <w:i/>
          <w:color w:val="bfbfbf"/>
          <w:sz w:val="12"/>
          <w:szCs w:val="12"/>
        </w:rPr>
      </w:r>
    </w:p>
    <w:p>
      <w:pPr>
        <w:pStyle w:val="992"/>
        <w:rPr>
          <w:i/>
          <w:color w:val="bfbfbf"/>
          <w:sz w:val="12"/>
          <w:szCs w:val="12"/>
        </w:rPr>
      </w:pPr>
      <w:r>
        <w:rPr>
          <w:i/>
          <w:color w:val="bfbfbf"/>
          <w:sz w:val="12"/>
          <w:szCs w:val="12"/>
        </w:rPr>
      </w:r>
      <w:r>
        <w:rPr>
          <w:i/>
          <w:color w:val="bfbfbf"/>
          <w:sz w:val="12"/>
          <w:szCs w:val="12"/>
        </w:rPr>
      </w:r>
      <w:r>
        <w:rPr>
          <w:i/>
          <w:color w:val="bfbfbf"/>
          <w:sz w:val="12"/>
          <w:szCs w:val="12"/>
        </w:rPr>
      </w:r>
    </w:p>
    <w:p>
      <w:pPr>
        <w:pStyle w:val="992"/>
        <w:ind w:firstLine="567"/>
        <w:rPr>
          <w:i/>
          <w:color w:val="bfbfbf"/>
          <w:sz w:val="12"/>
          <w:szCs w:val="12"/>
        </w:rPr>
        <w:sectPr>
          <w:headerReference w:type="default" r:id="rId10"/>
          <w:footnotePr/>
          <w:endnotePr/>
          <w:type w:val="continuous"/>
          <w:pgSz w:w="11907" w:h="16840" w:orient="portrait"/>
          <w:pgMar w:top="851" w:right="567" w:bottom="567" w:left="1134" w:header="720" w:footer="720" w:gutter="0"/>
          <w:pgNumType w:start="1"/>
          <w:cols w:num="1" w:sep="0" w:space="708" w:equalWidth="1"/>
          <w:docGrid w:linePitch="360"/>
          <w:titlePg/>
        </w:sectPr>
      </w:pPr>
      <w:r/>
      <w:bookmarkStart w:id="13" w:name="_РАЗДЕЛ_II._СВЕДЕНИЯ"/>
      <w:r/>
      <w:bookmarkStart w:id="14" w:name="_РАЗДЕЛ_II._ИНФОРМАЦИОННАЯ"/>
      <w:r/>
      <w:bookmarkEnd w:id="13"/>
      <w:r/>
      <w:bookmarkEnd w:id="14"/>
      <w:r>
        <w:rPr>
          <w:i/>
          <w:color w:val="bfbfbf"/>
          <w:sz w:val="12"/>
          <w:szCs w:val="12"/>
        </w:rPr>
      </w:r>
      <w:r>
        <w:rPr>
          <w:i/>
          <w:color w:val="bfbfbf"/>
          <w:sz w:val="12"/>
          <w:szCs w:val="12"/>
        </w:rPr>
      </w:r>
    </w:p>
    <w:p>
      <w:pPr>
        <w:pStyle w:val="989"/>
        <w:numPr>
          <w:ilvl w:val="0"/>
          <w:numId w:val="3"/>
        </w:numPr>
        <w:jc w:val="center"/>
        <w:keepNext/>
        <w:spacing w:before="120" w:beforeAutospacing="0" w:after="120" w:afterAutospacing="0"/>
        <w:tabs>
          <w:tab w:val="num" w:pos="1418" w:leader="none"/>
          <w:tab w:val="num" w:pos="2912" w:leader="none"/>
        </w:tabs>
        <w:rPr>
          <w:b/>
          <w:sz w:val="28"/>
        </w:rPr>
        <w:outlineLvl w:val="1"/>
      </w:pPr>
      <w:r/>
      <w:bookmarkStart w:id="15" w:name="_Toc37260737"/>
      <w:r/>
      <w:bookmarkStart w:id="16" w:name="_Toc54336088"/>
      <w:r/>
      <w:bookmarkStart w:id="17" w:name="_Toc190199524"/>
      <w:r>
        <w:rPr>
          <w:b/>
          <w:sz w:val="28"/>
        </w:rPr>
        <w:t xml:space="preserve">ОБЩИЕ ПОЛОЖЕНИЯ</w:t>
      </w:r>
      <w:bookmarkEnd w:id="15"/>
      <w:r/>
      <w:bookmarkEnd w:id="16"/>
      <w:r/>
      <w:bookmarkEnd w:id="17"/>
      <w:r>
        <w:rPr>
          <w:b/>
          <w:sz w:val="28"/>
        </w:rPr>
      </w:r>
      <w:r>
        <w:rPr>
          <w:b/>
          <w:sz w:val="28"/>
        </w:rPr>
      </w:r>
    </w:p>
    <w:p>
      <w:pPr>
        <w:pStyle w:val="989"/>
        <w:numPr>
          <w:ilvl w:val="1"/>
          <w:numId w:val="3"/>
        </w:numPr>
        <w:ind w:left="0" w:firstLine="709"/>
        <w:jc w:val="both"/>
        <w:keepNext/>
        <w:spacing w:before="120" w:beforeAutospacing="0" w:after="120" w:afterAutospacing="0"/>
        <w:tabs>
          <w:tab w:val="num" w:pos="502" w:leader="none"/>
          <w:tab w:val="num" w:pos="1418" w:leader="none"/>
        </w:tabs>
        <w:rPr>
          <w:b/>
        </w:rPr>
        <w:outlineLvl w:val="1"/>
      </w:pPr>
      <w:r/>
      <w:bookmarkStart w:id="18" w:name="_Toc464639996"/>
      <w:r/>
      <w:bookmarkStart w:id="19" w:name="_Toc54336089"/>
      <w:r/>
      <w:bookmarkStart w:id="20" w:name="_Toc190199525"/>
      <w:r/>
      <w:bookmarkStart w:id="21" w:name="_Toc19698398"/>
      <w:r/>
      <w:bookmarkStart w:id="22" w:name="_Toc37260738"/>
      <w:r/>
      <w:bookmarkStart w:id="23" w:name="_Ref126000848"/>
      <w:r>
        <w:rPr>
          <w:b/>
        </w:rPr>
        <w:t xml:space="preserve">Предмет </w:t>
      </w:r>
      <w:bookmarkEnd w:id="18"/>
      <w:r>
        <w:rPr>
          <w:b/>
        </w:rPr>
        <w:t xml:space="preserve">закупки</w:t>
      </w:r>
      <w:bookmarkEnd w:id="19"/>
      <w:r/>
      <w:bookmarkEnd w:id="20"/>
      <w:r>
        <w:rPr>
          <w:b/>
        </w:rPr>
      </w:r>
      <w:r>
        <w:rPr>
          <w:b/>
        </w:rPr>
      </w:r>
    </w:p>
    <w:p>
      <w:pPr>
        <w:numPr>
          <w:ilvl w:val="2"/>
          <w:numId w:val="3"/>
        </w:numPr>
        <w:ind w:left="0" w:firstLine="709"/>
        <w:jc w:val="both"/>
        <w:tabs>
          <w:tab w:val="num" w:pos="960" w:leader="none"/>
        </w:tabs>
        <w:rPr>
          <w:bCs/>
        </w:rPr>
      </w:pPr>
      <w:r/>
      <w:bookmarkStart w:id="24" w:name="_Ref57202494"/>
      <w:r>
        <w:rPr>
          <w:bCs/>
        </w:rPr>
        <w:t xml:space="preserve">Предмет закупки указан в п. </w:t>
      </w:r>
      <w:r>
        <w:rPr>
          <w:bCs/>
        </w:rPr>
        <w:fldChar w:fldCharType="begin"/>
      </w:r>
      <w:r>
        <w:rPr>
          <w:bCs/>
        </w:rPr>
        <w:instrText xml:space="preserve"> REF _Ref55316657 \r \h </w:instrText>
      </w:r>
      <w:r>
        <w:rPr>
          <w:bCs/>
        </w:rPr>
        <w:fldChar w:fldCharType="separate"/>
      </w:r>
      <w:r>
        <w:rPr>
          <w:bCs/>
        </w:rPr>
        <w:t xml:space="preserve">5</w:t>
      </w:r>
      <w:r>
        <w:rPr>
          <w:bCs/>
        </w:rPr>
        <w:fldChar w:fldCharType="end"/>
      </w:r>
      <w:r>
        <w:rPr>
          <w:bCs/>
        </w:rPr>
        <w:t xml:space="preserve"> раздела </w:t>
      </w:r>
      <w:hyperlink w:tooltip="#_РАЗДЕЛ_II._ИНФОРМАЦИОННАЯ_1" w:anchor="_РАЗДЕЛ_II._ИНФОРМАЦИОННАЯ_1" w:history="1">
        <w:r>
          <w:rPr>
            <w:rStyle w:val="978"/>
            <w:bCs/>
            <w:lang w:val="en-US"/>
          </w:rPr>
          <w:t xml:space="preserve">II</w:t>
        </w:r>
        <w:r>
          <w:rPr>
            <w:rStyle w:val="978"/>
            <w:bCs/>
          </w:rPr>
          <w:t xml:space="preserve"> «ИНФОРМАЦИОННАЯ КАРТА»</w:t>
        </w:r>
      </w:hyperlink>
      <w:r>
        <w:rPr>
          <w:bCs/>
        </w:rPr>
        <w:t xml:space="preserve"> документации. Количество лотов указано в п. </w:t>
      </w:r>
      <w:r>
        <w:rPr>
          <w:bCs/>
        </w:rPr>
        <w:fldChar w:fldCharType="begin"/>
      </w:r>
      <w:r>
        <w:rPr>
          <w:bCs/>
        </w:rPr>
        <w:instrText xml:space="preserve"> REF _Ref55316542 \r \h </w:instrText>
      </w:r>
      <w:r>
        <w:rPr>
          <w:bCs/>
        </w:rPr>
        <w:fldChar w:fldCharType="separate"/>
      </w:r>
      <w:r>
        <w:rPr>
          <w:bCs/>
        </w:rPr>
        <w:t xml:space="preserve">3</w:t>
      </w:r>
      <w:r>
        <w:rPr>
          <w:bCs/>
        </w:rPr>
        <w:fldChar w:fldCharType="end"/>
      </w:r>
      <w:r>
        <w:rPr>
          <w:bCs/>
        </w:rPr>
        <w:t xml:space="preserve"> раздела </w:t>
      </w:r>
      <w:hyperlink w:tooltip="#_РАЗДЕЛ_II._ИНФОРМАЦИОННАЯ_1" w:anchor="_РАЗДЕЛ_II._ИНФОРМАЦИОННАЯ_1" w:history="1">
        <w:r>
          <w:rPr>
            <w:rStyle w:val="978"/>
            <w:bCs/>
            <w:lang w:val="en-US"/>
          </w:rPr>
          <w:t xml:space="preserve">II</w:t>
        </w:r>
        <w:r>
          <w:rPr>
            <w:rStyle w:val="978"/>
            <w:bCs/>
          </w:rPr>
          <w:t xml:space="preserve"> «ИНФОРМАЦИОННАЯ КАРТА»</w:t>
        </w:r>
      </w:hyperlink>
      <w:r>
        <w:rPr>
          <w:bCs/>
        </w:rPr>
        <w:t xml:space="preserve"> документации.</w:t>
      </w:r>
      <w:bookmarkEnd w:id="24"/>
      <w:r>
        <w:rPr>
          <w:bCs/>
        </w:rPr>
      </w:r>
      <w:r>
        <w:rPr>
          <w:bCs/>
        </w:rPr>
      </w:r>
    </w:p>
    <w:p>
      <w:pPr>
        <w:numPr>
          <w:ilvl w:val="2"/>
          <w:numId w:val="3"/>
        </w:numPr>
        <w:ind w:left="0" w:firstLine="709"/>
        <w:jc w:val="both"/>
        <w:tabs>
          <w:tab w:val="num" w:pos="960" w:leader="none"/>
        </w:tabs>
        <w:rPr>
          <w:bCs/>
        </w:rPr>
      </w:pPr>
      <w:r>
        <w:rPr>
          <w:bCs/>
        </w:rPr>
        <w:t xml:space="preserve">Количество поставляемых товаров,</w:t>
      </w:r>
      <w:r>
        <w:rPr>
          <w:bCs/>
        </w:rPr>
        <w:t xml:space="preserve"> объем выполняемых работ, оказываемых услуг,  место и сроки (периоды) поставки товара, выполнения работы, оказания услуг, требования к безопасности, качеству, техническим характеристикам, функциональным характеристикам (потребительским свойствам) товара, р</w:t>
      </w:r>
      <w:r>
        <w:rPr>
          <w:bCs/>
        </w:rPr>
        <w:t xml:space="preserve">аботы, услуги, к размерам, упаковке, отгрузке товара, к результатам работы, установленные Заказчиком и предусмотренные техническими регламентами в соответствии с законодательством РФ о техническом регулировании, документами, разрабатываемыми и применяемыми</w:t>
      </w:r>
      <w:r>
        <w:rPr>
          <w:bCs/>
        </w:rPr>
        <w:t xml:space="preserve"> в национальной системе стандартизации, принятыми в соответствии с законодательством РФ о стандартизации, иные требования, связанные с определением соответствия поставляемого товара, выполняемой работы, оказываемой услуги потребностям Заказчика, указаны в </w:t>
      </w:r>
      <w:r>
        <w:t xml:space="preserve">разделах </w:t>
      </w:r>
      <w:hyperlink w:tooltip="#_РАЗДЕЛ_IV._ТЕХНИЧЕСКОЕ_1" w:anchor="_РАЗДЕЛ_IV._ТЕХНИЧЕСКОЕ_1" w:history="1">
        <w:r>
          <w:rPr>
            <w:rStyle w:val="978"/>
          </w:rPr>
          <w:t xml:space="preserve">IV. «ТЕХНИЧЕСКОЕ ЗАДАНИЕ»</w:t>
        </w:r>
      </w:hyperlink>
      <w:r>
        <w:t xml:space="preserve"> и </w:t>
      </w:r>
      <w:hyperlink w:tooltip="#_РАЗДЕЛ_V._ПРОЕКТ_1" w:anchor="_РАЗДЕЛ_V._ПРОЕКТ_1" w:history="1">
        <w:r>
          <w:rPr>
            <w:rStyle w:val="978"/>
          </w:rPr>
          <w:t xml:space="preserve">V. «ПРОЕКТ ДОГОВОРА»</w:t>
        </w:r>
      </w:hyperlink>
      <w:r>
        <w:t xml:space="preserve"> документации.</w:t>
      </w:r>
      <w:r>
        <w:rPr>
          <w:bCs/>
        </w:rPr>
      </w:r>
      <w:r>
        <w:rPr>
          <w:bCs/>
        </w:rPr>
      </w:r>
    </w:p>
    <w:p>
      <w:pPr>
        <w:numPr>
          <w:ilvl w:val="2"/>
          <w:numId w:val="3"/>
        </w:numPr>
        <w:ind w:left="0" w:firstLine="709"/>
        <w:jc w:val="both"/>
        <w:tabs>
          <w:tab w:val="num" w:pos="960" w:leader="none"/>
        </w:tabs>
        <w:rPr>
          <w:bCs/>
        </w:rPr>
      </w:pPr>
      <w:r>
        <w:rPr>
          <w:bCs/>
        </w:rPr>
        <w:t xml:space="preserve">Проект договора, который будет заключен по результатам процедуры закупки, представлен в разделе </w:t>
      </w:r>
      <w:hyperlink w:tooltip="#_РАЗДЕЛ_V._ПРОЕКТ_1" w:anchor="_РАЗДЕЛ_V._ПРОЕКТ_1" w:history="1">
        <w:r>
          <w:rPr>
            <w:rStyle w:val="978"/>
          </w:rPr>
          <w:t xml:space="preserve">V. «ПРОЕКТ ДОГОВОРА»</w:t>
        </w:r>
      </w:hyperlink>
      <w:r>
        <w:t xml:space="preserve"> документации</w:t>
      </w:r>
      <w:r>
        <w:rPr>
          <w:bCs/>
        </w:rPr>
        <w:t xml:space="preserve">.</w:t>
      </w:r>
      <w:r>
        <w:rPr>
          <w:bCs/>
        </w:rPr>
      </w:r>
      <w:r>
        <w:rPr>
          <w:bCs/>
        </w:rPr>
      </w:r>
    </w:p>
    <w:p>
      <w:pPr>
        <w:numPr>
          <w:ilvl w:val="2"/>
          <w:numId w:val="3"/>
        </w:numPr>
        <w:ind w:left="0" w:firstLine="709"/>
        <w:jc w:val="both"/>
        <w:tabs>
          <w:tab w:val="num" w:pos="960" w:leader="none"/>
        </w:tabs>
        <w:rPr>
          <w:bCs/>
        </w:rPr>
      </w:pPr>
      <w:r/>
      <w:bookmarkStart w:id="25" w:name="_Ref57201783"/>
      <w:r/>
      <w:bookmarkStart w:id="26" w:name="_Ref57202505"/>
      <w:r>
        <w:rPr>
          <w:bCs/>
        </w:rPr>
        <w:t xml:space="preserve">По результатам проведения закупки может быть заключено несколько договоров с несколькими участ</w:t>
      </w:r>
      <w:r>
        <w:rPr>
          <w:bCs/>
        </w:rPr>
        <w:t xml:space="preserve">никами закупки (лота), при этом все такие участники признаются победителями закупки. Максимально возможное количество победителей, а также распределение объема предмета закупки в натуральном и/или денежном выражении между победителями закупки указано в п. </w:t>
      </w:r>
      <w:r>
        <w:rPr>
          <w:bCs/>
        </w:rPr>
        <w:fldChar w:fldCharType="begin"/>
      </w:r>
      <w:r>
        <w:rPr>
          <w:bCs/>
        </w:rPr>
        <w:instrText xml:space="preserve"> REF _Ref55316833 \r \h </w:instrText>
      </w:r>
      <w:r>
        <w:rPr>
          <w:bCs/>
        </w:rPr>
        <w:fldChar w:fldCharType="separate"/>
      </w:r>
      <w:r>
        <w:rPr>
          <w:bCs/>
        </w:rPr>
        <w:t xml:space="preserve">4</w:t>
      </w:r>
      <w:r>
        <w:rPr>
          <w:bCs/>
        </w:rPr>
        <w:fldChar w:fldCharType="end"/>
      </w:r>
      <w:r>
        <w:rPr>
          <w:bCs/>
        </w:rPr>
        <w:t xml:space="preserve"> раздела </w:t>
      </w:r>
      <w:hyperlink w:tooltip="#_РАЗДЕЛ_II._ИНФОРМАЦИОННАЯ_1" w:anchor="_РАЗДЕЛ_II._ИНФОРМАЦИОННАЯ_1" w:history="1">
        <w:r>
          <w:rPr>
            <w:rStyle w:val="978"/>
            <w:bCs/>
            <w:lang w:val="en-US"/>
          </w:rPr>
          <w:t xml:space="preserve">II</w:t>
        </w:r>
        <w:r>
          <w:rPr>
            <w:rStyle w:val="978"/>
            <w:bCs/>
          </w:rPr>
          <w:t xml:space="preserve"> «ИНФОРМАЦИОННАЯ КАРТА»</w:t>
        </w:r>
      </w:hyperlink>
      <w:r>
        <w:rPr>
          <w:bCs/>
        </w:rPr>
        <w:t xml:space="preserve"> документации.</w:t>
      </w:r>
      <w:r>
        <w:rPr>
          <w:bCs/>
        </w:rPr>
      </w:r>
      <w:r>
        <w:rPr>
          <w:bCs/>
        </w:rPr>
      </w:r>
    </w:p>
    <w:p>
      <w:pPr>
        <w:numPr>
          <w:ilvl w:val="2"/>
          <w:numId w:val="3"/>
        </w:numPr>
        <w:ind w:left="0" w:firstLine="709"/>
        <w:jc w:val="both"/>
        <w:tabs>
          <w:tab w:val="num" w:pos="960" w:leader="none"/>
        </w:tabs>
        <w:rPr>
          <w:bCs/>
        </w:rPr>
      </w:pPr>
      <w:r>
        <w:rPr>
          <w:bCs/>
        </w:rPr>
        <w:t xml:space="preserve">Форма, сроки и порядок оплаты товара, работы, услуги определены в разделе </w:t>
      </w:r>
      <w:hyperlink w:tooltip="#_РАЗДЕЛ_V._ПРОЕКТ_1" w:anchor="_РАЗДЕЛ_V._ПРОЕКТ_1" w:history="1">
        <w:r>
          <w:rPr>
            <w:rStyle w:val="978"/>
          </w:rPr>
          <w:t xml:space="preserve">V. «ПРОЕКТ ДОГОВОРА»</w:t>
        </w:r>
      </w:hyperlink>
      <w:r>
        <w:t xml:space="preserve"> документации</w:t>
      </w:r>
      <w:r>
        <w:rPr>
          <w:bCs/>
        </w:rPr>
        <w:t xml:space="preserve">.</w:t>
      </w:r>
      <w:bookmarkEnd w:id="25"/>
      <w:r>
        <w:rPr>
          <w:bCs/>
        </w:rPr>
      </w:r>
      <w:r>
        <w:rPr>
          <w:bCs/>
        </w:rPr>
      </w:r>
    </w:p>
    <w:p>
      <w:pPr>
        <w:pStyle w:val="989"/>
        <w:numPr>
          <w:ilvl w:val="1"/>
          <w:numId w:val="3"/>
        </w:numPr>
        <w:ind w:left="0" w:firstLine="709"/>
        <w:jc w:val="both"/>
        <w:keepNext/>
        <w:spacing w:before="120" w:beforeAutospacing="0" w:after="120" w:afterAutospacing="0"/>
        <w:tabs>
          <w:tab w:val="num" w:pos="502" w:leader="none"/>
          <w:tab w:val="num" w:pos="1418" w:leader="none"/>
        </w:tabs>
        <w:rPr>
          <w:b/>
        </w:rPr>
        <w:outlineLvl w:val="1"/>
      </w:pPr>
      <w:r/>
      <w:bookmarkStart w:id="27" w:name="_Toc54336090"/>
      <w:r/>
      <w:bookmarkStart w:id="28" w:name="_Toc190199526"/>
      <w:r/>
      <w:bookmarkEnd w:id="26"/>
      <w:r>
        <w:rPr>
          <w:b/>
        </w:rPr>
        <w:t xml:space="preserve">Правовая основа закупки</w:t>
      </w:r>
      <w:bookmarkEnd w:id="21"/>
      <w:r/>
      <w:bookmarkEnd w:id="22"/>
      <w:r/>
      <w:bookmarkEnd w:id="27"/>
      <w:r/>
      <w:bookmarkEnd w:id="28"/>
      <w:r>
        <w:rPr>
          <w:b/>
        </w:rPr>
      </w:r>
      <w:r>
        <w:rPr>
          <w:b/>
        </w:rPr>
      </w:r>
    </w:p>
    <w:p>
      <w:pPr>
        <w:numPr>
          <w:ilvl w:val="2"/>
          <w:numId w:val="3"/>
        </w:numPr>
        <w:ind w:left="0" w:firstLine="709"/>
        <w:jc w:val="both"/>
        <w:tabs>
          <w:tab w:val="num" w:pos="960" w:leader="none"/>
        </w:tabs>
        <w:rPr>
          <w:bCs/>
        </w:rPr>
      </w:pPr>
      <w:r>
        <w:rPr>
          <w:bCs/>
        </w:rPr>
        <w:t xml:space="preserve">Настоящая документация подготовлена в соответствии с ГК РФ, Законом № 223-ФЗ, Постановлением Правительства РФ № 1352, другими федеральными законами и иными нормативными правовыми актами РФ, регулирующими вопросы закупочной деятельности Заказчика, а также </w:t>
      </w:r>
      <w:r>
        <w:t xml:space="preserve">Положением о закупке</w:t>
      </w:r>
      <w:r>
        <w:rPr>
          <w:bCs/>
        </w:rPr>
        <w:t xml:space="preserve">.</w:t>
      </w:r>
      <w:bookmarkEnd w:id="23"/>
      <w:r>
        <w:rPr>
          <w:bCs/>
        </w:rPr>
      </w:r>
      <w:r>
        <w:rPr>
          <w:bCs/>
        </w:rPr>
      </w:r>
    </w:p>
    <w:p>
      <w:pPr>
        <w:numPr>
          <w:ilvl w:val="2"/>
          <w:numId w:val="3"/>
        </w:numPr>
        <w:ind w:left="0" w:firstLine="709"/>
        <w:jc w:val="both"/>
        <w:tabs>
          <w:tab w:val="num" w:pos="960" w:leader="none"/>
        </w:tabs>
        <w:rPr>
          <w:bCs/>
        </w:rPr>
      </w:pPr>
      <w:r>
        <w:rPr>
          <w:bCs/>
        </w:rPr>
        <w:t xml:space="preserve">Во всем, что не урегулировано извещением, настоящей документацией, Заказчик и уча</w:t>
      </w:r>
      <w:r>
        <w:rPr>
          <w:bCs/>
        </w:rPr>
        <w:t xml:space="preserve">стники руководствуются ГК РФ, Законом № 223-ФЗ, Постановлением Правительства РФ № 1352, другими федеральными законами и иными нормативными правовыми актами РФ, прямо относящимися к предмету регулирования настоящей процедуры закупки, а также регламентом ЭП.</w:t>
      </w:r>
      <w:r>
        <w:rPr>
          <w:bCs/>
        </w:rPr>
      </w:r>
      <w:r>
        <w:rPr>
          <w:bCs/>
        </w:rPr>
      </w:r>
    </w:p>
    <w:p>
      <w:pPr>
        <w:pStyle w:val="992"/>
        <w:rPr>
          <w:i/>
          <w:color w:val="bfbfbf"/>
          <w:sz w:val="12"/>
          <w:szCs w:val="12"/>
        </w:rPr>
      </w:pPr>
      <w:r>
        <w:rPr>
          <w:i/>
          <w:color w:val="bfbfbf"/>
          <w:sz w:val="12"/>
          <w:szCs w:val="12"/>
        </w:rPr>
      </w:r>
      <w:r>
        <w:rPr>
          <w:i/>
          <w:color w:val="bfbfbf"/>
          <w:sz w:val="12"/>
          <w:szCs w:val="12"/>
        </w:rPr>
      </w:r>
      <w:r>
        <w:rPr>
          <w:i/>
          <w:color w:val="bfbfbf"/>
          <w:sz w:val="12"/>
          <w:szCs w:val="12"/>
        </w:rPr>
      </w:r>
    </w:p>
    <w:p>
      <w:pPr>
        <w:pStyle w:val="989"/>
        <w:numPr>
          <w:ilvl w:val="1"/>
          <w:numId w:val="3"/>
        </w:numPr>
        <w:ind w:left="0" w:firstLine="709"/>
        <w:jc w:val="both"/>
        <w:keepNext/>
        <w:spacing w:before="120" w:beforeAutospacing="0" w:after="120" w:afterAutospacing="0"/>
        <w:tabs>
          <w:tab w:val="num" w:pos="502" w:leader="none"/>
          <w:tab w:val="num" w:pos="1418" w:leader="none"/>
        </w:tabs>
        <w:rPr>
          <w:b/>
        </w:rPr>
        <w:outlineLvl w:val="1"/>
      </w:pPr>
      <w:r/>
      <w:bookmarkStart w:id="29" w:name="_Toc30531164"/>
      <w:r/>
      <w:bookmarkStart w:id="30" w:name="_Toc47010168"/>
      <w:r/>
      <w:bookmarkStart w:id="31" w:name="_Toc54336091"/>
      <w:r/>
      <w:bookmarkStart w:id="32" w:name="_Toc190199527"/>
      <w:r/>
      <w:bookmarkStart w:id="33" w:name="_Toc23149534"/>
      <w:r>
        <w:rPr>
          <w:b/>
        </w:rPr>
        <w:t xml:space="preserve">Информационное обеспечение </w:t>
      </w:r>
      <w:bookmarkEnd w:id="29"/>
      <w:r/>
      <w:bookmarkEnd w:id="30"/>
      <w:r>
        <w:rPr>
          <w:b/>
        </w:rPr>
        <w:t xml:space="preserve">закупки</w:t>
      </w:r>
      <w:bookmarkEnd w:id="31"/>
      <w:r/>
      <w:bookmarkEnd w:id="32"/>
      <w:r>
        <w:rPr>
          <w:b/>
        </w:rPr>
      </w:r>
      <w:r>
        <w:rPr>
          <w:b/>
        </w:rPr>
      </w:r>
    </w:p>
    <w:p>
      <w:pPr>
        <w:numPr>
          <w:ilvl w:val="2"/>
          <w:numId w:val="3"/>
        </w:numPr>
        <w:ind w:left="0" w:firstLine="709"/>
        <w:jc w:val="both"/>
        <w:tabs>
          <w:tab w:val="num" w:pos="960" w:leader="none"/>
        </w:tabs>
        <w:rPr>
          <w:bCs/>
        </w:rPr>
      </w:pPr>
      <w:r/>
      <w:bookmarkStart w:id="34" w:name="_Toc30595394"/>
      <w:r>
        <w:rPr>
          <w:bCs/>
        </w:rPr>
        <w:t xml:space="preserve">Информация и документы по данной закупке публикуются в ЕИС и на ЭП. Официальным источником информации о ходе и результатах закупки (официальной публикацией) является ЕИС.</w:t>
      </w:r>
      <w:r>
        <w:rPr>
          <w:bCs/>
        </w:rPr>
      </w:r>
      <w:r>
        <w:rPr>
          <w:bCs/>
        </w:rPr>
      </w:r>
    </w:p>
    <w:p>
      <w:pPr>
        <w:numPr>
          <w:ilvl w:val="2"/>
          <w:numId w:val="3"/>
        </w:numPr>
        <w:ind w:left="0" w:firstLine="709"/>
        <w:jc w:val="both"/>
        <w:tabs>
          <w:tab w:val="num" w:pos="960" w:leader="none"/>
        </w:tabs>
        <w:rPr>
          <w:bCs/>
        </w:rPr>
      </w:pPr>
      <w:r/>
      <w:bookmarkStart w:id="35" w:name="_Toc30595395"/>
      <w:r/>
      <w:bookmarkEnd w:id="34"/>
      <w:r>
        <w:rPr>
          <w:bCs/>
        </w:rPr>
        <w:t xml:space="preserve">Участники должны самостоятельно отслеживать опубликованные в ЕИС и на ЭП разъяснения и изменения извещения и документации, информацию о принятых в ходе закупки решениях Заказчика.</w:t>
      </w:r>
      <w:bookmarkEnd w:id="35"/>
      <w:r>
        <w:rPr>
          <w:bCs/>
        </w:rPr>
      </w:r>
      <w:r>
        <w:rPr>
          <w:bCs/>
        </w:rPr>
      </w:r>
    </w:p>
    <w:p>
      <w:pPr>
        <w:numPr>
          <w:ilvl w:val="2"/>
          <w:numId w:val="3"/>
        </w:numPr>
        <w:ind w:left="0" w:firstLine="709"/>
        <w:jc w:val="both"/>
        <w:tabs>
          <w:tab w:val="num" w:pos="960" w:leader="none"/>
        </w:tabs>
        <w:rPr>
          <w:bCs/>
        </w:rPr>
      </w:pPr>
      <w:r/>
      <w:bookmarkStart w:id="36" w:name="_Toc30595401"/>
      <w:r>
        <w:rPr>
          <w:bCs/>
        </w:rPr>
        <w:t xml:space="preserve">При осуществлении закупки на ЭП оператором ЭП обеспечивается направление участниками запросов о даче разъяснений положений извещения и (или) документации, размещение в </w:t>
      </w:r>
      <w:r>
        <w:rPr>
          <w:bCs/>
        </w:rPr>
        <w:t xml:space="preserve">ЕИС и на ЭП таких разъяснений, подача участниками заявок, предоставление членам Закупочной комиссии доступа к указанным заявкам, сопоставление ценовых предложений участников, формирование проектов протоколов, составляемых в соответствии с Законом № 223-ФЗ.</w:t>
      </w:r>
      <w:bookmarkEnd w:id="36"/>
      <w:r>
        <w:rPr>
          <w:bCs/>
        </w:rPr>
      </w:r>
      <w:r>
        <w:rPr>
          <w:bCs/>
        </w:rPr>
      </w:r>
    </w:p>
    <w:p>
      <w:pPr>
        <w:numPr>
          <w:ilvl w:val="2"/>
          <w:numId w:val="3"/>
        </w:numPr>
        <w:ind w:left="0" w:firstLine="709"/>
        <w:jc w:val="both"/>
        <w:tabs>
          <w:tab w:val="num" w:pos="960" w:leader="none"/>
        </w:tabs>
        <w:rPr>
          <w:bCs/>
        </w:rPr>
      </w:pPr>
      <w:r/>
      <w:bookmarkStart w:id="37" w:name="_Toc30595403"/>
      <w:r>
        <w:rPr>
          <w:bCs/>
        </w:rPr>
        <w:t xml:space="preserve">Обмен между участником, Заказчиком и оператором ЭП информацией, связанной с получением аккредитации на ЭП, проведением закупки, осуществляется на ЭП в форме электронных документов.</w:t>
      </w:r>
      <w:bookmarkEnd w:id="37"/>
      <w:r>
        <w:rPr>
          <w:bCs/>
        </w:rPr>
      </w:r>
      <w:r>
        <w:rPr>
          <w:bCs/>
        </w:rPr>
      </w:r>
    </w:p>
    <w:p>
      <w:pPr>
        <w:numPr>
          <w:ilvl w:val="2"/>
          <w:numId w:val="3"/>
        </w:numPr>
        <w:ind w:left="0" w:firstLine="709"/>
        <w:jc w:val="both"/>
        <w:tabs>
          <w:tab w:val="num" w:pos="960" w:leader="none"/>
        </w:tabs>
        <w:rPr>
          <w:bCs/>
        </w:rPr>
      </w:pPr>
      <w:r/>
      <w:bookmarkStart w:id="38" w:name="_Toc30595404"/>
      <w:r>
        <w:rPr>
          <w:bCs/>
        </w:rPr>
        <w:t xml:space="preserve">Электронные документы участника, Заказчика, оператора ЭП должны быть подписаны усиленной квалифицированной электронной подписью лица, имеющего право </w:t>
      </w:r>
      <w:r>
        <w:rPr>
          <w:bCs/>
        </w:rPr>
        <w:t xml:space="preserve">действовать от имени соответственно участника, Заказчика, оператора ЭП полученной в порядке, установленном в Законе № 63-ФЗ.</w:t>
      </w:r>
      <w:bookmarkEnd w:id="38"/>
      <w:r>
        <w:rPr>
          <w:bCs/>
        </w:rPr>
      </w:r>
      <w:r>
        <w:rPr>
          <w:bCs/>
        </w:rPr>
      </w:r>
    </w:p>
    <w:p>
      <w:pPr>
        <w:numPr>
          <w:ilvl w:val="2"/>
          <w:numId w:val="3"/>
        </w:numPr>
        <w:ind w:left="0" w:firstLine="709"/>
        <w:jc w:val="both"/>
        <w:tabs>
          <w:tab w:val="num" w:pos="960" w:leader="none"/>
        </w:tabs>
        <w:rPr>
          <w:bCs/>
        </w:rPr>
      </w:pPr>
      <w:r/>
      <w:bookmarkStart w:id="39" w:name="_Toc30595405"/>
      <w:r>
        <w:rPr>
          <w:bCs/>
        </w:rPr>
        <w:t xml:space="preserve">В течение одного часа с момента размещения в ЕИС извещения об отказе от проведения закупки, изменений, внесенных в извещение, документац</w:t>
      </w:r>
      <w:r>
        <w:rPr>
          <w:bCs/>
        </w:rPr>
        <w:t xml:space="preserve">ию, разъяснений положений документации оператор ЭП размещает указанную информацию на ЭП, направляет уведомление об указанных изменениях, разъяснениях всем участникам в электронной форме, подавшим заявки, уведомление об указанных разъяснениях также лицу, на</w:t>
      </w:r>
      <w:r>
        <w:rPr>
          <w:bCs/>
        </w:rPr>
        <w:t xml:space="preserve">правившему запрос о даче разъяснений положений извещения, документации, уведомление об указанных запросах о разъяснении положений заявки по адресам электронной почты, указанным этими частниками при аккредитации на ЭП или этим лицом при направлении запроса.</w:t>
      </w:r>
      <w:bookmarkEnd w:id="39"/>
      <w:r>
        <w:rPr>
          <w:bCs/>
        </w:rPr>
      </w:r>
      <w:r>
        <w:rPr>
          <w:bCs/>
        </w:rPr>
      </w:r>
    </w:p>
    <w:p>
      <w:pPr>
        <w:pStyle w:val="989"/>
        <w:numPr>
          <w:ilvl w:val="0"/>
          <w:numId w:val="3"/>
        </w:numPr>
        <w:jc w:val="center"/>
        <w:keepNext/>
        <w:spacing w:before="120" w:beforeAutospacing="0" w:after="120" w:afterAutospacing="0"/>
        <w:tabs>
          <w:tab w:val="num" w:pos="1418" w:leader="none"/>
          <w:tab w:val="num" w:pos="2912" w:leader="none"/>
        </w:tabs>
        <w:rPr>
          <w:b/>
          <w:sz w:val="28"/>
        </w:rPr>
        <w:outlineLvl w:val="1"/>
      </w:pPr>
      <w:r/>
      <w:bookmarkStart w:id="40" w:name="_Toc54336092"/>
      <w:r/>
      <w:bookmarkStart w:id="41" w:name="_Toc190199528"/>
      <w:r/>
      <w:bookmarkStart w:id="42" w:name="_Toc521347980"/>
      <w:r/>
      <w:bookmarkStart w:id="43" w:name="_Toc19698400"/>
      <w:r/>
      <w:bookmarkStart w:id="44" w:name="_Toc37260743"/>
      <w:r/>
      <w:bookmarkStart w:id="45" w:name="_Ref441222309"/>
      <w:r>
        <w:rPr>
          <w:b/>
          <w:sz w:val="28"/>
        </w:rPr>
        <w:t xml:space="preserve">ТРЕБОВАНИЯ К УЧАСТНИКУ, А ТАКЖЕ К ДОКУМЕНТАМ, ПОДТВЕРЖДАЮЩИМ ДАННЫЕ ТРЕБОВАНИЯ</w:t>
      </w:r>
      <w:bookmarkEnd w:id="40"/>
      <w:r/>
      <w:bookmarkEnd w:id="41"/>
      <w:r>
        <w:rPr>
          <w:b/>
          <w:sz w:val="28"/>
        </w:rPr>
      </w:r>
      <w:r>
        <w:rPr>
          <w:b/>
          <w:sz w:val="28"/>
        </w:rPr>
      </w:r>
    </w:p>
    <w:p>
      <w:pPr>
        <w:pStyle w:val="989"/>
        <w:numPr>
          <w:ilvl w:val="1"/>
          <w:numId w:val="3"/>
        </w:numPr>
        <w:ind w:left="1069"/>
        <w:jc w:val="both"/>
        <w:keepNext/>
        <w:spacing w:before="120" w:beforeAutospacing="0" w:after="120" w:afterAutospacing="0"/>
        <w:tabs>
          <w:tab w:val="num" w:pos="1069" w:leader="none"/>
        </w:tabs>
        <w:rPr>
          <w:b/>
        </w:rPr>
        <w:outlineLvl w:val="1"/>
      </w:pPr>
      <w:r>
        <w:rPr>
          <w:b/>
        </w:rPr>
        <w:t xml:space="preserve"> </w:t>
      </w:r>
      <w:bookmarkStart w:id="46" w:name="_Toc54336093"/>
      <w:r/>
      <w:bookmarkStart w:id="47" w:name="_Toc190199529"/>
      <w:r>
        <w:rPr>
          <w:b/>
        </w:rPr>
        <w:t xml:space="preserve">Участ</w:t>
      </w:r>
      <w:bookmarkEnd w:id="42"/>
      <w:r/>
      <w:bookmarkEnd w:id="43"/>
      <w:r/>
      <w:bookmarkEnd w:id="44"/>
      <w:r/>
      <w:bookmarkEnd w:id="46"/>
      <w:r>
        <w:rPr>
          <w:b/>
        </w:rPr>
        <w:t xml:space="preserve">ие в закупке</w:t>
      </w:r>
      <w:bookmarkEnd w:id="47"/>
      <w:r>
        <w:rPr>
          <w:b/>
        </w:rPr>
      </w:r>
      <w:r>
        <w:rPr>
          <w:b/>
        </w:rPr>
      </w:r>
    </w:p>
    <w:p>
      <w:pPr>
        <w:numPr>
          <w:ilvl w:val="2"/>
          <w:numId w:val="3"/>
        </w:numPr>
        <w:ind w:left="0" w:firstLine="709"/>
        <w:jc w:val="both"/>
        <w:rPr>
          <w:bCs/>
        </w:rPr>
      </w:pPr>
      <w:r>
        <w:rPr>
          <w:bCs/>
        </w:rPr>
        <w:t xml:space="preserve">Участниками закупки могут быть только субъекты малого и среднего предпринимательства/физические лица, не являющиеся индивидуальными предпринимателями и применяющие специальный налоговый режим «Налог на профессиональный доход».</w:t>
      </w:r>
      <w:r>
        <w:rPr>
          <w:bCs/>
        </w:rPr>
        <w:tab/>
        <w:t xml:space="preserve">Проверка соответствия данному требованию осуществляется Заказчиком самостоятельно:</w:t>
      </w:r>
      <w:r>
        <w:rPr>
          <w:bCs/>
        </w:rPr>
      </w:r>
      <w:r>
        <w:rPr>
          <w:bCs/>
        </w:rPr>
      </w:r>
    </w:p>
    <w:p>
      <w:pPr>
        <w:pStyle w:val="979"/>
        <w:numPr>
          <w:ilvl w:val="0"/>
          <w:numId w:val="41"/>
        </w:numPr>
        <w:ind w:left="0" w:firstLine="709"/>
        <w:jc w:val="both"/>
        <w:rPr>
          <w:bCs/>
        </w:rPr>
      </w:pPr>
      <w:r>
        <w:rPr>
          <w:bCs/>
        </w:rPr>
        <w:t xml:space="preserve"> в отношении Субъектов МСП - в едином реестре субъектов малого и среднего предпринимательства;</w:t>
      </w:r>
      <w:r>
        <w:rPr>
          <w:bCs/>
        </w:rPr>
      </w:r>
      <w:r>
        <w:rPr>
          <w:bCs/>
        </w:rPr>
      </w:r>
    </w:p>
    <w:p>
      <w:pPr>
        <w:pStyle w:val="979"/>
        <w:numPr>
          <w:ilvl w:val="0"/>
          <w:numId w:val="41"/>
        </w:numPr>
        <w:ind w:left="0" w:firstLine="709"/>
        <w:jc w:val="both"/>
        <w:rPr>
          <w:bCs/>
        </w:rPr>
      </w:pPr>
      <w:r>
        <w:rPr>
          <w:bCs/>
        </w:rPr>
        <w:t xml:space="preserve"> в отношении физических лиц, не являющихся индивидуальными предпринимателями и применяющим специальный налоговый режим «Налог на профессиональный доход» - на официальном сайте ФНС России о применении налогового режима «Налог на профессиональный доход». </w:t>
      </w:r>
      <w:r>
        <w:rPr>
          <w:bCs/>
        </w:rPr>
      </w:r>
      <w:r>
        <w:rPr>
          <w:bCs/>
        </w:rPr>
      </w:r>
    </w:p>
    <w:p>
      <w:pPr>
        <w:numPr>
          <w:ilvl w:val="2"/>
          <w:numId w:val="3"/>
        </w:numPr>
        <w:ind w:left="0" w:firstLine="709"/>
        <w:jc w:val="both"/>
        <w:tabs>
          <w:tab w:val="num" w:pos="960" w:leader="none"/>
        </w:tabs>
        <w:rPr>
          <w:bCs/>
        </w:rPr>
      </w:pPr>
      <w:r>
        <w:rPr>
          <w:bCs/>
        </w:rPr>
        <w:t xml:space="preserve">Для участия в закупке участник должен удовлетворять требованиям, установленным настоящей документацией, подготовить и подать заявку на участие в закупке, соответствующую требованиям настоящей документации, в порядке, установленном настоящей документацией.</w:t>
      </w:r>
      <w:r>
        <w:rPr>
          <w:bCs/>
        </w:rPr>
      </w:r>
      <w:r>
        <w:rPr>
          <w:bCs/>
        </w:rPr>
      </w:r>
    </w:p>
    <w:p>
      <w:pPr>
        <w:numPr>
          <w:ilvl w:val="2"/>
          <w:numId w:val="3"/>
        </w:numPr>
        <w:ind w:left="0" w:firstLine="709"/>
        <w:jc w:val="both"/>
        <w:tabs>
          <w:tab w:val="num" w:pos="960" w:leader="none"/>
        </w:tabs>
        <w:rPr>
          <w:bCs/>
        </w:rPr>
      </w:pPr>
      <w:r/>
      <w:bookmarkStart w:id="48" w:name="_Toc30595402"/>
      <w:r>
        <w:rPr>
          <w:bCs/>
        </w:rPr>
        <w:t xml:space="preserve">Участнику для участия в закупке необходимо получить аккредитацию на ЭП в порядке, установленном оператором ЭП и регламентом ЭП.</w:t>
      </w:r>
      <w:bookmarkEnd w:id="48"/>
      <w:r>
        <w:rPr>
          <w:bCs/>
        </w:rPr>
      </w:r>
      <w:r>
        <w:rPr>
          <w:bCs/>
        </w:rPr>
      </w:r>
    </w:p>
    <w:p>
      <w:pPr>
        <w:numPr>
          <w:ilvl w:val="2"/>
          <w:numId w:val="3"/>
        </w:numPr>
        <w:ind w:left="0" w:firstLine="709"/>
        <w:jc w:val="both"/>
        <w:tabs>
          <w:tab w:val="num" w:pos="960" w:leader="none"/>
        </w:tabs>
        <w:rPr>
          <w:bCs/>
        </w:rPr>
      </w:pPr>
      <w:r>
        <w:rPr>
          <w:bCs/>
        </w:rPr>
        <w:t xml:space="preserve">В случае если на стороне участника выступают несколько юридических лиц/несколько индивидуальных предпринимателей/несколько физических лиц (далее – коллективный участник), то лицо, подавшее заявку на участие в закупке:</w:t>
      </w:r>
      <w:r>
        <w:rPr>
          <w:bCs/>
        </w:rPr>
      </w:r>
      <w:r>
        <w:rPr>
          <w:bCs/>
        </w:rPr>
      </w:r>
    </w:p>
    <w:p>
      <w:pPr>
        <w:pStyle w:val="979"/>
        <w:numPr>
          <w:ilvl w:val="0"/>
          <w:numId w:val="42"/>
        </w:numPr>
        <w:jc w:val="both"/>
        <w:rPr>
          <w:bCs/>
        </w:rPr>
      </w:pPr>
      <w:r>
        <w:rPr>
          <w:bCs/>
        </w:rPr>
        <w:t xml:space="preserve">Должно быть уполномочено принимать участие в закупке в интересах всех лиц, выступающих на стороне участника, а также осуществлять иные права и обязанности, которые принадлежат участнику в соответствии с Положением о закупке и настоящей документацией;</w:t>
      </w:r>
      <w:r>
        <w:rPr>
          <w:bCs/>
        </w:rPr>
      </w:r>
      <w:r>
        <w:rPr>
          <w:bCs/>
        </w:rPr>
      </w:r>
    </w:p>
    <w:p>
      <w:pPr>
        <w:pStyle w:val="979"/>
        <w:numPr>
          <w:ilvl w:val="0"/>
          <w:numId w:val="42"/>
        </w:numPr>
        <w:jc w:val="both"/>
        <w:rPr>
          <w:bCs/>
        </w:rPr>
      </w:pPr>
      <w:r>
        <w:rPr>
          <w:bCs/>
        </w:rPr>
        <w:t xml:space="preserve">Обязано заключить договор по результатам закупки, в случаях, предусмотренных Положением о закупке и настоящей документацией. </w:t>
      </w:r>
      <w:r>
        <w:rPr>
          <w:bCs/>
        </w:rPr>
      </w:r>
      <w:r>
        <w:rPr>
          <w:bCs/>
        </w:rPr>
      </w:r>
    </w:p>
    <w:p>
      <w:pPr>
        <w:pStyle w:val="989"/>
        <w:numPr>
          <w:ilvl w:val="1"/>
          <w:numId w:val="3"/>
        </w:numPr>
        <w:ind w:left="0" w:firstLine="709"/>
        <w:jc w:val="both"/>
        <w:keepNext/>
        <w:spacing w:before="120" w:beforeAutospacing="0" w:after="120" w:afterAutospacing="0"/>
        <w:tabs>
          <w:tab w:val="num" w:pos="1276" w:leader="none"/>
        </w:tabs>
        <w:rPr>
          <w:b/>
        </w:rPr>
        <w:outlineLvl w:val="1"/>
      </w:pPr>
      <w:r/>
      <w:bookmarkStart w:id="49" w:name="_Toc521347981"/>
      <w:r/>
      <w:bookmarkStart w:id="50" w:name="_Toc19698401"/>
      <w:r/>
      <w:bookmarkStart w:id="51" w:name="_Toc37260744"/>
      <w:r>
        <w:rPr>
          <w:b/>
        </w:rPr>
        <w:t xml:space="preserve"> </w:t>
      </w:r>
      <w:bookmarkStart w:id="52" w:name="_Toc54336094"/>
      <w:r/>
      <w:bookmarkStart w:id="53" w:name="_Ref55316993"/>
      <w:r/>
      <w:bookmarkStart w:id="54" w:name="_Toc190199530"/>
      <w:r>
        <w:rPr>
          <w:b/>
        </w:rPr>
        <w:t xml:space="preserve">Требования к участнику, а также к документам, подтверждающим данные требования</w:t>
      </w:r>
      <w:bookmarkEnd w:id="49"/>
      <w:r/>
      <w:bookmarkEnd w:id="50"/>
      <w:r/>
      <w:bookmarkEnd w:id="51"/>
      <w:r/>
      <w:bookmarkEnd w:id="52"/>
      <w:r/>
      <w:bookmarkEnd w:id="53"/>
      <w:r/>
      <w:bookmarkEnd w:id="54"/>
      <w:r>
        <w:rPr>
          <w:b/>
        </w:rPr>
      </w:r>
      <w:r>
        <w:rPr>
          <w:b/>
        </w:rPr>
      </w:r>
    </w:p>
    <w:p>
      <w:pPr>
        <w:numPr>
          <w:ilvl w:val="2"/>
          <w:numId w:val="3"/>
        </w:numPr>
        <w:ind w:left="0" w:firstLine="709"/>
        <w:jc w:val="both"/>
        <w:tabs>
          <w:tab w:val="num" w:pos="960" w:leader="none"/>
        </w:tabs>
        <w:rPr>
          <w:bCs/>
        </w:rPr>
      </w:pPr>
      <w:r/>
      <w:bookmarkStart w:id="55" w:name="_Ref55289922"/>
      <w:r/>
      <w:bookmarkStart w:id="56" w:name="_Ref57202631"/>
      <w:r>
        <w:rPr>
          <w:bCs/>
        </w:rPr>
        <w:t xml:space="preserve">Участник закупки предоставляет в составе заявки с использованием программно-аппаратных средств ЭП декларацию, подтверждающую на дату подачи заявки:</w:t>
      </w:r>
      <w:r>
        <w:rPr>
          <w:bCs/>
        </w:rPr>
      </w:r>
      <w:r>
        <w:rPr>
          <w:bCs/>
        </w:rPr>
      </w:r>
    </w:p>
    <w:p>
      <w:pPr>
        <w:pStyle w:val="979"/>
        <w:numPr>
          <w:ilvl w:val="0"/>
          <w:numId w:val="40"/>
        </w:numPr>
        <w:ind w:left="0" w:firstLine="709"/>
        <w:jc w:val="both"/>
        <w:rPr>
          <w:bCs/>
        </w:rPr>
      </w:pPr>
      <w:r>
        <w:rPr>
          <w:bCs/>
        </w:rPr>
        <w:t xml:space="preserve">Непроведение</w:t>
      </w:r>
      <w:r>
        <w:rPr>
          <w:bCs/>
        </w:rPr>
        <w:t xml:space="preserve"> ликвидации участника - юридического лица и отсутствие решения арбитражного суда о признании участника - юридического лица или индивидуального предпринимателя несостоятельным (банкротом).</w:t>
      </w:r>
      <w:r>
        <w:rPr>
          <w:bCs/>
        </w:rPr>
      </w:r>
      <w:r>
        <w:rPr>
          <w:bCs/>
        </w:rPr>
      </w:r>
    </w:p>
    <w:p>
      <w:pPr>
        <w:pStyle w:val="979"/>
        <w:numPr>
          <w:ilvl w:val="0"/>
          <w:numId w:val="40"/>
        </w:numPr>
        <w:ind w:left="0" w:firstLine="709"/>
        <w:jc w:val="both"/>
        <w:rPr>
          <w:bCs/>
        </w:rPr>
      </w:pPr>
      <w:r>
        <w:rPr>
          <w:bCs/>
        </w:rPr>
        <w:t xml:space="preserve">Неприостановление</w:t>
      </w:r>
      <w:r>
        <w:rPr>
          <w:bCs/>
        </w:rPr>
        <w:t xml:space="preserve"> деятельности участника в порядке, установленном Кодексом РФ об административных правонарушениях</w:t>
      </w:r>
      <w:r>
        <w:rPr>
          <w:bCs/>
        </w:rPr>
      </w:r>
      <w:r>
        <w:rPr>
          <w:bCs/>
        </w:rPr>
      </w:r>
    </w:p>
    <w:p>
      <w:pPr>
        <w:pStyle w:val="979"/>
        <w:numPr>
          <w:ilvl w:val="0"/>
          <w:numId w:val="40"/>
        </w:numPr>
        <w:ind w:left="0" w:firstLine="709"/>
        <w:jc w:val="both"/>
        <w:rPr>
          <w:bCs/>
        </w:rPr>
      </w:pPr>
      <w:r>
        <w:rPr>
          <w:bCs/>
        </w:rPr>
        <w:t xml:space="preserve">Отсутствие у участника недоимки по налогам, сборам, задолженности по иным обязательным платежам в бюджеты бюджетной системы РФ (за исключением сумм, на которые предоставлены отсрочка, рассрочка, инвестиционный налоговый кредит в соответствии с законодател</w:t>
      </w:r>
      <w:r>
        <w:rPr>
          <w:bCs/>
        </w:rPr>
        <w:t xml:space="preserve">ьством РФ о налогах и сборах, которые реструктурированы в соответствии с законодательством РФ,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</w:t>
      </w:r>
      <w:r>
        <w:rPr>
          <w:bCs/>
        </w:rPr>
        <w:t xml:space="preserve">взысканию</w:t>
      </w:r>
      <w:r>
        <w:rPr>
          <w:bCs/>
        </w:rPr>
        <w:t xml:space="preserve"> в соответствии с законодательством РФ о налогах и сборах) за прошедший календарный год, размер которых превышает 25 % балансовой стоимости активов участника закупки, по данным бухгалтерской (финансовой) отчетности за последний отчетный период. Участник за</w:t>
      </w:r>
      <w:r>
        <w:rPr>
          <w:bCs/>
        </w:rPr>
        <w:t xml:space="preserve">купки считается соответствующим установленному требованию в случае, если им в установленном порядке подано заявление об обжаловании указанных недоимки, задолженности и решение по данному заявлению на дату рассмотрения заявки на участие в закупке не принято</w:t>
      </w:r>
      <w:r>
        <w:rPr>
          <w:bCs/>
        </w:rPr>
      </w:r>
      <w:r>
        <w:rPr>
          <w:bCs/>
        </w:rPr>
      </w:r>
    </w:p>
    <w:p>
      <w:pPr>
        <w:pStyle w:val="979"/>
        <w:numPr>
          <w:ilvl w:val="0"/>
          <w:numId w:val="40"/>
        </w:numPr>
        <w:ind w:left="0" w:firstLine="709"/>
        <w:jc w:val="both"/>
        <w:rPr>
          <w:bCs/>
        </w:rPr>
      </w:pPr>
      <w:r>
        <w:rPr>
          <w:bCs/>
        </w:rPr>
        <w:t xml:space="preserve">Отсутствие у участника</w:t>
      </w:r>
      <w:r>
        <w:rPr>
          <w:bCs/>
        </w:rPr>
        <w:t xml:space="preserve"> закупки - физического лица, зарегистрированного в качестве индивидуального предпринимателя, либо у руководителя , членов коллегиального исполнительного органа, лица, исполняющего функции единоличного исполнительного органа, или главного бухгалтера юридиче</w:t>
      </w:r>
      <w:r>
        <w:rPr>
          <w:bCs/>
        </w:rPr>
        <w:t xml:space="preserve">ского лица - участника закупки непогашенной или неснятой судимости за преступления в сфере экономики и (или) преступления, предусмотренные статьями 289, 290, 291, 291.1 Уголовного кодекса РФ, а также неприменение в отношении указанных физических лиц наказа</w:t>
      </w:r>
      <w:r>
        <w:rPr>
          <w:bCs/>
        </w:rPr>
        <w:t xml:space="preserve">ния в виде лишения права занимать определенные должности или заниматься определенной деятельностью, которые связаны с поставкой товара, выполнением работы, оказанием услуги, являющихся предметом закупки, и административного наказания в виде дисквалификации</w:t>
      </w:r>
      <w:r>
        <w:rPr>
          <w:bCs/>
        </w:rPr>
      </w:r>
      <w:r>
        <w:rPr>
          <w:bCs/>
        </w:rPr>
      </w:r>
    </w:p>
    <w:p>
      <w:pPr>
        <w:pStyle w:val="979"/>
        <w:numPr>
          <w:ilvl w:val="0"/>
          <w:numId w:val="40"/>
        </w:numPr>
        <w:ind w:left="0" w:firstLine="709"/>
        <w:jc w:val="both"/>
        <w:rPr>
          <w:bCs/>
        </w:rPr>
      </w:pPr>
      <w:r>
        <w:rPr>
          <w:bCs/>
        </w:rPr>
        <w:t xml:space="preserve">Отсутствие фактов привлечения в течен</w:t>
      </w:r>
      <w:r>
        <w:rPr>
          <w:bCs/>
        </w:rPr>
        <w:t xml:space="preserve">ие двух лет до момента подачи заявки на участие в закупке участника закупки - юридического лица к административной ответственности за совершение административного правонарушения, предусмотренного статьей 19.28 Кодекса РФ об административных правонарушениях</w:t>
      </w:r>
      <w:r>
        <w:rPr>
          <w:bCs/>
        </w:rPr>
      </w:r>
      <w:r>
        <w:rPr>
          <w:bCs/>
        </w:rPr>
      </w:r>
    </w:p>
    <w:p>
      <w:pPr>
        <w:pStyle w:val="979"/>
        <w:numPr>
          <w:ilvl w:val="0"/>
          <w:numId w:val="40"/>
        </w:numPr>
        <w:ind w:left="0" w:firstLine="709"/>
        <w:jc w:val="both"/>
        <w:rPr>
          <w:bCs/>
        </w:rPr>
      </w:pPr>
      <w:r>
        <w:rPr>
          <w:bCs/>
        </w:rPr>
        <w:t xml:space="preserve">Обладание участником закупки исключительными правами на результаты интеллектуальной деятельности, если в связи с исполнением договора Заказчик приобретает права на такие результаты</w:t>
      </w:r>
      <w:r>
        <w:rPr>
          <w:bCs/>
        </w:rPr>
      </w:r>
      <w:r>
        <w:rPr>
          <w:bCs/>
        </w:rPr>
      </w:r>
    </w:p>
    <w:p>
      <w:pPr>
        <w:pStyle w:val="979"/>
        <w:numPr>
          <w:ilvl w:val="0"/>
          <w:numId w:val="40"/>
        </w:numPr>
        <w:ind w:left="0" w:firstLine="709"/>
        <w:jc w:val="both"/>
        <w:rPr>
          <w:bCs/>
        </w:rPr>
      </w:pPr>
      <w:r>
        <w:rPr>
          <w:bCs/>
        </w:rPr>
        <w:t xml:space="preserve">Обладание участником закупки правами использования результата интеллектуальной деятельности в случае использования такого результата при исполнении договора</w:t>
      </w:r>
      <w:r>
        <w:rPr>
          <w:bCs/>
        </w:rPr>
      </w:r>
      <w:r>
        <w:rPr>
          <w:bCs/>
        </w:rPr>
      </w:r>
    </w:p>
    <w:p>
      <w:pPr>
        <w:numPr>
          <w:ilvl w:val="2"/>
          <w:numId w:val="3"/>
        </w:numPr>
        <w:ind w:left="0" w:firstLine="709"/>
        <w:jc w:val="both"/>
        <w:rPr>
          <w:bCs/>
        </w:rPr>
      </w:pPr>
      <w:r>
        <w:rPr>
          <w:bCs/>
        </w:rPr>
        <w:t xml:space="preserve">Сведения об участнике закупки должны отсутствовать в реестре недобросовестных поставщиков, предусмотренном Федеральным законом от 18 июля 2011 года № 223-ФЗ «О закупках товаров, работ, </w:t>
      </w:r>
      <w:r>
        <w:rPr>
          <w:bCs/>
        </w:rPr>
        <w:t xml:space="preserve">услуг отдельными видами юридических лиц» и в реестре недобросовестных поставщиков, предусмотренном Федеральным законом от 05.04.2013 № 44-ФЗ «О контрактной системе в сфере закупок товаров, работ, услуг для обеспечения государственных и муниципальных нужд».</w:t>
      </w:r>
      <w:r>
        <w:rPr>
          <w:bCs/>
        </w:rPr>
      </w:r>
      <w:r>
        <w:rPr>
          <w:bCs/>
        </w:rPr>
      </w:r>
    </w:p>
    <w:p>
      <w:pPr>
        <w:numPr>
          <w:ilvl w:val="2"/>
          <w:numId w:val="3"/>
        </w:numPr>
        <w:ind w:left="0" w:firstLine="709"/>
        <w:jc w:val="both"/>
        <w:rPr>
          <w:bCs/>
        </w:rPr>
      </w:pPr>
      <w:r>
        <w:rPr>
          <w:bCs/>
        </w:rPr>
        <w:t xml:space="preserve">Сведения об участнике закупки должны отсутствовать в реестре иностранных агентов, предусмотренном Федеральным законом от 14.07.2022 № 255-ФЗ «О контроле за деятельностью лиц, находящихся под иностранным влиянием».</w:t>
      </w:r>
      <w:r>
        <w:rPr>
          <w:bCs/>
        </w:rPr>
      </w:r>
      <w:r>
        <w:rPr>
          <w:bCs/>
        </w:rPr>
      </w:r>
    </w:p>
    <w:p>
      <w:pPr>
        <w:numPr>
          <w:ilvl w:val="2"/>
          <w:numId w:val="3"/>
        </w:numPr>
        <w:ind w:left="0" w:firstLine="709"/>
        <w:jc w:val="both"/>
        <w:rPr>
          <w:bCs/>
        </w:rPr>
      </w:pPr>
      <w:r>
        <w:rPr>
          <w:bCs/>
        </w:rPr>
        <w:t xml:space="preserve">Участник должен соответствовать требованиям, устанавливаемым законодательством РФ к лицам, осуществляющим поставки товаров, выполнение работ, оказание услуг, являющихся предметом закупки, если такие требования установлены п. </w:t>
      </w:r>
      <w:r>
        <w:rPr>
          <w:bCs/>
        </w:rPr>
        <w:fldChar w:fldCharType="begin"/>
      </w:r>
      <w:r>
        <w:rPr>
          <w:bCs/>
        </w:rPr>
        <w:instrText xml:space="preserve"> REF _Ref55317066 \r \h </w:instrText>
      </w:r>
      <w:r>
        <w:rPr>
          <w:bCs/>
        </w:rPr>
        <w:fldChar w:fldCharType="separate"/>
      </w:r>
      <w:r>
        <w:rPr>
          <w:bCs/>
        </w:rPr>
        <w:t xml:space="preserve">10</w:t>
      </w:r>
      <w:r>
        <w:rPr>
          <w:bCs/>
        </w:rPr>
        <w:fldChar w:fldCharType="end"/>
      </w:r>
      <w:r>
        <w:rPr>
          <w:bCs/>
        </w:rPr>
        <w:t xml:space="preserve"> раздела </w:t>
      </w:r>
      <w:hyperlink w:tooltip="#_РАЗДЕЛ_II._ИНФОРМАЦИОННАЯ_1" w:anchor="_РАЗДЕЛ_II._ИНФОРМАЦИОННАЯ_1" w:history="1">
        <w:r>
          <w:rPr>
            <w:rStyle w:val="978"/>
            <w:bCs/>
            <w:lang w:val="en-US"/>
          </w:rPr>
          <w:t xml:space="preserve">II</w:t>
        </w:r>
        <w:r>
          <w:rPr>
            <w:rStyle w:val="978"/>
            <w:bCs/>
          </w:rPr>
          <w:t xml:space="preserve"> «ИНФОРМАЦИОННАЯ КАРТА»</w:t>
        </w:r>
      </w:hyperlink>
      <w:r>
        <w:rPr>
          <w:rStyle w:val="978"/>
          <w:bCs/>
        </w:rPr>
        <w:t xml:space="preserve"> </w:t>
      </w:r>
      <w:r>
        <w:rPr>
          <w:bCs/>
        </w:rPr>
        <w:t xml:space="preserve">документации, и предоставить в составе заявки подтверждающие следующие документы</w:t>
      </w:r>
      <w:bookmarkEnd w:id="55"/>
      <w:r>
        <w:rPr>
          <w:bCs/>
        </w:rPr>
        <w:t xml:space="preserve"> в соответствии с п. </w:t>
      </w:r>
      <w:r>
        <w:rPr>
          <w:bCs/>
        </w:rPr>
        <w:fldChar w:fldCharType="begin"/>
      </w:r>
      <w:r>
        <w:rPr>
          <w:bCs/>
        </w:rPr>
        <w:instrText xml:space="preserve"> REF _Ref55317066 \r \h </w:instrText>
      </w:r>
      <w:r>
        <w:rPr>
          <w:bCs/>
        </w:rPr>
        <w:fldChar w:fldCharType="separate"/>
      </w:r>
      <w:r>
        <w:rPr>
          <w:bCs/>
        </w:rPr>
        <w:t xml:space="preserve">10</w:t>
      </w:r>
      <w:r>
        <w:rPr>
          <w:bCs/>
        </w:rPr>
        <w:fldChar w:fldCharType="end"/>
      </w:r>
      <w:r>
        <w:rPr>
          <w:bCs/>
        </w:rPr>
        <w:t xml:space="preserve"> раздела </w:t>
      </w:r>
      <w:hyperlink w:tooltip="#_РАЗДЕЛ_II._ИНФОРМАЦИОННАЯ_1" w:anchor="_РАЗДЕЛ_II._ИНФОРМАЦИОННАЯ_1" w:history="1">
        <w:r>
          <w:rPr>
            <w:rStyle w:val="978"/>
            <w:bCs/>
            <w:lang w:val="en-US"/>
          </w:rPr>
          <w:t xml:space="preserve">II</w:t>
        </w:r>
        <w:r>
          <w:rPr>
            <w:rStyle w:val="978"/>
            <w:bCs/>
          </w:rPr>
          <w:t xml:space="preserve"> «ИНФОРМАЦИОННАЯ КАРТА»</w:t>
        </w:r>
      </w:hyperlink>
      <w:r>
        <w:rPr>
          <w:rStyle w:val="978"/>
          <w:bCs/>
        </w:rPr>
        <w:t xml:space="preserve"> </w:t>
      </w:r>
      <w:r>
        <w:rPr>
          <w:bCs/>
        </w:rPr>
        <w:t xml:space="preserve">документации. </w:t>
      </w:r>
      <w:bookmarkEnd w:id="56"/>
      <w:r>
        <w:rPr>
          <w:bCs/>
        </w:rPr>
      </w:r>
      <w:r>
        <w:rPr>
          <w:bCs/>
        </w:rPr>
      </w:r>
    </w:p>
    <w:p>
      <w:pPr>
        <w:numPr>
          <w:ilvl w:val="2"/>
          <w:numId w:val="3"/>
        </w:numPr>
        <w:ind w:left="0" w:firstLine="709"/>
        <w:jc w:val="both"/>
        <w:tabs>
          <w:tab w:val="num" w:pos="960" w:leader="none"/>
        </w:tabs>
        <w:rPr>
          <w:bCs/>
        </w:rPr>
      </w:pPr>
      <w:r/>
      <w:bookmarkStart w:id="57" w:name="_Ref57202654"/>
      <w:r>
        <w:rPr>
          <w:bCs/>
        </w:rPr>
        <w:t xml:space="preserve">Полный состав заявки на участие в закупке указан в п. </w:t>
      </w:r>
      <w:r>
        <w:rPr>
          <w:bCs/>
        </w:rPr>
        <w:fldChar w:fldCharType="begin"/>
      </w:r>
      <w:r>
        <w:rPr>
          <w:bCs/>
        </w:rPr>
        <w:instrText xml:space="preserve"> REF _Ref55317127 \r \h </w:instrText>
      </w:r>
      <w:r>
        <w:rPr>
          <w:bCs/>
        </w:rPr>
        <w:fldChar w:fldCharType="separate"/>
      </w:r>
      <w:r>
        <w:rPr>
          <w:bCs/>
        </w:rPr>
        <w:t xml:space="preserve">12</w:t>
      </w:r>
      <w:r>
        <w:rPr>
          <w:bCs/>
        </w:rPr>
        <w:fldChar w:fldCharType="end"/>
      </w:r>
      <w:r>
        <w:rPr>
          <w:bCs/>
        </w:rPr>
        <w:t xml:space="preserve"> раздела </w:t>
      </w:r>
      <w:hyperlink w:tooltip="#_РАЗДЕЛ_II._ИНФОРМАЦИОННАЯ_1" w:anchor="_РАЗДЕЛ_II._ИНФОРМАЦИОННАЯ_1" w:history="1">
        <w:r>
          <w:rPr>
            <w:rStyle w:val="978"/>
            <w:bCs/>
            <w:lang w:val="en-US"/>
          </w:rPr>
          <w:t xml:space="preserve">II</w:t>
        </w:r>
        <w:r>
          <w:rPr>
            <w:rStyle w:val="978"/>
            <w:bCs/>
          </w:rPr>
          <w:t xml:space="preserve"> «ИНФОРМАЦИОННАЯ КАРТА»</w:t>
        </w:r>
      </w:hyperlink>
      <w:r>
        <w:rPr>
          <w:rStyle w:val="978"/>
          <w:bCs/>
        </w:rPr>
        <w:t xml:space="preserve"> </w:t>
      </w:r>
      <w:r>
        <w:rPr>
          <w:bCs/>
        </w:rPr>
        <w:t xml:space="preserve">документации.</w:t>
      </w:r>
      <w:bookmarkEnd w:id="57"/>
      <w:r>
        <w:rPr>
          <w:bCs/>
        </w:rPr>
      </w:r>
      <w:r>
        <w:rPr>
          <w:bCs/>
        </w:rPr>
      </w:r>
    </w:p>
    <w:p>
      <w:pPr>
        <w:numPr>
          <w:ilvl w:val="2"/>
          <w:numId w:val="3"/>
        </w:numPr>
        <w:ind w:left="0" w:firstLine="709"/>
        <w:jc w:val="both"/>
        <w:tabs>
          <w:tab w:val="num" w:pos="960" w:leader="none"/>
        </w:tabs>
        <w:rPr>
          <w:bCs/>
        </w:rPr>
      </w:pPr>
      <w:r>
        <w:rPr>
          <w:bCs/>
        </w:rPr>
        <w:t xml:space="preserve">Участник по собственной инициативе также вправе предоставить в составе заявки иные (дополнительные) д</w:t>
      </w:r>
      <w:r>
        <w:rPr>
          <w:bCs/>
        </w:rPr>
        <w:t xml:space="preserve">окументы, которые могут быть сопровождены комментариями, разъясняющими цель предоставления таких документов в составе заявки. Такие дополнительные документы не должны быть предоставлены вместо тех документов, которые прямо указаны в настоящей документации.</w:t>
      </w:r>
      <w:r>
        <w:rPr>
          <w:bCs/>
        </w:rPr>
      </w:r>
      <w:r>
        <w:rPr>
          <w:bCs/>
        </w:rPr>
      </w:r>
    </w:p>
    <w:p>
      <w:pPr>
        <w:pStyle w:val="989"/>
        <w:numPr>
          <w:ilvl w:val="0"/>
          <w:numId w:val="3"/>
        </w:numPr>
        <w:jc w:val="center"/>
        <w:keepNext/>
        <w:spacing w:before="120" w:beforeAutospacing="0" w:after="120" w:afterAutospacing="0"/>
        <w:tabs>
          <w:tab w:val="num" w:pos="1418" w:leader="none"/>
          <w:tab w:val="num" w:pos="2912" w:leader="none"/>
        </w:tabs>
        <w:rPr>
          <w:b/>
          <w:sz w:val="28"/>
        </w:rPr>
        <w:outlineLvl w:val="1"/>
      </w:pPr>
      <w:r/>
      <w:bookmarkStart w:id="58" w:name="_Toc54336097"/>
      <w:r/>
      <w:bookmarkStart w:id="59" w:name="_Toc190199531"/>
      <w:r>
        <w:rPr>
          <w:b/>
          <w:sz w:val="28"/>
        </w:rPr>
        <w:t xml:space="preserve">ПОРЯДОК ПРЕДОСТАВЛЕНИЯ РАЗЪЯСНЕНИЙ, ИЗМЕНЕНИЯ ИЗВЕЩЕНИЯ И ДОКУМЕНТАЦИИ, ПОРЯДОК ОТМЕНЫ ЗАКУПКИ</w:t>
      </w:r>
      <w:bookmarkEnd w:id="58"/>
      <w:r/>
      <w:bookmarkEnd w:id="59"/>
      <w:r>
        <w:rPr>
          <w:b/>
          <w:sz w:val="28"/>
        </w:rPr>
      </w:r>
      <w:r>
        <w:rPr>
          <w:b/>
          <w:sz w:val="28"/>
        </w:rPr>
      </w:r>
    </w:p>
    <w:p>
      <w:pPr>
        <w:pStyle w:val="989"/>
        <w:numPr>
          <w:ilvl w:val="1"/>
          <w:numId w:val="3"/>
        </w:numPr>
        <w:ind w:left="0" w:firstLine="709"/>
        <w:jc w:val="both"/>
        <w:keepNext/>
        <w:spacing w:before="120" w:beforeAutospacing="0" w:after="120" w:afterAutospacing="0"/>
        <w:tabs>
          <w:tab w:val="num" w:pos="1276" w:leader="none"/>
        </w:tabs>
        <w:rPr>
          <w:b/>
        </w:rPr>
        <w:outlineLvl w:val="1"/>
      </w:pPr>
      <w:r/>
      <w:bookmarkStart w:id="60" w:name="_Toc54336098"/>
      <w:r/>
      <w:bookmarkStart w:id="61" w:name="_Toc190199532"/>
      <w:r>
        <w:rPr>
          <w:b/>
        </w:rPr>
        <w:t xml:space="preserve">Порядок предоставления разъяснений положений извещения и (или) положений документации</w:t>
      </w:r>
      <w:bookmarkEnd w:id="60"/>
      <w:r/>
      <w:bookmarkEnd w:id="61"/>
      <w:r>
        <w:rPr>
          <w:b/>
        </w:rPr>
        <w:t xml:space="preserve"> </w:t>
      </w:r>
      <w:r>
        <w:rPr>
          <w:b/>
        </w:rPr>
      </w:r>
      <w:r>
        <w:rPr>
          <w:b/>
        </w:rPr>
      </w:r>
    </w:p>
    <w:p>
      <w:pPr>
        <w:numPr>
          <w:ilvl w:val="2"/>
          <w:numId w:val="3"/>
        </w:numPr>
        <w:ind w:left="0" w:firstLine="709"/>
        <w:jc w:val="both"/>
        <w:tabs>
          <w:tab w:val="num" w:pos="960" w:leader="none"/>
        </w:tabs>
        <w:rPr>
          <w:bCs/>
        </w:rPr>
      </w:pPr>
      <w:r>
        <w:rPr>
          <w:bCs/>
        </w:rPr>
        <w:t xml:space="preserve">С даты официальной публикации извещения и документации о закупке в ЕИС и на ЭП документация находится в открытом доступе, на ЭП предоставляется согласно правилам данной ЭП. </w:t>
      </w:r>
      <w:r>
        <w:rPr>
          <w:bCs/>
        </w:rPr>
      </w:r>
      <w:r>
        <w:rPr>
          <w:bCs/>
        </w:rPr>
      </w:r>
    </w:p>
    <w:p>
      <w:pPr>
        <w:numPr>
          <w:ilvl w:val="2"/>
          <w:numId w:val="3"/>
        </w:numPr>
        <w:ind w:left="0" w:firstLine="709"/>
        <w:jc w:val="both"/>
        <w:tabs>
          <w:tab w:val="num" w:pos="960" w:leader="none"/>
        </w:tabs>
        <w:rPr>
          <w:bCs/>
        </w:rPr>
      </w:pPr>
      <w:r>
        <w:rPr>
          <w:bCs/>
        </w:rPr>
        <w:t xml:space="preserve">Любой участник, получивший аккредитацию на ЭП, вправе направить в порядке, предусмотренном регламентом ЭП, запрос о даче разъяснений положений извещения и (или) положений документации. </w:t>
      </w:r>
      <w:r>
        <w:rPr>
          <w:bCs/>
        </w:rPr>
      </w:r>
      <w:r>
        <w:rPr>
          <w:bCs/>
        </w:rPr>
      </w:r>
    </w:p>
    <w:p>
      <w:pPr>
        <w:numPr>
          <w:ilvl w:val="2"/>
          <w:numId w:val="3"/>
        </w:numPr>
        <w:ind w:left="0" w:firstLine="709"/>
        <w:jc w:val="both"/>
        <w:tabs>
          <w:tab w:val="num" w:pos="960" w:leader="none"/>
        </w:tabs>
        <w:rPr>
          <w:bCs/>
        </w:rPr>
      </w:pPr>
      <w:r/>
      <w:bookmarkStart w:id="62" w:name="_Ref57202724"/>
      <w:r>
        <w:t xml:space="preserve">Дата начала предоставления участникам закупки разъяснений – с даты размещения извещения и документации о закупке в ЕИС. Дата и время окончания срока предоставления участникам закупки разъяснений положений </w:t>
      </w:r>
      <w:r>
        <w:rPr>
          <w:bCs/>
        </w:rPr>
        <w:t xml:space="preserve">извещения и (или) положений документации указаны в п. </w:t>
      </w:r>
      <w:r>
        <w:rPr>
          <w:bCs/>
        </w:rPr>
        <w:fldChar w:fldCharType="begin"/>
      </w:r>
      <w:r>
        <w:rPr>
          <w:bCs/>
        </w:rPr>
        <w:instrText xml:space="preserve"> REF _Ref55317440 \r \h </w:instrText>
      </w:r>
      <w:r>
        <w:rPr>
          <w:bCs/>
        </w:rPr>
        <w:fldChar w:fldCharType="separate"/>
      </w:r>
      <w:r>
        <w:rPr>
          <w:bCs/>
        </w:rPr>
        <w:t xml:space="preserve">16</w:t>
      </w:r>
      <w:r>
        <w:rPr>
          <w:bCs/>
        </w:rPr>
        <w:fldChar w:fldCharType="end"/>
      </w:r>
      <w:r>
        <w:rPr>
          <w:bCs/>
        </w:rPr>
        <w:t xml:space="preserve"> раздела </w:t>
      </w:r>
      <w:hyperlink w:tooltip="#_РАЗДЕЛ_II._ИНФОРМАЦИОННАЯ_1" w:anchor="_РАЗДЕЛ_II._ИНФОРМАЦИОННАЯ_1" w:history="1">
        <w:r>
          <w:rPr>
            <w:rStyle w:val="978"/>
            <w:bCs/>
            <w:lang w:val="en-US"/>
          </w:rPr>
          <w:t xml:space="preserve">II</w:t>
        </w:r>
        <w:r>
          <w:rPr>
            <w:rStyle w:val="978"/>
            <w:bCs/>
          </w:rPr>
          <w:t xml:space="preserve"> «ИНФОРМАЦИОННАЯ КАРТА»</w:t>
        </w:r>
      </w:hyperlink>
      <w:r>
        <w:rPr>
          <w:bCs/>
        </w:rPr>
        <w:t xml:space="preserve"> документации.</w:t>
      </w:r>
      <w:bookmarkEnd w:id="62"/>
      <w:r>
        <w:rPr>
          <w:bCs/>
        </w:rPr>
      </w:r>
      <w:r>
        <w:rPr>
          <w:bCs/>
        </w:rPr>
      </w:r>
    </w:p>
    <w:p>
      <w:pPr>
        <w:numPr>
          <w:ilvl w:val="2"/>
          <w:numId w:val="3"/>
        </w:numPr>
        <w:ind w:left="0" w:firstLine="709"/>
        <w:jc w:val="both"/>
        <w:tabs>
          <w:tab w:val="num" w:pos="960" w:leader="none"/>
        </w:tabs>
        <w:rPr>
          <w:bCs/>
        </w:rPr>
      </w:pPr>
      <w:r>
        <w:rPr>
          <w:bCs/>
        </w:rPr>
        <w:t xml:space="preserve">Запрос о даче разъяснений положений извещения и (или) положений документации направляется по </w:t>
      </w:r>
      <w:hyperlink w:tooltip="#_Форма_4_РЕКОМЕНДУЕМАЯ" w:anchor="_Форма_4_РЕКОМЕНДУЕМАЯ" w:history="1">
        <w:r>
          <w:rPr>
            <w:rStyle w:val="978"/>
            <w:bCs/>
          </w:rPr>
          <w:t xml:space="preserve">Форме 4 раздела III «ФОРМЫ ДЛЯ ЗАПОЛНЕНИЯ УЧАСТНИКАМИ ЗАКУПКИ»</w:t>
        </w:r>
      </w:hyperlink>
      <w:r>
        <w:rPr>
          <w:rStyle w:val="978"/>
          <w:bCs/>
        </w:rPr>
        <w:t xml:space="preserve"> </w:t>
      </w:r>
      <w:r>
        <w:rPr>
          <w:bCs/>
        </w:rPr>
        <w:t xml:space="preserve">документации. </w:t>
      </w:r>
      <w:bookmarkStart w:id="63" w:name="_Ref55317513"/>
      <w:r>
        <w:rPr>
          <w:bCs/>
        </w:rPr>
      </w:r>
      <w:r>
        <w:rPr>
          <w:bCs/>
        </w:rPr>
      </w:r>
    </w:p>
    <w:p>
      <w:pPr>
        <w:numPr>
          <w:ilvl w:val="2"/>
          <w:numId w:val="3"/>
        </w:numPr>
        <w:ind w:left="0" w:firstLine="709"/>
        <w:jc w:val="both"/>
        <w:tabs>
          <w:tab w:val="num" w:pos="960" w:leader="none"/>
        </w:tabs>
        <w:rPr>
          <w:bCs/>
        </w:rPr>
      </w:pPr>
      <w:r/>
      <w:bookmarkStart w:id="64" w:name="_Ref189739238"/>
      <w:r>
        <w:rPr>
          <w:bCs/>
        </w:rPr>
        <w:t xml:space="preserve">В течение 3 (трех) рабочих дней с даты поступления запроса о даче разъяснений положений извещения и (или) положений документации Заказчик осуществляет разъяснение по</w:t>
      </w:r>
      <w:r>
        <w:rPr>
          <w:bCs/>
        </w:rPr>
        <w:t xml:space="preserve">ложений извещения и (или) положений документации и размещает их в ЕИС с указанием предмета запроса, но без указания участника, от которого поступил запрос. При этом Заказчик вправе не осуществлять такое разъяснение в случае, если указанный запрос поступил </w:t>
      </w:r>
      <w:r>
        <w:rPr>
          <w:rFonts w:eastAsia="Calibri"/>
          <w:bCs/>
        </w:rPr>
        <w:t xml:space="preserve">позднее чем за 3 (три) рабочих дня до даты окончания срока подачи заявок</w:t>
      </w:r>
      <w:r>
        <w:rPr>
          <w:bCs/>
        </w:rPr>
        <w:t xml:space="preserve">, или содержит вопросы, связанные с корректировкой условий извещения и/или документации.</w:t>
      </w:r>
      <w:bookmarkEnd w:id="63"/>
      <w:r/>
      <w:bookmarkEnd w:id="64"/>
      <w:r>
        <w:rPr>
          <w:bCs/>
        </w:rPr>
      </w:r>
      <w:r>
        <w:rPr>
          <w:bCs/>
        </w:rPr>
      </w:r>
    </w:p>
    <w:p>
      <w:pPr>
        <w:numPr>
          <w:ilvl w:val="2"/>
          <w:numId w:val="3"/>
        </w:numPr>
        <w:ind w:left="0" w:firstLine="709"/>
        <w:jc w:val="both"/>
        <w:tabs>
          <w:tab w:val="num" w:pos="960" w:leader="none"/>
        </w:tabs>
        <w:rPr>
          <w:bCs/>
        </w:rPr>
      </w:pPr>
      <w:r>
        <w:rPr>
          <w:bCs/>
        </w:rPr>
        <w:t xml:space="preserve">Заказчик не несет ответственности в случае, если участник не ознакомился с разъяснениями положений извещения и (или) положений документации, которые были размещены в ЕИС в порядке, установленном в п. </w:t>
      </w:r>
      <w:r>
        <w:rPr>
          <w:bCs/>
        </w:rPr>
        <w:fldChar w:fldCharType="begin"/>
      </w:r>
      <w:r>
        <w:rPr>
          <w:bCs/>
        </w:rPr>
        <w:instrText xml:space="preserve"> REF _Ref189739238 \r \h </w:instrText>
      </w:r>
      <w:r>
        <w:rPr>
          <w:bCs/>
        </w:rPr>
        <w:fldChar w:fldCharType="separate"/>
      </w:r>
      <w:r>
        <w:rPr>
          <w:bCs/>
        </w:rPr>
        <w:t xml:space="preserve">4.1.5</w:t>
      </w:r>
      <w:r>
        <w:rPr>
          <w:bCs/>
        </w:rPr>
        <w:fldChar w:fldCharType="end"/>
      </w:r>
      <w:r>
        <w:rPr>
          <w:bCs/>
        </w:rPr>
        <w:t xml:space="preserve"> настоящего раздела документации.</w:t>
      </w:r>
      <w:r>
        <w:rPr>
          <w:bCs/>
        </w:rPr>
      </w:r>
      <w:r>
        <w:rPr>
          <w:bCs/>
        </w:rPr>
      </w:r>
    </w:p>
    <w:p>
      <w:pPr>
        <w:numPr>
          <w:ilvl w:val="2"/>
          <w:numId w:val="3"/>
        </w:numPr>
        <w:ind w:left="0" w:firstLine="709"/>
        <w:jc w:val="both"/>
        <w:tabs>
          <w:tab w:val="num" w:pos="960" w:leader="none"/>
        </w:tabs>
        <w:rPr>
          <w:bCs/>
        </w:rPr>
      </w:pPr>
      <w:r>
        <w:rPr>
          <w:bCs/>
        </w:rPr>
        <w:t xml:space="preserve">Разъяснения положений извещения и (или) положений документации не должны изменять предмет закупки и существенные условия проекта договора.</w:t>
      </w:r>
      <w:r>
        <w:rPr>
          <w:bCs/>
        </w:rPr>
      </w:r>
      <w:r>
        <w:rPr>
          <w:bCs/>
        </w:rPr>
      </w:r>
    </w:p>
    <w:p>
      <w:pPr>
        <w:numPr>
          <w:ilvl w:val="2"/>
          <w:numId w:val="3"/>
        </w:numPr>
        <w:ind w:left="0" w:firstLine="709"/>
        <w:jc w:val="both"/>
        <w:tabs>
          <w:tab w:val="num" w:pos="960" w:leader="none"/>
        </w:tabs>
        <w:rPr>
          <w:bCs/>
        </w:rPr>
      </w:pPr>
      <w:r>
        <w:rPr>
          <w:bCs/>
        </w:rPr>
        <w:t xml:space="preserve">Участник закупки вправе ссылаться только на информацию, полученную от Заказчика в порядке, предусмотренном настоящим разделом документации.</w:t>
      </w:r>
      <w:r>
        <w:t xml:space="preserve"> Участник не вправе ссылаться на устную информацию, полученную от Заказчика.</w:t>
      </w:r>
      <w:r>
        <w:rPr>
          <w:bCs/>
        </w:rPr>
      </w:r>
      <w:r>
        <w:rPr>
          <w:bCs/>
        </w:rPr>
      </w:r>
    </w:p>
    <w:p>
      <w:pPr>
        <w:pStyle w:val="989"/>
        <w:numPr>
          <w:ilvl w:val="1"/>
          <w:numId w:val="3"/>
        </w:numPr>
        <w:ind w:left="0" w:firstLine="709"/>
        <w:jc w:val="both"/>
        <w:keepNext/>
        <w:spacing w:before="120" w:beforeAutospacing="0" w:after="120" w:afterAutospacing="0"/>
        <w:tabs>
          <w:tab w:val="num" w:pos="1276" w:leader="none"/>
        </w:tabs>
        <w:rPr>
          <w:b/>
        </w:rPr>
        <w:outlineLvl w:val="1"/>
      </w:pPr>
      <w:r/>
      <w:bookmarkStart w:id="65" w:name="_Toc54336099"/>
      <w:r/>
      <w:bookmarkStart w:id="66" w:name="_Toc190199533"/>
      <w:r>
        <w:rPr>
          <w:b/>
        </w:rPr>
        <w:t xml:space="preserve">Порядок внесения изменений в извещение и документацию</w:t>
      </w:r>
      <w:bookmarkEnd w:id="65"/>
      <w:r/>
      <w:bookmarkEnd w:id="66"/>
      <w:r>
        <w:rPr>
          <w:b/>
        </w:rPr>
      </w:r>
      <w:r>
        <w:rPr>
          <w:b/>
        </w:rPr>
      </w:r>
    </w:p>
    <w:p>
      <w:pPr>
        <w:numPr>
          <w:ilvl w:val="2"/>
          <w:numId w:val="3"/>
        </w:numPr>
        <w:ind w:left="0" w:firstLine="709"/>
        <w:jc w:val="both"/>
        <w:tabs>
          <w:tab w:val="num" w:pos="284" w:leader="none"/>
          <w:tab w:val="num" w:pos="960" w:leader="none"/>
          <w:tab w:val="clear" w:pos="1003" w:leader="none"/>
        </w:tabs>
        <w:rPr>
          <w:bCs/>
        </w:rPr>
      </w:pPr>
      <w:r>
        <w:rPr>
          <w:bCs/>
        </w:rPr>
        <w:t xml:space="preserve">Заказчик вправе принять решение о внесении изменений в извещение</w:t>
      </w:r>
      <w:r>
        <w:rPr>
          <w:bCs/>
        </w:rPr>
        <w:t xml:space="preserve"> и (или) документацию о закупке, которые размещаются Заказчиком в ЕИС и на ЭП не позднее чем в течение 3 (трех) дней со дня принятия решения о внесении указанных изменений. При этом, в случае внесения изменений в извещение и (или) документацию срок подачи </w:t>
      </w:r>
      <w:r>
        <w:rPr>
          <w:bCs/>
        </w:rPr>
        <w:t xml:space="preserve">заявок продлевается Заказчиком таким образом, чтобы с даты размещения в ЕИС и на ЭП указанных изменений до даты окончания срока подачи заявок оставалось не менее половины срока подачи заявок, установленного Положением о закупке для данного способа закупки.</w:t>
      </w:r>
      <w:r>
        <w:rPr>
          <w:bCs/>
        </w:rPr>
      </w:r>
      <w:r>
        <w:rPr>
          <w:bCs/>
        </w:rPr>
      </w:r>
    </w:p>
    <w:p>
      <w:pPr>
        <w:numPr>
          <w:ilvl w:val="2"/>
          <w:numId w:val="3"/>
        </w:numPr>
        <w:ind w:left="0" w:firstLine="709"/>
        <w:jc w:val="both"/>
        <w:tabs>
          <w:tab w:val="num" w:pos="284" w:leader="none"/>
          <w:tab w:val="clear" w:pos="1003" w:leader="none"/>
        </w:tabs>
        <w:rPr>
          <w:bCs/>
        </w:rPr>
      </w:pPr>
      <w:r>
        <w:rPr>
          <w:bCs/>
        </w:rPr>
        <w:t xml:space="preserve">Заказчик вправе продлить срок подачи заявок на участие в закупке и соответственно перенести дату и вре</w:t>
      </w:r>
      <w:r>
        <w:rPr>
          <w:bCs/>
        </w:rPr>
        <w:t xml:space="preserve">мя проведения процедуры открытия доступа к заявкам в любое время до проведения процедуры открытия доступа к заявкам на участие в закупке, а также до подведения итогов закупки изменить дату рассмотрения заявок участников закупки и подведения итогов закупки.</w:t>
      </w:r>
      <w:r>
        <w:rPr>
          <w:bCs/>
        </w:rPr>
      </w:r>
      <w:r>
        <w:rPr>
          <w:bCs/>
        </w:rPr>
      </w:r>
    </w:p>
    <w:p>
      <w:pPr>
        <w:numPr>
          <w:ilvl w:val="2"/>
          <w:numId w:val="3"/>
        </w:numPr>
        <w:ind w:left="0" w:firstLine="709"/>
        <w:jc w:val="both"/>
        <w:tabs>
          <w:tab w:val="num" w:pos="284" w:leader="none"/>
          <w:tab w:val="num" w:pos="960" w:leader="none"/>
          <w:tab w:val="clear" w:pos="1003" w:leader="none"/>
        </w:tabs>
        <w:rPr>
          <w:bCs/>
        </w:rPr>
      </w:pPr>
      <w:r>
        <w:rPr>
          <w:bCs/>
        </w:rPr>
        <w:t xml:space="preserve">Любое изменение, внесенное в извещение и (или) в документацию, является неотъемлемой частью извещения и документации.</w:t>
      </w:r>
      <w:r>
        <w:rPr>
          <w:bCs/>
        </w:rPr>
      </w:r>
      <w:r>
        <w:rPr>
          <w:bCs/>
        </w:rPr>
      </w:r>
    </w:p>
    <w:p>
      <w:pPr>
        <w:pStyle w:val="989"/>
        <w:numPr>
          <w:ilvl w:val="1"/>
          <w:numId w:val="3"/>
        </w:numPr>
        <w:ind w:left="0" w:firstLine="709"/>
        <w:jc w:val="both"/>
        <w:keepNext/>
        <w:spacing w:before="120" w:beforeAutospacing="0" w:after="120" w:afterAutospacing="0"/>
        <w:tabs>
          <w:tab w:val="num" w:pos="1276" w:leader="none"/>
        </w:tabs>
        <w:rPr>
          <w:b/>
        </w:rPr>
        <w:outlineLvl w:val="1"/>
      </w:pPr>
      <w:r/>
      <w:bookmarkStart w:id="67" w:name="_Toc37260765"/>
      <w:r/>
      <w:bookmarkStart w:id="68" w:name="_Toc54336100"/>
      <w:r/>
      <w:bookmarkStart w:id="69" w:name="_Toc190199534"/>
      <w:r>
        <w:rPr>
          <w:b/>
        </w:rPr>
        <w:t xml:space="preserve">Порядок отмены </w:t>
      </w:r>
      <w:bookmarkEnd w:id="67"/>
      <w:r>
        <w:rPr>
          <w:b/>
        </w:rPr>
        <w:t xml:space="preserve">закупки</w:t>
      </w:r>
      <w:bookmarkEnd w:id="68"/>
      <w:r/>
      <w:bookmarkEnd w:id="69"/>
      <w:r>
        <w:rPr>
          <w:b/>
        </w:rPr>
      </w:r>
      <w:r>
        <w:rPr>
          <w:b/>
        </w:rPr>
      </w:r>
    </w:p>
    <w:p>
      <w:pPr>
        <w:numPr>
          <w:ilvl w:val="2"/>
          <w:numId w:val="3"/>
        </w:numPr>
        <w:ind w:left="0" w:firstLine="709"/>
        <w:jc w:val="both"/>
        <w:tabs>
          <w:tab w:val="num" w:pos="960" w:leader="none"/>
          <w:tab w:val="clear" w:pos="1003" w:leader="none"/>
          <w:tab w:val="num" w:pos="1276" w:leader="none"/>
        </w:tabs>
        <w:rPr>
          <w:bCs/>
        </w:rPr>
      </w:pPr>
      <w:r/>
      <w:bookmarkStart w:id="70" w:name="_Ref189739941"/>
      <w:r>
        <w:rPr>
          <w:bCs/>
        </w:rPr>
        <w:t xml:space="preserve">Заказчик вправе отменить </w:t>
      </w:r>
      <w:r>
        <w:t xml:space="preserve">закупку по одному и более предмету закупки (лоту)</w:t>
      </w:r>
      <w:r>
        <w:rPr>
          <w:bCs/>
        </w:rPr>
        <w:t xml:space="preserve"> до наступления даты и времени окончания срока подачи заявок на участие в </w:t>
      </w:r>
      <w:r>
        <w:t xml:space="preserve">закупке</w:t>
      </w:r>
      <w:r>
        <w:rPr>
          <w:bCs/>
        </w:rPr>
        <w:t xml:space="preserve">.</w:t>
      </w:r>
      <w:bookmarkEnd w:id="70"/>
      <w:r>
        <w:rPr>
          <w:bCs/>
        </w:rPr>
      </w:r>
      <w:r>
        <w:rPr>
          <w:bCs/>
        </w:rPr>
      </w:r>
    </w:p>
    <w:p>
      <w:pPr>
        <w:numPr>
          <w:ilvl w:val="2"/>
          <w:numId w:val="3"/>
        </w:numPr>
        <w:ind w:left="0" w:firstLine="709"/>
        <w:jc w:val="both"/>
        <w:tabs>
          <w:tab w:val="num" w:pos="960" w:leader="none"/>
          <w:tab w:val="clear" w:pos="1003" w:leader="none"/>
          <w:tab w:val="num" w:pos="1276" w:leader="none"/>
        </w:tabs>
        <w:rPr>
          <w:bCs/>
        </w:rPr>
      </w:pPr>
      <w:r>
        <w:t xml:space="preserve">По истечении срока отмены закупки, указанного в п. </w:t>
      </w:r>
      <w:r>
        <w:fldChar w:fldCharType="begin"/>
      </w:r>
      <w:r>
        <w:instrText xml:space="preserve"> REF _Ref189739941 \r \h </w:instrText>
      </w:r>
      <w:r>
        <w:fldChar w:fldCharType="separate"/>
      </w:r>
      <w:r>
        <w:t xml:space="preserve">4.3.1</w:t>
      </w:r>
      <w:r>
        <w:fldChar w:fldCharType="end"/>
      </w:r>
      <w:r>
        <w:t xml:space="preserve"> настоящего раздела и до заключения договора Заказчик вправе отменить определение поставщика (исполнителя, подрядчика) только в случае возникновения обстоятельств непреодолимой силы в соответствии с гражданским законодательством РФ. </w:t>
      </w:r>
      <w:r>
        <w:rPr>
          <w:bCs/>
        </w:rPr>
      </w:r>
      <w:r>
        <w:rPr>
          <w:bCs/>
        </w:rPr>
      </w:r>
    </w:p>
    <w:p>
      <w:pPr>
        <w:numPr>
          <w:ilvl w:val="2"/>
          <w:numId w:val="3"/>
        </w:numPr>
        <w:ind w:left="0" w:firstLine="709"/>
        <w:jc w:val="both"/>
        <w:tabs>
          <w:tab w:val="num" w:pos="960" w:leader="none"/>
          <w:tab w:val="clear" w:pos="1003" w:leader="none"/>
          <w:tab w:val="num" w:pos="1276" w:leader="none"/>
        </w:tabs>
        <w:rPr>
          <w:bCs/>
        </w:rPr>
      </w:pPr>
      <w:r>
        <w:rPr>
          <w:bCs/>
        </w:rPr>
        <w:t xml:space="preserve">Решение об отмене </w:t>
      </w:r>
      <w:r>
        <w:t xml:space="preserve">закупки</w:t>
      </w:r>
      <w:r>
        <w:rPr>
          <w:bCs/>
        </w:rPr>
        <w:t xml:space="preserve"> </w:t>
      </w:r>
      <w:r>
        <w:t xml:space="preserve">размещается заказчиком в ЕИС и на ЭП в день принятия этого решения</w:t>
      </w:r>
      <w:r>
        <w:rPr>
          <w:bCs/>
        </w:rPr>
        <w:t xml:space="preserve">.</w:t>
      </w:r>
      <w:r>
        <w:rPr>
          <w:bCs/>
        </w:rPr>
      </w:r>
      <w:r>
        <w:rPr>
          <w:bCs/>
        </w:rPr>
      </w:r>
    </w:p>
    <w:p>
      <w:pPr>
        <w:pStyle w:val="989"/>
        <w:numPr>
          <w:ilvl w:val="0"/>
          <w:numId w:val="3"/>
        </w:numPr>
        <w:jc w:val="center"/>
        <w:keepNext/>
        <w:spacing w:before="120" w:beforeAutospacing="0" w:after="120" w:afterAutospacing="0"/>
        <w:tabs>
          <w:tab w:val="num" w:pos="1418" w:leader="none"/>
          <w:tab w:val="num" w:pos="2912" w:leader="none"/>
        </w:tabs>
        <w:rPr>
          <w:b/>
          <w:sz w:val="28"/>
        </w:rPr>
        <w:outlineLvl w:val="1"/>
      </w:pPr>
      <w:r/>
      <w:bookmarkStart w:id="71" w:name="_Toc8834857"/>
      <w:r/>
      <w:bookmarkStart w:id="72" w:name="_Toc54336101"/>
      <w:r/>
      <w:bookmarkStart w:id="73" w:name="_Toc190199535"/>
      <w:r>
        <w:rPr>
          <w:b/>
          <w:sz w:val="28"/>
        </w:rPr>
        <w:t xml:space="preserve">ТРЕБОВАНИЯ К СОДЕРЖАНИЮ, ФОРМЕ, ОФОРМЛЕНИЮ И</w:t>
      </w:r>
      <w:bookmarkStart w:id="74" w:name="_Toc8834858"/>
      <w:r/>
      <w:bookmarkEnd w:id="71"/>
      <w:r>
        <w:rPr>
          <w:b/>
          <w:sz w:val="28"/>
        </w:rPr>
        <w:t xml:space="preserve"> СОСТАВУ ЗАЯВКИ НА УЧАСТИЕ В </w:t>
      </w:r>
      <w:bookmarkEnd w:id="74"/>
      <w:r>
        <w:rPr>
          <w:b/>
          <w:sz w:val="28"/>
        </w:rPr>
        <w:t xml:space="preserve">ЗАКУПКЕ</w:t>
      </w:r>
      <w:bookmarkEnd w:id="72"/>
      <w:r/>
      <w:bookmarkEnd w:id="73"/>
      <w:r>
        <w:rPr>
          <w:b/>
          <w:sz w:val="28"/>
        </w:rPr>
      </w:r>
      <w:r>
        <w:rPr>
          <w:b/>
          <w:sz w:val="28"/>
        </w:rPr>
      </w:r>
    </w:p>
    <w:p>
      <w:pPr>
        <w:pStyle w:val="989"/>
        <w:numPr>
          <w:ilvl w:val="1"/>
          <w:numId w:val="3"/>
        </w:numPr>
        <w:ind w:left="0" w:firstLine="709"/>
        <w:jc w:val="both"/>
        <w:keepNext/>
        <w:spacing w:before="120" w:beforeAutospacing="0" w:after="120" w:afterAutospacing="0"/>
        <w:tabs>
          <w:tab w:val="num" w:pos="1276" w:leader="none"/>
        </w:tabs>
        <w:rPr>
          <w:b/>
        </w:rPr>
        <w:outlineLvl w:val="1"/>
      </w:pPr>
      <w:r/>
      <w:bookmarkStart w:id="75" w:name="_Toc305665973"/>
      <w:r/>
      <w:bookmarkStart w:id="76" w:name="_Toc454464928"/>
      <w:r/>
      <w:bookmarkStart w:id="77" w:name="_Toc454465148"/>
      <w:r/>
      <w:bookmarkStart w:id="78" w:name="_Toc54336102"/>
      <w:r/>
      <w:bookmarkStart w:id="79" w:name="_Toc190199536"/>
      <w:r/>
      <w:bookmarkStart w:id="80" w:name="_Toc8834859"/>
      <w:r/>
      <w:bookmarkStart w:id="81" w:name="_Hlk527991194"/>
      <w:r/>
      <w:bookmarkStart w:id="82" w:name="_Hlk527991206"/>
      <w:r>
        <w:rPr>
          <w:b/>
        </w:rPr>
        <w:t xml:space="preserve">Общие требования к </w:t>
      </w:r>
      <w:bookmarkEnd w:id="75"/>
      <w:r>
        <w:rPr>
          <w:b/>
        </w:rPr>
        <w:t xml:space="preserve">заявке</w:t>
      </w:r>
      <w:bookmarkEnd w:id="76"/>
      <w:r/>
      <w:bookmarkEnd w:id="77"/>
      <w:r>
        <w:rPr>
          <w:b/>
        </w:rPr>
        <w:t xml:space="preserve">, а также к документам, входящим в состав заявки</w:t>
      </w:r>
      <w:bookmarkEnd w:id="78"/>
      <w:r/>
      <w:bookmarkEnd w:id="79"/>
      <w:r>
        <w:rPr>
          <w:b/>
        </w:rPr>
        <w:t xml:space="preserve"> </w:t>
      </w:r>
      <w:bookmarkEnd w:id="80"/>
      <w:r/>
      <w:bookmarkEnd w:id="81"/>
      <w:r>
        <w:rPr>
          <w:b/>
        </w:rPr>
      </w:r>
      <w:r>
        <w:rPr>
          <w:b/>
        </w:rPr>
      </w:r>
    </w:p>
    <w:p>
      <w:pPr>
        <w:numPr>
          <w:ilvl w:val="2"/>
          <w:numId w:val="3"/>
        </w:numPr>
        <w:ind w:left="0" w:firstLine="709"/>
        <w:jc w:val="both"/>
        <w:tabs>
          <w:tab w:val="num" w:pos="960" w:leader="none"/>
        </w:tabs>
        <w:rPr>
          <w:bCs/>
        </w:rPr>
      </w:pPr>
      <w:r/>
      <w:bookmarkStart w:id="83" w:name="_Hlk530405016"/>
      <w:r/>
      <w:bookmarkEnd w:id="82"/>
      <w:r>
        <w:rPr>
          <w:bCs/>
        </w:rPr>
        <w:t xml:space="preserve">Все документы (формы, заполненные в соответствии с требованиями документации, а также иные сведения и документы, предусмотренные </w:t>
      </w:r>
      <w:r>
        <w:rPr>
          <w:bCs/>
        </w:rPr>
        <w:t xml:space="preserve">документацией, оформленные в соответствии с требованиями документации), входящие в состав заявки на участие в закупке должны быть предоставлены участником закупки через ЭП в доступном для прочтения формате, в соответствии с требованиями документации (PDF, </w:t>
      </w:r>
      <w:r>
        <w:rPr>
          <w:bCs/>
        </w:rPr>
        <w:t xml:space="preserve">Word</w:t>
      </w:r>
      <w:r>
        <w:rPr>
          <w:bCs/>
        </w:rPr>
        <w:t xml:space="preserve">, </w:t>
      </w:r>
      <w:r>
        <w:rPr>
          <w:bCs/>
        </w:rPr>
        <w:t xml:space="preserve">Excel</w:t>
      </w:r>
      <w:r>
        <w:rPr>
          <w:bCs/>
        </w:rPr>
        <w:t xml:space="preserve"> и т.д.), «один файл – один документ». Все файлы заявки на участие в закупке, размещенные участником закупки на ЭП, должны иметь наименование либо коммента</w:t>
      </w:r>
      <w:r>
        <w:rPr>
          <w:bCs/>
        </w:rPr>
        <w:t xml:space="preserve">рий, позволяющие идентифицировать содержание данного файла заявки на участие в закупке, с указанием наименования документа, представленного данным файлом. При этом размещать на ЭП документы необходимо после того, как они будут оформлены в соответствии с ин</w:t>
      </w:r>
      <w:r>
        <w:rPr>
          <w:bCs/>
        </w:rPr>
        <w:t xml:space="preserve">струкциями, приведенными в документации. Допускается размещение на ЭП документов в виде файлов, сохраненных в архивах в формате ZIP или RAR, при этом предоставление архивов, разделенных на несколько частей, открытие каждой из которых по отдельности невозмо</w:t>
      </w:r>
      <w:r>
        <w:rPr>
          <w:bCs/>
        </w:rPr>
        <w:t xml:space="preserve">жно, не допускается. В случае невозможности прочтения (открытия) информации, содержащейся на носителе информации, по причинам представления информации в иных форматах или с наличием системы защиты доступа, считается, что данная информации не представлена. </w:t>
      </w:r>
      <w:r>
        <w:rPr>
          <w:bCs/>
        </w:rPr>
      </w:r>
      <w:r>
        <w:rPr>
          <w:bCs/>
        </w:rPr>
      </w:r>
    </w:p>
    <w:p>
      <w:pPr>
        <w:numPr>
          <w:ilvl w:val="2"/>
          <w:numId w:val="3"/>
        </w:numPr>
        <w:ind w:left="0" w:firstLine="709"/>
        <w:jc w:val="both"/>
        <w:tabs>
          <w:tab w:val="num" w:pos="960" w:leader="none"/>
        </w:tabs>
        <w:rPr>
          <w:bCs/>
        </w:rPr>
      </w:pPr>
      <w:r>
        <w:rPr>
          <w:bCs/>
        </w:rPr>
        <w:t xml:space="preserve">Применение в электронных документах скрытых листов, столбцов, строк, текста и иных не читаемых фрагментов не допус</w:t>
      </w:r>
      <w:r>
        <w:rPr>
          <w:bCs/>
        </w:rPr>
        <w:t xml:space="preserve">кается. Закупочной комиссией будет рассматриваться только информация, содержащаяся в заявке, которая отображается по умолчанию непосредственно при открытии электронного документа (т.е. не требует открытия других листов (неактивных или скрытых в формате MS </w:t>
      </w:r>
      <w:r>
        <w:rPr>
          <w:bCs/>
        </w:rPr>
        <w:t xml:space="preserve">Excel</w:t>
      </w:r>
      <w:r>
        <w:rPr>
          <w:bCs/>
        </w:rPr>
        <w:t xml:space="preserve">), скрытых столбцов и строк, изменения цвета текста на любой другой, обеспечивающий его читаемость и т.п.).</w:t>
      </w:r>
      <w:r>
        <w:rPr>
          <w:bCs/>
        </w:rPr>
      </w:r>
      <w:r>
        <w:rPr>
          <w:bCs/>
        </w:rPr>
      </w:r>
    </w:p>
    <w:p>
      <w:pPr>
        <w:pStyle w:val="989"/>
        <w:numPr>
          <w:ilvl w:val="1"/>
          <w:numId w:val="3"/>
        </w:numPr>
        <w:ind w:left="0" w:firstLine="709"/>
        <w:jc w:val="both"/>
        <w:keepNext/>
        <w:spacing w:before="120" w:beforeAutospacing="0" w:after="120" w:afterAutospacing="0"/>
        <w:tabs>
          <w:tab w:val="num" w:pos="1276" w:leader="none"/>
        </w:tabs>
        <w:rPr>
          <w:b/>
        </w:rPr>
        <w:outlineLvl w:val="1"/>
      </w:pPr>
      <w:r/>
      <w:bookmarkStart w:id="84" w:name="_Toc8834860"/>
      <w:r/>
      <w:bookmarkStart w:id="85" w:name="_Toc54336103"/>
      <w:r/>
      <w:bookmarkStart w:id="86" w:name="_Toc190199537"/>
      <w:r/>
      <w:bookmarkStart w:id="87" w:name="_Hlk527994838"/>
      <w:r/>
      <w:bookmarkEnd w:id="83"/>
      <w:r>
        <w:rPr>
          <w:b/>
        </w:rPr>
        <w:t xml:space="preserve">Язык документов, входящих в состав заявки на участие в </w:t>
      </w:r>
      <w:bookmarkEnd w:id="84"/>
      <w:r>
        <w:rPr>
          <w:b/>
        </w:rPr>
        <w:t xml:space="preserve">закупке</w:t>
      </w:r>
      <w:bookmarkEnd w:id="85"/>
      <w:r/>
      <w:bookmarkEnd w:id="86"/>
      <w:r/>
      <w:bookmarkEnd w:id="87"/>
      <w:r>
        <w:rPr>
          <w:b/>
        </w:rPr>
      </w:r>
      <w:r>
        <w:rPr>
          <w:b/>
        </w:rPr>
      </w:r>
    </w:p>
    <w:p>
      <w:pPr>
        <w:numPr>
          <w:ilvl w:val="2"/>
          <w:numId w:val="3"/>
        </w:numPr>
        <w:ind w:left="0" w:firstLine="709"/>
        <w:jc w:val="both"/>
        <w:tabs>
          <w:tab w:val="num" w:pos="960" w:leader="none"/>
        </w:tabs>
        <w:rPr>
          <w:bCs/>
        </w:rPr>
      </w:pPr>
      <w:r>
        <w:rPr>
          <w:bCs/>
        </w:rPr>
        <w:t xml:space="preserve">Заявка на участие в закупке, а также все документы, входящие в состав заявки на участие в закупке, должны быть составлена на русском языке.</w:t>
      </w:r>
      <w:r>
        <w:rPr>
          <w:bCs/>
        </w:rPr>
      </w:r>
      <w:r>
        <w:rPr>
          <w:bCs/>
        </w:rPr>
      </w:r>
    </w:p>
    <w:p>
      <w:pPr>
        <w:numPr>
          <w:ilvl w:val="2"/>
          <w:numId w:val="3"/>
        </w:numPr>
        <w:ind w:left="0" w:firstLine="709"/>
        <w:jc w:val="both"/>
        <w:tabs>
          <w:tab w:val="num" w:pos="960" w:leader="none"/>
        </w:tabs>
        <w:rPr>
          <w:bCs/>
        </w:rPr>
      </w:pPr>
      <w:r>
        <w:rPr>
          <w:bCs/>
        </w:rPr>
        <w:t xml:space="preserve">Если заявка и/или какой-либо другой документ, входящий в состав заявки, составлен не на русском языке, к заявке должны быть приложены их надлежащим образом заверенные переводы на русский язык. </w:t>
      </w:r>
      <w:r>
        <w:rPr>
          <w:bCs/>
        </w:rPr>
      </w:r>
      <w:r>
        <w:rPr>
          <w:bCs/>
        </w:rPr>
      </w:r>
    </w:p>
    <w:p>
      <w:pPr>
        <w:numPr>
          <w:ilvl w:val="2"/>
          <w:numId w:val="3"/>
        </w:numPr>
        <w:ind w:left="0" w:firstLine="709"/>
        <w:jc w:val="both"/>
        <w:tabs>
          <w:tab w:val="num" w:pos="960" w:leader="none"/>
        </w:tabs>
        <w:rPr>
          <w:bCs/>
        </w:rPr>
      </w:pPr>
      <w:r>
        <w:rPr>
          <w:bCs/>
        </w:rPr>
        <w:t xml:space="preserve">Если участник является иностранным юридическим лицом или индивидуальным предпринимателем, то документы, составленные на иностранном языке, должны содержать </w:t>
      </w:r>
      <w:r>
        <w:rPr>
          <w:bCs/>
        </w:rPr>
        <w:t xml:space="preserve">апостиль</w:t>
      </w:r>
      <w:r>
        <w:rPr>
          <w:bCs/>
        </w:rPr>
        <w:t xml:space="preserve"> (или сведения об их легализации), а также нотариально заверенный перевод на русский язык. </w:t>
      </w:r>
      <w:r>
        <w:rPr>
          <w:bCs/>
        </w:rPr>
      </w:r>
      <w:r>
        <w:rPr>
          <w:bCs/>
        </w:rPr>
      </w:r>
    </w:p>
    <w:p>
      <w:pPr>
        <w:numPr>
          <w:ilvl w:val="2"/>
          <w:numId w:val="3"/>
        </w:numPr>
        <w:ind w:left="0" w:firstLine="709"/>
        <w:jc w:val="both"/>
        <w:tabs>
          <w:tab w:val="num" w:pos="960" w:leader="none"/>
        </w:tabs>
        <w:rPr>
          <w:bCs/>
        </w:rPr>
      </w:pPr>
      <w:r>
        <w:rPr>
          <w:bCs/>
        </w:rPr>
        <w:t xml:space="preserve">Вся переписка, связанная с проведением закупки, ведется на русском языке, если иное не предусмотрено настоящей документацией. </w:t>
      </w:r>
      <w:r>
        <w:rPr>
          <w:bCs/>
        </w:rPr>
      </w:r>
      <w:r>
        <w:rPr>
          <w:bCs/>
        </w:rPr>
      </w:r>
    </w:p>
    <w:p>
      <w:pPr>
        <w:numPr>
          <w:ilvl w:val="2"/>
          <w:numId w:val="3"/>
        </w:numPr>
        <w:ind w:left="0" w:firstLine="709"/>
        <w:jc w:val="both"/>
        <w:tabs>
          <w:tab w:val="num" w:pos="960" w:leader="none"/>
        </w:tabs>
        <w:rPr>
          <w:bCs/>
        </w:rPr>
      </w:pPr>
      <w:r>
        <w:rPr>
          <w:bCs/>
        </w:rPr>
        <w:t xml:space="preserve">В случае если для участия в закупке иностранному лицу потребуется извещение, документация на иностранном языке, перевод на иностранный язык такое лицо осуществляет самостоятельно за свой счет.</w:t>
      </w:r>
      <w:r>
        <w:rPr>
          <w:bCs/>
        </w:rPr>
      </w:r>
      <w:r>
        <w:rPr>
          <w:bCs/>
        </w:rPr>
      </w:r>
    </w:p>
    <w:p>
      <w:pPr>
        <w:numPr>
          <w:ilvl w:val="2"/>
          <w:numId w:val="3"/>
        </w:numPr>
        <w:ind w:left="0" w:firstLine="709"/>
        <w:jc w:val="both"/>
        <w:tabs>
          <w:tab w:val="num" w:pos="960" w:leader="none"/>
        </w:tabs>
        <w:rPr>
          <w:bCs/>
        </w:rPr>
      </w:pPr>
      <w:r>
        <w:rPr>
          <w:bCs/>
        </w:rPr>
        <w:t xml:space="preserve">Наличие противоречий между оригиналом и переводом, которые изменяют смысл оригинала, расценивается Закупочной комиссией как несоответствие заявки требованиям, установленным документацией.</w:t>
      </w:r>
      <w:r>
        <w:rPr>
          <w:bCs/>
        </w:rPr>
      </w:r>
      <w:r>
        <w:rPr>
          <w:bCs/>
        </w:rPr>
      </w:r>
    </w:p>
    <w:p>
      <w:pPr>
        <w:pStyle w:val="989"/>
        <w:numPr>
          <w:ilvl w:val="1"/>
          <w:numId w:val="3"/>
        </w:numPr>
        <w:ind w:left="0" w:firstLine="709"/>
        <w:jc w:val="both"/>
        <w:keepNext/>
        <w:spacing w:before="120" w:beforeAutospacing="0" w:after="120" w:afterAutospacing="0"/>
        <w:tabs>
          <w:tab w:val="num" w:pos="1276" w:leader="none"/>
        </w:tabs>
        <w:rPr>
          <w:b/>
        </w:rPr>
        <w:outlineLvl w:val="1"/>
      </w:pPr>
      <w:r/>
      <w:bookmarkStart w:id="88" w:name="_Toc8834861"/>
      <w:r/>
      <w:bookmarkStart w:id="89" w:name="_Toc54336104"/>
      <w:r/>
      <w:bookmarkStart w:id="90" w:name="_Ref57202622"/>
      <w:r/>
      <w:bookmarkStart w:id="91" w:name="_Toc190199538"/>
      <w:r>
        <w:rPr>
          <w:b/>
        </w:rPr>
        <w:t xml:space="preserve">Валюта заявки на участие в </w:t>
      </w:r>
      <w:bookmarkEnd w:id="88"/>
      <w:r>
        <w:rPr>
          <w:b/>
        </w:rPr>
        <w:t xml:space="preserve">закупке</w:t>
      </w:r>
      <w:bookmarkEnd w:id="89"/>
      <w:r/>
      <w:bookmarkEnd w:id="90"/>
      <w:r/>
      <w:bookmarkEnd w:id="91"/>
      <w:r>
        <w:rPr>
          <w:b/>
        </w:rPr>
      </w:r>
      <w:r>
        <w:rPr>
          <w:b/>
        </w:rPr>
      </w:r>
    </w:p>
    <w:p>
      <w:pPr>
        <w:numPr>
          <w:ilvl w:val="2"/>
          <w:numId w:val="3"/>
        </w:numPr>
        <w:ind w:left="0" w:firstLine="709"/>
        <w:jc w:val="both"/>
        <w:tabs>
          <w:tab w:val="num" w:pos="960" w:leader="none"/>
        </w:tabs>
        <w:rPr>
          <w:bCs/>
        </w:rPr>
      </w:pPr>
      <w:r>
        <w:rPr>
          <w:bCs/>
        </w:rPr>
        <w:t xml:space="preserve">Все суммы денежных средств в заявке на участие в закупке должны быть выражены в валюте, установленной в п. </w:t>
      </w:r>
      <w:r>
        <w:rPr>
          <w:bCs/>
        </w:rPr>
        <w:fldChar w:fldCharType="begin"/>
      </w:r>
      <w:r>
        <w:rPr>
          <w:bCs/>
        </w:rPr>
        <w:instrText xml:space="preserve"> REF _Ref55317941 \r \h </w:instrText>
      </w:r>
      <w:r>
        <w:rPr>
          <w:bCs/>
        </w:rPr>
        <w:fldChar w:fldCharType="separate"/>
      </w:r>
      <w:r>
        <w:rPr>
          <w:bCs/>
        </w:rPr>
        <w:t xml:space="preserve">9</w:t>
      </w:r>
      <w:r>
        <w:rPr>
          <w:bCs/>
        </w:rPr>
        <w:fldChar w:fldCharType="end"/>
      </w:r>
      <w:r>
        <w:rPr>
          <w:bCs/>
        </w:rPr>
        <w:t xml:space="preserve"> раздела </w:t>
      </w:r>
      <w:hyperlink w:tooltip="#_РАЗДЕЛ_II._ИНФОРМАЦИОННАЯ_1" w:anchor="_РАЗДЕЛ_II._ИНФОРМАЦИОННАЯ_1" w:history="1">
        <w:r>
          <w:rPr>
            <w:rStyle w:val="978"/>
            <w:bCs/>
            <w:lang w:val="en-US"/>
          </w:rPr>
          <w:t xml:space="preserve">II</w:t>
        </w:r>
        <w:r>
          <w:rPr>
            <w:rStyle w:val="978"/>
            <w:bCs/>
          </w:rPr>
          <w:t xml:space="preserve"> «ИНФОРМАЦИОННАЯ КАРТА»</w:t>
        </w:r>
      </w:hyperlink>
      <w:r>
        <w:rPr>
          <w:bCs/>
        </w:rPr>
        <w:t xml:space="preserve"> документации. Выражение денежных сумм в иной валюте расценивается Закупочной комиссией как несоответствие заявки требованиям, установленным документацией.</w:t>
      </w:r>
      <w:r>
        <w:rPr>
          <w:bCs/>
        </w:rPr>
      </w:r>
      <w:r>
        <w:rPr>
          <w:bCs/>
        </w:rPr>
      </w:r>
    </w:p>
    <w:p>
      <w:pPr>
        <w:numPr>
          <w:ilvl w:val="2"/>
          <w:numId w:val="3"/>
        </w:numPr>
        <w:ind w:left="0" w:firstLine="709"/>
        <w:jc w:val="both"/>
        <w:tabs>
          <w:tab w:val="num" w:pos="960" w:leader="none"/>
        </w:tabs>
        <w:rPr>
          <w:bCs/>
        </w:rPr>
      </w:pPr>
      <w:r>
        <w:rPr>
          <w:bCs/>
        </w:rPr>
        <w:t xml:space="preserve">В случае если валютой закупки является российский рубль, и участник не имеет объективной возможно</w:t>
      </w:r>
      <w:r>
        <w:rPr>
          <w:bCs/>
        </w:rPr>
        <w:t xml:space="preserve">сти указания денежных сумм исключительно в российских рублях, в заявке на участие в закупке необходимо указывать денежный эквивалент таких сумм в российских рублях по курсу Банка России на дату подачи заявки на участие в закупке. При этом ценой договора в </w:t>
      </w:r>
      <w:r>
        <w:rPr>
          <w:bCs/>
        </w:rPr>
        <w:t xml:space="preserve">случае, если участнику, подавшему такую заявку, будет предложено заключить договор, будет цена в рублях, указанная в заявке на участие в закупке.</w:t>
      </w:r>
      <w:r>
        <w:rPr>
          <w:bCs/>
        </w:rPr>
      </w:r>
      <w:r>
        <w:rPr>
          <w:bCs/>
        </w:rPr>
      </w:r>
    </w:p>
    <w:p>
      <w:pPr>
        <w:pStyle w:val="989"/>
        <w:numPr>
          <w:ilvl w:val="1"/>
          <w:numId w:val="3"/>
        </w:numPr>
        <w:ind w:left="0" w:firstLine="709"/>
        <w:jc w:val="both"/>
        <w:keepNext/>
        <w:spacing w:before="120" w:beforeAutospacing="0" w:after="120" w:afterAutospacing="0"/>
        <w:tabs>
          <w:tab w:val="num" w:pos="1276" w:leader="none"/>
        </w:tabs>
        <w:rPr>
          <w:b/>
        </w:rPr>
        <w:outlineLvl w:val="1"/>
      </w:pPr>
      <w:r/>
      <w:bookmarkStart w:id="92" w:name="_Toc8834862"/>
      <w:r/>
      <w:bookmarkStart w:id="93" w:name="_Toc54336105"/>
      <w:r/>
      <w:bookmarkStart w:id="94" w:name="_Toc190199539"/>
      <w:r>
        <w:rPr>
          <w:b/>
        </w:rPr>
        <w:t xml:space="preserve">Требования к содержанию документов, входящих в состав заявки на участие в </w:t>
      </w:r>
      <w:bookmarkEnd w:id="92"/>
      <w:r>
        <w:rPr>
          <w:b/>
        </w:rPr>
        <w:t xml:space="preserve">закупке</w:t>
      </w:r>
      <w:bookmarkEnd w:id="93"/>
      <w:r/>
      <w:bookmarkEnd w:id="94"/>
      <w:r>
        <w:rPr>
          <w:b/>
        </w:rPr>
      </w:r>
      <w:r>
        <w:rPr>
          <w:b/>
        </w:rPr>
      </w:r>
    </w:p>
    <w:p>
      <w:pPr>
        <w:numPr>
          <w:ilvl w:val="2"/>
          <w:numId w:val="3"/>
        </w:numPr>
        <w:ind w:left="0" w:firstLine="709"/>
        <w:jc w:val="both"/>
        <w:tabs>
          <w:tab w:val="num" w:pos="960" w:leader="none"/>
        </w:tabs>
        <w:rPr>
          <w:bCs/>
        </w:rPr>
      </w:pPr>
      <w:r/>
      <w:bookmarkStart w:id="95" w:name="_Ref55317966"/>
      <w:r>
        <w:rPr>
          <w:bCs/>
        </w:rPr>
        <w:t xml:space="preserve">Заявка на участие в закупке должна содержать информацию и документы, предусмотренные п. </w:t>
      </w:r>
      <w:r>
        <w:rPr>
          <w:bCs/>
        </w:rPr>
        <w:fldChar w:fldCharType="begin"/>
      </w:r>
      <w:r>
        <w:rPr>
          <w:bCs/>
        </w:rPr>
        <w:instrText xml:space="preserve"> REF _Ref55317127 \r \h </w:instrText>
      </w:r>
      <w:r>
        <w:rPr>
          <w:bCs/>
        </w:rPr>
        <w:fldChar w:fldCharType="separate"/>
      </w:r>
      <w:r>
        <w:rPr>
          <w:bCs/>
        </w:rPr>
        <w:t xml:space="preserve">12</w:t>
      </w:r>
      <w:r>
        <w:rPr>
          <w:bCs/>
        </w:rPr>
        <w:fldChar w:fldCharType="end"/>
      </w:r>
      <w:r>
        <w:rPr>
          <w:bCs/>
        </w:rPr>
        <w:t xml:space="preserve"> раздела </w:t>
      </w:r>
      <w:hyperlink w:tooltip="#_РАЗДЕЛ_II._ИНФОРМАЦИОННАЯ_1" w:anchor="_РАЗДЕЛ_II._ИНФОРМАЦИОННАЯ_1" w:history="1">
        <w:r>
          <w:rPr>
            <w:rStyle w:val="978"/>
            <w:bCs/>
            <w:lang w:val="en-US"/>
          </w:rPr>
          <w:t xml:space="preserve">II</w:t>
        </w:r>
        <w:r>
          <w:rPr>
            <w:rStyle w:val="978"/>
            <w:bCs/>
          </w:rPr>
          <w:t xml:space="preserve"> «ИНФОРМАЦИОННАЯ КАРТА»</w:t>
        </w:r>
      </w:hyperlink>
      <w:r>
        <w:rPr>
          <w:bCs/>
        </w:rPr>
        <w:t xml:space="preserve"> документации.</w:t>
      </w:r>
      <w:bookmarkEnd w:id="95"/>
      <w:r>
        <w:rPr>
          <w:bCs/>
        </w:rPr>
        <w:t xml:space="preserve"> </w:t>
      </w:r>
      <w:r>
        <w:rPr>
          <w:bCs/>
        </w:rPr>
      </w:r>
      <w:r>
        <w:rPr>
          <w:bCs/>
        </w:rPr>
      </w:r>
    </w:p>
    <w:p>
      <w:pPr>
        <w:numPr>
          <w:ilvl w:val="2"/>
          <w:numId w:val="3"/>
        </w:numPr>
        <w:ind w:left="0" w:firstLine="709"/>
        <w:jc w:val="both"/>
      </w:pPr>
      <w:r>
        <w:rPr>
          <w:bCs/>
        </w:rPr>
        <w:t xml:space="preserve">В случае неполного представления информации и документов, указанных в п. </w:t>
      </w:r>
      <w:r>
        <w:rPr>
          <w:bCs/>
        </w:rPr>
        <w:fldChar w:fldCharType="begin"/>
      </w:r>
      <w:r>
        <w:rPr>
          <w:bCs/>
        </w:rPr>
        <w:instrText xml:space="preserve"> REF _Ref55317127 \r \h </w:instrText>
      </w:r>
      <w:r>
        <w:rPr>
          <w:bCs/>
        </w:rPr>
        <w:fldChar w:fldCharType="separate"/>
      </w:r>
      <w:r>
        <w:rPr>
          <w:bCs/>
        </w:rPr>
        <w:t xml:space="preserve">12</w:t>
      </w:r>
      <w:r>
        <w:rPr>
          <w:bCs/>
        </w:rPr>
        <w:fldChar w:fldCharType="end"/>
      </w:r>
      <w:r>
        <w:rPr>
          <w:bCs/>
        </w:rPr>
        <w:t xml:space="preserve"> раздела </w:t>
      </w:r>
      <w:hyperlink w:tooltip="#_РАЗДЕЛ_II._ИНФОРМАЦИОННАЯ_1" w:anchor="_РАЗДЕЛ_II._ИНФОРМАЦИОННАЯ_1" w:history="1">
        <w:r>
          <w:rPr>
            <w:rStyle w:val="978"/>
            <w:bCs/>
            <w:lang w:val="en-US"/>
          </w:rPr>
          <w:t xml:space="preserve">II</w:t>
        </w:r>
        <w:r>
          <w:rPr>
            <w:rStyle w:val="978"/>
            <w:bCs/>
          </w:rPr>
          <w:t xml:space="preserve"> «ИНФОРМАЦИОННАЯ КАРТА»</w:t>
        </w:r>
      </w:hyperlink>
      <w:r>
        <w:rPr>
          <w:bCs/>
        </w:rPr>
        <w:t xml:space="preserve"> документации, участник не допускается Закупочной комиссией к участию в закупке (</w:t>
      </w:r>
      <w:r>
        <w:t xml:space="preserve">за исключением случаев непредставления информации и документов, необходимых исключительно для целей оценки и сопоставления заявок, если это предусмотрено разделом </w:t>
      </w:r>
      <w:hyperlink w:tooltip="#_РАЗДЕЛ_VI._КРИТЕРИИ_1" w:anchor="_РАЗДЕЛ_VI._КРИТЕРИИ_1" w:history="1">
        <w:r>
          <w:rPr>
            <w:rStyle w:val="978"/>
            <w:bCs/>
            <w:lang w:val="en-US"/>
          </w:rPr>
          <w:t xml:space="preserve">VI</w:t>
        </w:r>
        <w:r>
          <w:rPr>
            <w:rStyle w:val="978"/>
            <w:bCs/>
          </w:rPr>
          <w:t xml:space="preserve"> «КРИТЕРИИ И ПОРЯДОК ОЦЕНКИ ЗАЯВОК»</w:t>
        </w:r>
      </w:hyperlink>
      <w:r>
        <w:rPr>
          <w:bCs/>
        </w:rPr>
        <w:t xml:space="preserve"> документации).</w:t>
      </w:r>
      <w:r/>
    </w:p>
    <w:p>
      <w:pPr>
        <w:numPr>
          <w:ilvl w:val="2"/>
          <w:numId w:val="3"/>
        </w:numPr>
        <w:ind w:left="0" w:firstLine="709"/>
        <w:jc w:val="both"/>
        <w:tabs>
          <w:tab w:val="num" w:pos="960" w:leader="none"/>
        </w:tabs>
        <w:rPr>
          <w:bCs/>
        </w:rPr>
      </w:pPr>
      <w:r>
        <w:rPr>
          <w:bCs/>
        </w:rPr>
        <w:t xml:space="preserve">Представление заявки на участие в закупке с отклонением от формы, установленной настоящей документацией</w:t>
      </w:r>
      <w:r>
        <w:rPr>
          <w:bCs/>
        </w:rPr>
        <w:t xml:space="preserve">, а также внесение изменений в проект договора, в том числе путем направления в составе заявки листа разногласий к проекту договора, расценивается Закупочной комиссией как несоответствие заявки на участие в закупке требованиям, установленным документацией.</w:t>
      </w:r>
      <w:r>
        <w:rPr>
          <w:bCs/>
        </w:rPr>
      </w:r>
      <w:r>
        <w:rPr>
          <w:bCs/>
        </w:rPr>
      </w:r>
    </w:p>
    <w:p>
      <w:pPr>
        <w:pStyle w:val="989"/>
        <w:numPr>
          <w:ilvl w:val="1"/>
          <w:numId w:val="3"/>
        </w:numPr>
        <w:ind w:left="0" w:firstLine="709"/>
        <w:jc w:val="both"/>
        <w:keepNext/>
        <w:spacing w:before="120" w:beforeAutospacing="0" w:after="120" w:afterAutospacing="0"/>
        <w:tabs>
          <w:tab w:val="num" w:pos="1276" w:leader="none"/>
        </w:tabs>
        <w:rPr>
          <w:b/>
          <w:color w:val="000000" w:themeColor="text1"/>
        </w:rPr>
        <w:outlineLvl w:val="1"/>
      </w:pPr>
      <w:r/>
      <w:bookmarkStart w:id="96" w:name="_Toc8834863"/>
      <w:r/>
      <w:bookmarkStart w:id="97" w:name="_Toc54336106"/>
      <w:r/>
      <w:bookmarkStart w:id="98" w:name="_Ref57202531"/>
      <w:r/>
      <w:bookmarkStart w:id="99" w:name="_Toc190199540"/>
      <w:r/>
      <w:bookmarkStart w:id="100" w:name="_Hlk528068221"/>
      <w:r>
        <w:rPr>
          <w:b/>
        </w:rPr>
        <w:t xml:space="preserve">Требования к ценовому предложению</w:t>
      </w:r>
      <w:bookmarkEnd w:id="96"/>
      <w:r/>
      <w:bookmarkEnd w:id="97"/>
      <w:r/>
      <w:bookmarkEnd w:id="98"/>
      <w:r/>
      <w:bookmarkEnd w:id="99"/>
      <w:r/>
      <w:bookmarkEnd w:id="100"/>
      <w:r>
        <w:rPr>
          <w:b/>
          <w:color w:val="000000" w:themeColor="text1"/>
        </w:rPr>
      </w:r>
      <w:r>
        <w:rPr>
          <w:b/>
          <w:color w:val="000000" w:themeColor="text1"/>
        </w:rPr>
      </w:r>
    </w:p>
    <w:p>
      <w:pPr>
        <w:numPr>
          <w:ilvl w:val="2"/>
          <w:numId w:val="3"/>
        </w:numPr>
        <w:ind w:left="0" w:firstLine="709"/>
        <w:jc w:val="both"/>
        <w:tabs>
          <w:tab w:val="num" w:pos="960" w:leader="none"/>
        </w:tabs>
        <w:rPr>
          <w:bCs/>
        </w:rPr>
      </w:pPr>
      <w:r>
        <w:rPr>
          <w:bCs/>
        </w:rPr>
        <w:t xml:space="preserve">Цена договора, предлагаемая участником, не может превышать начальную (максимальную) цену договора, указанную в п. </w:t>
      </w:r>
      <w:r>
        <w:rPr>
          <w:bCs/>
        </w:rPr>
        <w:fldChar w:fldCharType="begin"/>
      </w:r>
      <w:r>
        <w:rPr>
          <w:bCs/>
        </w:rPr>
        <w:instrText xml:space="preserve"> REF _Ref55316445 \r \h </w:instrText>
      </w:r>
      <w:r>
        <w:rPr>
          <w:bCs/>
        </w:rPr>
        <w:fldChar w:fldCharType="separate"/>
      </w:r>
      <w:r>
        <w:rPr>
          <w:bCs/>
        </w:rPr>
        <w:t xml:space="preserve">6</w:t>
      </w:r>
      <w:r>
        <w:rPr>
          <w:bCs/>
        </w:rPr>
        <w:fldChar w:fldCharType="end"/>
      </w:r>
      <w:r>
        <w:rPr>
          <w:bCs/>
        </w:rPr>
        <w:t xml:space="preserve"> раздела </w:t>
      </w:r>
      <w:hyperlink w:tooltip="#_РАЗДЕЛ_II._ИНФОРМАЦИОННАЯ_1" w:anchor="_РАЗДЕЛ_II._ИНФОРМАЦИОННАЯ_1" w:history="1">
        <w:r>
          <w:rPr>
            <w:rStyle w:val="978"/>
            <w:bCs/>
            <w:lang w:val="en-US"/>
          </w:rPr>
          <w:t xml:space="preserve">II</w:t>
        </w:r>
        <w:r>
          <w:rPr>
            <w:rStyle w:val="978"/>
            <w:bCs/>
          </w:rPr>
          <w:t xml:space="preserve"> «ИНФОРМАЦИОННАЯ КАРТА»</w:t>
        </w:r>
      </w:hyperlink>
      <w:r>
        <w:rPr>
          <w:bCs/>
        </w:rPr>
        <w:t xml:space="preserve"> документации. </w:t>
      </w:r>
      <w:r>
        <w:rPr>
          <w:bCs/>
        </w:rPr>
      </w:r>
      <w:r>
        <w:rPr>
          <w:bCs/>
        </w:rPr>
      </w:r>
    </w:p>
    <w:p>
      <w:pPr>
        <w:numPr>
          <w:ilvl w:val="2"/>
          <w:numId w:val="3"/>
        </w:numPr>
        <w:ind w:left="0" w:firstLine="709"/>
        <w:jc w:val="both"/>
        <w:tabs>
          <w:tab w:val="num" w:pos="960" w:leader="none"/>
        </w:tabs>
        <w:rPr>
          <w:bCs/>
        </w:rPr>
      </w:pPr>
      <w:r>
        <w:rPr>
          <w:bCs/>
        </w:rPr>
        <w:t xml:space="preserve">Цена единицы товара, работы, услуги (или сумма цен</w:t>
      </w:r>
      <w:r>
        <w:rPr>
          <w:rFonts w:eastAsia="MS Gothic"/>
          <w:bCs/>
        </w:rPr>
        <w:t xml:space="preserve"> единиц товара, работ, услуг)</w:t>
      </w:r>
      <w:r>
        <w:rPr>
          <w:bCs/>
        </w:rPr>
        <w:t xml:space="preserve">, предлагаемая участником, не может превышать начальную (максимальную) цену единицы товара, работы, услуги (или начальную (максимальную) </w:t>
      </w:r>
      <w:r>
        <w:rPr>
          <w:rFonts w:eastAsia="MS Gothic"/>
          <w:bCs/>
        </w:rPr>
        <w:t xml:space="preserve">сумму цен единиц товара, работ, услуг)</w:t>
      </w:r>
      <w:r>
        <w:rPr>
          <w:bCs/>
        </w:rPr>
        <w:t xml:space="preserve">, указанную в п. </w:t>
      </w:r>
      <w:r>
        <w:rPr>
          <w:bCs/>
        </w:rPr>
        <w:fldChar w:fldCharType="begin"/>
      </w:r>
      <w:r>
        <w:rPr>
          <w:bCs/>
        </w:rPr>
        <w:instrText xml:space="preserve"> REF _Ref55316445 \r \h </w:instrText>
      </w:r>
      <w:r>
        <w:rPr>
          <w:bCs/>
        </w:rPr>
        <w:fldChar w:fldCharType="separate"/>
      </w:r>
      <w:r>
        <w:rPr>
          <w:bCs/>
        </w:rPr>
        <w:t xml:space="preserve">6</w:t>
      </w:r>
      <w:r>
        <w:rPr>
          <w:bCs/>
        </w:rPr>
        <w:fldChar w:fldCharType="end"/>
      </w:r>
      <w:r>
        <w:rPr>
          <w:bCs/>
        </w:rPr>
        <w:t xml:space="preserve"> раздела </w:t>
      </w:r>
      <w:hyperlink w:tooltip="#_РАЗДЕЛ_II._ИНФОРМАЦИОННАЯ_1" w:anchor="_РАЗДЕЛ_II._ИНФОРМАЦИОННАЯ_1" w:history="1">
        <w:r>
          <w:rPr>
            <w:rStyle w:val="978"/>
            <w:bCs/>
            <w:lang w:val="en-US"/>
          </w:rPr>
          <w:t xml:space="preserve">II</w:t>
        </w:r>
        <w:r>
          <w:rPr>
            <w:rStyle w:val="978"/>
            <w:bCs/>
          </w:rPr>
          <w:t xml:space="preserve"> «ИНФОРМАЦИОННАЯ КАРТА»</w:t>
        </w:r>
      </w:hyperlink>
      <w:r>
        <w:rPr>
          <w:bCs/>
        </w:rPr>
        <w:t xml:space="preserve"> документации. </w:t>
      </w:r>
      <w:r>
        <w:rPr>
          <w:bCs/>
        </w:rPr>
      </w:r>
      <w:r>
        <w:rPr>
          <w:bCs/>
        </w:rPr>
      </w:r>
    </w:p>
    <w:p>
      <w:pPr>
        <w:numPr>
          <w:ilvl w:val="2"/>
          <w:numId w:val="3"/>
        </w:numPr>
        <w:ind w:left="0" w:firstLine="709"/>
        <w:jc w:val="both"/>
        <w:tabs>
          <w:tab w:val="num" w:pos="960" w:leader="none"/>
        </w:tabs>
        <w:rPr>
          <w:bCs/>
        </w:rPr>
      </w:pPr>
      <w:r>
        <w:rPr>
          <w:bCs/>
        </w:rPr>
        <w:t xml:space="preserve">В случае если цена договора/цена единицы товара, работы, услуги/цена сумм единиц товар</w:t>
      </w:r>
      <w:r>
        <w:rPr>
          <w:bCs/>
        </w:rPr>
        <w:t xml:space="preserve">а, работы, услуги, указанная в заявке и предлагаемая участником, превышает начальную (максимальную) цену, соответствующий участник не допускается к участию в процедуре закупки на основании несоответствия его заявки требованиям, установленным документацией.</w:t>
      </w:r>
      <w:r>
        <w:rPr>
          <w:bCs/>
        </w:rPr>
      </w:r>
      <w:r>
        <w:rPr>
          <w:bCs/>
        </w:rPr>
      </w:r>
    </w:p>
    <w:p>
      <w:pPr>
        <w:numPr>
          <w:ilvl w:val="2"/>
          <w:numId w:val="3"/>
        </w:numPr>
        <w:ind w:left="0" w:firstLine="709"/>
        <w:jc w:val="both"/>
        <w:tabs>
          <w:tab w:val="num" w:pos="960" w:leader="none"/>
        </w:tabs>
        <w:rPr>
          <w:bCs/>
        </w:rPr>
      </w:pPr>
      <w:r>
        <w:rPr>
          <w:bCs/>
        </w:rPr>
        <w:t xml:space="preserve">При указании сведений о цене договора, не допускаются разночтения между ценой, указанной в заявке и ценой, полученной путем суммирования единичных цен товаров, работ, услуг, указанных в заявке.</w:t>
      </w:r>
      <w:r>
        <w:rPr>
          <w:bCs/>
        </w:rPr>
      </w:r>
      <w:r>
        <w:rPr>
          <w:bCs/>
        </w:rPr>
      </w:r>
    </w:p>
    <w:p>
      <w:pPr>
        <w:numPr>
          <w:ilvl w:val="2"/>
          <w:numId w:val="3"/>
        </w:numPr>
        <w:ind w:left="0" w:firstLine="709"/>
        <w:jc w:val="both"/>
        <w:tabs>
          <w:tab w:val="num" w:pos="960" w:leader="none"/>
        </w:tabs>
        <w:rPr>
          <w:bCs/>
        </w:rPr>
      </w:pPr>
      <w:r>
        <w:rPr>
          <w:bCs/>
        </w:rPr>
        <w:t xml:space="preserve">Цена, предлагаемая участником в заявке (в прилагаемом файле), и ц</w:t>
      </w:r>
      <w:r>
        <w:rPr>
          <w:bCs/>
        </w:rPr>
        <w:t xml:space="preserve">ена, указанная участником на ЭП (с помощью функционала ЭП), должны совпадать. В случае наличия разночтений между информацией, указанной в заявке, и информацией, указанной в поле ЭП (с помощью функционала ЭП), преимущество имеет информация, указанная на ЭП.</w:t>
      </w:r>
      <w:r>
        <w:rPr>
          <w:bCs/>
        </w:rPr>
      </w:r>
      <w:r>
        <w:rPr>
          <w:bCs/>
        </w:rPr>
      </w:r>
    </w:p>
    <w:p>
      <w:pPr>
        <w:pStyle w:val="989"/>
        <w:numPr>
          <w:ilvl w:val="1"/>
          <w:numId w:val="3"/>
        </w:numPr>
        <w:ind w:left="0" w:firstLine="709"/>
        <w:jc w:val="both"/>
        <w:keepNext/>
        <w:spacing w:before="120" w:beforeAutospacing="0" w:after="120" w:afterAutospacing="0"/>
        <w:tabs>
          <w:tab w:val="num" w:pos="1276" w:leader="none"/>
        </w:tabs>
        <w:rPr>
          <w:b/>
        </w:rPr>
        <w:outlineLvl w:val="1"/>
      </w:pPr>
      <w:r/>
      <w:bookmarkStart w:id="101" w:name="_Toc190199541"/>
      <w:r>
        <w:rPr>
          <w:b/>
        </w:rPr>
        <w:t xml:space="preserve">Требования к описанию участниками такой закупки поставляемого товара, который является предметом закупки, его функциональных хара</w:t>
      </w:r>
      <w:r>
        <w:rPr>
          <w:b/>
        </w:rPr>
        <w:t xml:space="preserve">ктеристик (потребительских свойств), его количественных и качественных характеристик, требования к описанию участниками такой закупки выполняемой работы, оказываемой услуги, которые являются предметом закупки, их количественных и качественных характеристик</w:t>
      </w:r>
      <w:bookmarkEnd w:id="101"/>
      <w:r>
        <w:rPr>
          <w:b/>
        </w:rPr>
      </w:r>
      <w:r>
        <w:rPr>
          <w:b/>
        </w:rPr>
      </w:r>
    </w:p>
    <w:p>
      <w:pPr>
        <w:numPr>
          <w:ilvl w:val="2"/>
          <w:numId w:val="3"/>
        </w:numPr>
        <w:ind w:left="0" w:firstLine="709"/>
        <w:jc w:val="both"/>
        <w:tabs>
          <w:tab w:val="num" w:pos="284" w:leader="none"/>
          <w:tab w:val="clear" w:pos="1003" w:leader="none"/>
        </w:tabs>
        <w:rPr>
          <w:bCs/>
        </w:rPr>
      </w:pPr>
      <w:r>
        <w:rPr>
          <w:bCs/>
        </w:rPr>
        <w:t xml:space="preserve">Описание участниками поставляемого товара</w:t>
      </w:r>
      <w:r>
        <w:rPr>
          <w:b/>
        </w:rPr>
        <w:t xml:space="preserve">,</w:t>
      </w:r>
      <w:r>
        <w:rPr>
          <w:bCs/>
        </w:rPr>
        <w:t xml:space="preserve"> который является предметом закупки, его функциональных характеристик (потребительских свойств</w:t>
      </w:r>
      <w:r>
        <w:rPr>
          <w:bCs/>
        </w:rPr>
        <w:t xml:space="preserve">), его количественных и качественных характеристик, требования к описанию участниками такой закупки выполняемой работы, оказываемой услуги, которые являются предметом закупки, их количественных и качественных характеристик, осуществляется в соответствии с </w:t>
      </w:r>
      <w:hyperlink w:tooltip="#_Форма_1_ТЕХНИЧЕСКОЕ" w:anchor="_Форма_1_ТЕХНИЧЕСКОЕ" w:history="1">
        <w:r>
          <w:rPr>
            <w:rStyle w:val="978"/>
            <w:bCs/>
          </w:rPr>
          <w:t xml:space="preserve">Формой 1 раздела III «ФОРМЫ ДЛЯ ЗАПОЛНЕНИЯ УЧАСТНИКАМИ ЗАКУПКИ»</w:t>
        </w:r>
      </w:hyperlink>
      <w:r>
        <w:rPr>
          <w:rStyle w:val="978"/>
          <w:bCs/>
        </w:rPr>
        <w:t xml:space="preserve"> </w:t>
      </w:r>
      <w:r>
        <w:rPr>
          <w:bCs/>
        </w:rPr>
        <w:t xml:space="preserve">документации.</w:t>
      </w:r>
      <w:r>
        <w:rPr>
          <w:bCs/>
        </w:rPr>
      </w:r>
      <w:r>
        <w:rPr>
          <w:bCs/>
        </w:rPr>
      </w:r>
    </w:p>
    <w:p>
      <w:pPr>
        <w:pStyle w:val="989"/>
        <w:numPr>
          <w:ilvl w:val="0"/>
          <w:numId w:val="3"/>
        </w:numPr>
        <w:jc w:val="center"/>
        <w:keepNext/>
        <w:spacing w:before="120" w:beforeAutospacing="0" w:after="120" w:afterAutospacing="0"/>
        <w:tabs>
          <w:tab w:val="num" w:pos="1418" w:leader="none"/>
          <w:tab w:val="num" w:pos="2912" w:leader="none"/>
        </w:tabs>
        <w:rPr>
          <w:b/>
          <w:sz w:val="28"/>
        </w:rPr>
        <w:outlineLvl w:val="1"/>
      </w:pPr>
      <w:r/>
      <w:bookmarkStart w:id="102" w:name="_Toc8834865"/>
      <w:r/>
      <w:bookmarkStart w:id="103" w:name="_Toc54336108"/>
      <w:r/>
      <w:bookmarkStart w:id="104" w:name="_Toc190199542"/>
      <w:r/>
      <w:bookmarkEnd w:id="45"/>
      <w:r>
        <w:rPr>
          <w:b/>
          <w:sz w:val="28"/>
        </w:rPr>
        <w:t xml:space="preserve">ПОРЯДОК ПОДАЧИ ЗАЯВОК</w:t>
      </w:r>
      <w:bookmarkEnd w:id="102"/>
      <w:r/>
      <w:bookmarkEnd w:id="103"/>
      <w:r/>
      <w:bookmarkEnd w:id="104"/>
      <w:r>
        <w:rPr>
          <w:b/>
          <w:sz w:val="28"/>
        </w:rPr>
      </w:r>
      <w:r>
        <w:rPr>
          <w:b/>
          <w:sz w:val="28"/>
        </w:rPr>
      </w:r>
    </w:p>
    <w:p>
      <w:pPr>
        <w:pStyle w:val="989"/>
        <w:numPr>
          <w:ilvl w:val="1"/>
          <w:numId w:val="3"/>
        </w:numPr>
        <w:ind w:left="0" w:firstLine="709"/>
        <w:jc w:val="both"/>
        <w:keepNext/>
        <w:spacing w:before="120" w:beforeAutospacing="0" w:after="120" w:afterAutospacing="0"/>
        <w:tabs>
          <w:tab w:val="num" w:pos="1276" w:leader="none"/>
        </w:tabs>
        <w:rPr>
          <w:b/>
        </w:rPr>
        <w:outlineLvl w:val="1"/>
      </w:pPr>
      <w:r/>
      <w:bookmarkStart w:id="105" w:name="_Toc8834866"/>
      <w:r/>
      <w:bookmarkStart w:id="106" w:name="_Toc54336109"/>
      <w:r/>
      <w:bookmarkStart w:id="107" w:name="_Ref57202697"/>
      <w:r/>
      <w:bookmarkStart w:id="108" w:name="_Toc190199543"/>
      <w:r/>
      <w:bookmarkStart w:id="109" w:name="_Hlk528068338"/>
      <w:r>
        <w:rPr>
          <w:b/>
        </w:rPr>
        <w:t xml:space="preserve">Порядок подачи заявок</w:t>
      </w:r>
      <w:bookmarkEnd w:id="105"/>
      <w:r/>
      <w:bookmarkEnd w:id="106"/>
      <w:r/>
      <w:bookmarkEnd w:id="107"/>
      <w:r/>
      <w:bookmarkEnd w:id="108"/>
      <w:r>
        <w:rPr>
          <w:b/>
        </w:rPr>
        <w:t xml:space="preserve"> </w:t>
      </w:r>
      <w:bookmarkEnd w:id="109"/>
      <w:r>
        <w:rPr>
          <w:b/>
        </w:rPr>
      </w:r>
      <w:r>
        <w:rPr>
          <w:b/>
        </w:rPr>
      </w:r>
    </w:p>
    <w:p>
      <w:pPr>
        <w:numPr>
          <w:ilvl w:val="2"/>
          <w:numId w:val="3"/>
        </w:numPr>
        <w:ind w:left="0" w:firstLine="709"/>
        <w:jc w:val="both"/>
        <w:tabs>
          <w:tab w:val="num" w:pos="960" w:leader="none"/>
        </w:tabs>
        <w:rPr>
          <w:bCs/>
        </w:rPr>
      </w:pPr>
      <w:r>
        <w:rPr>
          <w:bCs/>
        </w:rPr>
        <w:t xml:space="preserve">Для участия в закупке участник должен подать заявку на участие в закупке с использованием функционала ЭП и в соответствии с регламентом ЭП.</w:t>
      </w:r>
      <w:r>
        <w:rPr>
          <w:bCs/>
        </w:rPr>
      </w:r>
      <w:r>
        <w:rPr>
          <w:bCs/>
        </w:rPr>
      </w:r>
    </w:p>
    <w:p>
      <w:pPr>
        <w:numPr>
          <w:ilvl w:val="2"/>
          <w:numId w:val="3"/>
        </w:numPr>
        <w:ind w:left="0" w:firstLine="709"/>
        <w:jc w:val="both"/>
        <w:tabs>
          <w:tab w:val="num" w:pos="960" w:leader="none"/>
        </w:tabs>
        <w:rPr>
          <w:bCs/>
        </w:rPr>
      </w:pPr>
      <w:r>
        <w:rPr>
          <w:bCs/>
        </w:rPr>
        <w:t xml:space="preserve">Документы и сведения, размещаемые участником закупки на ЭП, подписываются электронной подписью лица, имеющего право действовать от имени участника закупки.</w:t>
      </w:r>
      <w:r>
        <w:rPr>
          <w:bCs/>
        </w:rPr>
      </w:r>
      <w:r>
        <w:rPr>
          <w:bCs/>
        </w:rPr>
      </w:r>
    </w:p>
    <w:p>
      <w:pPr>
        <w:numPr>
          <w:ilvl w:val="2"/>
          <w:numId w:val="3"/>
        </w:numPr>
        <w:ind w:left="0" w:firstLine="709"/>
        <w:jc w:val="both"/>
        <w:tabs>
          <w:tab w:val="num" w:pos="960" w:leader="none"/>
        </w:tabs>
        <w:rPr>
          <w:bCs/>
        </w:rPr>
      </w:pPr>
      <w:r/>
      <w:bookmarkStart w:id="110" w:name="_Ref57202718"/>
      <w:r>
        <w:rPr>
          <w:bCs/>
        </w:rPr>
        <w:t xml:space="preserve">Подача участником заявки на участие в закупке подтверждает, что участником приняты в полном объёме и безоговорочно все условия извещения и документации.</w:t>
      </w:r>
      <w:bookmarkEnd w:id="110"/>
      <w:r>
        <w:rPr>
          <w:bCs/>
        </w:rPr>
      </w:r>
      <w:r>
        <w:rPr>
          <w:bCs/>
        </w:rPr>
      </w:r>
    </w:p>
    <w:p>
      <w:pPr>
        <w:numPr>
          <w:ilvl w:val="2"/>
          <w:numId w:val="3"/>
        </w:numPr>
        <w:ind w:left="0" w:firstLine="709"/>
        <w:jc w:val="both"/>
        <w:tabs>
          <w:tab w:val="num" w:pos="960" w:leader="none"/>
        </w:tabs>
        <w:rPr>
          <w:bCs/>
        </w:rPr>
      </w:pPr>
      <w:r/>
      <w:bookmarkStart w:id="111" w:name="_Ref57202796"/>
      <w:r>
        <w:t xml:space="preserve">Заявка на участие в закупке состоит из двух частей и предложения участника закупки о цене договора (единицы продукции).</w:t>
      </w:r>
      <w:r>
        <w:rPr>
          <w:bCs/>
        </w:rPr>
      </w:r>
      <w:r>
        <w:rPr>
          <w:bCs/>
        </w:rPr>
      </w:r>
    </w:p>
    <w:p>
      <w:pPr>
        <w:numPr>
          <w:ilvl w:val="2"/>
          <w:numId w:val="3"/>
        </w:numPr>
        <w:ind w:left="0" w:firstLine="709"/>
        <w:jc w:val="both"/>
        <w:rPr>
          <w:bCs/>
        </w:rPr>
      </w:pPr>
      <w:r>
        <w:t xml:space="preserve">Первая часть заявки на участие в закупке должна содержать предложение участника закупки в отношении предмета закупки по </w:t>
      </w:r>
      <w:hyperlink w:tooltip="#_Форма_1_ЗАЯВКА" w:anchor="_Форма_1_ЗАЯВКА" w:history="1">
        <w:r>
          <w:rPr>
            <w:rStyle w:val="978"/>
          </w:rPr>
          <w:t xml:space="preserve">Форме 1 «ТЕХНИЧЕСКОЕ ПРЕДЛОЖЕНИЕ»</w:t>
        </w:r>
      </w:hyperlink>
      <w:r>
        <w:rPr>
          <w:rStyle w:val="978"/>
        </w:rPr>
        <w:t xml:space="preserve"> </w:t>
      </w:r>
      <w:r>
        <w:rPr>
          <w:bCs/>
        </w:rPr>
        <w:t xml:space="preserve">документации</w:t>
      </w:r>
      <w:r>
        <w:t xml:space="preserve">, а также информацию и документы в отношении критериев и порядка оценки и сопоставления заявок на участие в закупке, применяемы</w:t>
      </w:r>
      <w:r>
        <w:t xml:space="preserve">х к предлагаемым участником товарам, работам, услугам, к условиям исполнения договора (в случае установления в настоящей документации этих критериев). Полный перечень сведений и документов, предоставляемых участником в составе первой части заявки указан в </w:t>
      </w:r>
      <w:r>
        <w:t xml:space="preserve">пп</w:t>
      </w:r>
      <w:r>
        <w:t xml:space="preserve">. </w:t>
      </w:r>
      <w:r>
        <w:rPr>
          <w:lang w:val="en-US"/>
        </w:rPr>
        <w:t xml:space="preserve">I </w:t>
      </w:r>
      <w:r>
        <w:rPr>
          <w:bCs/>
        </w:rPr>
        <w:t xml:space="preserve">п. </w:t>
      </w:r>
      <w:r>
        <w:rPr>
          <w:bCs/>
        </w:rPr>
        <w:fldChar w:fldCharType="begin"/>
      </w:r>
      <w:r>
        <w:rPr>
          <w:bCs/>
        </w:rPr>
        <w:instrText xml:space="preserve"> REF _Ref55317127 \r \h  \* MERGEFORMAT </w:instrText>
      </w:r>
      <w:r>
        <w:rPr>
          <w:bCs/>
        </w:rPr>
        <w:fldChar w:fldCharType="separate"/>
      </w:r>
      <w:r>
        <w:rPr>
          <w:bCs/>
        </w:rPr>
        <w:t xml:space="preserve">12</w:t>
      </w:r>
      <w:r>
        <w:rPr>
          <w:bCs/>
        </w:rPr>
        <w:fldChar w:fldCharType="end"/>
      </w:r>
      <w:r>
        <w:rPr>
          <w:bCs/>
        </w:rPr>
        <w:t xml:space="preserve"> раздела </w:t>
      </w:r>
      <w:hyperlink w:tooltip="#_РАЗДЕЛ_II._ИНФОРМАЦИОННАЯ_1" w:anchor="_РАЗДЕЛ_II._ИНФОРМАЦИОННАЯ_1" w:history="1">
        <w:r>
          <w:rPr>
            <w:rStyle w:val="978"/>
            <w:bCs/>
            <w:lang w:val="en-US"/>
          </w:rPr>
          <w:t xml:space="preserve">II</w:t>
        </w:r>
        <w:r>
          <w:rPr>
            <w:rStyle w:val="978"/>
            <w:bCs/>
          </w:rPr>
          <w:t xml:space="preserve"> «ИНФОРМАЦИОННАЯ КАРТА»</w:t>
        </w:r>
      </w:hyperlink>
      <w:r>
        <w:rPr>
          <w:rStyle w:val="978"/>
          <w:bCs/>
        </w:rPr>
        <w:t xml:space="preserve"> </w:t>
      </w:r>
      <w:r>
        <w:rPr>
          <w:bCs/>
        </w:rPr>
        <w:t xml:space="preserve">документации</w:t>
      </w:r>
      <w:r>
        <w:rPr>
          <w:rStyle w:val="978"/>
          <w:bCs/>
        </w:rPr>
        <w:t xml:space="preserve">.</w:t>
      </w:r>
      <w:r>
        <w:t xml:space="preserve"> </w:t>
      </w:r>
      <w:r>
        <w:rPr>
          <w:bCs/>
        </w:rPr>
      </w:r>
      <w:r>
        <w:rPr>
          <w:bCs/>
        </w:rPr>
      </w:r>
    </w:p>
    <w:p>
      <w:pPr>
        <w:numPr>
          <w:ilvl w:val="2"/>
          <w:numId w:val="3"/>
        </w:numPr>
        <w:ind w:left="0" w:firstLine="709"/>
        <w:jc w:val="both"/>
        <w:rPr>
          <w:bCs/>
        </w:rPr>
      </w:pPr>
      <w:r>
        <w:t xml:space="preserve">Вторая часть заявки на участие в закупке должна содержать информацию и документы, предусмотренные </w:t>
      </w:r>
      <w:r>
        <w:t xml:space="preserve">пп</w:t>
      </w:r>
      <w:r>
        <w:t xml:space="preserve">. </w:t>
      </w:r>
      <w:r>
        <w:rPr>
          <w:lang w:val="en-US"/>
        </w:rPr>
        <w:t xml:space="preserve">II</w:t>
      </w:r>
      <w:r>
        <w:t xml:space="preserve"> </w:t>
      </w:r>
      <w:r>
        <w:rPr>
          <w:bCs/>
        </w:rPr>
        <w:t xml:space="preserve">п. </w:t>
      </w:r>
      <w:r>
        <w:rPr>
          <w:bCs/>
        </w:rPr>
        <w:fldChar w:fldCharType="begin"/>
      </w:r>
      <w:r>
        <w:rPr>
          <w:bCs/>
        </w:rPr>
        <w:instrText xml:space="preserve"> REF _Ref55317127 \r \h  \* MERGEFORMAT </w:instrText>
      </w:r>
      <w:r>
        <w:rPr>
          <w:bCs/>
        </w:rPr>
        <w:fldChar w:fldCharType="separate"/>
      </w:r>
      <w:r>
        <w:rPr>
          <w:bCs/>
        </w:rPr>
        <w:t xml:space="preserve">12</w:t>
      </w:r>
      <w:r>
        <w:rPr>
          <w:bCs/>
        </w:rPr>
        <w:fldChar w:fldCharType="end"/>
      </w:r>
      <w:r>
        <w:rPr>
          <w:bCs/>
        </w:rPr>
        <w:t xml:space="preserve"> раздела </w:t>
      </w:r>
      <w:hyperlink w:tooltip="#_РАЗДЕЛ_II._ИНФОРМАЦИОННАЯ_1" w:anchor="_РАЗДЕЛ_II._ИНФОРМАЦИОННАЯ_1" w:history="1">
        <w:r>
          <w:rPr>
            <w:rStyle w:val="978"/>
            <w:bCs/>
            <w:lang w:val="en-US"/>
          </w:rPr>
          <w:t xml:space="preserve">II</w:t>
        </w:r>
        <w:r>
          <w:rPr>
            <w:rStyle w:val="978"/>
            <w:bCs/>
          </w:rPr>
          <w:t xml:space="preserve"> «ИНФОРМАЦИОННАЯ КАРТА»</w:t>
        </w:r>
      </w:hyperlink>
      <w:r>
        <w:rPr>
          <w:rStyle w:val="978"/>
          <w:bCs/>
        </w:rPr>
        <w:t xml:space="preserve"> </w:t>
      </w:r>
      <w:r>
        <w:rPr>
          <w:bCs/>
        </w:rPr>
        <w:t xml:space="preserve">документации</w:t>
      </w:r>
      <w:r>
        <w:rPr>
          <w:rStyle w:val="978"/>
          <w:bCs/>
        </w:rPr>
        <w:t xml:space="preserve">.</w:t>
      </w:r>
      <w:r>
        <w:t xml:space="preserve"> </w:t>
      </w:r>
      <w:r>
        <w:rPr>
          <w:bCs/>
        </w:rPr>
      </w:r>
      <w:r>
        <w:rPr>
          <w:bCs/>
        </w:rPr>
      </w:r>
    </w:p>
    <w:p>
      <w:pPr>
        <w:numPr>
          <w:ilvl w:val="2"/>
          <w:numId w:val="3"/>
        </w:numPr>
        <w:ind w:left="0" w:firstLine="709"/>
        <w:jc w:val="both"/>
        <w:rPr>
          <w:bCs/>
        </w:rPr>
      </w:pPr>
      <w:r>
        <w:t xml:space="preserve">Предложение участника о цене договора (единицы продукции) подается в соответствии с требованиями п. 5.5</w:t>
      </w:r>
      <w:r>
        <w:fldChar w:fldCharType="begin"/>
      </w:r>
      <w:r>
        <w:instrText xml:space="preserve"> REF _Ref74218549 \r \h </w:instrText>
      </w:r>
      <w:r>
        <w:fldChar w:fldCharType="end"/>
      </w:r>
      <w:r>
        <w:t xml:space="preserve"> раздела </w:t>
      </w:r>
      <w:hyperlink w:tooltip="#_РАЗДЕЛ_I._ОБЩАЯ" w:anchor="_РАЗДЕЛ_I._ОБЩАЯ" w:history="1">
        <w:r>
          <w:rPr>
            <w:rStyle w:val="978"/>
          </w:rPr>
          <w:t xml:space="preserve">I «ОБЩАЯ ЧАСТЬ»</w:t>
        </w:r>
      </w:hyperlink>
      <w:r>
        <w:t xml:space="preserve"> документации по </w:t>
      </w:r>
      <w:hyperlink w:tooltip="#_Форма_3_ЦЕНОВОЕ" w:anchor="_Форма_3_ЦЕНОВОЕ" w:history="1">
        <w:r>
          <w:rPr>
            <w:rStyle w:val="978"/>
          </w:rPr>
          <w:t xml:space="preserve">Форме 3 «ЦЕНОВОЕ ПРЕДЛОЖЕНИЕ»</w:t>
        </w:r>
      </w:hyperlink>
      <w:r>
        <w:rPr>
          <w:rStyle w:val="978"/>
        </w:rPr>
        <w:t xml:space="preserve"> </w:t>
      </w:r>
      <w:r>
        <w:rPr>
          <w:bCs/>
        </w:rPr>
        <w:t xml:space="preserve">документации</w:t>
      </w:r>
      <w:r>
        <w:t xml:space="preserve">. </w:t>
      </w:r>
      <w:r>
        <w:rPr>
          <w:bCs/>
        </w:rPr>
        <w:t xml:space="preserve">Ценовое предложение не предоставляется участником в составе первой и второй частях заявки.</w:t>
      </w:r>
      <w:r>
        <w:rPr>
          <w:bCs/>
        </w:rPr>
      </w:r>
      <w:r>
        <w:rPr>
          <w:bCs/>
        </w:rPr>
      </w:r>
    </w:p>
    <w:p>
      <w:pPr>
        <w:numPr>
          <w:ilvl w:val="2"/>
          <w:numId w:val="3"/>
        </w:numPr>
        <w:ind w:left="0" w:firstLine="709"/>
        <w:jc w:val="both"/>
        <w:tabs>
          <w:tab w:val="num" w:pos="960" w:leader="none"/>
        </w:tabs>
        <w:rPr>
          <w:bCs/>
        </w:rPr>
      </w:pPr>
      <w:r>
        <w:t xml:space="preserve">В случае содержания в первой части заявки на участие в закупке сведений об участнике закупке и (или) о ценовом предложении данная заявка подлежит отклонению.</w:t>
      </w:r>
      <w:r>
        <w:rPr>
          <w:bCs/>
        </w:rPr>
      </w:r>
      <w:r>
        <w:rPr>
          <w:bCs/>
        </w:rPr>
      </w:r>
    </w:p>
    <w:p>
      <w:pPr>
        <w:numPr>
          <w:ilvl w:val="2"/>
          <w:numId w:val="3"/>
        </w:numPr>
        <w:ind w:left="0" w:firstLine="709"/>
        <w:jc w:val="both"/>
        <w:tabs>
          <w:tab w:val="num" w:pos="960" w:leader="none"/>
          <w:tab w:val="clear" w:pos="1003" w:leader="none"/>
        </w:tabs>
        <w:rPr>
          <w:bCs/>
        </w:rPr>
      </w:pPr>
      <w:r>
        <w:rPr>
          <w:bCs/>
        </w:rPr>
        <w:t xml:space="preserve">В отношении каждого лота участник закупки вправе подать только одну заявку на участие в закупке</w:t>
      </w:r>
      <w:bookmarkEnd w:id="111"/>
      <w:r>
        <w:rPr>
          <w:bCs/>
        </w:rPr>
        <w:t xml:space="preserve">. </w:t>
      </w:r>
      <w:r>
        <w:rPr>
          <w:bCs/>
        </w:rPr>
      </w:r>
      <w:r>
        <w:rPr>
          <w:bCs/>
        </w:rPr>
      </w:r>
    </w:p>
    <w:p>
      <w:pPr>
        <w:numPr>
          <w:ilvl w:val="2"/>
          <w:numId w:val="3"/>
        </w:numPr>
        <w:ind w:left="0" w:firstLine="709"/>
        <w:jc w:val="both"/>
        <w:tabs>
          <w:tab w:val="num" w:pos="960" w:leader="none"/>
        </w:tabs>
        <w:rPr>
          <w:bCs/>
        </w:rPr>
      </w:pPr>
      <w:r>
        <w:rPr>
          <w:bCs/>
        </w:rPr>
        <w:t xml:space="preserve">Датой начала срока подачи заявок на участие в закупке является дата размещения извещения на ЭП. </w:t>
      </w:r>
      <w:r>
        <w:rPr>
          <w:bCs/>
        </w:rPr>
      </w:r>
      <w:r>
        <w:rPr>
          <w:bCs/>
        </w:rPr>
      </w:r>
    </w:p>
    <w:p>
      <w:pPr>
        <w:numPr>
          <w:ilvl w:val="2"/>
          <w:numId w:val="3"/>
        </w:numPr>
        <w:ind w:left="0" w:firstLine="709"/>
        <w:jc w:val="both"/>
        <w:tabs>
          <w:tab w:val="num" w:pos="960" w:leader="none"/>
        </w:tabs>
        <w:rPr>
          <w:bCs/>
        </w:rPr>
      </w:pPr>
      <w:r>
        <w:rPr>
          <w:bCs/>
        </w:rPr>
        <w:t xml:space="preserve">Прием заявок на участие в закупке прекращается с наступлением срока окончания подачи заявок на участие в закупке, указанного в п. </w:t>
      </w:r>
      <w:r>
        <w:rPr>
          <w:bCs/>
        </w:rPr>
        <w:fldChar w:fldCharType="begin"/>
      </w:r>
      <w:r>
        <w:rPr>
          <w:bCs/>
        </w:rPr>
        <w:instrText xml:space="preserve"> REF _Ref368304315 \r \h </w:instrText>
      </w:r>
      <w:r>
        <w:rPr>
          <w:bCs/>
        </w:rPr>
        <w:fldChar w:fldCharType="separate"/>
      </w:r>
      <w:r>
        <w:rPr>
          <w:bCs/>
        </w:rPr>
        <w:t xml:space="preserve">13</w:t>
      </w:r>
      <w:r>
        <w:rPr>
          <w:bCs/>
        </w:rPr>
        <w:fldChar w:fldCharType="end"/>
      </w:r>
      <w:r>
        <w:rPr>
          <w:bCs/>
        </w:rPr>
        <w:t xml:space="preserve"> раздела </w:t>
      </w:r>
      <w:hyperlink w:tooltip="#_РАЗДЕЛ_II._ИНФОРМАЦИОННАЯ_1" w:anchor="_РАЗДЕЛ_II._ИНФОРМАЦИОННАЯ_1" w:history="1">
        <w:r>
          <w:rPr>
            <w:rStyle w:val="978"/>
            <w:bCs/>
            <w:lang w:val="en-US"/>
          </w:rPr>
          <w:t xml:space="preserve">II</w:t>
        </w:r>
        <w:r>
          <w:rPr>
            <w:rStyle w:val="978"/>
            <w:bCs/>
          </w:rPr>
          <w:t xml:space="preserve"> «ИНФОРМАЦИОННАЯ КАРТА»</w:t>
        </w:r>
      </w:hyperlink>
      <w:r>
        <w:rPr>
          <w:bCs/>
        </w:rPr>
        <w:t xml:space="preserve"> документации</w:t>
      </w:r>
      <w:r>
        <w:rPr>
          <w:bCs/>
        </w:rPr>
        <w:t xml:space="preserve">. С помощью программных и технических средств ЭП обеспечивается отсутствие возможности подать заявку на ЭП после установленного окончания срока подачи заявок. Заявка на участие в закупке, поступившая после истечения срока подачи заявок, не рассматривается.</w:t>
      </w:r>
      <w:r>
        <w:rPr>
          <w:bCs/>
        </w:rPr>
      </w:r>
      <w:r>
        <w:rPr>
          <w:bCs/>
        </w:rPr>
      </w:r>
    </w:p>
    <w:p>
      <w:pPr>
        <w:numPr>
          <w:ilvl w:val="2"/>
          <w:numId w:val="3"/>
        </w:numPr>
        <w:ind w:left="0" w:firstLine="709"/>
        <w:jc w:val="both"/>
        <w:tabs>
          <w:tab w:val="num" w:pos="960" w:leader="none"/>
        </w:tabs>
        <w:rPr>
          <w:bCs/>
        </w:rPr>
      </w:pPr>
      <w:r>
        <w:rPr>
          <w:bCs/>
        </w:rPr>
        <w:t xml:space="preserve">В случае, если по окончании срока подачи заявок подана только одна заявка или не подано ни одной заявки, процедура закупки признается несостоявшейся.</w:t>
      </w:r>
      <w:r>
        <w:rPr>
          <w:bCs/>
        </w:rPr>
      </w:r>
      <w:r>
        <w:rPr>
          <w:bCs/>
        </w:rPr>
      </w:r>
    </w:p>
    <w:p>
      <w:pPr>
        <w:pStyle w:val="989"/>
        <w:numPr>
          <w:ilvl w:val="1"/>
          <w:numId w:val="3"/>
        </w:numPr>
        <w:ind w:left="0" w:firstLine="709"/>
        <w:jc w:val="both"/>
        <w:keepNext/>
        <w:spacing w:before="120" w:beforeAutospacing="0" w:after="120" w:afterAutospacing="0"/>
        <w:tabs>
          <w:tab w:val="num" w:pos="1276" w:leader="none"/>
        </w:tabs>
        <w:rPr>
          <w:b/>
        </w:rPr>
        <w:outlineLvl w:val="1"/>
      </w:pPr>
      <w:r/>
      <w:bookmarkStart w:id="112" w:name="_Toc8834867"/>
      <w:r/>
      <w:bookmarkStart w:id="113" w:name="_Toc54336110"/>
      <w:r/>
      <w:bookmarkStart w:id="114" w:name="_Ref57202544"/>
      <w:r/>
      <w:bookmarkStart w:id="115" w:name="_Toc190199544"/>
      <w:r>
        <w:rPr>
          <w:b/>
        </w:rPr>
        <w:t xml:space="preserve">Обеспечение </w:t>
      </w:r>
      <w:bookmarkEnd w:id="112"/>
      <w:r>
        <w:rPr>
          <w:b/>
        </w:rPr>
        <w:t xml:space="preserve">заявки на участие в закупке</w:t>
      </w:r>
      <w:bookmarkEnd w:id="113"/>
      <w:r/>
      <w:bookmarkEnd w:id="114"/>
      <w:r/>
      <w:bookmarkEnd w:id="115"/>
      <w:r>
        <w:rPr>
          <w:b/>
        </w:rPr>
      </w:r>
      <w:r>
        <w:rPr>
          <w:b/>
        </w:rPr>
      </w:r>
    </w:p>
    <w:p>
      <w:pPr>
        <w:numPr>
          <w:ilvl w:val="2"/>
          <w:numId w:val="3"/>
        </w:numPr>
        <w:ind w:left="0" w:firstLine="709"/>
        <w:jc w:val="both"/>
        <w:tabs>
          <w:tab w:val="num" w:pos="960" w:leader="none"/>
        </w:tabs>
        <w:rPr>
          <w:bCs/>
        </w:rPr>
      </w:pPr>
      <w:r>
        <w:rPr>
          <w:bCs/>
        </w:rPr>
        <w:t xml:space="preserve">В случае, если п. </w:t>
      </w:r>
      <w:r>
        <w:rPr>
          <w:bCs/>
        </w:rPr>
        <w:fldChar w:fldCharType="begin"/>
      </w:r>
      <w:r>
        <w:rPr>
          <w:bCs/>
        </w:rPr>
        <w:instrText xml:space="preserve"> REF _Ref55319739 \r \h </w:instrText>
      </w:r>
      <w:r>
        <w:rPr>
          <w:bCs/>
        </w:rPr>
        <w:fldChar w:fldCharType="separate"/>
      </w:r>
      <w:r>
        <w:rPr>
          <w:bCs/>
        </w:rPr>
        <w:t xml:space="preserve">7</w:t>
      </w:r>
      <w:r>
        <w:rPr>
          <w:bCs/>
        </w:rPr>
        <w:fldChar w:fldCharType="end"/>
      </w:r>
      <w:r>
        <w:rPr>
          <w:bCs/>
        </w:rPr>
        <w:t xml:space="preserve"> раздела </w:t>
      </w:r>
      <w:hyperlink w:tooltip="#_РАЗДЕЛ_II._ИНФОРМАЦИОННАЯ_1" w:anchor="_РАЗДЕЛ_II._ИНФОРМАЦИОННАЯ_1" w:history="1">
        <w:r>
          <w:rPr>
            <w:rStyle w:val="978"/>
            <w:bCs/>
            <w:lang w:val="en-US"/>
          </w:rPr>
          <w:t xml:space="preserve">II</w:t>
        </w:r>
        <w:r>
          <w:rPr>
            <w:rStyle w:val="978"/>
            <w:bCs/>
          </w:rPr>
          <w:t xml:space="preserve"> «ИНФОРМАЦИОННАЯ КАРТА»</w:t>
        </w:r>
      </w:hyperlink>
      <w:r>
        <w:rPr>
          <w:bCs/>
        </w:rPr>
        <w:t xml:space="preserve"> документации установлено требование о предоставлении обеспечения заявки на участие в закупке, участник должен предоставить обеспечение заявки в размере согласно требованиям, установленным в п. </w:t>
      </w:r>
      <w:r>
        <w:rPr>
          <w:bCs/>
        </w:rPr>
        <w:fldChar w:fldCharType="begin"/>
      </w:r>
      <w:r>
        <w:rPr>
          <w:bCs/>
        </w:rPr>
        <w:instrText xml:space="preserve"> REF _Ref55319739 \r \h </w:instrText>
      </w:r>
      <w:r>
        <w:rPr>
          <w:bCs/>
        </w:rPr>
        <w:fldChar w:fldCharType="separate"/>
      </w:r>
      <w:r>
        <w:rPr>
          <w:bCs/>
        </w:rPr>
        <w:t xml:space="preserve">7</w:t>
      </w:r>
      <w:r>
        <w:rPr>
          <w:bCs/>
        </w:rPr>
        <w:fldChar w:fldCharType="end"/>
      </w:r>
      <w:r>
        <w:rPr>
          <w:bCs/>
        </w:rPr>
        <w:t xml:space="preserve"> раздела </w:t>
      </w:r>
      <w:hyperlink w:tooltip="#_РАЗДЕЛ_II._ИНФОРМАЦИОННАЯ_1" w:anchor="_РАЗДЕЛ_II._ИНФОРМАЦИОННАЯ_1" w:history="1">
        <w:r>
          <w:rPr>
            <w:rStyle w:val="978"/>
            <w:bCs/>
            <w:lang w:val="en-US"/>
          </w:rPr>
          <w:t xml:space="preserve">II</w:t>
        </w:r>
        <w:r>
          <w:rPr>
            <w:rStyle w:val="978"/>
            <w:bCs/>
          </w:rPr>
          <w:t xml:space="preserve"> «ИНФОРМАЦИОННАЯ КАРТА»</w:t>
        </w:r>
      </w:hyperlink>
      <w:r>
        <w:rPr>
          <w:bCs/>
        </w:rPr>
        <w:t xml:space="preserve"> документации.</w:t>
      </w:r>
      <w:r>
        <w:rPr>
          <w:bCs/>
        </w:rPr>
      </w:r>
      <w:r>
        <w:rPr>
          <w:bCs/>
        </w:rPr>
      </w:r>
    </w:p>
    <w:p>
      <w:pPr>
        <w:numPr>
          <w:ilvl w:val="2"/>
          <w:numId w:val="3"/>
        </w:numPr>
        <w:ind w:left="0" w:firstLine="709"/>
        <w:jc w:val="both"/>
        <w:tabs>
          <w:tab w:val="num" w:pos="960" w:leader="none"/>
        </w:tabs>
        <w:rPr>
          <w:bCs/>
        </w:rPr>
      </w:pPr>
      <w:r>
        <w:t xml:space="preserve">Обеспечение заявки должно быть предоставлено участником</w:t>
      </w:r>
      <w:r>
        <w:t xml:space="preserve"> не позднее даты и времени окончания срока подачи заявок на участие в закупке путем внесения денежных средств или путем предоставления независимой гарантии. Выбор способа обеспечения заявки осуществляется участником. Валюта обеспечения – российский рубль. </w:t>
      </w:r>
      <w:r>
        <w:rPr>
          <w:bCs/>
        </w:rPr>
      </w:r>
      <w:r>
        <w:rPr>
          <w:bCs/>
        </w:rPr>
      </w:r>
    </w:p>
    <w:p>
      <w:pPr>
        <w:numPr>
          <w:ilvl w:val="2"/>
          <w:numId w:val="3"/>
        </w:numPr>
        <w:ind w:left="0" w:firstLine="709"/>
        <w:jc w:val="both"/>
        <w:tabs>
          <w:tab w:val="num" w:pos="960" w:leader="none"/>
        </w:tabs>
        <w:rPr>
          <w:bCs/>
        </w:rPr>
      </w:pPr>
      <w:r/>
      <w:bookmarkStart w:id="116" w:name="_Toc8834868"/>
      <w:r/>
      <w:bookmarkStart w:id="117" w:name="_Toc54336111"/>
      <w:r/>
      <w:bookmarkStart w:id="118" w:name="_Toc190199545"/>
      <w:r>
        <w:t xml:space="preserve">Денежные средства, предн</w:t>
      </w:r>
      <w:r>
        <w:t xml:space="preserve">азначенные для обеспечения заявки, вносятся участником на специальный счет, открытый им в банке, включенном в перечень, определенный Правительством РФ в соответствии с Федеральным законом от 5 апреля 2013 года N 44-ФЗ (далее – специальный банковский счет).</w:t>
      </w:r>
      <w:r>
        <w:rPr>
          <w:bCs/>
        </w:rPr>
      </w:r>
      <w:r>
        <w:rPr>
          <w:bCs/>
        </w:rPr>
      </w:r>
    </w:p>
    <w:p>
      <w:pPr>
        <w:numPr>
          <w:ilvl w:val="2"/>
          <w:numId w:val="3"/>
        </w:numPr>
        <w:ind w:left="0" w:firstLine="709"/>
        <w:jc w:val="both"/>
        <w:tabs>
          <w:tab w:val="num" w:pos="960" w:leader="none"/>
        </w:tabs>
      </w:pPr>
      <w:r/>
      <w:bookmarkStart w:id="119" w:name="_Ref56774969"/>
      <w:r>
        <w:t xml:space="preserve">В течение одного часа с момента окончания срока подачи заявок на участие в процедуре закуп</w:t>
      </w:r>
      <w:r>
        <w:t xml:space="preserve">ки оператор ЭП направляет в банк информацию об участнике и размере денежных средств, необходимом для обеспечения заявки. Банк в течение одного часа с момента получения указанной информации осуществляет блокирование при наличии на специальном банковском сче</w:t>
      </w:r>
      <w:r>
        <w:t xml:space="preserve">те участника незаблокированных денежных средств в размере обеспечения указанной заявки и информирует оператора ЭП. Блокирование денежных средств не осуществляется в случае отсутствия на специальном банковском счете участника денежных средств в размере для </w:t>
      </w:r>
      <w:r>
        <w:t xml:space="preserve">обеспечения указанной заявки либо в случае приостановления операций по такому счету в соответствии с законодательством РФ, о чем оператор ЭП информируется в течение одного часа. В случае, если блокировани</w:t>
      </w:r>
      <w:r>
        <w:t xml:space="preserve">е денежных средств не может быть осуществлено по основаниям, предусмотренным действующим законодательством РФ, оператор ЭП обязан вернуть указанную заявку подавшему ее участнику в течение одного часа с момента получения соответствующей информации от банка.</w:t>
      </w:r>
      <w:bookmarkEnd w:id="119"/>
      <w:r/>
      <w:r/>
    </w:p>
    <w:p>
      <w:pPr>
        <w:numPr>
          <w:ilvl w:val="2"/>
          <w:numId w:val="3"/>
        </w:numPr>
        <w:ind w:left="0" w:firstLine="709"/>
        <w:jc w:val="both"/>
        <w:tabs>
          <w:tab w:val="num" w:pos="960" w:leader="none"/>
        </w:tabs>
      </w:pPr>
      <w:r>
        <w:t xml:space="preserve">Участник вправе распоряжаться денежными средствами, которые находятся на специальном банковском счете и в отношении которых не осуществлено блокирование в соответствии с пунктом </w:t>
      </w:r>
      <w:r>
        <w:fldChar w:fldCharType="begin"/>
      </w:r>
      <w:r>
        <w:instrText xml:space="preserve"> REF _Ref56774969 \r \h  \* MERGEFORMAT </w:instrText>
      </w:r>
      <w:r>
        <w:fldChar w:fldCharType="separate"/>
      </w:r>
      <w:r>
        <w:t xml:space="preserve">6.2.4</w:t>
      </w:r>
      <w:r>
        <w:fldChar w:fldCharType="end"/>
      </w:r>
      <w:r>
        <w:t xml:space="preserve"> настоящего раздела документации.</w:t>
      </w:r>
      <w:r/>
    </w:p>
    <w:p>
      <w:pPr>
        <w:numPr>
          <w:ilvl w:val="2"/>
          <w:numId w:val="3"/>
        </w:numPr>
        <w:ind w:left="0" w:firstLine="709"/>
        <w:jc w:val="both"/>
        <w:tabs>
          <w:tab w:val="num" w:pos="960" w:leader="none"/>
        </w:tabs>
      </w:pPr>
      <w:r>
        <w:t xml:space="preserve">В случае предоставления обеспечения заявки путем направления независимой гарантии, независимая гарантия должна соответствовать следующим требованиям:</w:t>
      </w:r>
      <w:r/>
    </w:p>
    <w:p>
      <w:pPr>
        <w:ind w:firstLine="709"/>
        <w:jc w:val="both"/>
      </w:pPr>
      <w:r>
        <w:t xml:space="preserve">1)</w:t>
      </w:r>
      <w:r>
        <w:tab/>
        <w:t xml:space="preserve">независимая гарантия должна быть выдана гарантом, предусмотренным частью 1 статьи 45 Федерального закона от 5 апреля 2013 года N 44-ФЗ;</w:t>
      </w:r>
      <w:r/>
    </w:p>
    <w:p>
      <w:pPr>
        <w:ind w:firstLine="709"/>
        <w:jc w:val="both"/>
      </w:pPr>
      <w:r>
        <w:t xml:space="preserve">2)</w:t>
      </w:r>
      <w:r>
        <w:tab/>
        <w:t xml:space="preserve">информация о независимой гарантии должна быть включена в реестр независимых гарантий, предусмотренный частью 8 статьи 45 Федерального закона от 5 апреля 2013 года N 44-ФЗ;</w:t>
      </w:r>
      <w:r/>
    </w:p>
    <w:p>
      <w:pPr>
        <w:ind w:firstLine="709"/>
        <w:jc w:val="both"/>
      </w:pPr>
      <w:r>
        <w:t xml:space="preserve">3)</w:t>
      </w:r>
      <w:r>
        <w:tab/>
        <w:t xml:space="preserve">независимая гарантия не может быть отозвана выдавшим ее гарантом;</w:t>
      </w:r>
      <w:r/>
    </w:p>
    <w:p>
      <w:pPr>
        <w:ind w:firstLine="709"/>
        <w:jc w:val="both"/>
      </w:pPr>
      <w:r>
        <w:t xml:space="preserve">4)</w:t>
      </w:r>
      <w:r>
        <w:tab/>
        <w:t xml:space="preserve">независимая гарантия должна содержать:</w:t>
      </w:r>
      <w:r/>
    </w:p>
    <w:p>
      <w:pPr>
        <w:ind w:firstLine="709"/>
        <w:jc w:val="both"/>
      </w:pPr>
      <w:r>
        <w:t xml:space="preserve">а) условие об обязанности гаранта уплатить Заказчику (бенефициару) денежную сумму по независимой гарантии не позднее 10 (десяти) рабочих дней со дня, </w:t>
      </w:r>
      <w:r>
        <w:t xml:space="preserve">следующего за днем получения гарантом требования заказчика (бенефициара), соответствующего условиям такой независимой гарантии, при отсутствии предусмотренных Гражданским кодексом Российской Федерации оснований для отказа в удовлетворении этого требования;</w:t>
      </w:r>
      <w:r/>
    </w:p>
    <w:p>
      <w:pPr>
        <w:ind w:firstLine="709"/>
        <w:jc w:val="both"/>
      </w:pPr>
      <w:r>
        <w:t xml:space="preserve">б) перечень документов, подлежащих пре</w:t>
      </w:r>
      <w:r>
        <w:t xml:space="preserve">дставлению Заказчиком гаранту одновременно с требованием об уплате денежной суммы по независимой гарантии, в случае установления такого перечня Правительством Российской Федерации в соответствии с пунктом 4 части 32 статьи 3.4 Федерального закона № 223-ФЗ;</w:t>
      </w:r>
      <w:r/>
    </w:p>
    <w:p>
      <w:pPr>
        <w:ind w:firstLine="709"/>
        <w:jc w:val="both"/>
      </w:pPr>
      <w:r>
        <w:t xml:space="preserve">в) указание на срок действия независимой гарантии, который не может составлять менее одного месяца с даты окончания срока подачи заявок на участие в такой закупке.</w:t>
      </w:r>
      <w:r/>
    </w:p>
    <w:p>
      <w:pPr>
        <w:numPr>
          <w:ilvl w:val="2"/>
          <w:numId w:val="3"/>
        </w:numPr>
        <w:ind w:left="0" w:firstLine="709"/>
        <w:jc w:val="both"/>
        <w:tabs>
          <w:tab w:val="num" w:pos="960" w:leader="none"/>
        </w:tabs>
      </w:pPr>
      <w:r>
        <w:t xml:space="preserve">Несоответствие независимой гарантии, предоставленной участником закупки, требованиям, предусмотренным настоящему разделу извещения, является основанием для отказа в принятии ее Заказчиком.</w:t>
      </w:r>
      <w:r/>
    </w:p>
    <w:p>
      <w:pPr>
        <w:numPr>
          <w:ilvl w:val="2"/>
          <w:numId w:val="3"/>
        </w:numPr>
        <w:ind w:left="0" w:firstLine="709"/>
        <w:jc w:val="both"/>
        <w:tabs>
          <w:tab w:val="num" w:pos="960" w:leader="none"/>
        </w:tabs>
      </w:pPr>
      <w:r>
        <w:t xml:space="preserve">Гарант в случае просрочки исполнения обязательств по независимой гарантии, требование об уплате денежной суммы по которой соотве</w:t>
      </w:r>
      <w:r>
        <w:t xml:space="preserve">тствует условиям такой независимой гарантии и предъявлено Заказчиком до окончания срока ее действия, обязан за каждый день просрочки уплатить Заказчику неустойку (пени) в размере 0,1 процента денежной суммы, подлежащей уплате по такой независимой гарантии.</w:t>
      </w:r>
      <w:bookmarkStart w:id="120" w:name="_Ref56776554"/>
      <w:r/>
      <w:r/>
    </w:p>
    <w:p>
      <w:pPr>
        <w:numPr>
          <w:ilvl w:val="2"/>
          <w:numId w:val="3"/>
        </w:numPr>
        <w:ind w:left="0" w:firstLine="709"/>
        <w:jc w:val="both"/>
        <w:tabs>
          <w:tab w:val="num" w:pos="960" w:leader="none"/>
        </w:tabs>
      </w:pPr>
      <w:r>
        <w:t xml:space="preserve">Денежные средства, внесенные на специальный банковский счет в ка</w:t>
      </w:r>
      <w:r>
        <w:t xml:space="preserve">честве обеспечения заявок на участие в закупке, перечисляются ЭП на счет Заказчика, а с гаранта, предоставившего независимую гарантию, осуществляется взыскание по такой независимой гарантии, в случае уклонения участника от заключения договора, в том числе </w:t>
      </w:r>
      <w:r>
        <w:t xml:space="preserve">непредоставления</w:t>
      </w:r>
      <w:r>
        <w:t xml:space="preserve"> или предоставления с на</w:t>
      </w:r>
      <w:r>
        <w:t xml:space="preserve">рушением условий, установленных документацией, до заключения договора Заказчику обеспечения исполнения договора (если в документации о закупке установлено требование об обеспечении исполнения договора), или отказа участника такой закупки заключить договор.</w:t>
      </w:r>
      <w:bookmarkStart w:id="121" w:name="_Ref73019736"/>
      <w:r/>
      <w:bookmarkEnd w:id="120"/>
      <w:r>
        <w:t xml:space="preserve"> Денежные средства, внесенные на специальный банковский счет в качестве обеспечения заявки на участие в закупке, перечисляются ЭП на счет Заказчика, в случае уклонения участника от заключения договора, по следующим реквизитам: </w:t>
      </w:r>
      <w:r/>
    </w:p>
    <w:p>
      <w:pPr>
        <w:ind w:left="709"/>
        <w:jc w:val="both"/>
        <w:tabs>
          <w:tab w:val="num" w:pos="1003" w:leader="none"/>
        </w:tabs>
      </w:pPr>
      <w:r>
        <w:t xml:space="preserve">Наименование банка: Филиал «Корпоративный» ПАО «</w:t>
      </w:r>
      <w:r>
        <w:t xml:space="preserve">Совкомбанк</w:t>
      </w:r>
      <w:r>
        <w:t xml:space="preserve">» г. Москва</w:t>
      </w:r>
      <w:r/>
    </w:p>
    <w:p>
      <w:pPr>
        <w:ind w:left="709"/>
        <w:jc w:val="both"/>
        <w:tabs>
          <w:tab w:val="num" w:pos="1003" w:leader="none"/>
        </w:tabs>
      </w:pPr>
      <w:r>
        <w:t xml:space="preserve">БИК: 044525362</w:t>
      </w:r>
      <w:r/>
    </w:p>
    <w:p>
      <w:pPr>
        <w:ind w:left="709"/>
        <w:jc w:val="both"/>
        <w:tabs>
          <w:tab w:val="num" w:pos="1003" w:leader="none"/>
        </w:tabs>
      </w:pPr>
      <w:r>
        <w:t xml:space="preserve">Расчетный счет: 40502810600120000196</w:t>
      </w:r>
      <w:r/>
    </w:p>
    <w:p>
      <w:pPr>
        <w:ind w:left="709"/>
        <w:jc w:val="both"/>
        <w:tabs>
          <w:tab w:val="num" w:pos="1003" w:leader="none"/>
        </w:tabs>
      </w:pPr>
      <w:r>
        <w:t xml:space="preserve">Корреспондентский счет: 30101810445250000360.</w:t>
      </w:r>
      <w:r/>
    </w:p>
    <w:p>
      <w:pPr>
        <w:numPr>
          <w:ilvl w:val="2"/>
          <w:numId w:val="3"/>
        </w:numPr>
        <w:ind w:left="0" w:firstLine="709"/>
        <w:jc w:val="both"/>
        <w:tabs>
          <w:tab w:val="num" w:pos="960" w:leader="none"/>
        </w:tabs>
      </w:pPr>
      <w:r/>
      <w:bookmarkStart w:id="122" w:name="_Ref193040463"/>
      <w:r>
        <w:t xml:space="preserve">Денежные средства, внесенные участником в качестве обеспечения заявки на участие в закупке на специальный банковский счет, возвращаются:</w:t>
      </w:r>
      <w:bookmarkEnd w:id="121"/>
      <w:r/>
      <w:bookmarkEnd w:id="122"/>
      <w:r>
        <w:t xml:space="preserve"> </w:t>
      </w:r>
      <w:r/>
    </w:p>
    <w:p>
      <w:pPr>
        <w:numPr>
          <w:ilvl w:val="2"/>
          <w:numId w:val="29"/>
        </w:numPr>
        <w:ind w:left="0" w:firstLine="709"/>
        <w:jc w:val="both"/>
      </w:pPr>
      <w:r>
        <w:t xml:space="preserve">всем участникам закупки, за исключением участника закупки, заявке которого присвоен первый номер, в срок не более 7 (семи) рабочих дней от даты подписания протокола, составленного по результатам закупки;</w:t>
      </w:r>
      <w:r/>
    </w:p>
    <w:p>
      <w:pPr>
        <w:numPr>
          <w:ilvl w:val="2"/>
          <w:numId w:val="29"/>
        </w:numPr>
        <w:ind w:left="0" w:firstLine="709"/>
        <w:jc w:val="both"/>
      </w:pPr>
      <w:r>
        <w:t xml:space="preserve">участник</w:t>
      </w:r>
      <w:r>
        <w:t xml:space="preserve">у закупки, заявке которого присвоен первый номер, в течение 7 (семи) рабочих дней от даты заключения договора либо от даты принятия Заказчиком в порядке, установленном Положением о закупках, решения о том, что договор по результатам закупки не заключается.</w:t>
      </w:r>
      <w:r/>
    </w:p>
    <w:p>
      <w:pPr>
        <w:numPr>
          <w:ilvl w:val="2"/>
          <w:numId w:val="3"/>
        </w:numPr>
        <w:ind w:left="0" w:firstLine="709"/>
        <w:jc w:val="both"/>
        <w:tabs>
          <w:tab w:val="num" w:pos="960" w:leader="none"/>
        </w:tabs>
      </w:pPr>
      <w:r>
        <w:t xml:space="preserve">Возврат Заказчиком независимой гарантии в случаях, указанных в п. </w:t>
      </w:r>
      <w:r>
        <w:fldChar w:fldCharType="begin"/>
      </w:r>
      <w:r>
        <w:instrText xml:space="preserve"> REF _Ref193040463 \r \h </w:instrText>
      </w:r>
      <w:r>
        <w:fldChar w:fldCharType="separate"/>
      </w:r>
      <w:r>
        <w:t xml:space="preserve">6.2.10</w:t>
      </w:r>
      <w:r>
        <w:fldChar w:fldCharType="end"/>
      </w:r>
      <w:r>
        <w:t xml:space="preserve"> настоящего раздела документации, лицу или гаранту, предоставившим независимую гарантию, не осуществляется, взыскание по ней не производится.</w:t>
      </w:r>
      <w:r/>
    </w:p>
    <w:p>
      <w:pPr>
        <w:pStyle w:val="989"/>
        <w:numPr>
          <w:ilvl w:val="1"/>
          <w:numId w:val="3"/>
        </w:numPr>
        <w:ind w:left="0" w:firstLine="709"/>
        <w:jc w:val="both"/>
        <w:keepNext/>
        <w:spacing w:before="120" w:beforeAutospacing="0" w:after="120" w:afterAutospacing="0"/>
        <w:tabs>
          <w:tab w:val="num" w:pos="1276" w:leader="none"/>
        </w:tabs>
        <w:rPr>
          <w:b/>
        </w:rPr>
        <w:outlineLvl w:val="1"/>
      </w:pPr>
      <w:r>
        <w:rPr>
          <w:b/>
        </w:rPr>
        <w:t xml:space="preserve">Порядок внесения изменений или порядок отзыва заявок</w:t>
      </w:r>
      <w:bookmarkEnd w:id="116"/>
      <w:r/>
      <w:bookmarkEnd w:id="117"/>
      <w:r/>
      <w:bookmarkEnd w:id="118"/>
      <w:r>
        <w:rPr>
          <w:b/>
        </w:rPr>
        <w:t xml:space="preserve"> </w:t>
      </w:r>
      <w:r>
        <w:rPr>
          <w:b/>
        </w:rPr>
      </w:r>
      <w:r>
        <w:rPr>
          <w:b/>
        </w:rPr>
      </w:r>
    </w:p>
    <w:p>
      <w:pPr>
        <w:numPr>
          <w:ilvl w:val="2"/>
          <w:numId w:val="3"/>
        </w:numPr>
        <w:ind w:left="0" w:firstLine="709"/>
        <w:jc w:val="both"/>
        <w:tabs>
          <w:tab w:val="num" w:pos="960" w:leader="none"/>
        </w:tabs>
      </w:pPr>
      <w:r>
        <w:t xml:space="preserve">Участник, подавший заявку, вправе изменить или отозвать заявку до истечения срока подачи заявок на участие в процедуре закупки путем направления уведомления об отзыве или о внесения изменений в заявку оператору ЭП в порядке, установленном регламентом ЭП.</w:t>
      </w:r>
      <w:r/>
    </w:p>
    <w:p>
      <w:pPr>
        <w:numPr>
          <w:ilvl w:val="2"/>
          <w:numId w:val="3"/>
        </w:numPr>
        <w:ind w:left="0" w:firstLine="709"/>
        <w:jc w:val="both"/>
        <w:tabs>
          <w:tab w:val="num" w:pos="960" w:leader="none"/>
        </w:tabs>
      </w:pPr>
      <w:r>
        <w:t xml:space="preserve">Уведомление о внесении изменений или уведомление об отзыве заявки является действительным, если соответствующее уведомление получено оператором ЭП до истечения даты и времени окончания срока подачи заявок на участие в процедуре закупки.</w:t>
      </w:r>
      <w:r/>
    </w:p>
    <w:p>
      <w:pPr>
        <w:numPr>
          <w:ilvl w:val="2"/>
          <w:numId w:val="3"/>
        </w:numPr>
        <w:ind w:left="0" w:firstLine="709"/>
        <w:jc w:val="both"/>
        <w:tabs>
          <w:tab w:val="num" w:pos="960" w:leader="none"/>
        </w:tabs>
      </w:pPr>
      <w:r>
        <w:t xml:space="preserve">Заявка на участие в закупке является измененной или отозванной, если изменение осуществлено или уведомление об отзыве заявки получено оператором ЭП до истечения срока подачи заявок. </w:t>
      </w:r>
      <w:r/>
    </w:p>
    <w:p>
      <w:pPr>
        <w:pStyle w:val="989"/>
        <w:numPr>
          <w:ilvl w:val="1"/>
          <w:numId w:val="3"/>
        </w:numPr>
        <w:ind w:left="0" w:firstLine="709"/>
        <w:jc w:val="both"/>
        <w:keepNext/>
        <w:spacing w:before="120" w:beforeAutospacing="0" w:after="120" w:afterAutospacing="0"/>
        <w:tabs>
          <w:tab w:val="num" w:pos="1276" w:leader="none"/>
        </w:tabs>
        <w:rPr>
          <w:b/>
          <w:color w:val="000000" w:themeColor="text1"/>
        </w:rPr>
        <w:outlineLvl w:val="1"/>
      </w:pPr>
      <w:r/>
      <w:bookmarkStart w:id="123" w:name="_Toc37260746"/>
      <w:r/>
      <w:bookmarkStart w:id="124" w:name="_Toc54336096"/>
      <w:r/>
      <w:bookmarkStart w:id="125" w:name="_Toc190199546"/>
      <w:r>
        <w:rPr>
          <w:b/>
        </w:rPr>
        <w:t xml:space="preserve">Расходы на участие в </w:t>
      </w:r>
      <w:bookmarkEnd w:id="123"/>
      <w:r>
        <w:rPr>
          <w:b/>
        </w:rPr>
        <w:t xml:space="preserve">закупке</w:t>
      </w:r>
      <w:bookmarkEnd w:id="124"/>
      <w:r/>
      <w:bookmarkEnd w:id="125"/>
      <w:r>
        <w:rPr>
          <w:b/>
        </w:rPr>
        <w:t xml:space="preserve"> </w:t>
      </w:r>
      <w:r>
        <w:rPr>
          <w:b/>
          <w:color w:val="000000" w:themeColor="text1"/>
        </w:rPr>
      </w:r>
      <w:r>
        <w:rPr>
          <w:b/>
          <w:color w:val="000000" w:themeColor="text1"/>
        </w:rPr>
      </w:r>
    </w:p>
    <w:p>
      <w:pPr>
        <w:numPr>
          <w:ilvl w:val="2"/>
          <w:numId w:val="3"/>
        </w:numPr>
        <w:ind w:left="0" w:firstLine="709"/>
        <w:jc w:val="both"/>
        <w:tabs>
          <w:tab w:val="num" w:pos="960" w:leader="none"/>
        </w:tabs>
        <w:rPr>
          <w:bCs/>
        </w:rPr>
      </w:pPr>
      <w:r>
        <w:rPr>
          <w:bCs/>
        </w:rPr>
        <w:t xml:space="preserve">Участник несет все прямые и косвенные расх</w:t>
      </w:r>
      <w:r>
        <w:rPr>
          <w:bCs/>
        </w:rPr>
        <w:t xml:space="preserve">оды, связанные с участием в закупке, в том числе расходы, связанные с подготовкой и предоставлением заявки на участие в закупке, а Заказчик не имеет обязательств в связи с такими расходами за исключением случаев, прямо предусмотренных законодательством РФ.</w:t>
      </w:r>
      <w:r>
        <w:rPr>
          <w:bCs/>
        </w:rPr>
      </w:r>
      <w:r>
        <w:rPr>
          <w:bCs/>
        </w:rPr>
      </w:r>
    </w:p>
    <w:p>
      <w:pPr>
        <w:numPr>
          <w:ilvl w:val="2"/>
          <w:numId w:val="3"/>
        </w:numPr>
        <w:ind w:left="0" w:firstLine="709"/>
        <w:jc w:val="both"/>
        <w:tabs>
          <w:tab w:val="num" w:pos="960" w:leader="none"/>
        </w:tabs>
        <w:rPr>
          <w:bCs/>
        </w:rPr>
      </w:pPr>
      <w:r>
        <w:rPr>
          <w:bCs/>
        </w:rPr>
        <w:t xml:space="preserve">Участник не вправе требовать возмещен</w:t>
      </w:r>
      <w:r>
        <w:rPr>
          <w:bCs/>
        </w:rPr>
        <w:t xml:space="preserve">ия убытков (реального ущерба и упущенной выгоды), причинённых в ходе подготовки к настоящей процедуре закупки, в ходе проведения настоящей процедуры закупки, заключения договора и (или) в связи с отказом Заказчика от проведения настоящей процедуры закупки.</w:t>
      </w:r>
      <w:r>
        <w:rPr>
          <w:bCs/>
        </w:rPr>
      </w:r>
      <w:r>
        <w:rPr>
          <w:bCs/>
        </w:rPr>
      </w:r>
    </w:p>
    <w:p>
      <w:pPr>
        <w:ind w:left="709"/>
        <w:jc w:val="both"/>
        <w:tabs>
          <w:tab w:val="num" w:pos="1004" w:leader="none"/>
        </w:tabs>
      </w:pPr>
      <w:r/>
      <w:r/>
    </w:p>
    <w:p>
      <w:pPr>
        <w:pStyle w:val="989"/>
        <w:numPr>
          <w:ilvl w:val="0"/>
          <w:numId w:val="3"/>
        </w:numPr>
        <w:jc w:val="center"/>
        <w:keepNext/>
        <w:spacing w:before="120" w:beforeAutospacing="0" w:after="120" w:afterAutospacing="0"/>
        <w:tabs>
          <w:tab w:val="num" w:pos="1418" w:leader="none"/>
          <w:tab w:val="num" w:pos="2912" w:leader="none"/>
        </w:tabs>
        <w:rPr>
          <w:b/>
          <w:sz w:val="28"/>
        </w:rPr>
        <w:outlineLvl w:val="1"/>
      </w:pPr>
      <w:r/>
      <w:bookmarkStart w:id="126" w:name="_Toc37260778"/>
      <w:r/>
      <w:bookmarkStart w:id="127" w:name="_Toc54336112"/>
      <w:r/>
      <w:bookmarkStart w:id="128" w:name="_Toc190199547"/>
      <w:r/>
      <w:bookmarkStart w:id="129" w:name="_Hlk533421633"/>
      <w:r/>
      <w:bookmarkStart w:id="130" w:name="_Hlk528068349"/>
      <w:r/>
      <w:bookmarkStart w:id="131" w:name="_Hlk528751296"/>
      <w:r>
        <w:rPr>
          <w:b/>
          <w:sz w:val="28"/>
        </w:rPr>
        <w:t xml:space="preserve">ПОРЯДОК РАССМОТРЕНИЯ</w:t>
      </w:r>
      <w:bookmarkEnd w:id="126"/>
      <w:r>
        <w:rPr>
          <w:b/>
          <w:sz w:val="28"/>
        </w:rPr>
        <w:t xml:space="preserve">, ОЦЕНКИ И СОПОСТАВЛЕНИЯ ЗАЯВОК, ПОДВЕДЕНИЕ ИТОГОВ ЗАКУПКИ</w:t>
      </w:r>
      <w:bookmarkEnd w:id="127"/>
      <w:r/>
      <w:bookmarkEnd w:id="128"/>
      <w:r>
        <w:rPr>
          <w:b/>
          <w:sz w:val="28"/>
        </w:rPr>
      </w:r>
      <w:r>
        <w:rPr>
          <w:b/>
          <w:sz w:val="28"/>
        </w:rPr>
      </w:r>
    </w:p>
    <w:p>
      <w:pPr>
        <w:pStyle w:val="989"/>
        <w:numPr>
          <w:ilvl w:val="1"/>
          <w:numId w:val="3"/>
        </w:numPr>
        <w:ind w:left="0" w:firstLine="709"/>
        <w:jc w:val="both"/>
        <w:keepNext/>
        <w:spacing w:before="120" w:beforeAutospacing="0" w:after="120" w:afterAutospacing="0"/>
        <w:tabs>
          <w:tab w:val="num" w:pos="1276" w:leader="none"/>
        </w:tabs>
        <w:rPr>
          <w:b/>
        </w:rPr>
        <w:outlineLvl w:val="1"/>
      </w:pPr>
      <w:r/>
      <w:bookmarkStart w:id="132" w:name="_Toc8834870"/>
      <w:r/>
      <w:bookmarkStart w:id="133" w:name="_Toc54336113"/>
      <w:r/>
      <w:bookmarkStart w:id="134" w:name="_Toc190199548"/>
      <w:r/>
      <w:bookmarkStart w:id="135" w:name="_Toc523244469"/>
      <w:r/>
      <w:bookmarkEnd w:id="129"/>
      <w:r>
        <w:rPr>
          <w:b/>
        </w:rPr>
        <w:t xml:space="preserve">Порядок рассмотрения заявок на участие в </w:t>
      </w:r>
      <w:bookmarkEnd w:id="132"/>
      <w:r>
        <w:rPr>
          <w:b/>
        </w:rPr>
        <w:t xml:space="preserve">закупке</w:t>
      </w:r>
      <w:bookmarkEnd w:id="133"/>
      <w:r/>
      <w:bookmarkEnd w:id="134"/>
      <w:r>
        <w:rPr>
          <w:b/>
        </w:rPr>
      </w:r>
      <w:r>
        <w:rPr>
          <w:b/>
        </w:rPr>
      </w:r>
    </w:p>
    <w:p>
      <w:pPr>
        <w:numPr>
          <w:ilvl w:val="2"/>
          <w:numId w:val="3"/>
        </w:numPr>
        <w:ind w:left="0" w:firstLine="709"/>
        <w:jc w:val="both"/>
        <w:tabs>
          <w:tab w:val="num" w:pos="960" w:leader="none"/>
        </w:tabs>
      </w:pPr>
      <w:r/>
      <w:bookmarkStart w:id="136" w:name="_Ref57202707"/>
      <w:r/>
      <w:bookmarkStart w:id="137" w:name="_Toc8832210"/>
      <w:r/>
      <w:bookmarkStart w:id="138" w:name="_Toc8834871"/>
      <w:r>
        <w:t xml:space="preserve">Закупочная комиссия в срок, указанный в </w:t>
      </w:r>
      <w:r>
        <w:rPr>
          <w:bCs/>
        </w:rPr>
        <w:t xml:space="preserve">п. </w:t>
      </w:r>
      <w:r>
        <w:rPr>
          <w:bCs/>
        </w:rPr>
        <w:fldChar w:fldCharType="begin"/>
      </w:r>
      <w:r>
        <w:rPr>
          <w:bCs/>
        </w:rPr>
        <w:instrText xml:space="preserve"> REF _Ref378107245 \r \h </w:instrText>
      </w:r>
      <w:r>
        <w:rPr>
          <w:bCs/>
        </w:rPr>
        <w:fldChar w:fldCharType="separate"/>
      </w:r>
      <w:r>
        <w:rPr>
          <w:bCs/>
        </w:rPr>
        <w:t xml:space="preserve">15</w:t>
      </w:r>
      <w:r>
        <w:rPr>
          <w:bCs/>
        </w:rPr>
        <w:fldChar w:fldCharType="end"/>
      </w:r>
      <w:r>
        <w:rPr>
          <w:bCs/>
        </w:rPr>
        <w:t xml:space="preserve"> раздела </w:t>
      </w:r>
      <w:hyperlink w:tooltip="#_РАЗДЕЛ_II._ИНФОРМАЦИОННАЯ_1" w:anchor="_РАЗДЕЛ_II._ИНФОРМАЦИОННАЯ_1" w:history="1">
        <w:r>
          <w:rPr>
            <w:rStyle w:val="978"/>
            <w:bCs/>
            <w:lang w:val="en-US"/>
          </w:rPr>
          <w:t xml:space="preserve">II</w:t>
        </w:r>
        <w:r>
          <w:rPr>
            <w:rStyle w:val="978"/>
            <w:bCs/>
          </w:rPr>
          <w:t xml:space="preserve"> «ИНФОРМАЦИОННАЯ КАРТА»</w:t>
        </w:r>
      </w:hyperlink>
      <w:r>
        <w:rPr>
          <w:bCs/>
        </w:rPr>
        <w:t xml:space="preserve"> документации</w:t>
      </w:r>
      <w:r>
        <w:t xml:space="preserve">, осуществляет рассмотрение первых частей заявок на соответствие требованиям настоящей</w:t>
      </w:r>
      <w:bookmarkEnd w:id="136"/>
      <w:r>
        <w:t xml:space="preserve"> документации.</w:t>
      </w:r>
      <w:r/>
    </w:p>
    <w:p>
      <w:pPr>
        <w:numPr>
          <w:ilvl w:val="2"/>
          <w:numId w:val="3"/>
        </w:numPr>
        <w:ind w:left="0" w:firstLine="709"/>
        <w:jc w:val="both"/>
        <w:tabs>
          <w:tab w:val="num" w:pos="960" w:leader="none"/>
        </w:tabs>
        <w:rPr>
          <w:bCs/>
        </w:rPr>
      </w:pPr>
      <w:r>
        <w:t xml:space="preserve">По результатам анализа первых частей заявок Закупочная комиссия в отношении каждого участника закупки принимает решение о допуске к дальнейшему участию в закупке, либо об отказе в допуске. </w:t>
      </w:r>
      <w:r>
        <w:rPr>
          <w:bCs/>
        </w:rPr>
      </w:r>
      <w:r>
        <w:rPr>
          <w:bCs/>
        </w:rPr>
      </w:r>
    </w:p>
    <w:p>
      <w:pPr>
        <w:numPr>
          <w:ilvl w:val="2"/>
          <w:numId w:val="3"/>
        </w:numPr>
        <w:ind w:left="0" w:firstLine="709"/>
        <w:jc w:val="both"/>
        <w:tabs>
          <w:tab w:val="num" w:pos="960" w:leader="none"/>
        </w:tabs>
        <w:rPr>
          <w:bCs/>
        </w:rPr>
      </w:pPr>
      <w:r>
        <w:t xml:space="preserve">Основаниями для отказа в допуске являются:</w:t>
      </w:r>
      <w:r>
        <w:rPr>
          <w:bCs/>
        </w:rPr>
      </w:r>
      <w:r>
        <w:rPr>
          <w:bCs/>
        </w:rPr>
      </w:r>
    </w:p>
    <w:p>
      <w:pPr>
        <w:numPr>
          <w:ilvl w:val="2"/>
          <w:numId w:val="5"/>
        </w:numPr>
        <w:ind w:left="0" w:firstLine="709"/>
        <w:jc w:val="both"/>
        <w:tabs>
          <w:tab w:val="clear" w:pos="720" w:leader="none"/>
          <w:tab w:val="num" w:pos="993" w:leader="none"/>
        </w:tabs>
      </w:pPr>
      <w:r>
        <w:t xml:space="preserve">несоответствие </w:t>
      </w:r>
      <w:r>
        <w:t xml:space="preserve">первой части заявки на участие в закупке по составу (за исключением случаев непредставления документов и (или) сведений, необходимых исключительно для целей оценки и сопоставления заявок, если это было предусмотрено документацией), содержанию и оформлению;</w:t>
      </w:r>
      <w:r/>
    </w:p>
    <w:p>
      <w:pPr>
        <w:numPr>
          <w:ilvl w:val="2"/>
          <w:numId w:val="5"/>
        </w:numPr>
        <w:ind w:left="0" w:firstLine="709"/>
        <w:jc w:val="both"/>
        <w:tabs>
          <w:tab w:val="clear" w:pos="720" w:leader="none"/>
          <w:tab w:val="num" w:pos="993" w:leader="none"/>
        </w:tabs>
      </w:pPr>
      <w:r>
        <w:rPr>
          <w:bCs/>
        </w:rPr>
        <w:t xml:space="preserve">предоставление участником закупки в составе первой части заявки недостоверных сведений, к которым относится любая информация, содержащаяся в заявке, несоответствующая действительности.</w:t>
      </w:r>
      <w:r/>
    </w:p>
    <w:p>
      <w:pPr>
        <w:numPr>
          <w:ilvl w:val="2"/>
          <w:numId w:val="5"/>
        </w:numPr>
        <w:ind w:left="0" w:firstLine="709"/>
        <w:jc w:val="both"/>
        <w:tabs>
          <w:tab w:val="clear" w:pos="720" w:leader="none"/>
          <w:tab w:val="num" w:pos="993" w:leader="none"/>
        </w:tabs>
        <w:rPr>
          <w:bCs/>
        </w:rPr>
      </w:pPr>
      <w:r>
        <w:t xml:space="preserve">несоответствие продукции, предлагаемой участником, требованиям </w:t>
      </w:r>
      <w:r>
        <w:rPr>
          <w:bCs/>
        </w:rPr>
        <w:t xml:space="preserve">документации;</w:t>
      </w:r>
      <w:r>
        <w:t xml:space="preserve"> </w:t>
      </w:r>
      <w:r>
        <w:rPr>
          <w:bCs/>
        </w:rPr>
      </w:r>
      <w:r>
        <w:rPr>
          <w:bCs/>
        </w:rPr>
      </w:r>
    </w:p>
    <w:p>
      <w:pPr>
        <w:numPr>
          <w:ilvl w:val="2"/>
          <w:numId w:val="5"/>
        </w:numPr>
        <w:ind w:left="0" w:firstLine="709"/>
        <w:jc w:val="both"/>
        <w:tabs>
          <w:tab w:val="clear" w:pos="720" w:leader="none"/>
          <w:tab w:val="num" w:pos="993" w:leader="none"/>
        </w:tabs>
      </w:pPr>
      <w:r>
        <w:t xml:space="preserve">несоответствие договорных условий, указанных в первой части заявке на участие в закупке, требованиям документации, в том числе наличие предложения, ухудшающего условия по срокам поставки товара, выполнения работ или оказания услуг;</w:t>
      </w:r>
      <w:r/>
    </w:p>
    <w:p>
      <w:pPr>
        <w:numPr>
          <w:ilvl w:val="2"/>
          <w:numId w:val="5"/>
        </w:numPr>
        <w:ind w:left="0" w:firstLine="709"/>
        <w:jc w:val="both"/>
        <w:tabs>
          <w:tab w:val="clear" w:pos="720" w:leader="none"/>
          <w:tab w:val="num" w:pos="993" w:leader="none"/>
        </w:tabs>
      </w:pPr>
      <w:r>
        <w:t xml:space="preserve">указание в первой части заявки на участие в закупке сведений об участнике закупке и (или) о ценовом предложении.</w:t>
      </w:r>
      <w:r/>
    </w:p>
    <w:p>
      <w:pPr>
        <w:numPr>
          <w:ilvl w:val="2"/>
          <w:numId w:val="3"/>
        </w:numPr>
        <w:ind w:left="0" w:firstLine="709"/>
        <w:jc w:val="both"/>
        <w:tabs>
          <w:tab w:val="clear" w:pos="1003" w:leader="none"/>
        </w:tabs>
      </w:pPr>
      <w:r>
        <w:t xml:space="preserve">По итога</w:t>
      </w:r>
      <w:r>
        <w:t xml:space="preserve">м рассмотрения первых частей заявок на участие в закупке Заказчик оформляет протокол рассмотрения первых частей заявок на участие в закупке и направляет оператору ЭП. В течение часа с момента получения указанного протокола оператор ЭП размещает его в ЕИС. </w:t>
      </w:r>
      <w:r/>
    </w:p>
    <w:p>
      <w:pPr>
        <w:pStyle w:val="979"/>
        <w:numPr>
          <w:ilvl w:val="2"/>
          <w:numId w:val="3"/>
        </w:numPr>
        <w:ind w:left="0" w:firstLine="709"/>
        <w:jc w:val="both"/>
        <w:tabs>
          <w:tab w:val="clear" w:pos="1003" w:leader="none"/>
        </w:tabs>
      </w:pPr>
      <w:r>
        <w:t xml:space="preserve">Закупочная комиссия в срок, указанный в п. 15 раздела </w:t>
      </w:r>
      <w:hyperlink w:tooltip="#_РАЗДЕЛ_II._ИНФОРМАЦИОННАЯ_1" w:anchor="_РАЗДЕЛ_II._ИНФОРМАЦИОННАЯ_1" w:history="1">
        <w:r>
          <w:rPr>
            <w:rStyle w:val="978"/>
            <w:bCs/>
            <w:lang w:val="en-US"/>
          </w:rPr>
          <w:t xml:space="preserve">II</w:t>
        </w:r>
        <w:r>
          <w:rPr>
            <w:rStyle w:val="978"/>
            <w:bCs/>
          </w:rPr>
          <w:t xml:space="preserve"> «ИНФОРМАЦИОННАЯ КАРТА»</w:t>
        </w:r>
      </w:hyperlink>
      <w:r>
        <w:t xml:space="preserve"> документации, осуществляет рассмотрение вторых частей заявок на соответствие требованиям настоящей документации.</w:t>
      </w:r>
      <w:r/>
    </w:p>
    <w:p>
      <w:pPr>
        <w:numPr>
          <w:ilvl w:val="2"/>
          <w:numId w:val="3"/>
        </w:numPr>
        <w:ind w:left="0" w:firstLine="709"/>
        <w:jc w:val="both"/>
        <w:tabs>
          <w:tab w:val="num" w:pos="960" w:leader="none"/>
        </w:tabs>
        <w:rPr>
          <w:bCs/>
        </w:rPr>
      </w:pPr>
      <w:r>
        <w:t xml:space="preserve">По результатам анализа вторых частей заявок Закупочная комиссия в отношении каждого участника закупки принимает решение о допуске к дальнейшему участию в закупке, либо об отказе в допуске. </w:t>
      </w:r>
      <w:r>
        <w:rPr>
          <w:bCs/>
        </w:rPr>
      </w:r>
      <w:r>
        <w:rPr>
          <w:bCs/>
        </w:rPr>
      </w:r>
    </w:p>
    <w:p>
      <w:pPr>
        <w:numPr>
          <w:ilvl w:val="2"/>
          <w:numId w:val="3"/>
        </w:numPr>
        <w:ind w:left="0" w:firstLine="709"/>
        <w:jc w:val="both"/>
        <w:tabs>
          <w:tab w:val="num" w:pos="960" w:leader="none"/>
        </w:tabs>
        <w:rPr>
          <w:bCs/>
        </w:rPr>
      </w:pPr>
      <w:r>
        <w:t xml:space="preserve">Основаниями для отказа в допуске являются:</w:t>
      </w:r>
      <w:r>
        <w:rPr>
          <w:bCs/>
        </w:rPr>
      </w:r>
      <w:r>
        <w:rPr>
          <w:bCs/>
        </w:rPr>
      </w:r>
    </w:p>
    <w:p>
      <w:pPr>
        <w:numPr>
          <w:ilvl w:val="2"/>
          <w:numId w:val="31"/>
        </w:numPr>
        <w:ind w:left="0" w:firstLine="709"/>
        <w:jc w:val="both"/>
        <w:tabs>
          <w:tab w:val="num" w:pos="0" w:leader="none"/>
          <w:tab w:val="clear" w:pos="720" w:leader="none"/>
        </w:tabs>
      </w:pPr>
      <w:r>
        <w:t xml:space="preserve">несоответствие </w:t>
      </w:r>
      <w:r>
        <w:t xml:space="preserve">второй части заявки на участие в закупке по составу (за исключением случаев непредставления документов и (или) сведений, необходимых исключительно для целей оценки и сопоставления заявок, если это было предусмотрено документацией), содержанию и оформлению;</w:t>
      </w:r>
      <w:r/>
    </w:p>
    <w:p>
      <w:pPr>
        <w:numPr>
          <w:ilvl w:val="2"/>
          <w:numId w:val="31"/>
        </w:numPr>
        <w:ind w:left="0" w:firstLine="709"/>
        <w:jc w:val="both"/>
        <w:tabs>
          <w:tab w:val="num" w:pos="0" w:leader="none"/>
          <w:tab w:val="clear" w:pos="720" w:leader="none"/>
        </w:tabs>
      </w:pPr>
      <w:r>
        <w:rPr>
          <w:bCs/>
        </w:rPr>
        <w:t xml:space="preserve">предоставление участником закупки в составе второй части заявки недостоверных сведений, к которым относится любая информация, содержащаяся в заявке, несоответствующая действительности.</w:t>
      </w:r>
      <w:r/>
    </w:p>
    <w:p>
      <w:pPr>
        <w:numPr>
          <w:ilvl w:val="2"/>
          <w:numId w:val="31"/>
        </w:numPr>
        <w:ind w:left="0" w:firstLine="709"/>
        <w:jc w:val="both"/>
        <w:tabs>
          <w:tab w:val="num" w:pos="0" w:leader="none"/>
          <w:tab w:val="clear" w:pos="720" w:leader="none"/>
        </w:tabs>
      </w:pPr>
      <w:r>
        <w:t xml:space="preserve">несоответствие участника закупки требованиям документации;</w:t>
      </w:r>
      <w:r/>
    </w:p>
    <w:p>
      <w:pPr>
        <w:numPr>
          <w:ilvl w:val="2"/>
          <w:numId w:val="31"/>
        </w:numPr>
        <w:ind w:left="0" w:firstLine="709"/>
        <w:jc w:val="both"/>
        <w:tabs>
          <w:tab w:val="num" w:pos="0" w:leader="none"/>
          <w:tab w:val="clear" w:pos="720" w:leader="none"/>
        </w:tabs>
      </w:pPr>
      <w:r>
        <w:t xml:space="preserve">несоответствие продукции, предлагаемой участником, требованиям </w:t>
      </w:r>
      <w:r>
        <w:rPr>
          <w:bCs/>
        </w:rPr>
        <w:t xml:space="preserve">документации, в том числе:</w:t>
      </w:r>
      <w:r/>
    </w:p>
    <w:p>
      <w:pPr>
        <w:ind w:firstLine="709"/>
        <w:jc w:val="both"/>
      </w:pPr>
      <w:r>
        <w:t xml:space="preserve">- если при осуществлении закупки установлен предусмотренный </w:t>
      </w:r>
      <w:r>
        <w:t xml:space="preserve">пп</w:t>
      </w:r>
      <w:r>
        <w:t xml:space="preserve">. а) п. </w:t>
      </w:r>
      <w:r>
        <w:fldChar w:fldCharType="begin"/>
      </w:r>
      <w:r>
        <w:instrText xml:space="preserve"> REF _Ref184655223 \r \h  \* MERGEFORMAT </w:instrText>
      </w:r>
      <w:r>
        <w:fldChar w:fldCharType="separate"/>
      </w:r>
      <w:r>
        <w:t xml:space="preserve">7.5.3</w:t>
      </w:r>
      <w:r>
        <w:fldChar w:fldCharType="end"/>
      </w:r>
      <w:r>
        <w:t xml:space="preserve"> документаци</w:t>
      </w:r>
      <w:r>
        <w:t xml:space="preserve">и запрет и заявка на участие в закупке содержит предложение о поставке товара происходящего из иностранного государства (при осуществлении закупки товара) или заявка на участие в закупке подана иностранным лицом (при осуществлении закупки работы, услуги); </w:t>
      </w:r>
      <w:r/>
    </w:p>
    <w:p>
      <w:pPr>
        <w:pStyle w:val="989"/>
        <w:ind w:firstLine="709"/>
        <w:jc w:val="both"/>
        <w:spacing w:before="0" w:beforeAutospacing="0" w:after="0" w:afterAutospacing="0" w:line="288" w:lineRule="atLeast"/>
      </w:pPr>
      <w:r>
        <w:t xml:space="preserve">- если при осуществлении закупки установлено предусмотренное </w:t>
      </w:r>
      <w:r>
        <w:t xml:space="preserve">пп</w:t>
      </w:r>
      <w:r>
        <w:t xml:space="preserve">. б) п. </w:t>
      </w:r>
      <w:r>
        <w:fldChar w:fldCharType="begin"/>
      </w:r>
      <w:r>
        <w:instrText xml:space="preserve"> REF _Ref184655223 \r \h </w:instrText>
      </w:r>
      <w:r>
        <w:fldChar w:fldCharType="separate"/>
      </w:r>
      <w:r>
        <w:t xml:space="preserve">7.5.3</w:t>
      </w:r>
      <w:r>
        <w:fldChar w:fldCharType="end"/>
      </w:r>
      <w:r>
        <w:t xml:space="preserve"> документации ограничение и заявка на участие в закупке содержит предложение о поставк</w:t>
      </w:r>
      <w:r>
        <w:t xml:space="preserve">е товара, происходящего из иностранного государства при наличии хотя бы одной заявки на участие в закупке, которая по результатам ее рассмотрения признана соответствующей требованиям документации и содержит предложение о поставке товара российского происхо</w:t>
      </w:r>
      <w:r>
        <w:t xml:space="preserve">ждения (при осуществлении закупки товара) или заявка на участие в закупке подана иностранным лицом при наличии заявки на участие в закупке, поданной российским лицом, которая по результатам ее рассмотрения признана соответствующей требованиям документации;</w:t>
      </w:r>
      <w:r/>
    </w:p>
    <w:p>
      <w:pPr>
        <w:jc w:val="both"/>
        <w:tabs>
          <w:tab w:val="num" w:pos="1003" w:leader="none"/>
        </w:tabs>
      </w:pPr>
      <w:r>
        <w:t xml:space="preserve">При этом в случае отсутствия в составе заявки информации и документов, подтверждающих страну происхождения товара для целей настоящей закупки и указанных </w:t>
      </w:r>
      <w:r>
        <w:rPr>
          <w:bCs/>
        </w:rPr>
        <w:t xml:space="preserve">в п. </w:t>
      </w:r>
      <w:r>
        <w:rPr>
          <w:bCs/>
        </w:rPr>
        <w:fldChar w:fldCharType="begin"/>
      </w:r>
      <w:r>
        <w:rPr>
          <w:bCs/>
        </w:rPr>
        <w:instrText xml:space="preserve"> REF _Ref214974398 \r \h </w:instrText>
      </w:r>
      <w:r>
        <w:rPr>
          <w:bCs/>
        </w:rPr>
        <w:fldChar w:fldCharType="separate"/>
      </w:r>
      <w:r>
        <w:rPr>
          <w:bCs/>
        </w:rPr>
        <w:t xml:space="preserve">11</w:t>
      </w:r>
      <w:r>
        <w:rPr>
          <w:bCs/>
        </w:rPr>
        <w:fldChar w:fldCharType="end"/>
      </w:r>
      <w:r>
        <w:rPr>
          <w:bCs/>
        </w:rPr>
        <w:t xml:space="preserve"> </w:t>
      </w:r>
      <w:r>
        <w:rPr>
          <w:bCs/>
        </w:rPr>
        <w:t xml:space="preserve">раздела </w:t>
      </w:r>
      <w:hyperlink w:tooltip="#_РАЗДЕЛ_II._ИНФОРМАЦИОННАЯ_1" w:anchor="_РАЗДЕЛ_II._ИНФОРМАЦИОННАЯ_1" w:history="1">
        <w:r>
          <w:rPr>
            <w:rStyle w:val="978"/>
            <w:bCs/>
            <w:lang w:val="en-US"/>
          </w:rPr>
          <w:t xml:space="preserve">II</w:t>
        </w:r>
        <w:r>
          <w:rPr>
            <w:rStyle w:val="978"/>
            <w:bCs/>
          </w:rPr>
          <w:t xml:space="preserve"> «ИНФОРМАЦИОННАЯ КАРТА»</w:t>
        </w:r>
      </w:hyperlink>
      <w:r>
        <w:rPr>
          <w:bCs/>
        </w:rPr>
        <w:t xml:space="preserve"> документации</w:t>
      </w:r>
      <w:r>
        <w:t xml:space="preserve">, такой товар расценивается Закупочной комиссией как товар, происходящий из иностранного государства. </w:t>
      </w:r>
      <w:r/>
    </w:p>
    <w:p>
      <w:pPr>
        <w:ind w:firstLine="709"/>
        <w:jc w:val="both"/>
        <w:tabs>
          <w:tab w:val="num" w:pos="1003" w:leader="none"/>
        </w:tabs>
      </w:pPr>
      <w:r>
        <w:t xml:space="preserve">- </w:t>
      </w:r>
      <w:r>
        <w:t xml:space="preserve">если участником закупки не указана информация о наличии у предлагаемого к поставке товара товарного знака, если с</w:t>
      </w:r>
      <w:r>
        <w:t xml:space="preserve">ведения о нем внесены в </w:t>
      </w:r>
      <w:r>
        <w:t xml:space="preserve">Государственн</w:t>
      </w:r>
      <w:r>
        <w:t xml:space="preserve">ый</w:t>
      </w:r>
      <w:r>
        <w:t xml:space="preserve"> реестр товарных знаков РФ</w:t>
      </w:r>
      <w:r>
        <w:t xml:space="preserve">;</w:t>
      </w:r>
      <w:r/>
    </w:p>
    <w:p>
      <w:pPr>
        <w:ind w:firstLine="709"/>
        <w:jc w:val="both"/>
        <w:tabs>
          <w:tab w:val="num" w:pos="1003" w:leader="none"/>
        </w:tabs>
      </w:pPr>
      <w:r>
        <w:t xml:space="preserve">- </w:t>
      </w:r>
      <w:r>
        <w:t xml:space="preserve">если участником закупки </w:t>
      </w:r>
      <w:r>
        <w:t xml:space="preserve">в составе заявки </w:t>
      </w:r>
      <w:r>
        <w:t xml:space="preserve">указана информация </w:t>
      </w:r>
      <w:r>
        <w:t xml:space="preserve">о</w:t>
      </w:r>
      <w:r>
        <w:t xml:space="preserve"> наличи</w:t>
      </w:r>
      <w:r>
        <w:t xml:space="preserve">и</w:t>
      </w:r>
      <w:r>
        <w:t xml:space="preserve"> товарного знака у предлагаемого к поставке товара, в случае отсутствия сведений о </w:t>
      </w:r>
      <w:r>
        <w:t xml:space="preserve">таком товарном знаке в </w:t>
      </w:r>
      <w:r>
        <w:t xml:space="preserve">Государственном реестре товарных знаков РФ</w:t>
      </w:r>
      <w:r>
        <w:t xml:space="preserve">;</w:t>
      </w:r>
      <w:r/>
    </w:p>
    <w:p>
      <w:pPr>
        <w:ind w:firstLine="709"/>
        <w:jc w:val="both"/>
        <w:tabs>
          <w:tab w:val="num" w:pos="1003" w:leader="none"/>
        </w:tabs>
        <w:rPr>
          <w:bCs/>
        </w:rPr>
      </w:pPr>
      <w:r>
        <w:t xml:space="preserve">- если участником закупки </w:t>
      </w:r>
      <w:r>
        <w:t xml:space="preserve">указан</w:t>
      </w:r>
      <w:r>
        <w:t xml:space="preserve">а</w:t>
      </w:r>
      <w:r>
        <w:t xml:space="preserve"> информаци</w:t>
      </w:r>
      <w:r>
        <w:t xml:space="preserve">я</w:t>
      </w:r>
      <w:r>
        <w:t xml:space="preserve"> о товарном знаке, несоответствующей сведениям, содержащимся в отношении такого товарного знака в </w:t>
      </w:r>
      <w:r>
        <w:t xml:space="preserve">Государственном реестре товарных знаков РФ</w:t>
      </w:r>
      <w:r>
        <w:t xml:space="preserve">.</w:t>
      </w:r>
      <w:r>
        <w:rPr>
          <w:bCs/>
        </w:rPr>
      </w:r>
      <w:r>
        <w:rPr>
          <w:bCs/>
        </w:rPr>
      </w:r>
    </w:p>
    <w:p>
      <w:pPr>
        <w:numPr>
          <w:ilvl w:val="2"/>
          <w:numId w:val="31"/>
        </w:numPr>
        <w:ind w:left="0" w:firstLine="709"/>
        <w:jc w:val="both"/>
        <w:tabs>
          <w:tab w:val="num" w:pos="0" w:leader="none"/>
          <w:tab w:val="clear" w:pos="720" w:leader="none"/>
        </w:tabs>
      </w:pPr>
      <w:r>
        <w:t xml:space="preserve">несоответствие размера, формы, условий или порядка предоставления обеспечения заявки (если требовалось).</w:t>
      </w:r>
      <w:r/>
    </w:p>
    <w:p>
      <w:pPr>
        <w:numPr>
          <w:ilvl w:val="2"/>
          <w:numId w:val="3"/>
        </w:numPr>
        <w:ind w:left="0" w:firstLine="709"/>
        <w:jc w:val="both"/>
        <w:tabs>
          <w:tab w:val="num" w:pos="960" w:leader="none"/>
        </w:tabs>
        <w:rPr>
          <w:bCs/>
        </w:rPr>
      </w:pPr>
      <w:r>
        <w:t xml:space="preserve">По итогам рассмотрения вторых частей заявок на участие в закупке Заказчик оформляет протокол рассмотрения вторых частей заявок на участие в закупке, который размещает в ЕИС и на ЭП в срок, установленный законодательством РФ в сфере закупок.</w:t>
      </w:r>
      <w:r>
        <w:rPr>
          <w:bCs/>
        </w:rPr>
      </w:r>
      <w:r>
        <w:rPr>
          <w:bCs/>
        </w:rPr>
      </w:r>
    </w:p>
    <w:p>
      <w:pPr>
        <w:numPr>
          <w:ilvl w:val="2"/>
          <w:numId w:val="3"/>
        </w:numPr>
        <w:ind w:left="0" w:firstLine="709"/>
        <w:jc w:val="both"/>
        <w:tabs>
          <w:tab w:val="num" w:pos="960" w:leader="none"/>
        </w:tabs>
        <w:rPr>
          <w:bCs/>
        </w:rPr>
      </w:pPr>
      <w:r>
        <w:t xml:space="preserve">В с</w:t>
      </w:r>
      <w:r>
        <w:t xml:space="preserve">лучае, если по итогам рассмотрения заявок принято решение об отказе в допуске всем участникам закупки, подавшим заявки, или о допуске только одного участника закупки к участию в закупке, в протоколе отражается информация о признании закупки несостоявшейся.</w:t>
      </w:r>
      <w:r>
        <w:rPr>
          <w:bCs/>
        </w:rPr>
      </w:r>
      <w:r>
        <w:rPr>
          <w:bCs/>
        </w:rPr>
      </w:r>
    </w:p>
    <w:p>
      <w:pPr>
        <w:numPr>
          <w:ilvl w:val="2"/>
          <w:numId w:val="3"/>
        </w:numPr>
        <w:ind w:left="0" w:firstLine="709"/>
        <w:jc w:val="both"/>
        <w:tabs>
          <w:tab w:val="num" w:pos="960" w:leader="none"/>
        </w:tabs>
      </w:pPr>
      <w:r>
        <w:t xml:space="preserve">Заказчик на любом этапе отстраняет участника закупки от участия в закупке, отказывается от заключения договора с победителем закупки либо расторгает договор</w:t>
      </w:r>
      <w:r>
        <w:br/>
        <w:t xml:space="preserve">в одностороннем порядке с поставщиком (подрядчиком, исполнителем), если будет установлено, что участником закупки, поставщиком (подрядч</w:t>
      </w:r>
      <w:r>
        <w:t xml:space="preserve">иком, исполнителем) была представлена недостоверная информация о своем соответствии и (или) соответствии поставляемых товаров, выполняемых работ, оказываемых услуг требованиям, установленным в извещении и (или) документации, а также установления на любом э</w:t>
      </w:r>
      <w:r>
        <w:t xml:space="preserve">тапе факта предоставления участником закупки в составе заявки либо в составе иных документов, предоставляемых при заключении договора, недостоверных сведений, к которым относится любая информация, содержащаяся в заявке, несоответствующая действительности. </w:t>
      </w:r>
      <w:r/>
    </w:p>
    <w:p>
      <w:pPr>
        <w:pStyle w:val="989"/>
        <w:numPr>
          <w:ilvl w:val="1"/>
          <w:numId w:val="3"/>
        </w:numPr>
        <w:ind w:left="0" w:firstLine="709"/>
        <w:jc w:val="both"/>
        <w:keepNext/>
        <w:spacing w:before="120" w:beforeAutospacing="0" w:after="120" w:afterAutospacing="0"/>
        <w:tabs>
          <w:tab w:val="num" w:pos="1276" w:leader="none"/>
        </w:tabs>
        <w:rPr>
          <w:b/>
        </w:rPr>
        <w:outlineLvl w:val="1"/>
      </w:pPr>
      <w:r/>
      <w:bookmarkStart w:id="139" w:name="_Toc54336114"/>
      <w:r/>
      <w:bookmarkStart w:id="140" w:name="_Toc190199549"/>
      <w:r>
        <w:rPr>
          <w:b/>
        </w:rPr>
        <w:t xml:space="preserve">Порядок оценки и сопоставления заявок на участие в закупке</w:t>
      </w:r>
      <w:bookmarkEnd w:id="139"/>
      <w:r/>
      <w:bookmarkEnd w:id="140"/>
      <w:r>
        <w:rPr>
          <w:b/>
        </w:rPr>
      </w:r>
      <w:r>
        <w:rPr>
          <w:b/>
        </w:rPr>
      </w:r>
    </w:p>
    <w:p>
      <w:pPr>
        <w:numPr>
          <w:ilvl w:val="2"/>
          <w:numId w:val="3"/>
        </w:numPr>
        <w:ind w:left="0" w:firstLine="709"/>
        <w:jc w:val="both"/>
      </w:pPr>
      <w:r>
        <w:t xml:space="preserve">Участники, признанные соответствую</w:t>
      </w:r>
      <w:r>
        <w:t xml:space="preserve">щими требованиям документации, подавшие заявки, соответствующие требованиям документации, допускаются к оценке и сопоставлению заявок. Участники, которым было отказано в допуске к дальнейшему участию в закупке, в оценке и сопоставлении заявок не участвуют.</w:t>
      </w:r>
      <w:r/>
    </w:p>
    <w:p>
      <w:pPr>
        <w:numPr>
          <w:ilvl w:val="2"/>
          <w:numId w:val="3"/>
        </w:numPr>
        <w:ind w:left="0" w:firstLine="709"/>
        <w:jc w:val="both"/>
      </w:pPr>
      <w:r>
        <w:t xml:space="preserve">Оценка и сопоставление заявок осуществляется в соответствии с критериями и порядком оценки заявок, предусмотренными в </w:t>
      </w:r>
      <w:r>
        <w:rPr>
          <w:bCs/>
        </w:rPr>
        <w:t xml:space="preserve">разделе </w:t>
      </w:r>
      <w:hyperlink w:tooltip="#_РАЗДЕЛ_VI._КРИТЕРИИ_1" w:anchor="_РАЗДЕЛ_VI._КРИТЕРИИ_1" w:history="1">
        <w:r>
          <w:rPr>
            <w:rStyle w:val="978"/>
            <w:bCs/>
            <w:lang w:val="en-US"/>
          </w:rPr>
          <w:t xml:space="preserve">VI</w:t>
        </w:r>
        <w:r>
          <w:rPr>
            <w:rStyle w:val="978"/>
            <w:bCs/>
          </w:rPr>
          <w:t xml:space="preserve"> «КРИТЕРИИ И ПОРЯДОК ОЦЕНКИ ЗАЯВОК»</w:t>
        </w:r>
      </w:hyperlink>
      <w:r>
        <w:rPr>
          <w:bCs/>
        </w:rPr>
        <w:t xml:space="preserve"> документации</w:t>
      </w:r>
      <w:r>
        <w:t xml:space="preserve">. </w:t>
      </w:r>
      <w:r/>
    </w:p>
    <w:p>
      <w:pPr>
        <w:pStyle w:val="989"/>
        <w:numPr>
          <w:ilvl w:val="1"/>
          <w:numId w:val="3"/>
        </w:numPr>
        <w:ind w:left="0" w:firstLine="709"/>
        <w:jc w:val="both"/>
        <w:keepNext/>
        <w:spacing w:before="120" w:beforeAutospacing="0" w:after="120" w:afterAutospacing="0"/>
        <w:tabs>
          <w:tab w:val="num" w:pos="1276" w:leader="none"/>
        </w:tabs>
        <w:rPr>
          <w:b/>
        </w:rPr>
        <w:outlineLvl w:val="1"/>
      </w:pPr>
      <w:r/>
      <w:bookmarkStart w:id="141" w:name="_Toc54336116"/>
      <w:r/>
      <w:bookmarkStart w:id="142" w:name="_Toc190199551"/>
      <w:r>
        <w:rPr>
          <w:b/>
        </w:rPr>
        <w:t xml:space="preserve">Порядок определения победителя закупки, подведения итогов закупки</w:t>
      </w:r>
      <w:bookmarkEnd w:id="141"/>
      <w:r/>
      <w:bookmarkEnd w:id="142"/>
      <w:r>
        <w:rPr>
          <w:b/>
        </w:rPr>
      </w:r>
      <w:r>
        <w:rPr>
          <w:b/>
        </w:rPr>
      </w:r>
    </w:p>
    <w:p>
      <w:pPr>
        <w:numPr>
          <w:ilvl w:val="2"/>
          <w:numId w:val="3"/>
        </w:numPr>
        <w:ind w:left="0" w:firstLine="709"/>
        <w:jc w:val="both"/>
      </w:pPr>
      <w:r>
        <w:t xml:space="preserve">После проведения оценки и сопоставления заявок на участие в закупке, в том числе </w:t>
      </w:r>
      <w:r>
        <w:t xml:space="preserve">дополнительных ценовых предложений (если подача дополнительных ценовых предложений была предусмотрена закупкой), Закупочная комиссия определяет победителя закупки. Закупочная комиссия присваивает место каждой заявке на участие в закупке, начиная с первого,</w:t>
      </w:r>
      <w:r>
        <w:t xml:space="preserve"> относительно других по мере уменьшения степени предпочтительности содержащихся в них условий заявки, исходя из подсчитанных баллов. При равенстве баллов, первое место получает допущенный участник закупки, который раньше подал заявку на участие в закупке. </w:t>
      </w:r>
      <w:r/>
    </w:p>
    <w:p>
      <w:pPr>
        <w:numPr>
          <w:ilvl w:val="2"/>
          <w:numId w:val="3"/>
        </w:numPr>
        <w:ind w:left="0" w:firstLine="709"/>
        <w:jc w:val="both"/>
      </w:pPr>
      <w:r>
        <w:t xml:space="preserve">Победителем закупки п</w:t>
      </w:r>
      <w:r>
        <w:t xml:space="preserve">ризнается участник, заявка на участие в закупке которого соответствует требованиям, установленным настоящей документацией, и заявка которого по результатам сопоставления заявок на основании указанных в документации критериев оценки содержит лучшие условия </w:t>
      </w:r>
      <w:r>
        <w:rPr>
          <w:color w:val="000000"/>
        </w:rPr>
        <w:t xml:space="preserve">исполнения договора</w:t>
      </w:r>
      <w:r>
        <w:t xml:space="preserve">.</w:t>
      </w:r>
      <w:r/>
    </w:p>
    <w:p>
      <w:pPr>
        <w:numPr>
          <w:ilvl w:val="2"/>
          <w:numId w:val="3"/>
        </w:numPr>
        <w:ind w:left="0" w:firstLine="709"/>
        <w:jc w:val="both"/>
      </w:pPr>
      <w:r>
        <w:t xml:space="preserve">Результаты оценки и сопоставления заявок, подведения итогов оформляются итоговым протоколом, который размещается Заказчиком в ЕИС и на ЭП в срок, установленный законодательством РФ в сфере закупок.</w:t>
      </w:r>
      <w:r/>
    </w:p>
    <w:p>
      <w:pPr>
        <w:pStyle w:val="989"/>
        <w:numPr>
          <w:ilvl w:val="1"/>
          <w:numId w:val="3"/>
        </w:numPr>
        <w:ind w:left="0" w:firstLine="709"/>
        <w:jc w:val="both"/>
        <w:keepNext/>
        <w:spacing w:before="120" w:beforeAutospacing="0" w:after="120" w:afterAutospacing="0"/>
        <w:tabs>
          <w:tab w:val="num" w:pos="1276" w:leader="none"/>
        </w:tabs>
        <w:rPr>
          <w:b/>
        </w:rPr>
        <w:outlineLvl w:val="1"/>
      </w:pPr>
      <w:r/>
      <w:bookmarkStart w:id="143" w:name="_Toc54336117"/>
      <w:r/>
      <w:bookmarkStart w:id="144" w:name="_Toc190199552"/>
      <w:r/>
      <w:bookmarkEnd w:id="137"/>
      <w:r/>
      <w:bookmarkEnd w:id="138"/>
      <w:r>
        <w:rPr>
          <w:b/>
        </w:rPr>
        <w:t xml:space="preserve">Преддоговорные переговоры</w:t>
      </w:r>
      <w:bookmarkEnd w:id="143"/>
      <w:r/>
      <w:bookmarkEnd w:id="144"/>
      <w:r>
        <w:rPr>
          <w:b/>
        </w:rPr>
      </w:r>
      <w:r>
        <w:rPr>
          <w:b/>
        </w:rPr>
      </w:r>
    </w:p>
    <w:p>
      <w:pPr>
        <w:numPr>
          <w:ilvl w:val="2"/>
          <w:numId w:val="3"/>
        </w:numPr>
        <w:ind w:left="0" w:firstLine="709"/>
        <w:jc w:val="both"/>
        <w:tabs>
          <w:tab w:val="clear" w:pos="1003" w:leader="none"/>
          <w:tab w:val="num" w:pos="1276" w:leader="none"/>
        </w:tabs>
      </w:pPr>
      <w:r>
        <w:t xml:space="preserve">После определения лица, с которым заключается договор, Заказчик вправе провести с ним преддоговорные переговоры в отношении положений проекта договора.</w:t>
      </w:r>
      <w:r/>
    </w:p>
    <w:p>
      <w:pPr>
        <w:numPr>
          <w:ilvl w:val="2"/>
          <w:numId w:val="3"/>
        </w:numPr>
        <w:ind w:left="0" w:firstLine="709"/>
        <w:jc w:val="both"/>
        <w:tabs>
          <w:tab w:val="clear" w:pos="1003" w:leader="none"/>
          <w:tab w:val="num" w:pos="1276" w:leader="none"/>
        </w:tabs>
      </w:pPr>
      <w:r>
        <w:t xml:space="preserve">Преддоговорные переговоры могут быть проведены в очной или заочной форме, в том числе с помощью средств аудио-, видео- и конференцсвязи. Формат проведения преддоговорных переговоров определяет Заказчик.</w:t>
      </w:r>
      <w:r/>
    </w:p>
    <w:p>
      <w:pPr>
        <w:numPr>
          <w:ilvl w:val="2"/>
          <w:numId w:val="3"/>
        </w:numPr>
        <w:ind w:left="0" w:firstLine="709"/>
        <w:jc w:val="both"/>
        <w:tabs>
          <w:tab w:val="clear" w:pos="1003" w:leader="none"/>
          <w:tab w:val="num" w:pos="1276" w:leader="none"/>
        </w:tabs>
      </w:pPr>
      <w:r>
        <w:t xml:space="preserve">Преддоговорные переговоры могут быть проведены по следующим аспектам:</w:t>
      </w:r>
      <w:r/>
    </w:p>
    <w:p>
      <w:pPr>
        <w:numPr>
          <w:ilvl w:val="2"/>
          <w:numId w:val="16"/>
        </w:numPr>
        <w:ind w:left="0" w:firstLine="709"/>
        <w:jc w:val="both"/>
        <w:tabs>
          <w:tab w:val="clear" w:pos="1003" w:leader="none"/>
          <w:tab w:val="num" w:pos="1276" w:leader="none"/>
        </w:tabs>
      </w:pPr>
      <w:r>
        <w:t xml:space="preserve">Снижение цены договора без изменения объема закупаемой продукции.</w:t>
      </w:r>
      <w:r/>
    </w:p>
    <w:p>
      <w:pPr>
        <w:numPr>
          <w:ilvl w:val="2"/>
          <w:numId w:val="16"/>
        </w:numPr>
        <w:ind w:left="0" w:firstLine="709"/>
        <w:jc w:val="both"/>
        <w:tabs>
          <w:tab w:val="clear" w:pos="1003" w:leader="none"/>
          <w:tab w:val="num" w:pos="1276" w:leader="none"/>
        </w:tabs>
      </w:pPr>
      <w:r>
        <w:t xml:space="preserve">Увеличение объема закупаемой продукции не более чем на 10% без увеличения цены договора.</w:t>
      </w:r>
      <w:r/>
    </w:p>
    <w:p>
      <w:pPr>
        <w:numPr>
          <w:ilvl w:val="2"/>
          <w:numId w:val="16"/>
        </w:numPr>
        <w:ind w:left="0" w:firstLine="709"/>
        <w:jc w:val="both"/>
        <w:tabs>
          <w:tab w:val="clear" w:pos="1003" w:leader="none"/>
          <w:tab w:val="num" w:pos="1276" w:leader="none"/>
        </w:tabs>
      </w:pPr>
      <w:r>
        <w:t xml:space="preserve">Улучшение условий испол</w:t>
      </w:r>
      <w:r>
        <w:t xml:space="preserve">нения договора для Заказчика, в том числе сокращение сроков исполнения договора (его отдельных этапов), отмена или уменьшение аванса, предоставление отсрочки или рассрочки при оплате, улучшение характеристик продукции, увеличение сроков и объема гарантии. </w:t>
      </w:r>
      <w:r/>
    </w:p>
    <w:p>
      <w:pPr>
        <w:numPr>
          <w:ilvl w:val="2"/>
          <w:numId w:val="16"/>
        </w:numPr>
        <w:ind w:left="0" w:firstLine="709"/>
        <w:jc w:val="both"/>
        <w:tabs>
          <w:tab w:val="clear" w:pos="1003" w:leader="none"/>
          <w:tab w:val="num" w:pos="1276" w:leader="none"/>
        </w:tabs>
      </w:pPr>
      <w:r>
        <w:t xml:space="preserve">Уточнение сроков исполнения обязательств по договору в случае, если договор не был подписан в планируемые сроки в связи с административным производством, с судебным разбирательством.</w:t>
      </w:r>
      <w:r/>
    </w:p>
    <w:p>
      <w:pPr>
        <w:numPr>
          <w:ilvl w:val="2"/>
          <w:numId w:val="16"/>
        </w:numPr>
        <w:ind w:left="0" w:firstLine="709"/>
        <w:jc w:val="both"/>
        <w:tabs>
          <w:tab w:val="clear" w:pos="1003" w:leader="none"/>
          <w:tab w:val="num" w:pos="1276" w:leader="none"/>
        </w:tabs>
      </w:pPr>
      <w:r>
        <w:t xml:space="preserve">Включение условий, обусловленных изменениями законодательства или предписаниями уполномоченных органов государственной власти.</w:t>
      </w:r>
      <w:r/>
    </w:p>
    <w:p>
      <w:pPr>
        <w:numPr>
          <w:ilvl w:val="2"/>
          <w:numId w:val="16"/>
        </w:numPr>
        <w:ind w:left="0" w:firstLine="709"/>
        <w:jc w:val="both"/>
        <w:tabs>
          <w:tab w:val="clear" w:pos="1003" w:leader="none"/>
          <w:tab w:val="num" w:pos="1276" w:leader="none"/>
        </w:tabs>
      </w:pPr>
      <w:r>
        <w:t xml:space="preserve">Исправление опечаток, стилистических, орфографических, пунктуационных, арифметических и иных ошибок, а также внесение в договор изменений по незначительным условиям договора, которые не влияют и не могут влиять на экономическую эффективность закупки.</w:t>
      </w:r>
      <w:r/>
    </w:p>
    <w:p>
      <w:pPr>
        <w:numPr>
          <w:ilvl w:val="2"/>
          <w:numId w:val="3"/>
        </w:numPr>
        <w:ind w:left="0" w:firstLine="709"/>
        <w:jc w:val="both"/>
        <w:tabs>
          <w:tab w:val="clear" w:pos="1003" w:leader="none"/>
          <w:tab w:val="num" w:pos="1276" w:leader="none"/>
        </w:tabs>
      </w:pPr>
      <w:r>
        <w:t xml:space="preserve">Преддоговорные переговоры, направленные на изменение условий заключаемого договора, которое ведет к ухудшению условий договора для Заказчика, запрещаются.</w:t>
      </w:r>
      <w:r/>
    </w:p>
    <w:p>
      <w:pPr>
        <w:numPr>
          <w:ilvl w:val="2"/>
          <w:numId w:val="3"/>
        </w:numPr>
        <w:ind w:left="0" w:firstLine="709"/>
        <w:jc w:val="both"/>
        <w:tabs>
          <w:tab w:val="clear" w:pos="1003" w:leader="none"/>
          <w:tab w:val="num" w:pos="1276" w:leader="none"/>
        </w:tabs>
      </w:pPr>
      <w:r>
        <w:t xml:space="preserve">Результаты преддоговорных переговоров фиксируются в виде согласованной редакции проекта договора и должны быть учтены лицом, с которым заключается договор, при формировании проекта договора.</w:t>
      </w:r>
      <w:r/>
    </w:p>
    <w:p>
      <w:pPr>
        <w:pStyle w:val="989"/>
        <w:numPr>
          <w:ilvl w:val="1"/>
          <w:numId w:val="3"/>
        </w:numPr>
        <w:ind w:left="0" w:firstLine="709"/>
        <w:jc w:val="both"/>
        <w:keepNext/>
        <w:spacing w:before="120" w:beforeAutospacing="0" w:after="120" w:afterAutospacing="0"/>
        <w:tabs>
          <w:tab w:val="num" w:pos="1276" w:leader="none"/>
        </w:tabs>
        <w:rPr>
          <w:b/>
        </w:rPr>
        <w:outlineLvl w:val="1"/>
      </w:pPr>
      <w:r/>
      <w:bookmarkStart w:id="145" w:name="_Toc37260740"/>
      <w:r/>
      <w:bookmarkStart w:id="146" w:name="_Toc54336095"/>
      <w:r/>
      <w:bookmarkStart w:id="147" w:name="_Toc181107234"/>
      <w:r/>
      <w:bookmarkStart w:id="148" w:name="_Toc186188488"/>
      <w:r/>
      <w:bookmarkStart w:id="149" w:name="_Toc190199553"/>
      <w:r>
        <w:rPr>
          <w:b/>
        </w:rPr>
        <w:t xml:space="preserve">Предоставление национального режима при осуществлении закупки</w:t>
      </w:r>
      <w:bookmarkEnd w:id="145"/>
      <w:r/>
      <w:bookmarkEnd w:id="146"/>
      <w:r/>
      <w:bookmarkEnd w:id="147"/>
      <w:r/>
      <w:bookmarkEnd w:id="148"/>
      <w:r/>
      <w:bookmarkEnd w:id="149"/>
      <w:r>
        <w:rPr>
          <w:b/>
        </w:rPr>
      </w:r>
      <w:r>
        <w:rPr>
          <w:b/>
        </w:rPr>
      </w:r>
    </w:p>
    <w:p>
      <w:pPr>
        <w:numPr>
          <w:ilvl w:val="2"/>
          <w:numId w:val="3"/>
        </w:numPr>
        <w:ind w:left="0" w:firstLine="709"/>
        <w:jc w:val="both"/>
        <w:tabs>
          <w:tab w:val="num" w:pos="960" w:leader="none"/>
        </w:tabs>
        <w:rPr>
          <w:bCs/>
        </w:rPr>
      </w:pPr>
      <w:r>
        <w:rPr>
          <w:bCs/>
        </w:rPr>
        <w:t xml:space="preserve">При проведении настоящей процедуры закупки </w:t>
      </w:r>
      <w:r>
        <w:t xml:space="preserve">предоставляется национальный режим, обеспечивающий происходящему из иностранного государства или группы иностранных государств </w:t>
      </w:r>
      <w:r>
        <w:t xml:space="preserve">(далее – иностранное государство) товару, работе, услуге, соответственно выполняемой, оказываемой иностранным гражданином или иностранным юридическим лицом (далее – иностранное лицо), равные условия с товаром российского происхождения, работой, услугой, со</w:t>
      </w:r>
      <w:r>
        <w:t xml:space="preserve">ответственно выполняемой, оказываемой российским гражданином или российским юридическим лицом (далее – российское лицо), за исключением случаев принятия Правительством Российской Федерации мер, предусмотренных пунктом 1 части 2 статьи 3.1-4 Закона № 223-ФЗ</w:t>
      </w:r>
      <w:r>
        <w:rPr>
          <w:bCs/>
        </w:rPr>
        <w:t xml:space="preserve">.</w:t>
      </w:r>
      <w:r>
        <w:rPr>
          <w:bCs/>
        </w:rPr>
      </w:r>
      <w:r>
        <w:rPr>
          <w:bCs/>
        </w:rPr>
      </w:r>
    </w:p>
    <w:p>
      <w:pPr>
        <w:numPr>
          <w:ilvl w:val="2"/>
          <w:numId w:val="3"/>
        </w:numPr>
        <w:ind w:left="0" w:firstLine="709"/>
        <w:jc w:val="both"/>
        <w:tabs>
          <w:tab w:val="num" w:pos="960" w:leader="none"/>
        </w:tabs>
        <w:rPr>
          <w:bCs/>
        </w:rPr>
      </w:pPr>
      <w:r>
        <w:t xml:space="preserve">Если иное не предусмотрено мерами, принятыми Правительством Российской Федерации в соответствии с пункт</w:t>
      </w:r>
      <w:r>
        <w:t xml:space="preserve">ом 1 части 2 статьи 3.1-4 Федерального закона № 223-ФЗ, положения настоящего раздела, касающиеся товара российского происхождения, работы, услуги, соответственно выполняемой, оказываемой российским лицом, применяются также в отношении товара, происходящего</w:t>
      </w:r>
      <w:r>
        <w:t xml:space="preserve"> из иностранного государства, работы, услуги, соответственно выполняемой, оказываемой иностранным лицом, которым предоставляются равные условия с товаром российского происхождения, работой, услугой, соответственно выполняемой, оказываемой российским лицом.</w:t>
      </w:r>
      <w:r>
        <w:rPr>
          <w:bCs/>
        </w:rPr>
      </w:r>
      <w:r>
        <w:rPr>
          <w:bCs/>
        </w:rPr>
      </w:r>
    </w:p>
    <w:p>
      <w:pPr>
        <w:numPr>
          <w:ilvl w:val="2"/>
          <w:numId w:val="3"/>
        </w:numPr>
        <w:ind w:left="0" w:firstLine="709"/>
        <w:jc w:val="both"/>
        <w:tabs>
          <w:tab w:val="num" w:pos="960" w:leader="none"/>
        </w:tabs>
        <w:rPr>
          <w:bCs/>
        </w:rPr>
      </w:pPr>
      <w:r/>
      <w:bookmarkStart w:id="150" w:name="_Ref184655223"/>
      <w:r>
        <w:rPr>
          <w:bCs/>
        </w:rPr>
        <w:t xml:space="preserve">Меры по предоставлению национального режима при осуществлении настоящей закупки, в случае их наличия, указаны в п. </w:t>
      </w:r>
      <w:r>
        <w:rPr>
          <w:bCs/>
        </w:rPr>
        <w:fldChar w:fldCharType="begin"/>
      </w:r>
      <w:r>
        <w:rPr>
          <w:bCs/>
        </w:rPr>
        <w:instrText xml:space="preserve"> REF _Ref214974398 \r \h </w:instrText>
      </w:r>
      <w:r>
        <w:rPr>
          <w:bCs/>
        </w:rPr>
        <w:fldChar w:fldCharType="separate"/>
      </w:r>
      <w:r>
        <w:rPr>
          <w:bCs/>
        </w:rPr>
        <w:t xml:space="preserve">11</w:t>
      </w:r>
      <w:r>
        <w:rPr>
          <w:bCs/>
        </w:rPr>
        <w:fldChar w:fldCharType="end"/>
      </w:r>
      <w:r>
        <w:rPr>
          <w:bCs/>
        </w:rPr>
        <w:t xml:space="preserve"> раздела </w:t>
      </w:r>
      <w:hyperlink w:tooltip="#_РАЗДЕЛ_II._ИНФОРМАЦИОННАЯ_1" w:anchor="_РАЗДЕЛ_II._ИНФОРМАЦИОННАЯ_1" w:history="1">
        <w:r>
          <w:rPr>
            <w:rStyle w:val="978"/>
            <w:bCs/>
            <w:lang w:val="en-US"/>
          </w:rPr>
          <w:t xml:space="preserve">II</w:t>
        </w:r>
        <w:r>
          <w:rPr>
            <w:rStyle w:val="978"/>
            <w:bCs/>
          </w:rPr>
          <w:t xml:space="preserve"> «ИНФОРМАЦИОННАЯ КАРТА»</w:t>
        </w:r>
      </w:hyperlink>
      <w:r>
        <w:rPr>
          <w:bCs/>
        </w:rPr>
        <w:t xml:space="preserve"> документации в соответствии с постановлением Правительства РФ № 1875, </w:t>
      </w:r>
      <w:r>
        <w:t xml:space="preserve">устанавливающим:</w:t>
      </w:r>
      <w:bookmarkEnd w:id="150"/>
      <w:r>
        <w:rPr>
          <w:bCs/>
        </w:rPr>
      </w:r>
      <w:r>
        <w:rPr>
          <w:bCs/>
        </w:rPr>
      </w:r>
    </w:p>
    <w:p>
      <w:pPr>
        <w:pStyle w:val="989"/>
        <w:ind w:firstLine="539"/>
        <w:jc w:val="both"/>
        <w:spacing w:before="0" w:beforeAutospacing="0" w:after="0" w:afterAutospacing="0" w:line="288" w:lineRule="atLeast"/>
      </w:pPr>
      <w:r>
        <w:t xml:space="preserve">а) запрет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лицами; </w:t>
      </w:r>
      <w:r/>
    </w:p>
    <w:p>
      <w:pPr>
        <w:pStyle w:val="989"/>
        <w:ind w:firstLine="539"/>
        <w:jc w:val="both"/>
        <w:spacing w:before="0" w:beforeAutospacing="0" w:after="0" w:afterAutospacing="0" w:line="288" w:lineRule="atLeast"/>
      </w:pPr>
      <w:r>
        <w:t xml:space="preserve">б) ограничение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лицами; </w:t>
      </w:r>
      <w:r/>
    </w:p>
    <w:p>
      <w:pPr>
        <w:pStyle w:val="989"/>
        <w:ind w:firstLine="539"/>
        <w:jc w:val="both"/>
        <w:spacing w:before="0" w:beforeAutospacing="0" w:after="0" w:afterAutospacing="0" w:line="288" w:lineRule="atLeast"/>
      </w:pPr>
      <w:r>
        <w:t xml:space="preserve">в) преимущество в отношении товаров российского происхождения (в том числе поставляемых при выполнении закупаемых работ, оказании закупаемых услуг).</w:t>
      </w:r>
      <w:r/>
    </w:p>
    <w:p>
      <w:pPr>
        <w:numPr>
          <w:ilvl w:val="2"/>
          <w:numId w:val="3"/>
        </w:numPr>
        <w:ind w:left="0" w:firstLine="709"/>
        <w:jc w:val="both"/>
        <w:tabs>
          <w:tab w:val="num" w:pos="960" w:leader="none"/>
        </w:tabs>
        <w:rPr>
          <w:bCs/>
        </w:rPr>
      </w:pPr>
      <w:r>
        <w:rPr>
          <w:bCs/>
        </w:rPr>
        <w:t xml:space="preserve">Информация и </w:t>
      </w:r>
      <w:r>
        <w:t xml:space="preserve">документы, подтверждающие страну происхождения товара, для целей настоящей закупки, в случае установления запрета, ограничения или преимущества в соответствии с п. </w:t>
      </w:r>
      <w:r>
        <w:fldChar w:fldCharType="begin"/>
      </w:r>
      <w:r>
        <w:instrText xml:space="preserve"> REF _Ref184655223 \r \h </w:instrText>
      </w:r>
      <w:r>
        <w:fldChar w:fldCharType="separate"/>
      </w:r>
      <w:r>
        <w:t xml:space="preserve">7.5.3</w:t>
      </w:r>
      <w:r>
        <w:fldChar w:fldCharType="end"/>
      </w:r>
      <w:r>
        <w:t xml:space="preserve"> </w:t>
      </w:r>
      <w:r>
        <w:rPr>
          <w:bCs/>
        </w:rPr>
        <w:t xml:space="preserve">настоящего раздела документации указаны в п. </w:t>
      </w:r>
      <w:r>
        <w:rPr>
          <w:bCs/>
        </w:rPr>
        <w:fldChar w:fldCharType="begin"/>
      </w:r>
      <w:r>
        <w:rPr>
          <w:bCs/>
        </w:rPr>
        <w:instrText xml:space="preserve"> REF _Ref214974398 \r \h </w:instrText>
      </w:r>
      <w:r>
        <w:rPr>
          <w:bCs/>
        </w:rPr>
        <w:fldChar w:fldCharType="separate"/>
      </w:r>
      <w:r>
        <w:rPr>
          <w:bCs/>
        </w:rPr>
        <w:t xml:space="preserve">11</w:t>
      </w:r>
      <w:r>
        <w:rPr>
          <w:bCs/>
        </w:rPr>
        <w:fldChar w:fldCharType="end"/>
      </w:r>
      <w:r>
        <w:rPr>
          <w:bCs/>
        </w:rPr>
        <w:t xml:space="preserve"> раздела </w:t>
      </w:r>
      <w:hyperlink w:tooltip="#_РАЗДЕЛ_II._ИНФОРМАЦИОННАЯ_1" w:anchor="_РАЗДЕЛ_II._ИНФОРМАЦИОННАЯ_1" w:history="1">
        <w:r>
          <w:rPr>
            <w:rStyle w:val="978"/>
            <w:bCs/>
            <w:lang w:val="en-US"/>
          </w:rPr>
          <w:t xml:space="preserve">II</w:t>
        </w:r>
        <w:r>
          <w:rPr>
            <w:rStyle w:val="978"/>
            <w:bCs/>
          </w:rPr>
          <w:t xml:space="preserve"> «ИНФОРМАЦИОННАЯ КАРТА»</w:t>
        </w:r>
      </w:hyperlink>
      <w:r>
        <w:rPr>
          <w:bCs/>
        </w:rPr>
        <w:t xml:space="preserve"> документации</w:t>
      </w:r>
      <w:r>
        <w:t xml:space="preserve">.</w:t>
      </w:r>
      <w:r>
        <w:rPr>
          <w:bCs/>
        </w:rPr>
      </w:r>
      <w:r>
        <w:rPr>
          <w:bCs/>
        </w:rPr>
      </w:r>
    </w:p>
    <w:p>
      <w:pPr>
        <w:numPr>
          <w:ilvl w:val="2"/>
          <w:numId w:val="3"/>
        </w:numPr>
        <w:ind w:left="0" w:firstLine="709"/>
        <w:jc w:val="both"/>
        <w:tabs>
          <w:tab w:val="num" w:pos="960" w:leader="none"/>
        </w:tabs>
        <w:rPr>
          <w:bCs/>
        </w:rPr>
      </w:pPr>
      <w:r/>
      <w:bookmarkStart w:id="151" w:name="_Ref186113696"/>
      <w:r>
        <w:t xml:space="preserve">При осуществлении закупки товара:</w:t>
      </w:r>
      <w:bookmarkEnd w:id="151"/>
      <w:r>
        <w:rPr>
          <w:bCs/>
        </w:rPr>
      </w:r>
      <w:r>
        <w:rPr>
          <w:bCs/>
        </w:rPr>
      </w:r>
    </w:p>
    <w:p>
      <w:pPr>
        <w:pStyle w:val="979"/>
        <w:ind w:left="0" w:right="-107" w:firstLine="567"/>
        <w:jc w:val="both"/>
        <w:widowControl w:val="off"/>
        <w:tabs>
          <w:tab w:val="left" w:pos="567" w:leader="none"/>
        </w:tabs>
      </w:pPr>
      <w:r>
        <w:t xml:space="preserve">1) если </w:t>
      </w:r>
      <w:r>
        <w:rPr>
          <w:bCs/>
        </w:rPr>
        <w:t xml:space="preserve">при осуществлении настоящей закупки</w:t>
      </w:r>
      <w:r>
        <w:t xml:space="preserve"> установлен предусмотренный </w:t>
      </w:r>
      <w:r>
        <w:t xml:space="preserve">пп</w:t>
      </w:r>
      <w:r>
        <w:t xml:space="preserve">. а) п. </w:t>
      </w:r>
      <w:r>
        <w:fldChar w:fldCharType="begin"/>
      </w:r>
      <w:r>
        <w:instrText xml:space="preserve"> REF _Ref184655223 \r \h </w:instrText>
      </w:r>
      <w:r>
        <w:fldChar w:fldCharType="separate"/>
      </w:r>
      <w:r>
        <w:t xml:space="preserve">7.5.3</w:t>
      </w:r>
      <w:r>
        <w:fldChar w:fldCharType="end"/>
      </w:r>
      <w:r>
        <w:t xml:space="preserve"> </w:t>
      </w:r>
      <w:r>
        <w:rPr>
          <w:bCs/>
        </w:rPr>
        <w:t xml:space="preserve">настоящего раздела документации</w:t>
      </w:r>
      <w:r>
        <w:t xml:space="preserve"> запрет, не допускаются:</w:t>
      </w:r>
      <w:r/>
    </w:p>
    <w:p>
      <w:pPr>
        <w:ind w:right="-107" w:firstLine="567"/>
        <w:jc w:val="both"/>
        <w:widowControl w:val="off"/>
        <w:tabs>
          <w:tab w:val="left" w:pos="567" w:leader="none"/>
        </w:tabs>
      </w:pPr>
      <w:r>
        <w:t xml:space="preserve">а) заключение договора на поставку товара, происходящего из иностранных государств;</w:t>
      </w:r>
      <w:r/>
    </w:p>
    <w:p>
      <w:pPr>
        <w:pStyle w:val="979"/>
        <w:ind w:left="0" w:right="-107" w:firstLine="567"/>
        <w:jc w:val="both"/>
        <w:widowControl w:val="off"/>
        <w:tabs>
          <w:tab w:val="left" w:pos="567" w:leader="none"/>
        </w:tabs>
      </w:pPr>
      <w:r>
        <w:t xml:space="preserve">б) при исполнении договора замена товара на происходящий из иностранного государства товар, в отношении которого установлен данный запрет;</w:t>
      </w:r>
      <w:r/>
    </w:p>
    <w:p>
      <w:pPr>
        <w:pStyle w:val="979"/>
        <w:ind w:left="0" w:right="-107" w:firstLine="567"/>
        <w:jc w:val="both"/>
        <w:widowControl w:val="off"/>
        <w:tabs>
          <w:tab w:val="left" w:pos="567" w:leader="none"/>
        </w:tabs>
      </w:pPr>
      <w:r>
        <w:t xml:space="preserve">2) если </w:t>
      </w:r>
      <w:r>
        <w:rPr>
          <w:bCs/>
        </w:rPr>
        <w:t xml:space="preserve">при осуществлении настоящей закупки</w:t>
      </w:r>
      <w:r>
        <w:t xml:space="preserve"> установлено предусмотренное </w:t>
      </w:r>
      <w:r>
        <w:t xml:space="preserve">пп</w:t>
      </w:r>
      <w:r>
        <w:t xml:space="preserve">. б) п. </w:t>
      </w:r>
      <w:r>
        <w:fldChar w:fldCharType="begin"/>
      </w:r>
      <w:r>
        <w:instrText xml:space="preserve"> REF _Ref184655223 \r \h </w:instrText>
      </w:r>
      <w:r>
        <w:fldChar w:fldCharType="separate"/>
      </w:r>
      <w:r>
        <w:t xml:space="preserve">7.5.3</w:t>
      </w:r>
      <w:r>
        <w:fldChar w:fldCharType="end"/>
      </w:r>
      <w:r>
        <w:t xml:space="preserve"> </w:t>
      </w:r>
      <w:r>
        <w:rPr>
          <w:bCs/>
        </w:rPr>
        <w:t xml:space="preserve">настоящего раздела документации</w:t>
      </w:r>
      <w:r>
        <w:t xml:space="preserve"> ограничение, не допускаются:</w:t>
      </w:r>
      <w:r/>
    </w:p>
    <w:p>
      <w:pPr>
        <w:pStyle w:val="979"/>
        <w:ind w:left="0" w:right="-107" w:firstLine="567"/>
        <w:jc w:val="both"/>
        <w:widowControl w:val="off"/>
        <w:tabs>
          <w:tab w:val="left" w:pos="567" w:leader="none"/>
        </w:tabs>
      </w:pPr>
      <w:r>
        <w:t xml:space="preserve">а) заключение договора на поставку товара, происходящего из и</w:t>
      </w:r>
      <w:r>
        <w:t xml:space="preserve">ностранного государства, если поданы заявка на участие в закупке, окончательное предложение, признанные по результатам их рассмотрения соответствующими требованиям настоящей документации и содержащие предложения о поставке товара российского происхождения;</w:t>
      </w:r>
      <w:r/>
    </w:p>
    <w:p>
      <w:pPr>
        <w:pStyle w:val="979"/>
        <w:ind w:left="0" w:right="-107" w:firstLine="567"/>
        <w:jc w:val="both"/>
        <w:widowControl w:val="off"/>
        <w:tabs>
          <w:tab w:val="left" w:pos="567" w:leader="none"/>
        </w:tabs>
      </w:pPr>
      <w:r>
        <w:t xml:space="preserve">б) при исполнении договора замена товара на происходящий из иностранного государства товар, в отношении которого установлено данное ограничение, если договор предусматривает поставку товара российского происхождения;</w:t>
      </w:r>
      <w:r/>
    </w:p>
    <w:p>
      <w:pPr>
        <w:pStyle w:val="979"/>
        <w:ind w:left="0" w:right="-107" w:firstLine="567"/>
        <w:jc w:val="both"/>
        <w:widowControl w:val="off"/>
        <w:tabs>
          <w:tab w:val="left" w:pos="567" w:leader="none"/>
        </w:tabs>
      </w:pPr>
      <w:r>
        <w:t xml:space="preserve">3) если </w:t>
      </w:r>
      <w:r>
        <w:rPr>
          <w:bCs/>
        </w:rPr>
        <w:t xml:space="preserve">при осуществлении настоящей закупки</w:t>
      </w:r>
      <w:r>
        <w:t xml:space="preserve"> установлено </w:t>
      </w:r>
      <w:r>
        <w:t xml:space="preserve">пп</w:t>
      </w:r>
      <w:r>
        <w:t xml:space="preserve">. в) п. </w:t>
      </w:r>
      <w:r>
        <w:fldChar w:fldCharType="begin"/>
      </w:r>
      <w:r>
        <w:instrText xml:space="preserve"> REF _Ref184655223 \r \h </w:instrText>
      </w:r>
      <w:r>
        <w:fldChar w:fldCharType="separate"/>
      </w:r>
      <w:r>
        <w:t xml:space="preserve">7.5.3</w:t>
      </w:r>
      <w:r>
        <w:fldChar w:fldCharType="end"/>
      </w:r>
      <w:r>
        <w:t xml:space="preserve"> </w:t>
      </w:r>
      <w:r>
        <w:rPr>
          <w:bCs/>
        </w:rPr>
        <w:t xml:space="preserve">настоящего раздела документации</w:t>
      </w:r>
      <w:r>
        <w:t xml:space="preserve"> преимущество в отношении товара российского происхождения:</w:t>
      </w:r>
      <w:r/>
    </w:p>
    <w:p>
      <w:pPr>
        <w:pStyle w:val="979"/>
        <w:ind w:left="0" w:right="-107" w:firstLine="567"/>
        <w:jc w:val="both"/>
        <w:widowControl w:val="off"/>
        <w:tabs>
          <w:tab w:val="left" w:pos="567" w:leader="none"/>
        </w:tabs>
      </w:pPr>
      <w:r>
        <w:t xml:space="preserve">а) при рассмотрении, оценке, сопоставлении заявок на участие в закупке, окончательных предложений осуществляется снижение на 15 (пятнадцать) процентов ценового предложения, поданного в соответствии с настоящей документацией участнико</w:t>
      </w:r>
      <w:r>
        <w:t xml:space="preserve">м закупки, предлагающим к поставке товар только российского происхождения, либо увеличение на 15 (пятнадцать) процентов ценового предложения этого участника закупки в случае подачи им предложения о размере платы, подлежащей внесению за заключение договора;</w:t>
      </w:r>
      <w:r/>
    </w:p>
    <w:p>
      <w:pPr>
        <w:pStyle w:val="979"/>
        <w:ind w:left="0" w:right="-107" w:firstLine="567"/>
        <w:jc w:val="both"/>
        <w:widowControl w:val="off"/>
        <w:tabs>
          <w:tab w:val="left" w:pos="567" w:leader="none"/>
        </w:tabs>
      </w:pPr>
      <w:r>
        <w:t xml:space="preserve">б) в случае заключения договора с участником закупки, указанным в предыдущем подпункте документации, договор заключается без учета снижения либо увеличения ценового предложения, осуществленных в соответствии с предыдущим подпунктом документации;</w:t>
      </w:r>
      <w:r/>
    </w:p>
    <w:p>
      <w:pPr>
        <w:pStyle w:val="979"/>
        <w:ind w:left="0" w:right="-107" w:firstLine="567"/>
        <w:jc w:val="both"/>
        <w:widowControl w:val="off"/>
        <w:tabs>
          <w:tab w:val="left" w:pos="567" w:leader="none"/>
        </w:tabs>
      </w:pPr>
      <w:r>
        <w:t xml:space="preserve">в) при исполнении договора допускается замена товара исключительно на товар российского происхождения, если договор предусматривает поставку товара российского происхождения.</w:t>
      </w:r>
      <w:r/>
    </w:p>
    <w:p>
      <w:pPr>
        <w:numPr>
          <w:ilvl w:val="2"/>
          <w:numId w:val="3"/>
        </w:numPr>
        <w:ind w:left="0" w:firstLine="709"/>
        <w:jc w:val="both"/>
        <w:tabs>
          <w:tab w:val="num" w:pos="960" w:leader="none"/>
        </w:tabs>
        <w:rPr>
          <w:bCs/>
        </w:rPr>
      </w:pPr>
      <w:r/>
      <w:bookmarkStart w:id="152" w:name="_Ref186113706"/>
      <w:r>
        <w:t xml:space="preserve">При осуществлении закупки работы, услуги:</w:t>
      </w:r>
      <w:bookmarkEnd w:id="152"/>
      <w:r>
        <w:rPr>
          <w:bCs/>
        </w:rPr>
      </w:r>
      <w:r>
        <w:rPr>
          <w:bCs/>
        </w:rPr>
      </w:r>
    </w:p>
    <w:p>
      <w:pPr>
        <w:pStyle w:val="979"/>
        <w:ind w:left="0" w:right="-107" w:firstLine="709"/>
        <w:jc w:val="both"/>
        <w:widowControl w:val="off"/>
        <w:tabs>
          <w:tab w:val="left" w:pos="426" w:leader="none"/>
        </w:tabs>
      </w:pPr>
      <w:r>
        <w:t xml:space="preserve">1) если </w:t>
      </w:r>
      <w:r>
        <w:rPr>
          <w:bCs/>
        </w:rPr>
        <w:t xml:space="preserve">при осуществлении настоящей закупки</w:t>
      </w:r>
      <w:r>
        <w:t xml:space="preserve"> установлен предусмотренный </w:t>
      </w:r>
      <w:r>
        <w:t xml:space="preserve">пп</w:t>
      </w:r>
      <w:r>
        <w:t xml:space="preserve">. а) п. </w:t>
      </w:r>
      <w:r>
        <w:fldChar w:fldCharType="begin"/>
      </w:r>
      <w:r>
        <w:instrText xml:space="preserve"> REF _Ref184655223 \r \h </w:instrText>
      </w:r>
      <w:r>
        <w:fldChar w:fldCharType="separate"/>
      </w:r>
      <w:r>
        <w:t xml:space="preserve">7.5.3</w:t>
      </w:r>
      <w:r>
        <w:fldChar w:fldCharType="end"/>
      </w:r>
      <w:r>
        <w:t xml:space="preserve"> </w:t>
      </w:r>
      <w:r>
        <w:rPr>
          <w:bCs/>
        </w:rPr>
        <w:t xml:space="preserve">настоящего раздела документации</w:t>
      </w:r>
      <w:r>
        <w:t xml:space="preserve"> запрет закупки таких работы, услуги, соответственно выполняемой, оказываемой иностранным лицом, не допускаются:</w:t>
      </w:r>
      <w:r/>
    </w:p>
    <w:p>
      <w:pPr>
        <w:pStyle w:val="979"/>
        <w:ind w:left="0" w:right="-107" w:firstLine="709"/>
        <w:jc w:val="both"/>
        <w:widowControl w:val="off"/>
        <w:tabs>
          <w:tab w:val="left" w:pos="426" w:leader="none"/>
        </w:tabs>
      </w:pPr>
      <w:r>
        <w:t xml:space="preserve">а) заключение договора на выполнение такой работы, оказание такой услуги с подрядчиком (исполнителем), являющимся иностранным лицом;</w:t>
      </w:r>
      <w:r/>
    </w:p>
    <w:p>
      <w:pPr>
        <w:pStyle w:val="979"/>
        <w:ind w:left="0" w:right="-107" w:firstLine="709"/>
        <w:jc w:val="both"/>
        <w:widowControl w:val="off"/>
        <w:tabs>
          <w:tab w:val="left" w:pos="426" w:leader="none"/>
        </w:tabs>
      </w:pPr>
      <w:r>
        <w:t xml:space="preserve">б) перемена подрядчика (</w:t>
      </w:r>
      <w:r>
        <w:t xml:space="preserve">исполнителя) (в случае, если эта перемена допускается гражданским законодательством), с которым заключен указанный договор, на иностранное лицо, которое зарегистрировано на территории иностранного государства, в отношении которого установлен данный запрет;</w:t>
      </w:r>
      <w:r/>
    </w:p>
    <w:p>
      <w:pPr>
        <w:pStyle w:val="979"/>
        <w:ind w:left="0" w:right="-107" w:firstLine="709"/>
        <w:jc w:val="both"/>
        <w:widowControl w:val="off"/>
        <w:tabs>
          <w:tab w:val="left" w:pos="426" w:leader="none"/>
        </w:tabs>
      </w:pPr>
      <w:r>
        <w:t xml:space="preserve">2) если </w:t>
      </w:r>
      <w:r>
        <w:rPr>
          <w:bCs/>
        </w:rPr>
        <w:t xml:space="preserve">при осуществлении настоящей закупки</w:t>
      </w:r>
      <w:r>
        <w:t xml:space="preserve"> установлено предусмотренное </w:t>
      </w:r>
      <w:r>
        <w:t xml:space="preserve">пп</w:t>
      </w:r>
      <w:r>
        <w:t xml:space="preserve">. б) п. </w:t>
      </w:r>
      <w:r>
        <w:fldChar w:fldCharType="begin"/>
      </w:r>
      <w:r>
        <w:instrText xml:space="preserve"> REF _Ref184655223 \r \h </w:instrText>
      </w:r>
      <w:r>
        <w:fldChar w:fldCharType="separate"/>
      </w:r>
      <w:r>
        <w:t xml:space="preserve">7.5.3</w:t>
      </w:r>
      <w:r>
        <w:fldChar w:fldCharType="end"/>
      </w:r>
      <w:r>
        <w:t xml:space="preserve"> </w:t>
      </w:r>
      <w:r>
        <w:rPr>
          <w:bCs/>
        </w:rPr>
        <w:t xml:space="preserve">настоящего раздела документации</w:t>
      </w:r>
      <w:r>
        <w:t xml:space="preserve"> ограничение закупки таких работы, услуги, соответственно выполняемой, оказываемой иностранным лицом, не допускаются:</w:t>
      </w:r>
      <w:r/>
    </w:p>
    <w:p>
      <w:pPr>
        <w:pStyle w:val="979"/>
        <w:ind w:left="0" w:right="-107" w:firstLine="709"/>
        <w:jc w:val="both"/>
        <w:widowControl w:val="off"/>
        <w:tabs>
          <w:tab w:val="left" w:pos="426" w:leader="none"/>
        </w:tabs>
      </w:pPr>
      <w:r>
        <w:t xml:space="preserve">а) заключение договора с участником закупки, являющимся иностранным лицом, если российским лицом поданы заявка на участие в закупке, окончательное предложение, признанные по результатам их рассмотрения соответствующими требованиям настоящей документации;</w:t>
      </w:r>
      <w:r/>
    </w:p>
    <w:p>
      <w:pPr>
        <w:pStyle w:val="979"/>
        <w:ind w:left="0" w:right="-107" w:firstLine="709"/>
        <w:jc w:val="both"/>
        <w:widowControl w:val="off"/>
        <w:tabs>
          <w:tab w:val="left" w:pos="426" w:leader="none"/>
        </w:tabs>
      </w:pPr>
      <w:r>
        <w:t xml:space="preserve">б) перемена подрядчика (исполнителя) (в случае, если эта перем</w:t>
      </w:r>
      <w:r>
        <w:t xml:space="preserve">ена допускается гражданским законодательством), с которым заключен договор, на иностранное лицо, которое зарегистрировано на территории иностранного государства, в отношении которого установлено данное ограничение, если договор заключен с российским лицом;</w:t>
      </w:r>
      <w:r/>
    </w:p>
    <w:p>
      <w:pPr>
        <w:pStyle w:val="979"/>
        <w:ind w:left="0" w:right="-107" w:firstLine="709"/>
        <w:jc w:val="both"/>
        <w:widowControl w:val="off"/>
        <w:tabs>
          <w:tab w:val="left" w:pos="426" w:leader="none"/>
        </w:tabs>
      </w:pPr>
      <w:r>
        <w:t xml:space="preserve">3) если </w:t>
      </w:r>
      <w:r>
        <w:rPr>
          <w:bCs/>
        </w:rPr>
        <w:t xml:space="preserve">при осуществлении настоящей закупки</w:t>
      </w:r>
      <w:r>
        <w:t xml:space="preserve"> установлено предусмотренное </w:t>
      </w:r>
      <w:r>
        <w:t xml:space="preserve">пп</w:t>
      </w:r>
      <w:r>
        <w:t xml:space="preserve">. в) п. </w:t>
      </w:r>
      <w:r>
        <w:fldChar w:fldCharType="begin"/>
      </w:r>
      <w:r>
        <w:instrText xml:space="preserve"> REF _Ref184655223 \r \h </w:instrText>
      </w:r>
      <w:r>
        <w:fldChar w:fldCharType="separate"/>
      </w:r>
      <w:r>
        <w:t xml:space="preserve">7.5.3</w:t>
      </w:r>
      <w:r>
        <w:fldChar w:fldCharType="end"/>
      </w:r>
      <w:r>
        <w:t xml:space="preserve"> </w:t>
      </w:r>
      <w:r>
        <w:rPr>
          <w:bCs/>
        </w:rPr>
        <w:t xml:space="preserve">настоящего раздела документации</w:t>
      </w:r>
      <w:r>
        <w:t xml:space="preserve"> преимущество в отношении таких работы, услуги, соответственно выполняемой, оказываемой российским лицом:</w:t>
      </w:r>
      <w:r/>
    </w:p>
    <w:p>
      <w:pPr>
        <w:pStyle w:val="979"/>
        <w:ind w:left="0" w:right="-107" w:firstLine="709"/>
        <w:jc w:val="both"/>
        <w:widowControl w:val="off"/>
        <w:tabs>
          <w:tab w:val="left" w:pos="426" w:leader="none"/>
        </w:tabs>
      </w:pPr>
      <w:r>
        <w:t xml:space="preserve">а) при рассмотрении, оценке, сопоставлении заявок на участие в закупке, окончательных предложений осуществляется снижение на 15 (пятнадцать) процентов ценового предложения, поданного в соответствии с наст</w:t>
      </w:r>
      <w:r>
        <w:t xml:space="preserve">оящей документацией участником закупки, являющимся российским лицом, либо увеличение на 15 (пятнадцать) процентов ценового предложения этого участника закупки в случае подачи им предложения о размере платы, подлежащей внесению за заключение с ним договора;</w:t>
      </w:r>
      <w:r/>
    </w:p>
    <w:p>
      <w:pPr>
        <w:pStyle w:val="979"/>
        <w:ind w:left="0" w:right="-107" w:firstLine="709"/>
        <w:jc w:val="both"/>
        <w:widowControl w:val="off"/>
        <w:tabs>
          <w:tab w:val="left" w:pos="426" w:leader="none"/>
        </w:tabs>
      </w:pPr>
      <w:r>
        <w:t xml:space="preserve">б) в случае заключения договора с участником закупки, указанным в предыдущем подпункте документации, договор заключается без учета снижения либо увеличения ценового предложения, осуществленных в соответствии с предыдущим подпунктом документации;</w:t>
      </w:r>
      <w:r/>
    </w:p>
    <w:p>
      <w:pPr>
        <w:pStyle w:val="979"/>
        <w:ind w:left="0" w:right="-107" w:firstLine="709"/>
        <w:jc w:val="both"/>
        <w:widowControl w:val="off"/>
        <w:tabs>
          <w:tab w:val="left" w:pos="426" w:leader="none"/>
        </w:tabs>
      </w:pPr>
      <w:r>
        <w:t xml:space="preserve">в) перемена подрядчика (исполнителя) (в случае, если эта перемена допускается гражданским законодательством), с которым заключен договор, допускается исключительно на российское лицо, </w:t>
      </w:r>
      <w:r>
        <w:t xml:space="preserve">если договор заключен с российским лицом.</w:t>
      </w:r>
      <w:r/>
    </w:p>
    <w:p>
      <w:pPr>
        <w:numPr>
          <w:ilvl w:val="2"/>
          <w:numId w:val="3"/>
        </w:numPr>
        <w:ind w:left="0" w:firstLine="709"/>
        <w:jc w:val="both"/>
        <w:tabs>
          <w:tab w:val="num" w:pos="960" w:leader="none"/>
        </w:tabs>
        <w:rPr>
          <w:bCs/>
        </w:rPr>
      </w:pPr>
      <w:r>
        <w:rPr>
          <w:bCs/>
        </w:rPr>
        <w:t xml:space="preserve">В соответствии с постановлением Правительства РФ № 1875 положения, касающиеся товара российского происхождения, работы, услуги, соответственно выполняемой, оказываемой российским гражданином, российским юридическим лицом, применяются </w:t>
      </w:r>
      <w:r>
        <w:rPr>
          <w:bCs/>
        </w:rPr>
        <w:t xml:space="preserve">также в отношении товара, происходящего из государства-члена Евразийского экономического союза, работы, услуги, соответственно выполняемой, оказываемой иностранным лицом, зарегистрированным на территории государства-члена Евразийского экономического союза.</w:t>
      </w:r>
      <w:r>
        <w:rPr>
          <w:bCs/>
        </w:rPr>
      </w:r>
      <w:r>
        <w:rPr>
          <w:bCs/>
        </w:rPr>
      </w:r>
    </w:p>
    <w:p>
      <w:pPr>
        <w:ind w:left="709"/>
        <w:jc w:val="both"/>
      </w:pPr>
      <w:r/>
      <w:r/>
    </w:p>
    <w:p>
      <w:pPr>
        <w:pStyle w:val="989"/>
        <w:numPr>
          <w:ilvl w:val="0"/>
          <w:numId w:val="3"/>
        </w:numPr>
        <w:jc w:val="center"/>
        <w:keepNext/>
        <w:spacing w:before="120" w:beforeAutospacing="0" w:after="120" w:afterAutospacing="0"/>
        <w:tabs>
          <w:tab w:val="num" w:pos="1418" w:leader="none"/>
          <w:tab w:val="num" w:pos="2912" w:leader="none"/>
        </w:tabs>
        <w:rPr>
          <w:b/>
          <w:sz w:val="28"/>
        </w:rPr>
        <w:outlineLvl w:val="1"/>
      </w:pPr>
      <w:r/>
      <w:bookmarkStart w:id="153" w:name="_Toc54336118"/>
      <w:r/>
      <w:bookmarkStart w:id="154" w:name="_Ref190180969"/>
      <w:r/>
      <w:bookmarkStart w:id="155" w:name="_Toc190199554"/>
      <w:r/>
      <w:bookmarkEnd w:id="135"/>
      <w:r>
        <w:rPr>
          <w:b/>
          <w:sz w:val="28"/>
        </w:rPr>
        <w:t xml:space="preserve">ЗАКЛЮЧЕНИЕ ДОГОВОРА</w:t>
      </w:r>
      <w:bookmarkEnd w:id="153"/>
      <w:r/>
      <w:bookmarkEnd w:id="154"/>
      <w:r/>
      <w:bookmarkEnd w:id="155"/>
      <w:r>
        <w:rPr>
          <w:b/>
          <w:sz w:val="28"/>
        </w:rPr>
      </w:r>
      <w:r>
        <w:rPr>
          <w:b/>
          <w:sz w:val="28"/>
        </w:rPr>
      </w:r>
    </w:p>
    <w:p>
      <w:pPr>
        <w:pStyle w:val="989"/>
        <w:numPr>
          <w:ilvl w:val="1"/>
          <w:numId w:val="3"/>
        </w:numPr>
        <w:ind w:left="0" w:firstLine="709"/>
        <w:jc w:val="both"/>
        <w:keepNext/>
        <w:spacing w:before="120" w:beforeAutospacing="0" w:after="120" w:afterAutospacing="0"/>
        <w:tabs>
          <w:tab w:val="num" w:pos="1276" w:leader="none"/>
        </w:tabs>
        <w:rPr>
          <w:b/>
        </w:rPr>
        <w:outlineLvl w:val="1"/>
      </w:pPr>
      <w:r/>
      <w:bookmarkStart w:id="156" w:name="_Toc54336119"/>
      <w:r/>
      <w:bookmarkStart w:id="157" w:name="_Toc190199555"/>
      <w:r>
        <w:rPr>
          <w:b/>
        </w:rPr>
        <w:t xml:space="preserve">Порядок заключения договора</w:t>
      </w:r>
      <w:bookmarkEnd w:id="156"/>
      <w:r/>
      <w:bookmarkEnd w:id="157"/>
      <w:r>
        <w:rPr>
          <w:b/>
        </w:rPr>
      </w:r>
      <w:r>
        <w:rPr>
          <w:b/>
        </w:rPr>
      </w:r>
    </w:p>
    <w:p>
      <w:pPr>
        <w:numPr>
          <w:ilvl w:val="2"/>
          <w:numId w:val="3"/>
        </w:numPr>
        <w:ind w:left="0" w:firstLine="709"/>
        <w:jc w:val="both"/>
        <w:tabs>
          <w:tab w:val="num" w:pos="1134" w:leader="none"/>
        </w:tabs>
      </w:pPr>
      <w:r/>
      <w:bookmarkStart w:id="158" w:name="_Toc428265376"/>
      <w:r/>
      <w:bookmarkStart w:id="159" w:name="_Toc437524353"/>
      <w:r>
        <w:t xml:space="preserve">Условия заключаемого договора определяются</w:t>
      </w:r>
      <w:bookmarkEnd w:id="158"/>
      <w:r/>
      <w:bookmarkEnd w:id="159"/>
      <w:r>
        <w:t xml:space="preserve"> </w:t>
      </w:r>
      <w:r>
        <w:rPr>
          <w:szCs w:val="26"/>
        </w:rPr>
        <w:t xml:space="preserve">путем включения в проект договора, приведенный в </w:t>
      </w:r>
      <w:r>
        <w:rPr>
          <w:bCs/>
        </w:rPr>
        <w:t xml:space="preserve">разделе </w:t>
      </w:r>
      <w:hyperlink w:tooltip="#_РАЗДЕЛ_V._ПРОЕКТ_1" w:anchor="_РАЗДЕЛ_V._ПРОЕКТ_1" w:history="1">
        <w:r>
          <w:rPr>
            <w:rStyle w:val="978"/>
            <w:bCs/>
            <w:lang w:val="en-US"/>
          </w:rPr>
          <w:t xml:space="preserve">V</w:t>
        </w:r>
        <w:r>
          <w:rPr>
            <w:rStyle w:val="978"/>
            <w:bCs/>
          </w:rPr>
          <w:t xml:space="preserve"> «ПРОЕКТ ДОГОВОРА»</w:t>
        </w:r>
      </w:hyperlink>
      <w:r>
        <w:rPr>
          <w:bCs/>
        </w:rPr>
        <w:t xml:space="preserve"> документации</w:t>
      </w:r>
      <w:r>
        <w:rPr>
          <w:szCs w:val="26"/>
        </w:rPr>
        <w:t xml:space="preserve">, условий исполнения договора, предложенных в заявке на участие в закупке лицом, с которым заключается договор, с учетом преддоговорных переговоров (если проводились).</w:t>
      </w:r>
      <w:bookmarkStart w:id="160" w:name="_Ref55321296"/>
      <w:r/>
      <w:r/>
    </w:p>
    <w:p>
      <w:pPr>
        <w:numPr>
          <w:ilvl w:val="2"/>
          <w:numId w:val="3"/>
        </w:numPr>
        <w:ind w:left="0" w:firstLine="709"/>
        <w:jc w:val="both"/>
        <w:tabs>
          <w:tab w:val="num" w:pos="1134" w:leader="none"/>
        </w:tabs>
      </w:pPr>
      <w:r/>
      <w:bookmarkStart w:id="161" w:name="_Ref55322314"/>
      <w:r/>
      <w:bookmarkEnd w:id="160"/>
      <w:r>
        <w:t xml:space="preserve">Договор заключается на ЭП в электронной форме. Порядок заключения договора определяется регламентом работы ЭП.</w:t>
      </w:r>
      <w:r/>
    </w:p>
    <w:p>
      <w:pPr>
        <w:numPr>
          <w:ilvl w:val="2"/>
          <w:numId w:val="3"/>
        </w:numPr>
        <w:ind w:left="0" w:firstLine="709"/>
        <w:jc w:val="both"/>
        <w:tabs>
          <w:tab w:val="num" w:pos="1134" w:leader="none"/>
        </w:tabs>
      </w:pPr>
      <w:r>
        <w:t xml:space="preserve">По результатам проведенной процедуры закупки Заказчик размещает на ЭП проект договора, не подписанный со стороны Заказчика. </w:t>
      </w:r>
      <w:r/>
    </w:p>
    <w:p>
      <w:pPr>
        <w:numPr>
          <w:ilvl w:val="2"/>
          <w:numId w:val="3"/>
        </w:numPr>
        <w:ind w:left="0" w:firstLine="709"/>
        <w:jc w:val="both"/>
      </w:pPr>
      <w:r>
        <w:t xml:space="preserve">Участник, с которым заключается договор, в течение 5 (пяти) дней после размещения Заказчиком на ЭП проекта договора, подписывает договор квалифицированной электронной подписью</w:t>
      </w:r>
      <w:bookmarkStart w:id="162" w:name="_Ref55290554"/>
      <w:r>
        <w:t xml:space="preserve"> и прикладывает:</w:t>
      </w:r>
      <w:r/>
    </w:p>
    <w:p>
      <w:pPr>
        <w:pStyle w:val="979"/>
        <w:numPr>
          <w:ilvl w:val="0"/>
          <w:numId w:val="18"/>
        </w:numPr>
        <w:ind w:left="709" w:firstLine="0"/>
        <w:jc w:val="both"/>
        <w:tabs>
          <w:tab w:val="left" w:pos="1134" w:leader="none"/>
        </w:tabs>
      </w:pPr>
      <w:r>
        <w:t xml:space="preserve">обеспечение исполнения договора в размере, предусмотренным п. </w:t>
      </w:r>
      <w:r>
        <w:fldChar w:fldCharType="begin"/>
      </w:r>
      <w:r>
        <w:instrText xml:space="preserve"> REF _Ref55321385 \r \h </w:instrText>
      </w:r>
      <w:r>
        <w:fldChar w:fldCharType="separate"/>
      </w:r>
      <w:r>
        <w:t xml:space="preserve">8</w:t>
      </w:r>
      <w:r>
        <w:fldChar w:fldCharType="end"/>
      </w:r>
      <w:r>
        <w:t xml:space="preserve"> раздела </w:t>
      </w:r>
      <w:hyperlink w:tooltip="#_РАЗДЕЛ_II._ИНФОРМАЦИОННАЯ_1" w:anchor="_РАЗДЕЛ_II._ИНФОРМАЦИОННАЯ_1" w:history="1">
        <w:r>
          <w:rPr>
            <w:rStyle w:val="978"/>
          </w:rPr>
          <w:t xml:space="preserve">II «ИНФОРМАЦИОННАЯ КАРТА»</w:t>
        </w:r>
      </w:hyperlink>
      <w:r>
        <w:t xml:space="preserve"> документации, в случае если п. </w:t>
      </w:r>
      <w:r>
        <w:fldChar w:fldCharType="begin"/>
      </w:r>
      <w:r>
        <w:instrText xml:space="preserve"> REF _Ref55321385 \r \h </w:instrText>
      </w:r>
      <w:r>
        <w:fldChar w:fldCharType="separate"/>
      </w:r>
      <w:r>
        <w:t xml:space="preserve">8</w:t>
      </w:r>
      <w:r>
        <w:fldChar w:fldCharType="end"/>
      </w:r>
      <w:r>
        <w:t xml:space="preserve"> раздела </w:t>
      </w:r>
      <w:hyperlink w:tooltip="#_РАЗДЕЛ_II._ИНФОРМАЦИОННАЯ_1" w:anchor="_РАЗДЕЛ_II._ИНФОРМАЦИОННАЯ_1" w:history="1">
        <w:r>
          <w:rPr>
            <w:rStyle w:val="978"/>
          </w:rPr>
          <w:t xml:space="preserve">II «ИНФОРМАЦИОННАЯ КАРТА»</w:t>
        </w:r>
      </w:hyperlink>
      <w:r>
        <w:t xml:space="preserve"> документации установлено требование о предоставлении обеспечения исполнения договора (или в размере, предусмотренном антидемпинговыми мерами в соответствии с п. </w:t>
      </w:r>
      <w:r>
        <w:fldChar w:fldCharType="begin"/>
      </w:r>
      <w:r>
        <w:instrText xml:space="preserve"> REF _Ref190178713 \r \h </w:instrText>
      </w:r>
      <w:r>
        <w:fldChar w:fldCharType="separate"/>
      </w:r>
      <w:r>
        <w:t xml:space="preserve">8.2</w:t>
      </w:r>
      <w:r>
        <w:fldChar w:fldCharType="end"/>
      </w:r>
      <w:r>
        <w:t xml:space="preserve"> документации);</w:t>
      </w:r>
      <w:r/>
    </w:p>
    <w:p>
      <w:pPr>
        <w:pStyle w:val="979"/>
        <w:numPr>
          <w:ilvl w:val="0"/>
          <w:numId w:val="18"/>
        </w:numPr>
        <w:ind w:left="709" w:firstLine="0"/>
        <w:jc w:val="both"/>
        <w:tabs>
          <w:tab w:val="left" w:pos="1134" w:leader="none"/>
        </w:tabs>
      </w:pPr>
      <w:r>
        <w:t xml:space="preserve">документ, подтверждающий освобождение участника от уплаты налогов и иных обязательных платежей, в случае, если участник освобожден от уплаты налогов и иных обязательных платежей.</w:t>
      </w:r>
      <w:bookmarkEnd w:id="162"/>
      <w:r/>
      <w:r/>
    </w:p>
    <w:p>
      <w:pPr>
        <w:numPr>
          <w:ilvl w:val="2"/>
          <w:numId w:val="3"/>
        </w:numPr>
        <w:ind w:left="0" w:firstLine="709"/>
        <w:jc w:val="both"/>
      </w:pPr>
      <w:r>
        <w:t xml:space="preserve">В исключительных случ</w:t>
      </w:r>
      <w:r>
        <w:t xml:space="preserve">аях, когда условия проекта договора, направленного Заказчиком, содержат несоответствия условиям настоящей документации или заявки участника, с которым заключается договор (с учетом преддоговорных переговоров, если проводились), или содержат орфографические</w:t>
      </w:r>
      <w:r>
        <w:t xml:space="preserve"> и/или арифметические ошибки, некорректные ссылки на пункты/разделы договора, участник вправе отсрочить подписание договора и разместить на ЭП протокол разногласий, подписанный ЭП уполномоченного лица участника, а также проект договора в формате документа </w:t>
      </w:r>
      <w:r>
        <w:t xml:space="preserve">Microsoft</w:t>
      </w:r>
      <w:r>
        <w:t xml:space="preserve"> </w:t>
      </w:r>
      <w:r>
        <w:t xml:space="preserve">Word</w:t>
      </w:r>
      <w:r>
        <w:t xml:space="preserve"> с внесёнными корректировками (в режиме «Исправления» либо ином режиме, позволяющем увидеть внесённые изменения). Протокол разногласий может быть направлен участником только в с</w:t>
      </w:r>
      <w:r>
        <w:t xml:space="preserve">лучаях, указанных в настоящем пункте. При этом участник указывает в протоколе разногласий замечания к положениям проекта договора, не соответствующим настоящей документации, условиям заявки с указанием соответствующих положений (пунктов) данных документов.</w:t>
      </w:r>
      <w:r/>
    </w:p>
    <w:p>
      <w:pPr>
        <w:numPr>
          <w:ilvl w:val="2"/>
          <w:numId w:val="3"/>
        </w:numPr>
        <w:ind w:left="0" w:firstLine="709"/>
        <w:jc w:val="both"/>
        <w:tabs>
          <w:tab w:val="num" w:pos="851" w:leader="none"/>
        </w:tabs>
      </w:pPr>
      <w:r>
        <w:t xml:space="preserve">В течение 2 (двух) рабочих дней с даты размещения участником на ЭП протокола разногласий, Заказчик рассматрив</w:t>
      </w:r>
      <w:r>
        <w:t xml:space="preserve">ает протокол разногласий и размещает на ЭП скорректированный с учетом замечаний участника проект договора либо размещает на ЭП проект договора без изменений с указанием в отдельном документе причин отказа учесть полностью или частично замечания участника. </w:t>
      </w:r>
      <w:r/>
    </w:p>
    <w:p>
      <w:pPr>
        <w:numPr>
          <w:ilvl w:val="2"/>
          <w:numId w:val="3"/>
        </w:numPr>
        <w:ind w:left="0" w:firstLine="709"/>
        <w:jc w:val="both"/>
        <w:tabs>
          <w:tab w:val="num" w:pos="851" w:leader="none"/>
        </w:tabs>
      </w:pPr>
      <w:r>
        <w:t xml:space="preserve">В течение 2 (двух) рабочих дней с даты размещени</w:t>
      </w:r>
      <w:r>
        <w:t xml:space="preserve">я Заказчиком на ЭП скорректированного проекта договора или документа, содержащего причины отказа учесть полностью или частично содержащиеся в протоколе разногласий замечания участника, участник подписывает договор и размещает документы, предусмотренные п. </w:t>
      </w:r>
      <w:r>
        <w:fldChar w:fldCharType="begin"/>
      </w:r>
      <w:r>
        <w:instrText xml:space="preserve"> REF _Ref55290554 \r \h </w:instrText>
      </w:r>
      <w:r>
        <w:fldChar w:fldCharType="separate"/>
      </w:r>
      <w:r>
        <w:t xml:space="preserve">8.1.4</w:t>
      </w:r>
      <w:r>
        <w:fldChar w:fldCharType="end"/>
      </w:r>
      <w:r>
        <w:t xml:space="preserve"> настоящего раздела.</w:t>
      </w:r>
      <w:r/>
    </w:p>
    <w:p>
      <w:pPr>
        <w:numPr>
          <w:ilvl w:val="2"/>
          <w:numId w:val="3"/>
        </w:numPr>
        <w:ind w:left="0" w:firstLine="709"/>
        <w:jc w:val="both"/>
        <w:tabs>
          <w:tab w:val="num" w:pos="851" w:leader="none"/>
        </w:tabs>
      </w:pPr>
      <w:r/>
      <w:bookmarkStart w:id="163" w:name="_Ref57118105"/>
      <w:r>
        <w:t xml:space="preserve">В течение 2 (двух) рабочих дней с даты размещения на ЭП участником подписанного проекта договора и документов, предусмотренных п. </w:t>
      </w:r>
      <w:r>
        <w:fldChar w:fldCharType="begin"/>
      </w:r>
      <w:r>
        <w:instrText xml:space="preserve"> REF _Ref55290554 \r \h </w:instrText>
      </w:r>
      <w:r>
        <w:fldChar w:fldCharType="separate"/>
      </w:r>
      <w:r>
        <w:t xml:space="preserve">8.1.4</w:t>
      </w:r>
      <w:r>
        <w:fldChar w:fldCharType="end"/>
      </w:r>
      <w:r>
        <w:t xml:space="preserve"> настоящего раздела, Заказчик на ЭП </w:t>
      </w:r>
      <w:r>
        <w:t xml:space="preserve">подписывает договор квалифицированной электронной подписью уполномоченного лица Заказчика. С этого момента договор считается заключенным.</w:t>
      </w:r>
      <w:bookmarkEnd w:id="163"/>
      <w:r>
        <w:t xml:space="preserve">  </w:t>
      </w:r>
      <w:r/>
    </w:p>
    <w:p>
      <w:pPr>
        <w:numPr>
          <w:ilvl w:val="2"/>
          <w:numId w:val="3"/>
        </w:numPr>
        <w:ind w:left="0" w:firstLine="709"/>
        <w:jc w:val="both"/>
        <w:tabs>
          <w:tab w:val="num" w:pos="1134" w:leader="none"/>
        </w:tabs>
      </w:pPr>
      <w:r/>
      <w:bookmarkStart w:id="164" w:name="_Ref57117768"/>
      <w:r>
        <w:t xml:space="preserve">Договор должен быть заключен не ранее чем через 10 (десять) дней и не позднее чем через 20 (двадцать) дней с даты размещения в ЕИС итогового протокола.</w:t>
      </w:r>
      <w:bookmarkEnd w:id="164"/>
      <w:r/>
      <w:r/>
    </w:p>
    <w:p>
      <w:pPr>
        <w:numPr>
          <w:ilvl w:val="2"/>
          <w:numId w:val="3"/>
        </w:numPr>
        <w:ind w:left="0" w:firstLine="709"/>
        <w:jc w:val="both"/>
        <w:tabs>
          <w:tab w:val="num" w:pos="1134" w:leader="none"/>
        </w:tabs>
      </w:pPr>
      <w:r/>
      <w:bookmarkStart w:id="165" w:name="_Ref55321316"/>
      <w:r>
        <w:t xml:space="preserve">Сроки, указанные в п. </w:t>
      </w:r>
      <w:r>
        <w:fldChar w:fldCharType="begin"/>
      </w:r>
      <w:r>
        <w:instrText xml:space="preserve"> REF _Ref57117768 \r \h </w:instrText>
      </w:r>
      <w:r>
        <w:fldChar w:fldCharType="separate"/>
      </w:r>
      <w:r>
        <w:t xml:space="preserve">8.1.9</w:t>
      </w:r>
      <w:r>
        <w:fldChar w:fldCharType="end"/>
      </w:r>
      <w:r>
        <w:t xml:space="preserve"> настоящего раздела, могут быть увеличены в следующих случаях:</w:t>
      </w:r>
      <w:bookmarkEnd w:id="165"/>
      <w:r/>
      <w:r/>
    </w:p>
    <w:p>
      <w:pPr>
        <w:numPr>
          <w:ilvl w:val="2"/>
          <w:numId w:val="7"/>
        </w:numPr>
        <w:ind w:left="0" w:firstLine="709"/>
        <w:jc w:val="both"/>
        <w:tabs>
          <w:tab w:val="clear" w:pos="720" w:leader="none"/>
          <w:tab w:val="num" w:pos="1134" w:leader="none"/>
        </w:tabs>
      </w:pPr>
      <w:r>
        <w:t xml:space="preserve">если в соответствии с законодательством РФ для заключения договора необходимо его одобрение органом управления Заказчика; </w:t>
      </w:r>
      <w:r/>
    </w:p>
    <w:p>
      <w:pPr>
        <w:numPr>
          <w:ilvl w:val="2"/>
          <w:numId w:val="7"/>
        </w:numPr>
        <w:ind w:left="0" w:firstLine="709"/>
        <w:jc w:val="both"/>
        <w:tabs>
          <w:tab w:val="clear" w:pos="720" w:leader="none"/>
          <w:tab w:val="num" w:pos="1134" w:leader="none"/>
        </w:tabs>
      </w:pPr>
      <w:r>
        <w:t xml:space="preserve">если действия (бездействие) Заказчика, Закупочной комиссии, оператора ЭП при осуществлении закупки обжалуются в антимонопольном органе либо в судебном порядке.</w:t>
      </w:r>
      <w:r/>
    </w:p>
    <w:p>
      <w:pPr>
        <w:numPr>
          <w:ilvl w:val="2"/>
          <w:numId w:val="3"/>
        </w:numPr>
        <w:ind w:left="0" w:firstLine="709"/>
        <w:jc w:val="both"/>
        <w:tabs>
          <w:tab w:val="num" w:pos="1134" w:leader="none"/>
        </w:tabs>
      </w:pPr>
      <w:r>
        <w:t xml:space="preserve">В случае продления срока заключения договора в соответствии с п. </w:t>
      </w:r>
      <w:r>
        <w:fldChar w:fldCharType="begin"/>
      </w:r>
      <w:r>
        <w:instrText xml:space="preserve"> REF _Ref55321316 \r \h </w:instrText>
      </w:r>
      <w:r>
        <w:fldChar w:fldCharType="separate"/>
      </w:r>
      <w:r>
        <w:t xml:space="preserve">8.1.10</w:t>
      </w:r>
      <w:r>
        <w:fldChar w:fldCharType="end"/>
      </w:r>
      <w:r>
        <w:t xml:space="preserve"> настоящего раздела, договор заключается не позднее чем через 5 (пять) дней с даты соответствующего одобрения органа управления или с даты вынесения решения антимонопольного органа.</w:t>
      </w:r>
      <w:r/>
    </w:p>
    <w:p>
      <w:pPr>
        <w:numPr>
          <w:ilvl w:val="2"/>
          <w:numId w:val="3"/>
        </w:numPr>
        <w:ind w:left="0" w:firstLine="709"/>
        <w:jc w:val="both"/>
        <w:tabs>
          <w:tab w:val="num" w:pos="1134" w:leader="none"/>
        </w:tabs>
      </w:pPr>
      <w:r>
        <w:rPr>
          <w:spacing w:val="-6"/>
        </w:rPr>
        <w:t xml:space="preserve">Если подписание договора з</w:t>
      </w:r>
      <w:r>
        <w:rPr>
          <w:spacing w:val="-6"/>
        </w:rPr>
        <w:t xml:space="preserve">атягивается (по сравнению с плановой датой заключения договора), вследствие рассмотрения жалобы в антимонопольном органе, сроки исполнения обязательств по договору могут продлеваться на количество дней задержки сверх нормативного срока заключения договора.</w:t>
      </w:r>
      <w:r/>
    </w:p>
    <w:p>
      <w:pPr>
        <w:pStyle w:val="989"/>
        <w:numPr>
          <w:ilvl w:val="1"/>
          <w:numId w:val="3"/>
        </w:numPr>
        <w:ind w:left="0" w:firstLine="709"/>
        <w:jc w:val="both"/>
        <w:keepNext/>
        <w:spacing w:before="120" w:beforeAutospacing="0" w:after="120" w:afterAutospacing="0"/>
        <w:tabs>
          <w:tab w:val="num" w:pos="1276" w:leader="none"/>
        </w:tabs>
        <w:rPr>
          <w:b/>
        </w:rPr>
        <w:outlineLvl w:val="1"/>
      </w:pPr>
      <w:r/>
      <w:bookmarkStart w:id="166" w:name="_Toc521347994"/>
      <w:r/>
      <w:bookmarkStart w:id="167" w:name="_Toc8834934"/>
      <w:r/>
      <w:bookmarkStart w:id="168" w:name="_Toc54336122"/>
      <w:r/>
      <w:bookmarkStart w:id="169" w:name="_Ref57202581"/>
      <w:r/>
      <w:bookmarkStart w:id="170" w:name="_Ref190178713"/>
      <w:r/>
      <w:bookmarkStart w:id="171" w:name="_Toc190199556"/>
      <w:r/>
      <w:bookmarkEnd w:id="161"/>
      <w:r>
        <w:rPr>
          <w:b/>
        </w:rPr>
        <w:t xml:space="preserve">Антидемпинговые меры</w:t>
      </w:r>
      <w:bookmarkEnd w:id="166"/>
      <w:r/>
      <w:bookmarkEnd w:id="167"/>
      <w:r/>
      <w:bookmarkEnd w:id="168"/>
      <w:r/>
      <w:bookmarkEnd w:id="169"/>
      <w:r/>
      <w:bookmarkEnd w:id="170"/>
      <w:r/>
      <w:bookmarkEnd w:id="171"/>
      <w:r>
        <w:rPr>
          <w:b/>
        </w:rPr>
        <w:t xml:space="preserve"> </w:t>
      </w:r>
      <w:r>
        <w:rPr>
          <w:b/>
        </w:rPr>
      </w:r>
      <w:r>
        <w:rPr>
          <w:b/>
        </w:rPr>
      </w:r>
    </w:p>
    <w:p>
      <w:pPr>
        <w:numPr>
          <w:ilvl w:val="2"/>
          <w:numId w:val="3"/>
        </w:numPr>
        <w:ind w:left="0" w:firstLine="709"/>
        <w:jc w:val="both"/>
        <w:tabs>
          <w:tab w:val="num" w:pos="284" w:leader="none"/>
          <w:tab w:val="clear" w:pos="1003" w:leader="none"/>
        </w:tabs>
        <w:rPr>
          <w:color w:val="000000"/>
        </w:rPr>
      </w:pPr>
      <w:r/>
      <w:bookmarkStart w:id="172" w:name="_Ref189757498"/>
      <w:r/>
      <w:bookmarkStart w:id="173" w:name="_Toc54336123"/>
      <w:r/>
      <w:bookmarkStart w:id="174" w:name="_Ref57202611"/>
      <w:r>
        <w:rPr>
          <w:color w:val="000000"/>
        </w:rPr>
        <w:t xml:space="preserve">В случае если цена договора (сумма цен единиц товара, рабо</w:t>
      </w:r>
      <w:r>
        <w:rPr>
          <w:color w:val="000000"/>
        </w:rPr>
        <w:t xml:space="preserve">т, услуг/цена единицы товара, работы, услуги либо иная ценовая информация), предложенная участником, с которым заключается договор, на 25 (двадцать пять) процентов или более ниже начальной (максимальной) цены договора (начальной (максимальной) суммы цен ед</w:t>
      </w:r>
      <w:r>
        <w:rPr>
          <w:color w:val="000000"/>
        </w:rPr>
        <w:t xml:space="preserve">иниц товара, работ, услуг/начальной максимальной цены единицы товара, работы, услуги/иного ценового критерия), то договор с таким участником заключается только после применения к такому участнику следующих  антидемпинговых мер, если такие меры установлены </w:t>
      </w:r>
      <w:r>
        <w:t xml:space="preserve">в п. </w:t>
      </w:r>
      <w:r>
        <w:fldChar w:fldCharType="begin"/>
      </w:r>
      <w:r>
        <w:instrText xml:space="preserve"> REF _Ref193549776 \r \h </w:instrText>
      </w:r>
      <w:r>
        <w:fldChar w:fldCharType="separate"/>
      </w:r>
      <w:r>
        <w:t xml:space="preserve">17</w:t>
      </w:r>
      <w:r>
        <w:fldChar w:fldCharType="end"/>
      </w:r>
      <w:r>
        <w:t xml:space="preserve"> раздела </w:t>
      </w:r>
      <w:hyperlink w:tooltip="#_РАЗДЕЛ_II._ИНФОРМАЦИОННАЯ_1" w:anchor="_РАЗДЕЛ_II._ИНФОРМАЦИОННАЯ_1" w:history="1">
        <w:r>
          <w:rPr>
            <w:rStyle w:val="978"/>
          </w:rPr>
          <w:t xml:space="preserve">II «ИНФОРМАЦИОННАЯ КАРТА»</w:t>
        </w:r>
      </w:hyperlink>
      <w:r>
        <w:t xml:space="preserve"> документации:</w:t>
      </w:r>
      <w:r>
        <w:rPr>
          <w:color w:val="000000"/>
        </w:rPr>
        <w:t xml:space="preserve"> </w:t>
      </w:r>
      <w:r>
        <w:rPr>
          <w:color w:val="000000"/>
        </w:rPr>
      </w:r>
      <w:r>
        <w:rPr>
          <w:color w:val="000000"/>
        </w:rPr>
      </w:r>
    </w:p>
    <w:p>
      <w:pPr>
        <w:pStyle w:val="979"/>
        <w:numPr>
          <w:ilvl w:val="0"/>
          <w:numId w:val="37"/>
        </w:numPr>
        <w:jc w:val="both"/>
        <w:rPr>
          <w:color w:val="000000"/>
        </w:rPr>
      </w:pPr>
      <w:r>
        <w:rPr>
          <w:color w:val="000000"/>
        </w:rPr>
        <w:t xml:space="preserve">в случае, если по условиям проекта договора, размещенного в составе настоящей документации, была предусмотрена выплата аванса, то аванс участнику не выплачивается, что отражается в проекте договора, заключаемом с участником по итогам закупки;</w:t>
      </w:r>
      <w:r>
        <w:rPr>
          <w:color w:val="000000"/>
        </w:rPr>
      </w:r>
      <w:r>
        <w:rPr>
          <w:color w:val="000000"/>
        </w:rPr>
      </w:r>
    </w:p>
    <w:p>
      <w:pPr>
        <w:pStyle w:val="979"/>
        <w:numPr>
          <w:ilvl w:val="0"/>
          <w:numId w:val="37"/>
        </w:numPr>
        <w:jc w:val="both"/>
        <w:rPr>
          <w:color w:val="000000"/>
        </w:rPr>
      </w:pPr>
      <w:r>
        <w:rPr>
          <w:color w:val="000000"/>
        </w:rPr>
        <w:t xml:space="preserve">в случае, если настоящей документацией о закупке установлено обеспечение исполнения договора</w:t>
      </w:r>
      <w:r>
        <w:rPr>
          <w:color w:val="000000"/>
        </w:rPr>
        <w:t xml:space="preserve">, то договор может быть заключен только после предоставления обеспечения исполнения договора в размере, превышающем в полтора раза размер обеспечения исполнения договора, указанный в настоящей документации, за исключением случаев, когда в соответствии с за</w:t>
      </w:r>
      <w:r>
        <w:rPr>
          <w:color w:val="000000"/>
        </w:rPr>
        <w:t xml:space="preserve">конодательством РФ в сфере закупок не может быть превышен предельный размер обеспечения исполнения договора, при начальной (максимальной) цене договора (максимальном значении цены договора) свыше 5 000 000 (пять миллионов) рублей, а также финансовых услуг.</w:t>
      </w:r>
      <w:bookmarkEnd w:id="172"/>
      <w:r>
        <w:rPr>
          <w:color w:val="000000"/>
        </w:rPr>
      </w:r>
      <w:r>
        <w:rPr>
          <w:color w:val="000000"/>
        </w:rPr>
      </w:r>
    </w:p>
    <w:p>
      <w:pPr>
        <w:numPr>
          <w:ilvl w:val="2"/>
          <w:numId w:val="3"/>
        </w:numPr>
        <w:ind w:left="0" w:firstLine="709"/>
        <w:jc w:val="both"/>
        <w:rPr>
          <w:color w:val="000000"/>
        </w:rPr>
      </w:pPr>
      <w:r>
        <w:rPr>
          <w:color w:val="000000"/>
        </w:rPr>
        <w:t xml:space="preserve">В случае неисполнения установленных в п. 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REF _Ref189757498 \r \h </w:instrText>
      </w:r>
      <w:r>
        <w:rPr>
          <w:color w:val="000000"/>
        </w:rPr>
        <w:fldChar w:fldCharType="separate"/>
      </w:r>
      <w:r>
        <w:rPr>
          <w:color w:val="000000"/>
        </w:rPr>
        <w:t xml:space="preserve">8.2.1</w:t>
      </w:r>
      <w:r>
        <w:rPr>
          <w:color w:val="000000"/>
        </w:rPr>
        <w:fldChar w:fldCharType="end"/>
      </w:r>
      <w:r>
        <w:rPr>
          <w:color w:val="000000"/>
        </w:rPr>
        <w:t xml:space="preserve"> настоящего раздела требований, победитель или участник закупки, с которым заключается договор, признается уклонившимся от заключения договора по результатам проведения процедуры закупки.</w:t>
      </w:r>
      <w:r>
        <w:rPr>
          <w:color w:val="000000"/>
        </w:rPr>
      </w:r>
      <w:r>
        <w:rPr>
          <w:color w:val="000000"/>
        </w:rPr>
      </w:r>
    </w:p>
    <w:p>
      <w:pPr>
        <w:pStyle w:val="989"/>
        <w:numPr>
          <w:ilvl w:val="1"/>
          <w:numId w:val="3"/>
        </w:numPr>
        <w:ind w:left="0" w:firstLine="709"/>
        <w:jc w:val="both"/>
        <w:keepNext/>
        <w:spacing w:before="120" w:beforeAutospacing="0" w:after="120" w:afterAutospacing="0"/>
        <w:tabs>
          <w:tab w:val="num" w:pos="1276" w:leader="none"/>
        </w:tabs>
        <w:rPr>
          <w:b/>
        </w:rPr>
        <w:outlineLvl w:val="1"/>
      </w:pPr>
      <w:r/>
      <w:bookmarkStart w:id="175" w:name="_Toc190199557"/>
      <w:r>
        <w:rPr>
          <w:b/>
        </w:rPr>
        <w:t xml:space="preserve">Обеспечение исполнения договора</w:t>
      </w:r>
      <w:bookmarkEnd w:id="173"/>
      <w:r/>
      <w:bookmarkEnd w:id="174"/>
      <w:r/>
      <w:bookmarkEnd w:id="175"/>
      <w:r>
        <w:rPr>
          <w:b/>
        </w:rPr>
      </w:r>
      <w:r>
        <w:rPr>
          <w:b/>
        </w:rPr>
      </w:r>
    </w:p>
    <w:p>
      <w:pPr>
        <w:numPr>
          <w:ilvl w:val="2"/>
          <w:numId w:val="3"/>
        </w:numPr>
        <w:ind w:left="0" w:firstLine="709"/>
        <w:jc w:val="both"/>
        <w:tabs>
          <w:tab w:val="num" w:pos="960" w:leader="none"/>
        </w:tabs>
        <w:rPr>
          <w:bCs/>
        </w:rPr>
      </w:pPr>
      <w:r>
        <w:rPr>
          <w:bCs/>
        </w:rPr>
        <w:t xml:space="preserve">В случае, если п. </w:t>
      </w:r>
      <w:r>
        <w:rPr>
          <w:bCs/>
        </w:rPr>
        <w:fldChar w:fldCharType="begin"/>
      </w:r>
      <w:r>
        <w:rPr>
          <w:bCs/>
        </w:rPr>
        <w:instrText xml:space="preserve"> REF _Ref55321385 \r \h </w:instrText>
      </w:r>
      <w:r>
        <w:rPr>
          <w:bCs/>
        </w:rPr>
        <w:fldChar w:fldCharType="separate"/>
      </w:r>
      <w:r>
        <w:rPr>
          <w:bCs/>
        </w:rPr>
        <w:t xml:space="preserve">8</w:t>
      </w:r>
      <w:r>
        <w:rPr>
          <w:bCs/>
        </w:rPr>
        <w:fldChar w:fldCharType="end"/>
      </w:r>
      <w:r>
        <w:rPr>
          <w:bCs/>
        </w:rPr>
        <w:t xml:space="preserve"> раздела </w:t>
      </w:r>
      <w:hyperlink w:tooltip="#_РАЗДЕЛ_II._ИНФОРМАЦИОННАЯ_1" w:anchor="_РАЗДЕЛ_II._ИНФОРМАЦИОННАЯ_1" w:history="1">
        <w:r>
          <w:rPr>
            <w:rStyle w:val="978"/>
            <w:bCs/>
            <w:lang w:val="en-US"/>
          </w:rPr>
          <w:t xml:space="preserve">II</w:t>
        </w:r>
        <w:r>
          <w:rPr>
            <w:rStyle w:val="978"/>
            <w:bCs/>
          </w:rPr>
          <w:t xml:space="preserve"> «ИНФОРМАЦИОННАЯ КАРТА»</w:t>
        </w:r>
      </w:hyperlink>
      <w:r>
        <w:rPr>
          <w:bCs/>
        </w:rPr>
        <w:t xml:space="preserve"> документации</w:t>
      </w:r>
      <w:r>
        <w:t xml:space="preserve"> </w:t>
      </w:r>
      <w:r>
        <w:rPr>
          <w:bCs/>
        </w:rPr>
        <w:t xml:space="preserve">установлено требование о предоставлении обеспечения исполнения договора, участник должен предоставить обеспечение исполнения договора в размере согласно требованиям, установленным в п. </w:t>
      </w:r>
      <w:r>
        <w:rPr>
          <w:bCs/>
        </w:rPr>
        <w:fldChar w:fldCharType="begin"/>
      </w:r>
      <w:r>
        <w:rPr>
          <w:bCs/>
        </w:rPr>
        <w:instrText xml:space="preserve"> REF _Ref55321385 \r \h </w:instrText>
      </w:r>
      <w:r>
        <w:rPr>
          <w:bCs/>
        </w:rPr>
        <w:fldChar w:fldCharType="separate"/>
      </w:r>
      <w:r>
        <w:rPr>
          <w:bCs/>
        </w:rPr>
        <w:t xml:space="preserve">8</w:t>
      </w:r>
      <w:r>
        <w:rPr>
          <w:bCs/>
        </w:rPr>
        <w:fldChar w:fldCharType="end"/>
      </w:r>
      <w:r>
        <w:rPr>
          <w:bCs/>
        </w:rPr>
        <w:t xml:space="preserve"> раздела </w:t>
      </w:r>
      <w:hyperlink w:tooltip="#_РАЗДЕЛ_II._ИНФОРМАЦИОННАЯ_1" w:anchor="_РАЗДЕЛ_II._ИНФОРМАЦИОННАЯ_1" w:history="1">
        <w:r>
          <w:rPr>
            <w:rStyle w:val="978"/>
            <w:bCs/>
            <w:lang w:val="en-US"/>
          </w:rPr>
          <w:t xml:space="preserve">II</w:t>
        </w:r>
        <w:r>
          <w:rPr>
            <w:rStyle w:val="978"/>
            <w:bCs/>
          </w:rPr>
          <w:t xml:space="preserve"> «ИНФОРМАЦИОННАЯ КАРТА»</w:t>
        </w:r>
      </w:hyperlink>
      <w:r>
        <w:rPr>
          <w:bCs/>
        </w:rPr>
        <w:t xml:space="preserve"> документации.</w:t>
      </w:r>
      <w:r>
        <w:rPr>
          <w:bCs/>
        </w:rPr>
      </w:r>
      <w:r>
        <w:rPr>
          <w:bCs/>
        </w:rPr>
      </w:r>
    </w:p>
    <w:p>
      <w:pPr>
        <w:numPr>
          <w:ilvl w:val="2"/>
          <w:numId w:val="3"/>
        </w:numPr>
        <w:ind w:left="0" w:firstLine="709"/>
        <w:jc w:val="both"/>
        <w:tabs>
          <w:tab w:val="num" w:pos="960" w:leader="none"/>
        </w:tabs>
        <w:rPr>
          <w:bCs/>
        </w:rPr>
      </w:pPr>
      <w:r/>
      <w:bookmarkStart w:id="176" w:name="_Ref55322692"/>
      <w:r>
        <w:t xml:space="preserve">Обеспечение исполнения договора должно быть предоставлено участником до подписания договора в соответствии с п. </w:t>
      </w:r>
      <w:r>
        <w:fldChar w:fldCharType="begin"/>
      </w:r>
      <w:r>
        <w:instrText xml:space="preserve"> REF _Ref55290554 \r \h </w:instrText>
      </w:r>
      <w:r>
        <w:fldChar w:fldCharType="separate"/>
      </w:r>
      <w:r>
        <w:t xml:space="preserve">8.1.4</w:t>
      </w:r>
      <w:r>
        <w:fldChar w:fldCharType="end"/>
      </w:r>
      <w:r>
        <w:t xml:space="preserve"> раздела </w:t>
      </w:r>
      <w:hyperlink w:tooltip="#_РАЗДЕЛ_I._ОБЩАЯ" w:anchor="_РАЗДЕЛ_I._ОБЩАЯ" w:history="1">
        <w:r>
          <w:rPr>
            <w:rStyle w:val="978"/>
          </w:rPr>
          <w:t xml:space="preserve">I «ОБЩАЯ ЧАСТЬ»</w:t>
        </w:r>
      </w:hyperlink>
      <w:r>
        <w:t xml:space="preserve"> документации в форме денежных средств или независимой гарантии. </w:t>
      </w:r>
      <w:bookmarkEnd w:id="176"/>
      <w:r>
        <w:t xml:space="preserve">Выбор способа обеспечения исполнения договора осуществляется участником. Валюта обеспечения – российский рубль. </w:t>
      </w:r>
      <w:r>
        <w:rPr>
          <w:bCs/>
        </w:rPr>
      </w:r>
      <w:r>
        <w:rPr>
          <w:bCs/>
        </w:rPr>
      </w:r>
    </w:p>
    <w:p>
      <w:pPr>
        <w:numPr>
          <w:ilvl w:val="2"/>
          <w:numId w:val="3"/>
        </w:numPr>
        <w:ind w:left="0" w:firstLine="709"/>
        <w:jc w:val="both"/>
        <w:tabs>
          <w:tab w:val="num" w:pos="960" w:leader="none"/>
        </w:tabs>
        <w:rPr>
          <w:bCs/>
        </w:rPr>
      </w:pPr>
      <w:r>
        <w:t xml:space="preserve">В случае предоставления обеспечения исполнения договора путем перечисления денежных средств, участник перечисляет денежные средства по следующим реквизитам: </w:t>
      </w:r>
      <w:r>
        <w:rPr>
          <w:bCs/>
        </w:rPr>
      </w:r>
      <w:r>
        <w:rPr>
          <w:bCs/>
        </w:rPr>
      </w:r>
    </w:p>
    <w:p>
      <w:pPr>
        <w:ind w:left="709"/>
        <w:jc w:val="both"/>
        <w:tabs>
          <w:tab w:val="num" w:pos="1003" w:leader="none"/>
        </w:tabs>
      </w:pPr>
      <w:r>
        <w:t xml:space="preserve">Наименование банка: Филиал «Корпоративный» ПАО «</w:t>
      </w:r>
      <w:r>
        <w:t xml:space="preserve">Совкомбанк</w:t>
      </w:r>
      <w:r>
        <w:t xml:space="preserve">» г. Москва</w:t>
      </w:r>
      <w:r/>
    </w:p>
    <w:p>
      <w:pPr>
        <w:ind w:left="709"/>
        <w:jc w:val="both"/>
        <w:tabs>
          <w:tab w:val="num" w:pos="1003" w:leader="none"/>
        </w:tabs>
      </w:pPr>
      <w:r>
        <w:t xml:space="preserve">БИК: 044525362</w:t>
      </w:r>
      <w:r/>
    </w:p>
    <w:p>
      <w:pPr>
        <w:ind w:left="709"/>
        <w:jc w:val="both"/>
        <w:tabs>
          <w:tab w:val="num" w:pos="1003" w:leader="none"/>
        </w:tabs>
      </w:pPr>
      <w:r>
        <w:t xml:space="preserve">Расчетный счет: 40502810600120000196</w:t>
      </w:r>
      <w:r/>
    </w:p>
    <w:p>
      <w:pPr>
        <w:ind w:left="709"/>
        <w:jc w:val="both"/>
        <w:tabs>
          <w:tab w:val="num" w:pos="1003" w:leader="none"/>
        </w:tabs>
        <w:rPr>
          <w:bCs/>
        </w:rPr>
      </w:pPr>
      <w:r>
        <w:t xml:space="preserve">Корреспондентский счет: 30101810445250000360. </w:t>
      </w:r>
      <w:r>
        <w:rPr>
          <w:bCs/>
        </w:rPr>
      </w:r>
      <w:r>
        <w:rPr>
          <w:bCs/>
        </w:rPr>
      </w:r>
    </w:p>
    <w:p>
      <w:pPr>
        <w:jc w:val="both"/>
        <w:tabs>
          <w:tab w:val="num" w:pos="1003" w:leader="none"/>
        </w:tabs>
        <w:rPr>
          <w:bCs/>
        </w:rPr>
      </w:pPr>
      <w:r>
        <w:t xml:space="preserve">Факт внесения денежных средств должен быть подтвержден платежным поручением, подтверждающим перечисление денежных средств в качестве обеспечения исполнения договора, или копией такого поручения, которое должно быть приложено к договору.</w:t>
      </w:r>
      <w:r>
        <w:rPr>
          <w:bCs/>
        </w:rPr>
      </w:r>
      <w:r>
        <w:rPr>
          <w:bCs/>
        </w:rPr>
      </w:r>
    </w:p>
    <w:p>
      <w:pPr>
        <w:numPr>
          <w:ilvl w:val="2"/>
          <w:numId w:val="3"/>
        </w:numPr>
        <w:ind w:left="0" w:firstLine="709"/>
        <w:jc w:val="both"/>
        <w:tabs>
          <w:tab w:val="num" w:pos="960" w:leader="none"/>
        </w:tabs>
        <w:rPr>
          <w:bCs/>
        </w:rPr>
      </w:pPr>
      <w:r>
        <w:t xml:space="preserve">В случае если участником предоставлены документы, подтверждающие внесение денежных средств в качестве обеспечения исполнения договора, но до истечения срока, указанного в п. </w:t>
      </w:r>
      <w:r>
        <w:fldChar w:fldCharType="begin"/>
      </w:r>
      <w:r>
        <w:instrText xml:space="preserve"> REF _Ref55322692 \r \h </w:instrText>
      </w:r>
      <w:r>
        <w:fldChar w:fldCharType="separate"/>
      </w:r>
      <w:r>
        <w:t xml:space="preserve">8.3.2</w:t>
      </w:r>
      <w:r>
        <w:fldChar w:fldCharType="end"/>
      </w:r>
      <w:r>
        <w:t xml:space="preserve"> настоящего раздела документации, денежные средства не поступили на счет, который указан в</w:t>
      </w:r>
      <w:r>
        <w:rPr>
          <w:bCs/>
        </w:rPr>
        <w:t xml:space="preserve"> п. </w:t>
      </w:r>
      <w:r>
        <w:rPr>
          <w:bCs/>
        </w:rPr>
        <w:fldChar w:fldCharType="begin"/>
      </w:r>
      <w:r>
        <w:rPr>
          <w:bCs/>
        </w:rPr>
        <w:instrText xml:space="preserve"> REF _Ref55321385 \r \h </w:instrText>
      </w:r>
      <w:r>
        <w:rPr>
          <w:bCs/>
        </w:rPr>
        <w:fldChar w:fldCharType="separate"/>
      </w:r>
      <w:r>
        <w:rPr>
          <w:bCs/>
        </w:rPr>
        <w:t xml:space="preserve">8</w:t>
      </w:r>
      <w:r>
        <w:rPr>
          <w:bCs/>
        </w:rPr>
        <w:fldChar w:fldCharType="end"/>
      </w:r>
      <w:r>
        <w:rPr>
          <w:bCs/>
        </w:rPr>
        <w:t xml:space="preserve"> раздела </w:t>
      </w:r>
      <w:hyperlink w:tooltip="#_РАЗДЕЛ_II._ИНФОРМАЦИОННАЯ_1" w:anchor="_РАЗДЕЛ_II._ИНФОРМАЦИОННАЯ_1" w:history="1">
        <w:r>
          <w:rPr>
            <w:rStyle w:val="978"/>
            <w:bCs/>
            <w:lang w:val="en-US"/>
          </w:rPr>
          <w:t xml:space="preserve">II</w:t>
        </w:r>
        <w:r>
          <w:rPr>
            <w:rStyle w:val="978"/>
            <w:bCs/>
          </w:rPr>
          <w:t xml:space="preserve"> «ИНФОРМАЦИОННАЯ КАРТА»</w:t>
        </w:r>
      </w:hyperlink>
      <w:r>
        <w:rPr>
          <w:bCs/>
        </w:rPr>
        <w:t xml:space="preserve"> документации</w:t>
      </w:r>
      <w:r>
        <w:t xml:space="preserve">, участник признается уклонившимся от заключения договора. </w:t>
      </w:r>
      <w:r>
        <w:rPr>
          <w:bCs/>
        </w:rPr>
      </w:r>
      <w:r>
        <w:rPr>
          <w:bCs/>
        </w:rPr>
      </w:r>
    </w:p>
    <w:p>
      <w:pPr>
        <w:numPr>
          <w:ilvl w:val="2"/>
          <w:numId w:val="3"/>
        </w:numPr>
        <w:ind w:left="0" w:firstLine="709"/>
        <w:jc w:val="both"/>
        <w:tabs>
          <w:tab w:val="num" w:pos="960" w:leader="none"/>
        </w:tabs>
      </w:pPr>
      <w:r>
        <w:t xml:space="preserve">В случае предоставления обеспечения исполнения договора путем направления независимой гарантии, независимая гарантия независимая гарантия должна соответствовать следующим требованиям:</w:t>
      </w:r>
      <w:r/>
    </w:p>
    <w:p>
      <w:pPr>
        <w:ind w:firstLine="709"/>
        <w:jc w:val="both"/>
      </w:pPr>
      <w:r>
        <w:t xml:space="preserve">1)</w:t>
      </w:r>
      <w:r>
        <w:tab/>
        <w:t xml:space="preserve">независимая гарантия должна быть выдана гарантом, предусмотренным частью 1 статьи 45 Федерального закона от 5 апреля 2013 года N 44-ФЗ;</w:t>
      </w:r>
      <w:r/>
    </w:p>
    <w:p>
      <w:pPr>
        <w:ind w:firstLine="709"/>
        <w:jc w:val="both"/>
      </w:pPr>
      <w:r>
        <w:t xml:space="preserve">2)</w:t>
      </w:r>
      <w:r>
        <w:tab/>
        <w:t xml:space="preserve">информация о независимой гарантии должна быть включена в реестр независимых гарантий, предусмотренный частью 8 статьи 45 Федерального закона от 5 апреля 2013 года N 44-ФЗ;</w:t>
      </w:r>
      <w:r/>
    </w:p>
    <w:p>
      <w:pPr>
        <w:ind w:firstLine="709"/>
        <w:jc w:val="both"/>
      </w:pPr>
      <w:r>
        <w:t xml:space="preserve">3)</w:t>
      </w:r>
      <w:r>
        <w:tab/>
        <w:t xml:space="preserve">независимая гарантия не может быть отозвана выдавшим ее гарантом;</w:t>
      </w:r>
      <w:r/>
    </w:p>
    <w:p>
      <w:pPr>
        <w:ind w:firstLine="709"/>
        <w:jc w:val="both"/>
      </w:pPr>
      <w:r>
        <w:t xml:space="preserve">4)</w:t>
      </w:r>
      <w:r>
        <w:tab/>
        <w:t xml:space="preserve">независимая гарантия должна содержать:</w:t>
      </w:r>
      <w:r/>
    </w:p>
    <w:p>
      <w:pPr>
        <w:ind w:firstLine="709"/>
        <w:jc w:val="both"/>
      </w:pPr>
      <w:r>
        <w:t xml:space="preserve">а) условие об обязанности гаранта уплатить Заказчику (бенефициару) денежную сумму по независимой гарантии не позднее 10 (десяти) рабочих дней со дня, </w:t>
      </w:r>
      <w:r>
        <w:t xml:space="preserve">следующего за днем получения гарантом требования заказчика (бенефициара), соответствующего условиям такой независимой гарантии, при отсутствии предусмотренных Гражданским кодексом Российской Федерации оснований для отказа в удовлетворении этого требования;</w:t>
      </w:r>
      <w:r/>
    </w:p>
    <w:p>
      <w:pPr>
        <w:ind w:firstLine="709"/>
        <w:jc w:val="both"/>
      </w:pPr>
      <w:r>
        <w:t xml:space="preserve">б) перечень документов, подлежащих пре</w:t>
      </w:r>
      <w:r>
        <w:t xml:space="preserve">дставлению Заказчиком гаранту одновременно с требованием об уплате денежной суммы по независимой гарантии, в случае установления такого перечня Правительством Российской Федерации в соответствии с пунктом 4 части 32 статьи 3.4 Федерального закона № 223-ФЗ;</w:t>
      </w:r>
      <w:r/>
    </w:p>
    <w:p>
      <w:pPr>
        <w:ind w:firstLine="709"/>
        <w:jc w:val="both"/>
      </w:pPr>
      <w:r>
        <w:t xml:space="preserve">в) должна содержать указание на срок ее действия, который не может составлять менее одного месяца с даты окончания предусмотренного извещением о такой закупке срока исполнения основного обязательства;</w:t>
      </w:r>
      <w:r/>
    </w:p>
    <w:p>
      <w:pPr>
        <w:ind w:firstLine="709"/>
        <w:jc w:val="both"/>
      </w:pPr>
      <w:r>
        <w:t xml:space="preserve">г) не должна содержать условие о представлении Заказчиком гаранту судебных актов, подтверждающих неисполнение участником закупки обязательств, обеспечиваемых независимой гарантией.</w:t>
      </w:r>
      <w:r/>
    </w:p>
    <w:p>
      <w:pPr>
        <w:numPr>
          <w:ilvl w:val="2"/>
          <w:numId w:val="3"/>
        </w:numPr>
        <w:ind w:left="0" w:firstLine="709"/>
        <w:jc w:val="both"/>
        <w:tabs>
          <w:tab w:val="num" w:pos="960" w:leader="none"/>
        </w:tabs>
        <w:rPr>
          <w:bCs/>
        </w:rPr>
      </w:pPr>
      <w:r>
        <w:t xml:space="preserve">Все расходы, связанные с получением обеспечения исполнения договора, участник несет самостоятельно, возмещению со стороны Заказчика указанные расходы не подлежат.</w:t>
      </w:r>
      <w:r>
        <w:rPr>
          <w:bCs/>
        </w:rPr>
      </w:r>
      <w:r>
        <w:rPr>
          <w:bCs/>
        </w:rPr>
      </w:r>
    </w:p>
    <w:p>
      <w:pPr>
        <w:pStyle w:val="989"/>
        <w:numPr>
          <w:ilvl w:val="1"/>
          <w:numId w:val="3"/>
        </w:numPr>
        <w:ind w:left="0" w:firstLine="709"/>
        <w:jc w:val="both"/>
        <w:keepNext/>
        <w:spacing w:before="120" w:beforeAutospacing="0" w:after="120" w:afterAutospacing="0"/>
        <w:tabs>
          <w:tab w:val="num" w:pos="1276" w:leader="none"/>
        </w:tabs>
        <w:rPr>
          <w:b/>
        </w:rPr>
        <w:outlineLvl w:val="1"/>
      </w:pPr>
      <w:r/>
      <w:bookmarkStart w:id="177" w:name="_Toc54336120"/>
      <w:r/>
      <w:bookmarkStart w:id="178" w:name="_Ref55322343"/>
      <w:r/>
      <w:bookmarkStart w:id="179" w:name="_Toc190199558"/>
      <w:r>
        <w:rPr>
          <w:b/>
        </w:rPr>
        <w:t xml:space="preserve">Последствия уклонения участника от заключения договора, случаи внесения сведений об участнике в реестр недобросовестных поставщиков</w:t>
      </w:r>
      <w:bookmarkEnd w:id="177"/>
      <w:r/>
      <w:bookmarkEnd w:id="178"/>
      <w:r/>
      <w:bookmarkEnd w:id="179"/>
      <w:r>
        <w:rPr>
          <w:b/>
        </w:rPr>
      </w:r>
      <w:r>
        <w:rPr>
          <w:b/>
        </w:rPr>
      </w:r>
    </w:p>
    <w:p>
      <w:pPr>
        <w:numPr>
          <w:ilvl w:val="2"/>
          <w:numId w:val="3"/>
        </w:numPr>
        <w:ind w:left="0" w:firstLine="709"/>
        <w:jc w:val="both"/>
        <w:tabs>
          <w:tab w:val="num" w:pos="851" w:leader="none"/>
        </w:tabs>
        <w:rPr>
          <w:spacing w:val="-6"/>
        </w:rPr>
      </w:pPr>
      <w:r>
        <w:rPr>
          <w:spacing w:val="-6"/>
        </w:rPr>
        <w:t xml:space="preserve">Под уклонением от заключения договора понимаются действия лица, с которым заключается договор:</w:t>
      </w:r>
      <w:bookmarkStart w:id="180" w:name="_Ref55322259"/>
      <w:r>
        <w:rPr>
          <w:spacing w:val="-6"/>
        </w:rPr>
      </w:r>
      <w:r>
        <w:rPr>
          <w:spacing w:val="-6"/>
        </w:rPr>
      </w:r>
    </w:p>
    <w:p>
      <w:pPr>
        <w:pStyle w:val="979"/>
        <w:numPr>
          <w:ilvl w:val="0"/>
          <w:numId w:val="19"/>
        </w:numPr>
        <w:ind w:left="1134"/>
        <w:jc w:val="both"/>
        <w:rPr>
          <w:spacing w:val="-6"/>
        </w:rPr>
      </w:pPr>
      <w:r>
        <w:rPr>
          <w:bCs/>
          <w:color w:val="000000"/>
        </w:rPr>
        <w:t xml:space="preserve">Непредставление подписанного договора в сроки, предусмотренные разделом </w:t>
      </w:r>
      <w:r>
        <w:rPr>
          <w:bCs/>
          <w:color w:val="000000"/>
        </w:rPr>
        <w:fldChar w:fldCharType="begin"/>
      </w:r>
      <w:r>
        <w:rPr>
          <w:bCs/>
          <w:color w:val="000000"/>
        </w:rPr>
        <w:instrText xml:space="preserve"> REF _Ref190180969 \r \h </w:instrText>
      </w:r>
      <w:r>
        <w:rPr>
          <w:bCs/>
          <w:color w:val="000000"/>
        </w:rPr>
        <w:fldChar w:fldCharType="separate"/>
      </w:r>
      <w:r>
        <w:rPr>
          <w:bCs/>
          <w:color w:val="000000"/>
        </w:rPr>
        <w:t xml:space="preserve">8</w:t>
      </w:r>
      <w:r>
        <w:rPr>
          <w:bCs/>
          <w:color w:val="000000"/>
        </w:rPr>
        <w:fldChar w:fldCharType="end"/>
      </w:r>
      <w:r>
        <w:rPr>
          <w:bCs/>
          <w:color w:val="000000"/>
        </w:rPr>
        <w:t xml:space="preserve"> настоящей документации. </w:t>
      </w:r>
      <w:r>
        <w:rPr>
          <w:spacing w:val="-6"/>
        </w:rPr>
      </w:r>
      <w:r>
        <w:rPr>
          <w:spacing w:val="-6"/>
        </w:rPr>
      </w:r>
    </w:p>
    <w:p>
      <w:pPr>
        <w:pStyle w:val="979"/>
        <w:numPr>
          <w:ilvl w:val="0"/>
          <w:numId w:val="19"/>
        </w:numPr>
        <w:ind w:left="1134"/>
        <w:jc w:val="both"/>
        <w:rPr>
          <w:spacing w:val="-6"/>
        </w:rPr>
      </w:pPr>
      <w:r>
        <w:rPr>
          <w:bCs/>
          <w:color w:val="000000"/>
        </w:rPr>
        <w:t xml:space="preserve">Непредставление обеспечения исполнения догов</w:t>
      </w:r>
      <w:r>
        <w:rPr>
          <w:bCs/>
          <w:color w:val="000000"/>
        </w:rPr>
        <w:t xml:space="preserve">ора, в том числе предоставление обеспечения исполнения договора в меньшем размере, предоставление обеспечения исполнения договора с нарушением требований извещения и(или) документации или предоставление обеспечения исполнения договора в ненадлежащей форме.</w:t>
      </w:r>
      <w:r>
        <w:rPr>
          <w:spacing w:val="-6"/>
        </w:rPr>
      </w:r>
      <w:r>
        <w:rPr>
          <w:spacing w:val="-6"/>
        </w:rPr>
      </w:r>
    </w:p>
    <w:p>
      <w:pPr>
        <w:pStyle w:val="979"/>
        <w:numPr>
          <w:ilvl w:val="0"/>
          <w:numId w:val="19"/>
        </w:numPr>
        <w:ind w:left="1134"/>
        <w:jc w:val="both"/>
        <w:rPr>
          <w:spacing w:val="-6"/>
        </w:rPr>
      </w:pPr>
      <w:r>
        <w:rPr>
          <w:bCs/>
          <w:color w:val="000000"/>
        </w:rPr>
        <w:t xml:space="preserve">Поступление Заказчику в письменной форме заявления об отказе </w:t>
      </w:r>
      <w:r>
        <w:rPr>
          <w:bCs/>
          <w:color w:val="000000"/>
        </w:rPr>
        <w:br/>
        <w:t xml:space="preserve">от подписания договора.</w:t>
      </w:r>
      <w:r>
        <w:rPr>
          <w:spacing w:val="-6"/>
        </w:rPr>
      </w:r>
      <w:r>
        <w:rPr>
          <w:spacing w:val="-6"/>
        </w:rPr>
      </w:r>
    </w:p>
    <w:p>
      <w:pPr>
        <w:pStyle w:val="979"/>
        <w:numPr>
          <w:ilvl w:val="0"/>
          <w:numId w:val="19"/>
        </w:numPr>
        <w:ind w:left="1134"/>
        <w:jc w:val="both"/>
        <w:rPr>
          <w:spacing w:val="-6"/>
        </w:rPr>
      </w:pPr>
      <w:r>
        <w:rPr>
          <w:bCs/>
          <w:color w:val="000000"/>
        </w:rPr>
        <w:t xml:space="preserve">Предъявление встречных требований по условиям договора, </w:t>
      </w:r>
      <w:r>
        <w:rPr>
          <w:bCs/>
          <w:color w:val="000000"/>
        </w:rPr>
        <w:br/>
        <w:t xml:space="preserve">за исключением случаев, предусмотренных извещением и (или) документацией.</w:t>
      </w:r>
      <w:r>
        <w:rPr>
          <w:spacing w:val="-6"/>
        </w:rPr>
      </w:r>
      <w:r>
        <w:rPr>
          <w:spacing w:val="-6"/>
        </w:rPr>
      </w:r>
    </w:p>
    <w:p>
      <w:pPr>
        <w:numPr>
          <w:ilvl w:val="2"/>
          <w:numId w:val="3"/>
        </w:numPr>
        <w:ind w:left="0" w:firstLine="709"/>
        <w:jc w:val="both"/>
        <w:tabs>
          <w:tab w:val="num" w:pos="851" w:leader="none"/>
        </w:tabs>
        <w:rPr>
          <w:spacing w:val="-6"/>
        </w:rPr>
      </w:pPr>
      <w:r>
        <w:rPr>
          <w:spacing w:val="-6"/>
        </w:rPr>
        <w:t xml:space="preserve">При уклонении лица, с которым заключается договор, от подписания такого договора, Заказчик:</w:t>
      </w:r>
      <w:bookmarkEnd w:id="180"/>
      <w:r>
        <w:rPr>
          <w:spacing w:val="-6"/>
        </w:rPr>
      </w:r>
      <w:r>
        <w:rPr>
          <w:spacing w:val="-6"/>
        </w:rPr>
      </w:r>
    </w:p>
    <w:p>
      <w:pPr>
        <w:ind w:firstLine="709"/>
        <w:jc w:val="both"/>
      </w:pPr>
      <w:r>
        <w:t xml:space="preserve">1)</w:t>
      </w:r>
      <w:r>
        <w:tab/>
        <w:t xml:space="preserve">удерживает обеспечение заявки такого лица (если требование о предоставлении обеспечения заявки установлено настоящей документацией);</w:t>
      </w:r>
      <w:r/>
    </w:p>
    <w:p>
      <w:pPr>
        <w:ind w:firstLine="709"/>
        <w:jc w:val="both"/>
      </w:pPr>
      <w:r>
        <w:t xml:space="preserve">2)</w:t>
      </w:r>
      <w:r>
        <w:tab/>
        <w:t xml:space="preserve">направл</w:t>
      </w:r>
      <w:r>
        <w:t xml:space="preserve">яет предложение в соответствующий орган о включении сведений о таком лице в реестр недобросовестных поставщиков, ведение которого осуществляется в соответствии с действующим законодательством РФ и принятыми во исполнение него нормативными правовыми актами.</w:t>
      </w:r>
      <w:r/>
    </w:p>
    <w:p>
      <w:pPr>
        <w:numPr>
          <w:ilvl w:val="2"/>
          <w:numId w:val="3"/>
        </w:numPr>
        <w:ind w:left="0" w:firstLine="709"/>
        <w:jc w:val="both"/>
        <w:tabs>
          <w:tab w:val="num" w:pos="851" w:leader="none"/>
        </w:tabs>
        <w:rPr>
          <w:spacing w:val="-6"/>
        </w:rPr>
      </w:pPr>
      <w:r>
        <w:rPr>
          <w:bCs/>
        </w:rPr>
        <w:t xml:space="preserve">В случае если после признания коллективного участника победителем процедуры закупки, коллективный участник отказывается от заключения договора, данный коллективный участник признается уклонившимся от заключения договора. </w:t>
      </w:r>
      <w:r>
        <w:rPr>
          <w:spacing w:val="-6"/>
        </w:rPr>
      </w:r>
      <w:r>
        <w:rPr>
          <w:spacing w:val="-6"/>
        </w:rPr>
      </w:r>
    </w:p>
    <w:p>
      <w:pPr>
        <w:pStyle w:val="989"/>
        <w:numPr>
          <w:ilvl w:val="1"/>
          <w:numId w:val="3"/>
        </w:numPr>
        <w:ind w:left="0" w:firstLine="709"/>
        <w:jc w:val="both"/>
        <w:keepNext/>
        <w:spacing w:before="120" w:beforeAutospacing="0" w:after="120" w:afterAutospacing="0"/>
        <w:tabs>
          <w:tab w:val="num" w:pos="1276" w:leader="none"/>
        </w:tabs>
        <w:rPr>
          <w:b/>
        </w:rPr>
        <w:outlineLvl w:val="1"/>
      </w:pPr>
      <w:r/>
      <w:bookmarkStart w:id="181" w:name="_Toc190199559"/>
      <w:r>
        <w:rPr>
          <w:b/>
        </w:rPr>
        <w:t xml:space="preserve">Обеспечение защиты прав и законных интересов участников закупки</w:t>
      </w:r>
      <w:bookmarkEnd w:id="181"/>
      <w:r>
        <w:rPr>
          <w:b/>
        </w:rPr>
        <w:t xml:space="preserve"> </w:t>
      </w:r>
      <w:r>
        <w:rPr>
          <w:b/>
        </w:rPr>
      </w:r>
      <w:r>
        <w:rPr>
          <w:b/>
        </w:rPr>
      </w:r>
    </w:p>
    <w:p>
      <w:pPr>
        <w:ind w:firstLine="709"/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 xml:space="preserve">Любой участник закупки вправе обжаловать в антимонопольном органе в порядке, установленном </w:t>
      </w:r>
      <w:hyperlink r:id="rId15" w:tooltip="http://www.consultant.ru/document/cons_doc_LAW_291280/4fd2ccf6a182a2b787ee4617151ecac811a23b50/#dst692" w:anchor="dst692" w:history="1">
        <w:r>
          <w:rPr>
            <w:rStyle w:val="978"/>
            <w:color w:val="000000"/>
            <w:shd w:val="clear" w:color="auto" w:fill="ffffff"/>
          </w:rPr>
          <w:t xml:space="preserve">статьей 18.1</w:t>
        </w:r>
      </w:hyperlink>
      <w:r>
        <w:rPr>
          <w:color w:val="000000"/>
          <w:shd w:val="clear" w:color="auto" w:fill="ffffff"/>
        </w:rPr>
        <w:t xml:space="preserve"> Федерального закона от 26 июля 2006 года N 135-ФЗ «О защите конкуренции», с учетом особенностей, установленных</w:t>
      </w:r>
      <w:r>
        <w:rPr>
          <w:color w:val="000000"/>
        </w:rPr>
        <w:t xml:space="preserve"> ст. 3 Федерального закона от 18 июля 2011 г. № 223-ФЗ «О закупках товаров, работ, услуг отдельными видами юридических лиц»,</w:t>
      </w:r>
      <w:r>
        <w:rPr>
          <w:color w:val="000000"/>
          <w:shd w:val="clear" w:color="auto" w:fill="ffffff"/>
        </w:rPr>
        <w:t xml:space="preserve"> действия (бездействие) Заказчика, комиссии, оператора ЭП при закупке товаров, работ, услуг, если такие действия (бездействие) нарушают права и законные интересы участника закупки.</w:t>
      </w:r>
      <w:r>
        <w:rPr>
          <w:color w:val="000000"/>
          <w:shd w:val="clear" w:color="auto" w:fill="ffffff"/>
        </w:rPr>
      </w:r>
      <w:r>
        <w:rPr>
          <w:color w:val="000000"/>
          <w:shd w:val="clear" w:color="auto" w:fill="ffffff"/>
        </w:rPr>
      </w:r>
    </w:p>
    <w:p>
      <w:pPr>
        <w:rPr>
          <w:color w:val="000000"/>
        </w:rPr>
      </w:pPr>
      <w:r>
        <w:rPr>
          <w:color w:val="000000"/>
        </w:rPr>
        <w:br w:type="page" w:clear="all"/>
      </w:r>
      <w:r>
        <w:rPr>
          <w:color w:val="000000"/>
        </w:rPr>
      </w:r>
      <w:r>
        <w:rPr>
          <w:color w:val="000000"/>
        </w:rPr>
      </w:r>
    </w:p>
    <w:p>
      <w:pPr>
        <w:pStyle w:val="813"/>
        <w:ind w:left="792" w:hanging="360"/>
        <w:jc w:val="both"/>
        <w:keepLines w:val="0"/>
        <w:spacing w:before="240" w:after="120"/>
        <w:tabs>
          <w:tab w:val="left" w:pos="6424" w:leader="none"/>
        </w:tabs>
        <w:rPr>
          <w:rFonts w:ascii="Times New Roman" w:hAnsi="Times New Roman" w:eastAsia="MS Mincho"/>
          <w:color w:val="17365d"/>
          <w:szCs w:val="24"/>
        </w:rPr>
      </w:pPr>
      <w:r/>
      <w:bookmarkStart w:id="182" w:name="_РАЗДЕЛ_II._ИНФОРМАЦИОННАЯ_1"/>
      <w:r/>
      <w:bookmarkStart w:id="183" w:name="_Toc54336124"/>
      <w:r/>
      <w:bookmarkStart w:id="184" w:name="_Toc190199560"/>
      <w:r/>
      <w:bookmarkEnd w:id="130"/>
      <w:r/>
      <w:bookmarkEnd w:id="131"/>
      <w:r/>
      <w:bookmarkEnd w:id="182"/>
      <w:r>
        <w:rPr>
          <w:rFonts w:ascii="Times New Roman" w:hAnsi="Times New Roman" w:eastAsia="MS Mincho"/>
          <w:color w:val="17365d"/>
          <w:szCs w:val="24"/>
        </w:rPr>
        <w:t xml:space="preserve">РАЗДЕЛ II. ИНФОРМАЦИОННАЯ КАРТА</w:t>
      </w:r>
      <w:bookmarkEnd w:id="33"/>
      <w:r/>
      <w:bookmarkEnd w:id="183"/>
      <w:r/>
      <w:bookmarkEnd w:id="184"/>
      <w:r>
        <w:rPr>
          <w:rFonts w:ascii="Times New Roman" w:hAnsi="Times New Roman" w:eastAsia="MS Mincho"/>
          <w:color w:val="17365d"/>
          <w:szCs w:val="24"/>
        </w:rPr>
      </w:r>
      <w:r>
        <w:rPr>
          <w:rFonts w:ascii="Times New Roman" w:hAnsi="Times New Roman" w:eastAsia="MS Mincho"/>
          <w:color w:val="17365d"/>
          <w:szCs w:val="24"/>
        </w:rPr>
      </w:r>
    </w:p>
    <w:tbl>
      <w:tblPr>
        <w:tblW w:w="11057" w:type="dxa"/>
        <w:tblInd w:w="-572" w:type="dxa"/>
        <w:tblLook w:val="0000" w:firstRow="0" w:lastRow="0" w:firstColumn="0" w:lastColumn="0" w:noHBand="0" w:noVBand="0"/>
      </w:tblPr>
      <w:tblGrid>
        <w:gridCol w:w="656"/>
        <w:gridCol w:w="2980"/>
        <w:gridCol w:w="7421"/>
      </w:tblGrid>
      <w:tr>
        <w:tblPrEx/>
        <w:trPr>
          <w:tblHeader/>
        </w:trPr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56" w:type="dxa"/>
            <w:vAlign w:val="center"/>
            <w:textDirection w:val="lrTb"/>
            <w:noWrap w:val="false"/>
          </w:tcPr>
          <w:p>
            <w:pPr>
              <w:jc w:val="center"/>
              <w:rPr>
                <w:b/>
                <w:sz w:val="22"/>
                <w:szCs w:val="22"/>
              </w:rPr>
            </w:pPr>
            <w:r/>
            <w:bookmarkStart w:id="185" w:name="_2.1._Общие_сведения"/>
            <w:r/>
            <w:bookmarkEnd w:id="185"/>
            <w:r>
              <w:rPr>
                <w:b/>
                <w:sz w:val="22"/>
                <w:szCs w:val="22"/>
              </w:rPr>
              <w:t xml:space="preserve">№</w: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</w:p>
          <w:p>
            <w:pPr>
              <w:pStyle w:val="982"/>
              <w:jc w:val="center"/>
              <w:tabs>
                <w:tab w:val="clear" w:pos="4677" w:leader="none"/>
                <w:tab w:val="clear" w:pos="9355" w:leader="none"/>
              </w:tabs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п/п</w: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</w:p>
        </w:tc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80" w:type="dxa"/>
            <w:vAlign w:val="center"/>
            <w:textDirection w:val="lrTb"/>
            <w:noWrap w:val="false"/>
          </w:tcPr>
          <w:p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Наименование п/п</w: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</w:p>
        </w:tc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421" w:type="dxa"/>
            <w:vAlign w:val="center"/>
            <w:textDirection w:val="lrTb"/>
            <w:noWrap w:val="false"/>
          </w:tcPr>
          <w:p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Содержание п/п</w: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56" w:type="dxa"/>
            <w:vAlign w:val="center"/>
            <w:textDirection w:val="lrTb"/>
            <w:noWrap w:val="false"/>
          </w:tcPr>
          <w:p>
            <w:pPr>
              <w:pStyle w:val="977"/>
              <w:numPr>
                <w:ilvl w:val="0"/>
                <w:numId w:val="1"/>
              </w:numPr>
              <w:ind w:left="0" w:firstLine="0"/>
              <w:jc w:val="left"/>
              <w:tabs>
                <w:tab w:val="left" w:pos="0" w:leader="none"/>
              </w:tabs>
              <w:rPr>
                <w:b/>
                <w:sz w:val="22"/>
                <w:szCs w:val="22"/>
              </w:rPr>
            </w:pPr>
            <w:r/>
            <w:bookmarkStart w:id="186" w:name="_Ref368314103"/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80" w:type="dxa"/>
            <w:vAlign w:val="center"/>
            <w:textDirection w:val="lrTb"/>
            <w:noWrap w:val="false"/>
          </w:tcPr>
          <w:p>
            <w:pPr>
              <w:pStyle w:val="977"/>
              <w:jc w:val="left"/>
              <w:rPr>
                <w:b/>
                <w:sz w:val="22"/>
                <w:szCs w:val="22"/>
              </w:rPr>
            </w:pPr>
            <w:r/>
            <w:bookmarkStart w:id="187" w:name="_Ref55316328"/>
            <w:r/>
            <w:bookmarkEnd w:id="186"/>
            <w:r>
              <w:rPr>
                <w:b/>
                <w:bCs/>
                <w:sz w:val="22"/>
                <w:szCs w:val="22"/>
              </w:rPr>
              <w:t xml:space="preserve">Фирменное наименование, место нахождения, почтовый адрес, адрес электронной почты, номер контактного телефона Заказчика </w:t>
            </w:r>
            <w:bookmarkEnd w:id="187"/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421" w:type="dxa"/>
            <w:vAlign w:val="center"/>
            <w:textDirection w:val="lrTb"/>
            <w:noWrap w:val="false"/>
          </w:tcPr>
          <w:p>
            <w:pPr>
              <w:jc w:val="both"/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  <w:t xml:space="preserve">Акционерное общество «Российские сети вещания и оповещения» (АО «РСВО»)</w:t>
            </w:r>
            <w:r>
              <w:rPr>
                <w:sz w:val="22"/>
                <w:szCs w:val="22"/>
                <w:lang w:eastAsia="zh-CN"/>
              </w:rPr>
            </w:r>
            <w:r>
              <w:rPr>
                <w:sz w:val="22"/>
                <w:szCs w:val="22"/>
                <w:lang w:eastAsia="zh-CN"/>
              </w:rPr>
            </w:r>
          </w:p>
          <w:p>
            <w:pPr>
              <w:ind w:firstLine="27"/>
              <w:jc w:val="both"/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  <w:t xml:space="preserve">Место нахождения: 105094, г. Москва, ул. Семеновский вал, дом 4</w:t>
            </w:r>
            <w:r>
              <w:rPr>
                <w:sz w:val="22"/>
                <w:szCs w:val="22"/>
                <w:lang w:eastAsia="zh-CN"/>
              </w:rPr>
            </w:r>
            <w:r>
              <w:rPr>
                <w:sz w:val="22"/>
                <w:szCs w:val="22"/>
                <w:lang w:eastAsia="zh-CN"/>
              </w:rPr>
            </w:r>
          </w:p>
          <w:p>
            <w:pPr>
              <w:pStyle w:val="1045"/>
              <w:jc w:val="both"/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  <w:t xml:space="preserve">Почтовый адрес: 105094, г. Москва, ул. Семеновский вал, дом 4.</w:t>
            </w:r>
            <w:r>
              <w:rPr>
                <w:sz w:val="22"/>
                <w:szCs w:val="22"/>
                <w:lang w:eastAsia="zh-CN"/>
              </w:rPr>
            </w:r>
            <w:r>
              <w:rPr>
                <w:sz w:val="22"/>
                <w:szCs w:val="22"/>
                <w:lang w:eastAsia="zh-CN"/>
              </w:rPr>
            </w:r>
          </w:p>
          <w:p>
            <w:pPr>
              <w:pStyle w:val="1045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</w:r>
            <w:r>
              <w:rPr>
                <w:bCs/>
                <w:sz w:val="22"/>
                <w:szCs w:val="22"/>
              </w:rPr>
            </w:r>
            <w:r>
              <w:rPr>
                <w:bCs/>
                <w:sz w:val="22"/>
                <w:szCs w:val="22"/>
              </w:rPr>
            </w:r>
          </w:p>
          <w:p>
            <w:pPr>
              <w:pStyle w:val="1045"/>
              <w:jc w:val="both"/>
              <w:rPr>
                <w:bCs/>
                <w:color w:val="000000" w:themeColor="text1"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Ответственное лицо Заказчика п</w:t>
            </w:r>
            <w:r>
              <w:rPr>
                <w:bCs/>
                <w:color w:val="000000" w:themeColor="text1"/>
                <w:sz w:val="22"/>
                <w:szCs w:val="22"/>
              </w:rPr>
              <w:t xml:space="preserve">о вопросам проведения закупки:</w:t>
            </w:r>
            <w:r>
              <w:rPr>
                <w:bCs/>
                <w:color w:val="000000" w:themeColor="text1"/>
                <w:sz w:val="22"/>
                <w:szCs w:val="22"/>
              </w:rPr>
            </w:r>
            <w:r>
              <w:rPr>
                <w:bCs/>
                <w:color w:val="000000" w:themeColor="text1"/>
                <w:sz w:val="22"/>
                <w:szCs w:val="22"/>
              </w:rPr>
            </w:r>
          </w:p>
          <w:p>
            <w:pPr>
              <w:pStyle w:val="1045"/>
              <w:jc w:val="both"/>
              <w:rPr>
                <w:bCs/>
                <w:color w:val="000000" w:themeColor="text1"/>
                <w:sz w:val="22"/>
                <w:szCs w:val="22"/>
              </w:rPr>
            </w:pPr>
            <w:r>
              <w:rPr>
                <w:bCs/>
                <w:color w:val="000000" w:themeColor="text1"/>
                <w:sz w:val="22"/>
                <w:szCs w:val="22"/>
              </w:rPr>
              <w:t xml:space="preserve">ФИО</w:t>
            </w:r>
            <w:r>
              <w:rPr>
                <w:color w:val="000000" w:themeColor="text1"/>
              </w:rPr>
              <w:t xml:space="preserve"> </w:t>
            </w:r>
            <w:r>
              <w:rPr>
                <w:color w:val="000000" w:themeColor="text1"/>
              </w:rPr>
              <w:t xml:space="preserve">Шалимов Виталий Сергеевич</w:t>
            </w:r>
            <w:r>
              <w:rPr>
                <w:bCs/>
                <w:color w:val="000000" w:themeColor="text1"/>
                <w:sz w:val="22"/>
                <w:szCs w:val="22"/>
              </w:rPr>
            </w:r>
            <w:r>
              <w:rPr>
                <w:bCs/>
                <w:color w:val="000000" w:themeColor="text1"/>
                <w:sz w:val="22"/>
                <w:szCs w:val="22"/>
              </w:rPr>
            </w:r>
          </w:p>
          <w:p>
            <w:pPr>
              <w:pStyle w:val="1045"/>
              <w:jc w:val="both"/>
              <w:rPr>
                <w:color w:val="000000" w:themeColor="text1"/>
                <w:sz w:val="22"/>
                <w:szCs w:val="22"/>
              </w:rPr>
            </w:pPr>
            <w:r>
              <w:rPr>
                <w:bCs/>
                <w:color w:val="000000" w:themeColor="text1"/>
                <w:sz w:val="22"/>
                <w:szCs w:val="22"/>
              </w:rPr>
              <w:t xml:space="preserve">тел. 7 (495)788 89 99 доб. </w:t>
            </w:r>
            <w:r>
              <w:rPr>
                <w:bCs/>
                <w:color w:val="000000" w:themeColor="text1"/>
                <w:sz w:val="22"/>
                <w:szCs w:val="22"/>
              </w:rPr>
              <w:t xml:space="preserve">44-64</w:t>
            </w:r>
            <w:r>
              <w:rPr>
                <w:bCs/>
                <w:color w:val="000000" w:themeColor="text1"/>
                <w:sz w:val="22"/>
                <w:szCs w:val="22"/>
              </w:rPr>
              <w:t xml:space="preserve">, </w:t>
            </w:r>
            <w:r>
              <w:rPr>
                <w:bCs/>
                <w:color w:val="000000" w:themeColor="text1"/>
                <w:sz w:val="22"/>
                <w:szCs w:val="22"/>
                <w:lang w:val="en-US"/>
              </w:rPr>
              <w:t xml:space="preserve">e</w:t>
            </w:r>
            <w:r>
              <w:rPr>
                <w:bCs/>
                <w:color w:val="000000" w:themeColor="text1"/>
                <w:sz w:val="22"/>
                <w:szCs w:val="22"/>
              </w:rPr>
              <w:t xml:space="preserve">-</w:t>
            </w:r>
            <w:r>
              <w:rPr>
                <w:bCs/>
                <w:color w:val="000000" w:themeColor="text1"/>
                <w:sz w:val="22"/>
                <w:szCs w:val="22"/>
                <w:lang w:val="en-US"/>
              </w:rPr>
              <w:t xml:space="preserve">mail</w:t>
            </w:r>
            <w:r>
              <w:rPr>
                <w:bCs/>
                <w:color w:val="000000" w:themeColor="text1"/>
                <w:sz w:val="22"/>
                <w:szCs w:val="22"/>
              </w:rPr>
              <w:t xml:space="preserve">:</w:t>
            </w:r>
            <w:r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 vshalimov</w:t>
            </w:r>
            <w:r>
              <w:rPr>
                <w:bCs/>
                <w:color w:val="000000" w:themeColor="text1"/>
                <w:sz w:val="22"/>
                <w:szCs w:val="22"/>
              </w:rPr>
              <w:t xml:space="preserve">@msk.rsvo.ru</w:t>
            </w:r>
            <w:r>
              <w:rPr>
                <w:color w:val="000000" w:themeColor="text1"/>
                <w:sz w:val="22"/>
                <w:szCs w:val="22"/>
              </w:rPr>
            </w:r>
            <w:r>
              <w:rPr>
                <w:color w:val="000000" w:themeColor="text1"/>
                <w:sz w:val="22"/>
                <w:szCs w:val="22"/>
              </w:rPr>
            </w:r>
          </w:p>
        </w:tc>
      </w:tr>
      <w:tr>
        <w:tblPrEx/>
        <w:trPr>
          <w:trHeight w:val="852"/>
        </w:trPr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656" w:type="dxa"/>
            <w:vAlign w:val="center"/>
            <w:textDirection w:val="lrTb"/>
            <w:noWrap w:val="false"/>
          </w:tcPr>
          <w:p>
            <w:pPr>
              <w:pStyle w:val="982"/>
              <w:numPr>
                <w:ilvl w:val="0"/>
                <w:numId w:val="1"/>
              </w:numPr>
              <w:ind w:left="0" w:firstLine="0"/>
              <w:tabs>
                <w:tab w:val="left" w:pos="0" w:leader="none"/>
                <w:tab w:val="clear" w:pos="4677" w:leader="none"/>
                <w:tab w:val="clear" w:pos="9355" w:leader="none"/>
              </w:tabs>
              <w:rPr>
                <w:b/>
                <w:sz w:val="22"/>
                <w:szCs w:val="22"/>
              </w:rPr>
            </w:pPr>
            <w:r/>
            <w:bookmarkStart w:id="188" w:name="_Ref378108959"/>
            <w:r/>
            <w:bookmarkEnd w:id="188"/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2980" w:type="dxa"/>
            <w:vAlign w:val="center"/>
            <w:textDirection w:val="lrTb"/>
            <w:noWrap w:val="false"/>
          </w:tcPr>
          <w:p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Электронная площадка</w: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7421" w:type="dxa"/>
            <w:vAlign w:val="center"/>
            <w:textDirection w:val="lrTb"/>
            <w:noWrap w:val="false"/>
          </w:tcPr>
          <w:p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https://tender.lot-online.ru/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56" w:type="dxa"/>
            <w:vAlign w:val="center"/>
            <w:textDirection w:val="lrTb"/>
            <w:noWrap w:val="false"/>
          </w:tcPr>
          <w:p>
            <w:pPr>
              <w:pStyle w:val="982"/>
              <w:numPr>
                <w:ilvl w:val="0"/>
                <w:numId w:val="1"/>
              </w:numPr>
              <w:ind w:left="0" w:firstLine="0"/>
              <w:tabs>
                <w:tab w:val="left" w:pos="0" w:leader="none"/>
                <w:tab w:val="clear" w:pos="4677" w:leader="none"/>
                <w:tab w:val="clear" w:pos="9355" w:leader="none"/>
              </w:tabs>
              <w:rPr>
                <w:b/>
                <w:sz w:val="22"/>
                <w:szCs w:val="22"/>
              </w:rPr>
            </w:pPr>
            <w:r/>
            <w:bookmarkStart w:id="189" w:name="_Ref55316542"/>
            <w:r/>
            <w:bookmarkEnd w:id="189"/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80" w:type="dxa"/>
            <w:vAlign w:val="center"/>
            <w:textDirection w:val="lrTb"/>
            <w:noWrap w:val="false"/>
          </w:tcPr>
          <w:p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Количество лотов</w: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421" w:type="dxa"/>
            <w:vAlign w:val="center"/>
            <w:textDirection w:val="lrTb"/>
            <w:noWrap w:val="false"/>
          </w:tcPr>
          <w:p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(один) лот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56" w:type="dxa"/>
            <w:vAlign w:val="center"/>
            <w:textDirection w:val="lrTb"/>
            <w:noWrap w:val="false"/>
          </w:tcPr>
          <w:p>
            <w:pPr>
              <w:pStyle w:val="982"/>
              <w:numPr>
                <w:ilvl w:val="0"/>
                <w:numId w:val="1"/>
              </w:numPr>
              <w:ind w:left="0" w:firstLine="0"/>
              <w:tabs>
                <w:tab w:val="left" w:pos="0" w:leader="none"/>
                <w:tab w:val="clear" w:pos="4677" w:leader="none"/>
                <w:tab w:val="clear" w:pos="9355" w:leader="none"/>
              </w:tabs>
              <w:rPr>
                <w:b/>
                <w:sz w:val="22"/>
                <w:szCs w:val="22"/>
              </w:rPr>
            </w:pPr>
            <w:r/>
            <w:bookmarkStart w:id="190" w:name="_Ref55316833"/>
            <w:r/>
            <w:bookmarkEnd w:id="190"/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80" w:type="dxa"/>
            <w:vAlign w:val="center"/>
            <w:textDirection w:val="lrTb"/>
            <w:noWrap w:val="false"/>
          </w:tcPr>
          <w:p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Количество участников, которые могут быть признаны победителями закупки</w: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421" w:type="dxa"/>
            <w:vAlign w:val="center"/>
            <w:textDirection w:val="lrTb"/>
            <w:noWrap w:val="false"/>
          </w:tcPr>
          <w:p>
            <w:pPr>
              <w:jc w:val="both"/>
              <w:rPr>
                <w:iCs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(один) победитель</w:t>
            </w:r>
            <w:r>
              <w:rPr>
                <w:iCs/>
                <w:sz w:val="22"/>
                <w:szCs w:val="22"/>
              </w:rPr>
            </w:r>
            <w:r>
              <w:rPr>
                <w:iCs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56" w:type="dxa"/>
            <w:vAlign w:val="center"/>
            <w:textDirection w:val="lrTb"/>
            <w:noWrap w:val="false"/>
          </w:tcPr>
          <w:p>
            <w:pPr>
              <w:pStyle w:val="982"/>
              <w:numPr>
                <w:ilvl w:val="0"/>
                <w:numId w:val="1"/>
              </w:numPr>
              <w:ind w:left="0" w:firstLine="0"/>
              <w:tabs>
                <w:tab w:val="left" w:pos="0" w:leader="none"/>
                <w:tab w:val="clear" w:pos="4677" w:leader="none"/>
                <w:tab w:val="clear" w:pos="9355" w:leader="none"/>
              </w:tabs>
              <w:rPr>
                <w:b/>
                <w:sz w:val="22"/>
                <w:szCs w:val="22"/>
              </w:rPr>
            </w:pPr>
            <w:r/>
            <w:bookmarkStart w:id="191" w:name="_Ref55316657"/>
            <w:r/>
            <w:bookmarkEnd w:id="191"/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80" w:type="dxa"/>
            <w:vAlign w:val="center"/>
            <w:textDirection w:val="lrTb"/>
            <w:noWrap w:val="false"/>
          </w:tcPr>
          <w:p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Наименование предмета закупки</w: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421" w:type="dxa"/>
            <w:vAlign w:val="center"/>
            <w:textDirection w:val="lrTb"/>
            <w:noWrap w:val="false"/>
          </w:tcPr>
          <w:p>
            <w:pPr>
              <w:pStyle w:val="1045"/>
              <w:jc w:val="both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 xml:space="preserve">Поставка </w:t>
            </w:r>
            <w:r>
              <w:rPr>
                <w:iCs/>
                <w:sz w:val="22"/>
                <w:szCs w:val="22"/>
              </w:rPr>
              <w:t xml:space="preserve">радиостоек</w:t>
            </w:r>
            <w:r>
              <w:rPr>
                <w:iCs/>
                <w:sz w:val="22"/>
                <w:szCs w:val="22"/>
              </w:rPr>
              <w:t xml:space="preserve"> и прочих изделий для эксплуатации сети</w:t>
            </w:r>
            <w:r>
              <w:rPr>
                <w:iCs/>
                <w:sz w:val="22"/>
                <w:szCs w:val="22"/>
              </w:rPr>
            </w:r>
            <w:r>
              <w:rPr>
                <w:iCs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56" w:type="dxa"/>
            <w:vAlign w:val="center"/>
            <w:textDirection w:val="lrTb"/>
            <w:noWrap w:val="false"/>
          </w:tcPr>
          <w:p>
            <w:pPr>
              <w:pStyle w:val="982"/>
              <w:numPr>
                <w:ilvl w:val="0"/>
                <w:numId w:val="1"/>
              </w:numPr>
              <w:ind w:left="0" w:firstLine="0"/>
              <w:tabs>
                <w:tab w:val="left" w:pos="0" w:leader="none"/>
                <w:tab w:val="clear" w:pos="4677" w:leader="none"/>
                <w:tab w:val="clear" w:pos="9355" w:leader="none"/>
              </w:tabs>
              <w:rPr>
                <w:b/>
                <w:sz w:val="22"/>
                <w:szCs w:val="22"/>
              </w:rPr>
            </w:pPr>
            <w:r/>
            <w:bookmarkStart w:id="192" w:name="_Ref55316445"/>
            <w:r/>
            <w:bookmarkEnd w:id="192"/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80" w:type="dxa"/>
            <w:vAlign w:val="center"/>
            <w:textDirection w:val="lrTb"/>
            <w:noWrap w:val="false"/>
          </w:tcPr>
          <w:p>
            <w:pPr>
              <w:jc w:val="both"/>
              <w:rPr>
                <w:b/>
                <w:sz w:val="22"/>
                <w:szCs w:val="22"/>
              </w:rPr>
            </w:pPr>
            <w:r>
              <w:rPr>
                <w:rFonts w:eastAsia="Calibri"/>
                <w:b/>
                <w:bCs/>
                <w:sz w:val="22"/>
                <w:szCs w:val="22"/>
              </w:rPr>
              <w:t xml:space="preserve">Сведения о НМЦ договора, либо формула цены и максимальное значение цены договора, либо цена единицы товара, работы, услуги и максимальное значение цены договора</w: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421" w:type="dxa"/>
            <w:vAlign w:val="center"/>
            <w:textDirection w:val="lrTb"/>
            <w:noWrap w:val="false"/>
          </w:tcPr>
          <w:p>
            <w:pPr>
              <w:pStyle w:val="1045"/>
              <w:jc w:val="both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Начальная (максимальная) сумма цен единиц товар</w:t>
            </w:r>
            <w:r>
              <w:rPr>
                <w:b/>
                <w:bCs/>
                <w:sz w:val="22"/>
                <w:szCs w:val="22"/>
              </w:rPr>
              <w:t xml:space="preserve">ов</w:t>
            </w:r>
            <w:r>
              <w:rPr>
                <w:b/>
                <w:bCs/>
                <w:sz w:val="22"/>
                <w:szCs w:val="22"/>
              </w:rPr>
              <w:t xml:space="preserve">: </w:t>
            </w:r>
            <w:r>
              <w:rPr>
                <w:bCs/>
                <w:sz w:val="22"/>
                <w:szCs w:val="22"/>
              </w:rPr>
              <w:t xml:space="preserve">158</w:t>
            </w:r>
            <w:r>
              <w:rPr>
                <w:bCs/>
                <w:sz w:val="22"/>
                <w:szCs w:val="22"/>
              </w:rPr>
              <w:t xml:space="preserve"> </w:t>
            </w:r>
            <w:r>
              <w:rPr>
                <w:bCs/>
                <w:sz w:val="22"/>
                <w:szCs w:val="22"/>
              </w:rPr>
              <w:t xml:space="preserve">822 (Сто пятьдесят восемь тысяч восемьсот двадцать два) рубля 90 копеек</w:t>
            </w:r>
            <w:r>
              <w:rPr>
                <w:bCs/>
                <w:sz w:val="22"/>
                <w:szCs w:val="22"/>
              </w:rPr>
              <w:t xml:space="preserve">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1045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</w:p>
          <w:p>
            <w:pPr>
              <w:pStyle w:val="1045"/>
              <w:jc w:val="both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Максимальное значение цены договора: </w:t>
            </w:r>
            <w:r>
              <w:rPr>
                <w:sz w:val="22"/>
                <w:szCs w:val="22"/>
              </w:rPr>
              <w:t xml:space="preserve">9 0</w:t>
            </w:r>
            <w:r>
              <w:rPr>
                <w:sz w:val="22"/>
                <w:szCs w:val="22"/>
              </w:rPr>
              <w:t xml:space="preserve">00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000 (</w:t>
            </w:r>
            <w:r>
              <w:rPr>
                <w:sz w:val="22"/>
                <w:szCs w:val="22"/>
              </w:rPr>
              <w:t xml:space="preserve">Девять</w:t>
            </w:r>
            <w:r>
              <w:rPr>
                <w:sz w:val="22"/>
                <w:szCs w:val="22"/>
              </w:rPr>
              <w:t xml:space="preserve"> миллион</w:t>
            </w:r>
            <w:r>
              <w:rPr>
                <w:sz w:val="22"/>
                <w:szCs w:val="22"/>
              </w:rPr>
              <w:t xml:space="preserve">ов</w:t>
            </w:r>
            <w:r>
              <w:rPr>
                <w:sz w:val="22"/>
                <w:szCs w:val="22"/>
              </w:rPr>
              <w:t xml:space="preserve">) рублей 00 копеек</w:t>
            </w:r>
            <w:r>
              <w:rPr>
                <w:sz w:val="22"/>
                <w:szCs w:val="22"/>
              </w:rPr>
              <w:t xml:space="preserve">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1045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1045"/>
              <w:jc w:val="both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Порядок формирования начальной (максимальной) </w:t>
            </w:r>
            <w:r>
              <w:rPr>
                <w:b/>
                <w:sz w:val="22"/>
                <w:szCs w:val="22"/>
              </w:rPr>
              <w:t xml:space="preserve">суммы </w:t>
            </w:r>
            <w:r>
              <w:rPr>
                <w:b/>
                <w:sz w:val="22"/>
                <w:szCs w:val="22"/>
              </w:rPr>
              <w:t xml:space="preserve">цен единиц</w:t>
            </w:r>
            <w:r>
              <w:rPr>
                <w:b/>
                <w:sz w:val="22"/>
                <w:szCs w:val="22"/>
              </w:rPr>
              <w:t xml:space="preserve"> товаров</w:t>
            </w:r>
            <w:r>
              <w:rPr>
                <w:b/>
                <w:sz w:val="22"/>
                <w:szCs w:val="22"/>
              </w:rPr>
              <w:t xml:space="preserve">: </w:t>
            </w:r>
            <w:r>
              <w:rPr>
                <w:bCs/>
                <w:sz w:val="22"/>
                <w:szCs w:val="22"/>
              </w:rPr>
              <w:t xml:space="preserve">н</w:t>
            </w:r>
            <w:r>
              <w:rPr>
                <w:sz w:val="22"/>
                <w:szCs w:val="22"/>
              </w:rPr>
              <w:t xml:space="preserve">ачальная (максимальная) </w:t>
            </w:r>
            <w:r>
              <w:rPr>
                <w:sz w:val="22"/>
                <w:szCs w:val="22"/>
              </w:rPr>
              <w:t xml:space="preserve">сумма </w:t>
            </w:r>
            <w:r>
              <w:rPr>
                <w:sz w:val="22"/>
                <w:szCs w:val="22"/>
              </w:rPr>
              <w:t xml:space="preserve">цен единиц</w:t>
            </w:r>
            <w:r>
              <w:rPr>
                <w:sz w:val="22"/>
                <w:szCs w:val="22"/>
              </w:rPr>
              <w:t xml:space="preserve"> товаров</w:t>
            </w:r>
            <w:r>
              <w:rPr>
                <w:sz w:val="22"/>
                <w:szCs w:val="22"/>
              </w:rPr>
              <w:t xml:space="preserve"> сформирована с учетом всех расходов, в том числе расходов на перевозку, страхование, уплату таможенных пошлин, налогов и других обязательных платежей. 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jc w:val="both"/>
              <w:tabs>
                <w:tab w:val="left" w:pos="1134" w:leader="none"/>
              </w:tabs>
            </w:pP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Обоснование начальной (максимальной) </w:t>
            </w: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суммы </w:t>
            </w: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цен </w:t>
            </w: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единиц товаров</w:t>
            </w: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,</w:t>
            </w: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 а также начальной (максимальной) цены каждого вида товара,</w:t>
            </w: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 включая информацию о расходах на перевозку, страхование, уплату таможенных пошлин, налогов и других обязательных платежей содержатся в </w:t>
            </w:r>
            <w:r>
              <w:rPr>
                <w:sz w:val="22"/>
                <w:szCs w:val="22"/>
              </w:rPr>
              <w:t xml:space="preserve">разделе </w:t>
            </w:r>
            <w:r>
              <w:t xml:space="preserve">VII</w:t>
            </w:r>
            <w:r>
              <w:t xml:space="preserve">.</w:t>
            </w:r>
            <w:r>
              <w:t xml:space="preserve"> «РАСЧЕТ (ОБОСНОВАНИЕ) НМЦ» </w:t>
            </w:r>
            <w:r>
              <w:rPr>
                <w:bCs/>
              </w:rPr>
              <w:t xml:space="preserve">документации</w:t>
            </w: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.</w:t>
            </w:r>
            <w:r/>
          </w:p>
        </w:tc>
      </w:tr>
      <w:tr>
        <w:tblPrEx/>
        <w:trPr>
          <w:trHeight w:val="399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56" w:type="dxa"/>
            <w:vAlign w:val="center"/>
            <w:textDirection w:val="lrTb"/>
            <w:noWrap w:val="false"/>
          </w:tcPr>
          <w:p>
            <w:pPr>
              <w:pStyle w:val="982"/>
              <w:numPr>
                <w:ilvl w:val="0"/>
                <w:numId w:val="1"/>
              </w:numPr>
              <w:ind w:left="0" w:firstLine="0"/>
              <w:tabs>
                <w:tab w:val="left" w:pos="0" w:leader="none"/>
                <w:tab w:val="clear" w:pos="4677" w:leader="none"/>
                <w:tab w:val="clear" w:pos="9355" w:leader="none"/>
              </w:tabs>
              <w:rPr>
                <w:b/>
                <w:sz w:val="22"/>
                <w:szCs w:val="22"/>
              </w:rPr>
            </w:pPr>
            <w:r/>
            <w:bookmarkStart w:id="193" w:name="_Ref55319739"/>
            <w:r/>
            <w:bookmarkEnd w:id="193"/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80" w:type="dxa"/>
            <w:vAlign w:val="center"/>
            <w:textDirection w:val="lrTb"/>
            <w:noWrap w:val="false"/>
          </w:tcPr>
          <w:p>
            <w:pPr>
              <w:keepLines/>
              <w:keepNext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Обеспечение заявки</w: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421" w:type="dxa"/>
            <w:vAlign w:val="center"/>
            <w:textDirection w:val="lrTb"/>
            <w:noWrap w:val="false"/>
          </w:tcPr>
          <w:p>
            <w:pPr>
              <w:jc w:val="both"/>
              <w:keepLines/>
              <w:keepNext/>
              <w:rPr>
                <w:iCs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Не требуется</w:t>
            </w:r>
            <w:r>
              <w:rPr>
                <w:iCs/>
                <w:sz w:val="22"/>
                <w:szCs w:val="22"/>
              </w:rPr>
            </w:r>
            <w:r>
              <w:rPr>
                <w:iCs/>
                <w:sz w:val="22"/>
                <w:szCs w:val="22"/>
              </w:rPr>
            </w:r>
          </w:p>
        </w:tc>
      </w:tr>
      <w:tr>
        <w:tblPrEx/>
        <w:trPr>
          <w:trHeight w:val="1591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56" w:type="dxa"/>
            <w:vAlign w:val="center"/>
            <w:textDirection w:val="lrTb"/>
            <w:noWrap w:val="false"/>
          </w:tcPr>
          <w:p>
            <w:pPr>
              <w:pStyle w:val="982"/>
              <w:numPr>
                <w:ilvl w:val="0"/>
                <w:numId w:val="1"/>
              </w:numPr>
              <w:ind w:left="0" w:firstLine="0"/>
              <w:tabs>
                <w:tab w:val="left" w:pos="0" w:leader="none"/>
                <w:tab w:val="clear" w:pos="4677" w:leader="none"/>
                <w:tab w:val="clear" w:pos="9355" w:leader="none"/>
              </w:tabs>
              <w:rPr>
                <w:b/>
                <w:sz w:val="22"/>
                <w:szCs w:val="22"/>
              </w:rPr>
            </w:pPr>
            <w:r/>
            <w:bookmarkStart w:id="194" w:name="_Ref55321385"/>
            <w:r/>
            <w:bookmarkEnd w:id="194"/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80" w:type="dxa"/>
            <w:vAlign w:val="center"/>
            <w:textDirection w:val="lrTb"/>
            <w:noWrap w:val="false"/>
          </w:tcPr>
          <w:p>
            <w:pPr>
              <w:keepLines/>
              <w:keepNext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Обеспечение исполнения договора</w: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421" w:type="dxa"/>
            <w:vAlign w:val="center"/>
            <w:textDirection w:val="lrTb"/>
            <w:noWrap w:val="false"/>
          </w:tcPr>
          <w:p>
            <w:pPr>
              <w:jc w:val="both"/>
              <w:keepLines/>
              <w:keepNext/>
            </w:pPr>
            <w:r>
              <w:rPr>
                <w:sz w:val="22"/>
                <w:szCs w:val="22"/>
              </w:rPr>
              <w:t xml:space="preserve">Не требуется</w:t>
            </w:r>
            <w:r/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56" w:type="dxa"/>
            <w:vAlign w:val="center"/>
            <w:textDirection w:val="lrTb"/>
            <w:noWrap w:val="false"/>
          </w:tcPr>
          <w:p>
            <w:pPr>
              <w:pStyle w:val="982"/>
              <w:numPr>
                <w:ilvl w:val="0"/>
                <w:numId w:val="1"/>
              </w:numPr>
              <w:ind w:left="0" w:firstLine="0"/>
              <w:tabs>
                <w:tab w:val="left" w:pos="0" w:leader="none"/>
                <w:tab w:val="clear" w:pos="4677" w:leader="none"/>
                <w:tab w:val="clear" w:pos="9355" w:leader="none"/>
              </w:tabs>
              <w:rPr>
                <w:b/>
                <w:sz w:val="22"/>
                <w:szCs w:val="22"/>
              </w:rPr>
            </w:pPr>
            <w:r/>
            <w:bookmarkStart w:id="195" w:name="_Ref55317941"/>
            <w:r/>
            <w:bookmarkEnd w:id="195"/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80" w:type="dxa"/>
            <w:vAlign w:val="center"/>
            <w:textDirection w:val="lrTb"/>
            <w:noWrap w:val="false"/>
          </w:tcPr>
          <w:p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Валюта закупки</w: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421" w:type="dxa"/>
            <w:vAlign w:val="center"/>
            <w:textDirection w:val="lrTb"/>
            <w:noWrap w:val="false"/>
          </w:tcPr>
          <w:p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Российский рубль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blPrEx/>
        <w:trPr>
          <w:trHeight w:val="856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56" w:type="dxa"/>
            <w:vAlign w:val="center"/>
            <w:textDirection w:val="lrTb"/>
            <w:noWrap w:val="false"/>
          </w:tcPr>
          <w:p>
            <w:pPr>
              <w:pStyle w:val="982"/>
              <w:numPr>
                <w:ilvl w:val="0"/>
                <w:numId w:val="1"/>
              </w:numPr>
              <w:ind w:left="0" w:firstLine="0"/>
              <w:tabs>
                <w:tab w:val="left" w:pos="0" w:leader="none"/>
                <w:tab w:val="clear" w:pos="4677" w:leader="none"/>
                <w:tab w:val="clear" w:pos="9355" w:leader="none"/>
              </w:tabs>
              <w:rPr>
                <w:b/>
                <w:sz w:val="22"/>
                <w:szCs w:val="22"/>
              </w:rPr>
            </w:pPr>
            <w:r/>
            <w:bookmarkStart w:id="196" w:name="_Ref55317066"/>
            <w:r/>
            <w:bookmarkEnd w:id="196"/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80" w:type="dxa"/>
            <w:vAlign w:val="center"/>
            <w:textDirection w:val="lrTb"/>
            <w:noWrap w:val="false"/>
          </w:tcPr>
          <w:p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Требования к участнику, а также к документам, которые должны быть приложены в составе заявки, подтверждающим данные требования</w: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421" w:type="dxa"/>
            <w:vAlign w:val="center"/>
            <w:textDirection w:val="lrTb"/>
            <w:noWrap w:val="false"/>
          </w:tcPr>
          <w:p>
            <w:pPr>
              <w:pStyle w:val="1045"/>
              <w:jc w:val="both"/>
              <w:rPr>
                <w:b/>
                <w:i/>
                <w:color w:val="ff0000"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 xml:space="preserve">Не </w:t>
            </w:r>
            <w:r>
              <w:rPr>
                <w:iCs/>
                <w:sz w:val="22"/>
                <w:szCs w:val="22"/>
              </w:rPr>
              <w:t xml:space="preserve">установлены</w:t>
            </w:r>
            <w:r>
              <w:rPr>
                <w:b/>
                <w:i/>
                <w:color w:val="ff0000"/>
                <w:sz w:val="22"/>
                <w:szCs w:val="22"/>
              </w:rPr>
            </w:r>
            <w:r>
              <w:rPr>
                <w:b/>
                <w:i/>
                <w:color w:val="ff0000"/>
                <w:sz w:val="22"/>
                <w:szCs w:val="22"/>
              </w:rPr>
            </w:r>
          </w:p>
        </w:tc>
      </w:tr>
      <w:tr>
        <w:tblPrEx/>
        <w:trPr>
          <w:trHeight w:val="856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56" w:type="dxa"/>
            <w:vAlign w:val="center"/>
            <w:textDirection w:val="lrTb"/>
            <w:noWrap w:val="false"/>
          </w:tcPr>
          <w:p>
            <w:pPr>
              <w:pStyle w:val="982"/>
              <w:numPr>
                <w:ilvl w:val="0"/>
                <w:numId w:val="1"/>
              </w:numPr>
              <w:ind w:left="0" w:firstLine="0"/>
              <w:tabs>
                <w:tab w:val="left" w:pos="0" w:leader="none"/>
                <w:tab w:val="clear" w:pos="4677" w:leader="none"/>
                <w:tab w:val="clear" w:pos="9355" w:leader="none"/>
              </w:tabs>
              <w:rPr>
                <w:b/>
                <w:sz w:val="22"/>
                <w:szCs w:val="22"/>
              </w:rPr>
            </w:pPr>
            <w:r/>
            <w:bookmarkStart w:id="197" w:name="_Ref214974398"/>
            <w:r/>
            <w:bookmarkEnd w:id="197"/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401" w:type="dxa"/>
            <w:vAlign w:val="center"/>
            <w:textDirection w:val="lrTb"/>
            <w:noWrap w:val="false"/>
          </w:tcPr>
          <w:p>
            <w:pPr>
              <w:jc w:val="both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Меры по предоставлению национального режима при осуществлении закупки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blPrEx/>
        <w:trPr>
          <w:trHeight w:val="856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56" w:type="dxa"/>
            <w:vAlign w:val="center"/>
            <w:textDirection w:val="lrTb"/>
            <w:noWrap w:val="false"/>
          </w:tcPr>
          <w:p>
            <w:pPr>
              <w:pStyle w:val="982"/>
              <w:tabs>
                <w:tab w:val="left" w:pos="0" w:leader="none"/>
                <w:tab w:val="clear" w:pos="4677" w:leader="none"/>
                <w:tab w:val="clear" w:pos="9355" w:leader="none"/>
              </w:tabs>
              <w:rPr>
                <w:b/>
                <w:sz w:val="22"/>
                <w:szCs w:val="22"/>
              </w:rPr>
            </w:pPr>
            <w:r/>
            <w:bookmarkStart w:id="198" w:name="_Ref184220770"/>
            <w:r>
              <w:rPr>
                <w:b/>
                <w:sz w:val="22"/>
                <w:szCs w:val="22"/>
              </w:rPr>
              <w:t xml:space="preserve">11.1.</w:t>
            </w:r>
            <w:bookmarkEnd w:id="198"/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80" w:type="dxa"/>
            <w:vAlign w:val="center"/>
            <w:textDirection w:val="lrTb"/>
            <w:noWrap w:val="false"/>
          </w:tcPr>
          <w:p>
            <w:pPr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Запрет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</w: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421" w:type="dxa"/>
            <w:vAlign w:val="center"/>
            <w:textDirection w:val="lrTb"/>
            <w:noWrap w:val="false"/>
          </w:tcPr>
          <w:p>
            <w:pPr>
              <w:jc w:val="both"/>
              <w:rPr>
                <w:iCs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Не применяется</w:t>
            </w:r>
            <w:r>
              <w:rPr>
                <w:iCs/>
                <w:sz w:val="22"/>
                <w:szCs w:val="22"/>
              </w:rPr>
            </w:r>
            <w:r>
              <w:rPr>
                <w:iCs/>
                <w:sz w:val="22"/>
                <w:szCs w:val="22"/>
              </w:rPr>
            </w:r>
          </w:p>
        </w:tc>
      </w:tr>
      <w:tr>
        <w:tblPrEx/>
        <w:trPr>
          <w:trHeight w:val="856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56" w:type="dxa"/>
            <w:vAlign w:val="center"/>
            <w:textDirection w:val="lrTb"/>
            <w:noWrap w:val="false"/>
          </w:tcPr>
          <w:p>
            <w:pPr>
              <w:pStyle w:val="982"/>
              <w:tabs>
                <w:tab w:val="left" w:pos="0" w:leader="none"/>
                <w:tab w:val="clear" w:pos="4677" w:leader="none"/>
                <w:tab w:val="clear" w:pos="9355" w:leader="none"/>
              </w:tabs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11.2.</w: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80" w:type="dxa"/>
            <w:vAlign w:val="center"/>
            <w:textDirection w:val="lrTb"/>
            <w:noWrap w:val="false"/>
          </w:tcPr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Ограничение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421" w:type="dxa"/>
            <w:vAlign w:val="center"/>
            <w:textDirection w:val="lrTb"/>
            <w:noWrap w:val="false"/>
          </w:tcPr>
          <w:p>
            <w:pPr>
              <w:pStyle w:val="1045"/>
              <w:jc w:val="both"/>
              <w:rPr>
                <w:i/>
                <w:sz w:val="22"/>
              </w:rPr>
            </w:pPr>
            <w:r>
              <w:rPr>
                <w:sz w:val="22"/>
                <w:szCs w:val="22"/>
              </w:rPr>
              <w:t xml:space="preserve">Не применяется</w:t>
            </w:r>
            <w:r>
              <w:rPr>
                <w:color w:val="ff0000"/>
                <w:sz w:val="22"/>
                <w:szCs w:val="22"/>
              </w:rPr>
              <w:t xml:space="preserve"> </w:t>
            </w:r>
            <w:r>
              <w:rPr>
                <w:i/>
                <w:sz w:val="22"/>
              </w:rPr>
            </w:r>
            <w:r>
              <w:rPr>
                <w:i/>
                <w:sz w:val="22"/>
              </w:rPr>
            </w:r>
          </w:p>
        </w:tc>
      </w:tr>
      <w:tr>
        <w:tblPrEx/>
        <w:trPr>
          <w:trHeight w:val="856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56" w:type="dxa"/>
            <w:vAlign w:val="center"/>
            <w:textDirection w:val="lrTb"/>
            <w:noWrap w:val="false"/>
          </w:tcPr>
          <w:p>
            <w:pPr>
              <w:pStyle w:val="982"/>
              <w:tabs>
                <w:tab w:val="left" w:pos="0" w:leader="none"/>
                <w:tab w:val="clear" w:pos="4677" w:leader="none"/>
                <w:tab w:val="clear" w:pos="9355" w:leader="none"/>
              </w:tabs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11.3.</w: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80" w:type="dxa"/>
            <w:vAlign w:val="center"/>
            <w:textDirection w:val="lrTb"/>
            <w:noWrap w:val="false"/>
          </w:tcPr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Преимущество в отношении товаров российского происхождения (в том числе поставляемых при выполнении закупаемых работ, оказании закупаемых услуг)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421" w:type="dxa"/>
            <w:vAlign w:val="center"/>
            <w:textDirection w:val="lrTb"/>
            <w:noWrap w:val="false"/>
          </w:tcPr>
          <w:p>
            <w:pPr>
              <w:pStyle w:val="1045"/>
              <w:ind w:firstLine="343"/>
              <w:jc w:val="both"/>
              <w:rPr>
                <w:i/>
                <w:sz w:val="22"/>
              </w:rPr>
            </w:pPr>
            <w:r>
              <w:rPr>
                <w:i/>
                <w:sz w:val="22"/>
              </w:rPr>
              <w:t xml:space="preserve">Установлено в части товара, указанного в </w:t>
            </w:r>
            <w:r>
              <w:rPr>
                <w:i/>
                <w:sz w:val="22"/>
              </w:rPr>
              <w:t xml:space="preserve">раздел</w:t>
            </w:r>
            <w:r>
              <w:rPr>
                <w:i/>
                <w:sz w:val="22"/>
              </w:rPr>
              <w:t xml:space="preserve">е</w:t>
            </w:r>
            <w:r>
              <w:rPr>
                <w:i/>
                <w:sz w:val="22"/>
              </w:rPr>
              <w:t xml:space="preserve"> IV. ТЕХНИЧЕСКОЕ ЗАДАНИЕ Приложение №1</w:t>
            </w:r>
            <w:r>
              <w:rPr>
                <w:i/>
                <w:sz w:val="22"/>
              </w:rPr>
              <w:t xml:space="preserve"> к </w:t>
            </w:r>
            <w:r>
              <w:rPr>
                <w:i/>
                <w:sz w:val="22"/>
              </w:rPr>
              <w:t xml:space="preserve">Техническому заданию (описание объекта закупки</w:t>
            </w:r>
            <w:r>
              <w:rPr>
                <w:i/>
                <w:sz w:val="22"/>
              </w:rPr>
              <w:t xml:space="preserve">).</w:t>
            </w:r>
            <w:r>
              <w:rPr>
                <w:i/>
                <w:sz w:val="22"/>
              </w:rPr>
            </w:r>
            <w:r>
              <w:rPr>
                <w:i/>
                <w:sz w:val="22"/>
              </w:rPr>
            </w:r>
          </w:p>
          <w:p>
            <w:pPr>
              <w:pStyle w:val="1045"/>
              <w:ind w:firstLine="343"/>
              <w:jc w:val="both"/>
              <w:rPr>
                <w:i/>
                <w:sz w:val="22"/>
              </w:rPr>
            </w:pPr>
            <w:r>
              <w:rPr>
                <w:i/>
                <w:sz w:val="22"/>
              </w:rPr>
              <w:t xml:space="preserve">а) при рассмотрении, оценке, сопоставлении заявок на участие в закупке, окончательных предложений осуществляется снижение на 15 (пятнадцать) процентов ценового предложения, поданного в соответствии с настоящим извещением участник</w:t>
            </w:r>
            <w:r>
              <w:rPr>
                <w:i/>
                <w:sz w:val="22"/>
              </w:rPr>
              <w:t xml:space="preserve">ом закупки, предлагающим к поставке товар только российского происхождения, либо увеличение на 15 (пятнадцать) процентов ценового предложения этого участника закупки в случае подачи им предложения о размере платы, подлежащей внесению за заключение договора</w:t>
            </w:r>
            <w:r>
              <w:rPr>
                <w:i/>
                <w:sz w:val="22"/>
              </w:rPr>
            </w:r>
            <w:r>
              <w:rPr>
                <w:i/>
                <w:sz w:val="22"/>
              </w:rPr>
            </w:r>
          </w:p>
          <w:p>
            <w:pPr>
              <w:pStyle w:val="1045"/>
              <w:ind w:firstLine="343"/>
              <w:jc w:val="both"/>
              <w:rPr>
                <w:i/>
                <w:sz w:val="22"/>
              </w:rPr>
            </w:pPr>
            <w:r>
              <w:rPr>
                <w:i/>
                <w:sz w:val="22"/>
              </w:rPr>
              <w:t xml:space="preserve">б) в случае заключения договора с участником закупки, указанным в </w:t>
            </w:r>
            <w:r>
              <w:rPr>
                <w:i/>
                <w:sz w:val="22"/>
              </w:rPr>
              <w:t xml:space="preserve">подпункте</w:t>
            </w:r>
            <w:r>
              <w:rPr>
                <w:i/>
                <w:sz w:val="22"/>
              </w:rPr>
              <w:t xml:space="preserve"> а) </w:t>
            </w:r>
            <w:r>
              <w:rPr>
                <w:i/>
                <w:sz w:val="22"/>
              </w:rPr>
              <w:t xml:space="preserve">настоящего </w:t>
            </w:r>
            <w:r>
              <w:rPr>
                <w:i/>
                <w:sz w:val="22"/>
              </w:rPr>
              <w:t xml:space="preserve">пункта, договор заключается без учета снижения либо увеличения ценового предложения, осуществленных в соответствии с вышеуказанным подпунктом настоящего извещения;</w:t>
            </w:r>
            <w:r>
              <w:rPr>
                <w:i/>
                <w:sz w:val="22"/>
              </w:rPr>
            </w:r>
            <w:r>
              <w:rPr>
                <w:i/>
                <w:sz w:val="22"/>
              </w:rPr>
            </w:r>
          </w:p>
          <w:p>
            <w:pPr>
              <w:pStyle w:val="1045"/>
              <w:ind w:firstLine="343"/>
              <w:jc w:val="both"/>
              <w:rPr>
                <w:i/>
                <w:sz w:val="22"/>
              </w:rPr>
            </w:pPr>
            <w:r>
              <w:rPr>
                <w:i/>
                <w:sz w:val="22"/>
              </w:rPr>
              <w:t xml:space="preserve">в) при исполнении договора допускается замена товара исключительно на товар российского происхождения, если договор предусматривает поставку товара российского происхождения.</w:t>
            </w:r>
            <w:r>
              <w:rPr>
                <w:i/>
                <w:sz w:val="22"/>
              </w:rPr>
            </w:r>
            <w:r>
              <w:rPr>
                <w:i/>
                <w:sz w:val="22"/>
              </w:rPr>
            </w:r>
          </w:p>
          <w:p>
            <w:pPr>
              <w:ind w:firstLine="315"/>
              <w:jc w:val="both"/>
              <w:rPr>
                <w:b/>
                <w:bCs/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При этом подтверждением страны происхождения товара является указание в составе заявки номера реестровой записи из реестра российской промышленной продукции, пре</w:t>
            </w:r>
            <w:r>
              <w:rPr>
                <w:sz w:val="22"/>
                <w:szCs w:val="22"/>
              </w:rPr>
              <w:t xml:space="preserve">дусмотренный статьей 171 Федерального закона «О промышленной политике в Российской Федерации», содержащего в том числе: информацию о совокупном количестве баллов за выполнение (освоение) на территории Российской Федерации соответствующих операций (условий)</w:t>
            </w:r>
            <w:r>
              <w:rPr>
                <w:b/>
                <w:bCs/>
                <w:sz w:val="22"/>
                <w:szCs w:val="22"/>
              </w:rPr>
              <w:t xml:space="preserve"> </w:t>
            </w:r>
            <w:r>
              <w:rPr>
                <w:b/>
                <w:bCs/>
                <w:color w:val="ff0000"/>
                <w:sz w:val="22"/>
                <w:szCs w:val="22"/>
              </w:rPr>
              <w:t xml:space="preserve">(если в отношении такого товара постанов</w:t>
            </w:r>
            <w:r>
              <w:rPr>
                <w:b/>
                <w:bCs/>
                <w:color w:val="ff0000"/>
                <w:sz w:val="22"/>
                <w:szCs w:val="22"/>
              </w:rPr>
              <w:t xml:space="preserve">лением Правительства Российской Федерации от 17 июля 2015 г. N 719 "О подтверждении производства российской промышленной продукции" за выполнение (освоение) на территории Российской Федерации соответствующих операций (условий) установлены требования о сово</w:t>
            </w:r>
            <w:r>
              <w:rPr>
                <w:b/>
                <w:bCs/>
                <w:color w:val="ff0000"/>
                <w:sz w:val="22"/>
                <w:szCs w:val="22"/>
              </w:rPr>
              <w:t xml:space="preserve">купном количестве баллов), которое составляет или превышает значение, определенное постановлением Правительства Российской Федерации от 17 июля 2015 г. N 719 "О подтверждении производства российской промышленной продукции" для целей осуществления закупок).</w:t>
            </w:r>
            <w:r>
              <w:rPr>
                <w:b/>
                <w:bCs/>
                <w:color w:val="ff0000"/>
                <w:sz w:val="22"/>
                <w:szCs w:val="22"/>
              </w:rPr>
            </w:r>
            <w:r>
              <w:rPr>
                <w:b/>
                <w:bCs/>
                <w:color w:val="ff0000"/>
                <w:sz w:val="22"/>
                <w:szCs w:val="22"/>
              </w:rPr>
            </w:r>
          </w:p>
          <w:p>
            <w:pPr>
              <w:ind w:firstLine="315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Также подтверждением страны происхождения товара может являть</w:t>
            </w:r>
            <w:r>
              <w:rPr>
                <w:sz w:val="22"/>
                <w:szCs w:val="22"/>
              </w:rPr>
              <w:t xml:space="preserve">ся указание номера реестровой записи из евразийского реестра промышленных товаров государств - членов Евразийского экономического союза, произведенных на территории государства - члена Евразийского экономического союза, за исключением Российской Федерации.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jc w:val="both"/>
              <w:rPr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  <w:u w:val="single"/>
              </w:rPr>
              <w:t xml:space="preserve">Не указание в составе заявки вышеуказанных реестровых номеров не может являться основанием для отклонения заявки</w:t>
            </w:r>
            <w:r>
              <w:rPr>
                <w:i/>
                <w:iCs/>
                <w:sz w:val="22"/>
                <w:szCs w:val="22"/>
                <w:u w:val="single"/>
              </w:rPr>
              <w:t xml:space="preserve">.</w:t>
            </w:r>
            <w:bookmarkStart w:id="200" w:name="_GoBack"/>
            <w:r/>
            <w:bookmarkEnd w:id="200"/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blPrEx/>
        <w:trPr>
          <w:trHeight w:val="597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56" w:type="dxa"/>
            <w:vAlign w:val="center"/>
            <w:textDirection w:val="lrTb"/>
            <w:noWrap w:val="false"/>
          </w:tcPr>
          <w:p>
            <w:pPr>
              <w:pStyle w:val="982"/>
              <w:numPr>
                <w:ilvl w:val="0"/>
                <w:numId w:val="1"/>
              </w:numPr>
              <w:ind w:left="0" w:firstLine="0"/>
              <w:tabs>
                <w:tab w:val="left" w:pos="0" w:leader="none"/>
                <w:tab w:val="clear" w:pos="4677" w:leader="none"/>
                <w:tab w:val="clear" w:pos="9355" w:leader="none"/>
              </w:tabs>
              <w:rPr>
                <w:b/>
                <w:sz w:val="22"/>
                <w:szCs w:val="22"/>
              </w:rPr>
            </w:pPr>
            <w:r/>
            <w:bookmarkStart w:id="202" w:name="_Ref55317127"/>
            <w:r/>
            <w:bookmarkEnd w:id="202"/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80" w:type="dxa"/>
            <w:vAlign w:val="center"/>
            <w:textDirection w:val="lrTb"/>
            <w:noWrap w:val="false"/>
          </w:tcPr>
          <w:p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Состав заявки на участие в закупке</w: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421" w:type="dxa"/>
            <w:vAlign w:val="center"/>
            <w:textDirection w:val="lrTb"/>
            <w:noWrap w:val="false"/>
          </w:tcPr>
          <w:p>
            <w:pPr>
              <w:pStyle w:val="1045"/>
              <w:numPr>
                <w:ilvl w:val="1"/>
                <w:numId w:val="34"/>
              </w:numPr>
              <w:ind w:left="314" w:firstLine="0"/>
              <w:jc w:val="both"/>
              <w:tabs>
                <w:tab w:val="left" w:pos="598" w:leader="none"/>
              </w:tabs>
              <w:rPr>
                <w:b/>
                <w:iCs/>
                <w:sz w:val="22"/>
                <w:szCs w:val="22"/>
              </w:rPr>
            </w:pPr>
            <w:r>
              <w:rPr>
                <w:b/>
                <w:iCs/>
                <w:sz w:val="22"/>
                <w:szCs w:val="22"/>
              </w:rPr>
              <w:t xml:space="preserve"> </w:t>
            </w:r>
            <w:bookmarkStart w:id="203" w:name="_Ref74218419"/>
            <w:r>
              <w:rPr>
                <w:b/>
                <w:iCs/>
                <w:sz w:val="22"/>
                <w:szCs w:val="22"/>
              </w:rPr>
              <w:t xml:space="preserve">Первая часть заявки:</w:t>
            </w:r>
            <w:bookmarkEnd w:id="203"/>
            <w:r>
              <w:rPr>
                <w:b/>
                <w:iCs/>
                <w:sz w:val="22"/>
                <w:szCs w:val="22"/>
              </w:rPr>
            </w:r>
            <w:r>
              <w:rPr>
                <w:b/>
                <w:iCs/>
                <w:sz w:val="22"/>
                <w:szCs w:val="22"/>
              </w:rPr>
            </w:r>
          </w:p>
          <w:p>
            <w:pPr>
              <w:numPr>
                <w:ilvl w:val="0"/>
                <w:numId w:val="8"/>
              </w:numPr>
              <w:ind w:left="31" w:right="153" w:firstLine="0"/>
              <w:jc w:val="both"/>
              <w:tabs>
                <w:tab w:val="left" w:pos="132" w:leader="none"/>
                <w:tab w:val="left" w:pos="180" w:leader="none"/>
                <w:tab w:val="left" w:pos="344" w:leader="none"/>
                <w:tab w:val="left" w:pos="1140" w:leader="none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Техническое предложение по </w:t>
            </w:r>
            <w:hyperlink w:tooltip="#_Форма_1_ЗАЯВКА" w:anchor="_Форма_1_ЗАЯВКА" w:history="1">
              <w:r>
                <w:rPr>
                  <w:rStyle w:val="978"/>
                  <w:sz w:val="22"/>
                  <w:szCs w:val="22"/>
                </w:rPr>
                <w:t xml:space="preserve">Форме 1 раздела III «ФОРМЫ ДЛЯ ЗАПОЛНЕНИЯ УЧАСТНИКАМИ ЗАКУПКИ»</w:t>
              </w:r>
            </w:hyperlink>
            <w:r>
              <w:rPr>
                <w:rStyle w:val="978"/>
                <w:sz w:val="22"/>
                <w:szCs w:val="22"/>
              </w:rPr>
              <w:t xml:space="preserve"> </w:t>
            </w:r>
            <w:r>
              <w:rPr>
                <w:bCs/>
                <w:sz w:val="22"/>
              </w:rPr>
              <w:t xml:space="preserve">документации</w:t>
            </w:r>
            <w:r>
              <w:rPr>
                <w:sz w:val="22"/>
                <w:szCs w:val="22"/>
              </w:rPr>
              <w:t xml:space="preserve">;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1045"/>
              <w:jc w:val="both"/>
              <w:rPr>
                <w:b/>
                <w:iCs/>
                <w:sz w:val="22"/>
                <w:szCs w:val="22"/>
              </w:rPr>
            </w:pPr>
            <w:r>
              <w:rPr>
                <w:b/>
                <w:iCs/>
                <w:sz w:val="22"/>
                <w:szCs w:val="22"/>
              </w:rPr>
            </w:r>
            <w:r>
              <w:rPr>
                <w:b/>
                <w:iCs/>
                <w:sz w:val="22"/>
                <w:szCs w:val="22"/>
              </w:rPr>
            </w:r>
            <w:r>
              <w:rPr>
                <w:b/>
                <w:iCs/>
                <w:sz w:val="22"/>
                <w:szCs w:val="22"/>
              </w:rPr>
            </w:r>
          </w:p>
          <w:p>
            <w:pPr>
              <w:pStyle w:val="1045"/>
              <w:numPr>
                <w:ilvl w:val="1"/>
                <w:numId w:val="34"/>
              </w:numPr>
              <w:ind w:left="314" w:firstLine="0"/>
              <w:jc w:val="both"/>
              <w:tabs>
                <w:tab w:val="left" w:pos="598" w:leader="none"/>
              </w:tabs>
              <w:rPr>
                <w:b/>
                <w:iCs/>
                <w:sz w:val="22"/>
                <w:szCs w:val="22"/>
              </w:rPr>
            </w:pPr>
            <w:r>
              <w:rPr>
                <w:b/>
                <w:iCs/>
                <w:sz w:val="22"/>
                <w:szCs w:val="22"/>
              </w:rPr>
              <w:t xml:space="preserve"> </w:t>
            </w:r>
            <w:bookmarkStart w:id="204" w:name="_Ref74218465"/>
            <w:r>
              <w:rPr>
                <w:b/>
                <w:iCs/>
                <w:sz w:val="22"/>
                <w:szCs w:val="22"/>
              </w:rPr>
              <w:t xml:space="preserve">Вторая</w:t>
            </w:r>
            <w:r>
              <w:rPr>
                <w:b/>
                <w:iCs/>
                <w:sz w:val="22"/>
                <w:szCs w:val="22"/>
                <w:lang w:val="en-US"/>
              </w:rPr>
              <w:t xml:space="preserve"> </w:t>
            </w:r>
            <w:r>
              <w:rPr>
                <w:b/>
                <w:iCs/>
                <w:sz w:val="22"/>
                <w:szCs w:val="22"/>
              </w:rPr>
              <w:t xml:space="preserve">часть заявки</w:t>
            </w:r>
            <w:r>
              <w:rPr>
                <w:b/>
                <w:iCs/>
                <w:sz w:val="22"/>
                <w:szCs w:val="22"/>
                <w:lang w:val="en-US"/>
              </w:rPr>
              <w:t xml:space="preserve">:</w:t>
            </w:r>
            <w:bookmarkEnd w:id="204"/>
            <w:r>
              <w:rPr>
                <w:b/>
                <w:iCs/>
                <w:sz w:val="22"/>
                <w:szCs w:val="22"/>
              </w:rPr>
            </w:r>
            <w:r>
              <w:rPr>
                <w:b/>
                <w:iCs/>
                <w:sz w:val="22"/>
                <w:szCs w:val="22"/>
              </w:rPr>
            </w:r>
          </w:p>
          <w:p>
            <w:pPr>
              <w:numPr>
                <w:ilvl w:val="0"/>
                <w:numId w:val="32"/>
              </w:numPr>
              <w:ind w:left="0" w:right="153" w:firstLine="0"/>
              <w:jc w:val="both"/>
              <w:tabs>
                <w:tab w:val="left" w:pos="0" w:leader="none"/>
                <w:tab w:val="left" w:pos="180" w:leader="none"/>
                <w:tab w:val="left" w:pos="314" w:leader="none"/>
                <w:tab w:val="left" w:pos="1140" w:leader="none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Учредительный документ участника закупки (для юридических лиц);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numPr>
                <w:ilvl w:val="0"/>
                <w:numId w:val="32"/>
              </w:numPr>
              <w:ind w:left="0" w:right="153" w:firstLine="0"/>
              <w:jc w:val="both"/>
              <w:tabs>
                <w:tab w:val="left" w:pos="0" w:leader="none"/>
                <w:tab w:val="left" w:pos="180" w:leader="none"/>
                <w:tab w:val="left" w:pos="314" w:leader="none"/>
                <w:tab w:val="left" w:pos="1140" w:leader="none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Копия документа, подтверждающего полномочия лица действовать от имени участника закупки, за исключением случаев подписания заявки: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ind w:right="153"/>
              <w:jc w:val="both"/>
              <w:tabs>
                <w:tab w:val="left" w:pos="0" w:leader="none"/>
                <w:tab w:val="left" w:pos="180" w:leader="none"/>
                <w:tab w:val="left" w:pos="314" w:leader="none"/>
                <w:tab w:val="left" w:pos="1140" w:leader="none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а) индивидуальным предпринимателем, если участником такой закупки является индивидуальный предприниматель;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ind w:right="153"/>
              <w:jc w:val="both"/>
              <w:tabs>
                <w:tab w:val="left" w:pos="0" w:leader="none"/>
                <w:tab w:val="left" w:pos="180" w:leader="none"/>
                <w:tab w:val="left" w:pos="314" w:leader="none"/>
                <w:tab w:val="left" w:pos="1140" w:leader="none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б) лицом, указанным в едином государственном реестре юридических лиц в качестве лица, имеющего право без доверенности действовать от имени юридического лица, если участником такой закупки является юридическое лицо;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numPr>
                <w:ilvl w:val="0"/>
                <w:numId w:val="32"/>
              </w:numPr>
              <w:ind w:left="0" w:right="153" w:firstLine="0"/>
              <w:jc w:val="both"/>
              <w:tabs>
                <w:tab w:val="left" w:pos="0" w:leader="none"/>
                <w:tab w:val="left" w:pos="180" w:leader="none"/>
                <w:tab w:val="left" w:pos="314" w:leader="none"/>
                <w:tab w:val="left" w:pos="1140" w:leader="none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Анкета участника закупки по </w:t>
            </w:r>
            <w:hyperlink w:tooltip="#_Форма_2_АНКЕТА" w:anchor="_Форма_2_АНКЕТА" w:history="1">
              <w:r>
                <w:rPr>
                  <w:rStyle w:val="978"/>
                  <w:sz w:val="22"/>
                  <w:szCs w:val="22"/>
                </w:rPr>
                <w:t xml:space="preserve">Форме 2 раздела III «ФОРМЫ ДЛЯ ЗАПОЛНЕНИЯ УЧАСТНИКАМИ ЗАКУПКИ»</w:t>
              </w:r>
            </w:hyperlink>
            <w:r>
              <w:rPr>
                <w:rStyle w:val="978"/>
                <w:sz w:val="22"/>
                <w:szCs w:val="22"/>
              </w:rPr>
              <w:t xml:space="preserve"> </w:t>
            </w:r>
            <w:r>
              <w:rPr>
                <w:bCs/>
                <w:sz w:val="22"/>
              </w:rPr>
              <w:t xml:space="preserve">документации</w:t>
            </w:r>
            <w:r>
              <w:rPr>
                <w:sz w:val="22"/>
                <w:szCs w:val="22"/>
              </w:rPr>
              <w:t xml:space="preserve">;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numPr>
                <w:ilvl w:val="0"/>
                <w:numId w:val="32"/>
              </w:numPr>
              <w:ind w:left="0" w:right="153" w:firstLine="0"/>
              <w:jc w:val="both"/>
              <w:tabs>
                <w:tab w:val="left" w:pos="0" w:leader="none"/>
                <w:tab w:val="left" w:pos="180" w:leader="none"/>
                <w:tab w:val="left" w:pos="314" w:leader="none"/>
                <w:tab w:val="left" w:pos="1140" w:leader="none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Документы, указанные в п. </w:t>
            </w:r>
            <w:r>
              <w:rPr>
                <w:sz w:val="22"/>
                <w:szCs w:val="22"/>
              </w:rPr>
              <w:fldChar w:fldCharType="begin"/>
            </w:r>
            <w:r>
              <w:rPr>
                <w:sz w:val="22"/>
                <w:szCs w:val="22"/>
              </w:rPr>
              <w:instrText xml:space="preserve"> REF _Ref55317066 \r \h  \* MERGEFORMAT </w:instrText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sz w:val="22"/>
                <w:szCs w:val="22"/>
              </w:rPr>
              <w:t xml:space="preserve">10</w:t>
            </w:r>
            <w:r>
              <w:rPr>
                <w:sz w:val="22"/>
                <w:szCs w:val="22"/>
              </w:rPr>
              <w:fldChar w:fldCharType="end"/>
            </w:r>
            <w:r>
              <w:rPr>
                <w:sz w:val="22"/>
                <w:szCs w:val="22"/>
              </w:rPr>
              <w:t xml:space="preserve"> раздела </w:t>
            </w:r>
            <w:hyperlink w:tooltip="#_РАЗДЕЛ_II._ИНФОРМАЦИОННАЯ_1" w:anchor="_РАЗДЕЛ_II._ИНФОРМАЦИОННАЯ_1" w:history="1">
              <w:r>
                <w:rPr>
                  <w:rStyle w:val="978"/>
                  <w:sz w:val="22"/>
                  <w:szCs w:val="22"/>
                </w:rPr>
                <w:t xml:space="preserve">II «ИНФОРМАЦИОННАЯ КАРТА»</w:t>
              </w:r>
            </w:hyperlink>
            <w:r>
              <w:rPr>
                <w:rStyle w:val="978"/>
                <w:sz w:val="22"/>
                <w:szCs w:val="22"/>
              </w:rPr>
              <w:t xml:space="preserve"> </w:t>
            </w:r>
            <w:r>
              <w:rPr>
                <w:bCs/>
                <w:sz w:val="22"/>
              </w:rPr>
              <w:t xml:space="preserve">документации</w:t>
            </w:r>
            <w:r>
              <w:rPr>
                <w:sz w:val="22"/>
                <w:szCs w:val="22"/>
              </w:rPr>
              <w:t xml:space="preserve">, подтверждающие соответствие участника закупки установленным требованиям;  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numPr>
                <w:ilvl w:val="0"/>
                <w:numId w:val="32"/>
              </w:numPr>
              <w:ind w:left="0" w:right="153" w:firstLine="0"/>
              <w:jc w:val="both"/>
              <w:tabs>
                <w:tab w:val="left" w:pos="0" w:leader="none"/>
                <w:tab w:val="left" w:pos="180" w:leader="none"/>
                <w:tab w:val="left" w:pos="314" w:leader="none"/>
                <w:tab w:val="left" w:pos="1140" w:leader="none"/>
              </w:tabs>
              <w:rPr>
                <w:b/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Информация и </w:t>
            </w:r>
            <w:r>
              <w:rPr>
                <w:sz w:val="22"/>
                <w:szCs w:val="22"/>
              </w:rPr>
              <w:t xml:space="preserve">документы, указанные в п. </w:t>
            </w:r>
            <w:r>
              <w:rPr>
                <w:bCs/>
                <w:sz w:val="22"/>
                <w:szCs w:val="22"/>
              </w:rPr>
              <w:t xml:space="preserve">11 </w:t>
            </w:r>
            <w:r>
              <w:rPr>
                <w:sz w:val="22"/>
                <w:szCs w:val="22"/>
              </w:rPr>
              <w:t xml:space="preserve">раздела </w:t>
            </w:r>
            <w:hyperlink w:tooltip="#_РАЗДЕЛ_II._ИНФОРМАЦИОННАЯ_1" w:anchor="_РАЗДЕЛ_II._ИНФОРМАЦИОННАЯ_1" w:history="1">
              <w:r>
                <w:rPr>
                  <w:rStyle w:val="978"/>
                  <w:sz w:val="22"/>
                  <w:szCs w:val="22"/>
                </w:rPr>
                <w:t xml:space="preserve">II «ИНФОРМАЦИОННАЯ КАРТА»</w:t>
              </w:r>
            </w:hyperlink>
            <w:r>
              <w:rPr>
                <w:rStyle w:val="978"/>
                <w:sz w:val="22"/>
                <w:szCs w:val="22"/>
              </w:rPr>
              <w:t xml:space="preserve"> </w:t>
            </w:r>
            <w:r>
              <w:rPr>
                <w:bCs/>
                <w:sz w:val="22"/>
              </w:rPr>
              <w:t xml:space="preserve">документации</w:t>
            </w:r>
            <w:r>
              <w:rPr>
                <w:rStyle w:val="978"/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 xml:space="preserve">подтверждающие страну происхождения товара (если установлено</w:t>
            </w:r>
            <w:r>
              <w:rPr>
                <w:sz w:val="22"/>
                <w:szCs w:val="22"/>
              </w:rPr>
              <w:t xml:space="preserve">); </w:t>
            </w:r>
            <w:r>
              <w:rPr>
                <w:b/>
                <w:bCs/>
                <w:sz w:val="22"/>
                <w:szCs w:val="22"/>
              </w:rPr>
            </w:r>
            <w:r>
              <w:rPr>
                <w:b/>
                <w:bCs/>
                <w:sz w:val="22"/>
                <w:szCs w:val="22"/>
              </w:rPr>
            </w:r>
          </w:p>
          <w:p>
            <w:pPr>
              <w:numPr>
                <w:ilvl w:val="0"/>
                <w:numId w:val="32"/>
              </w:numPr>
              <w:ind w:left="0" w:right="153" w:firstLine="0"/>
              <w:jc w:val="both"/>
              <w:tabs>
                <w:tab w:val="left" w:pos="0" w:leader="none"/>
                <w:tab w:val="left" w:pos="180" w:leader="none"/>
                <w:tab w:val="left" w:pos="314" w:leader="none"/>
                <w:tab w:val="left" w:pos="1140" w:leader="none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Документы, предусмотренные </w:t>
            </w:r>
            <w:r>
              <w:rPr>
                <w:bCs/>
                <w:sz w:val="22"/>
                <w:szCs w:val="22"/>
              </w:rPr>
              <w:t xml:space="preserve">разделом</w:t>
            </w:r>
            <w:r>
              <w:rPr>
                <w:bCs/>
                <w:sz w:val="22"/>
                <w:szCs w:val="22"/>
              </w:rPr>
              <w:t xml:space="preserve"> </w:t>
            </w:r>
            <w:hyperlink w:tooltip="#_РАЗДЕЛ_VI._КРИТЕРИИ_2" w:anchor="_РАЗДЕЛ_VI._КРИТЕРИИ_2" w:history="1">
              <w:r>
                <w:rPr>
                  <w:rStyle w:val="978"/>
                  <w:bCs/>
                  <w:color w:val="auto"/>
                  <w:sz w:val="22"/>
                  <w:szCs w:val="22"/>
                  <w:u w:val="none"/>
                  <w:lang w:val="en-US"/>
                </w:rPr>
                <w:t xml:space="preserve">VI</w:t>
              </w:r>
              <w:r>
                <w:rPr>
                  <w:rStyle w:val="978"/>
                  <w:bCs/>
                  <w:color w:val="auto"/>
                  <w:sz w:val="22"/>
                  <w:szCs w:val="22"/>
                  <w:u w:val="none"/>
                </w:rPr>
                <w:t xml:space="preserve"> «КРИТЕРИИ И ПОРЯДОК ОЦЕНКИ ЗАЯВОК»</w:t>
              </w:r>
            </w:hyperlink>
            <w:r>
              <w:rPr>
                <w:bCs/>
                <w:sz w:val="22"/>
                <w:szCs w:val="22"/>
              </w:rPr>
              <w:t xml:space="preserve"> документации</w:t>
            </w:r>
            <w:r>
              <w:rPr>
                <w:sz w:val="22"/>
                <w:szCs w:val="22"/>
              </w:rPr>
              <w:t xml:space="preserve">, необходимые для оценки заявок (если установлено);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numPr>
                <w:ilvl w:val="0"/>
                <w:numId w:val="32"/>
              </w:numPr>
              <w:ind w:left="0" w:right="153" w:firstLine="0"/>
              <w:jc w:val="both"/>
              <w:tabs>
                <w:tab w:val="left" w:pos="0" w:leader="none"/>
                <w:tab w:val="left" w:pos="180" w:leader="none"/>
                <w:tab w:val="left" w:pos="314" w:leader="none"/>
                <w:tab w:val="left" w:pos="1140" w:leader="none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Независимая гарантия или ее копия, если в качестве обеспечения заявки на участие в закупке участником предоставляется независимая гарантия (если требование о предоставлении обеспечения заявки установлено в п. </w:t>
            </w:r>
            <w:r>
              <w:rPr>
                <w:sz w:val="22"/>
                <w:szCs w:val="22"/>
              </w:rPr>
              <w:fldChar w:fldCharType="begin"/>
            </w:r>
            <w:r>
              <w:rPr>
                <w:sz w:val="22"/>
                <w:szCs w:val="22"/>
              </w:rPr>
              <w:instrText xml:space="preserve"> REF _Ref55319739 \r \h  \* MERGEFORMAT </w:instrText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sz w:val="22"/>
                <w:szCs w:val="22"/>
              </w:rPr>
              <w:t xml:space="preserve">7</w:t>
            </w:r>
            <w:r>
              <w:rPr>
                <w:sz w:val="22"/>
                <w:szCs w:val="22"/>
              </w:rPr>
              <w:fldChar w:fldCharType="end"/>
            </w:r>
            <w:r>
              <w:rPr>
                <w:sz w:val="22"/>
                <w:szCs w:val="22"/>
              </w:rPr>
              <w:t xml:space="preserve"> раздела II «ИНФОРМАЦИОННАЯ КАРТА»). 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numPr>
                <w:ilvl w:val="0"/>
                <w:numId w:val="32"/>
              </w:numPr>
              <w:ind w:left="0" w:right="153" w:firstLine="0"/>
              <w:jc w:val="both"/>
              <w:tabs>
                <w:tab w:val="left" w:pos="0" w:leader="none"/>
                <w:tab w:val="left" w:pos="180" w:leader="none"/>
                <w:tab w:val="left" w:pos="314" w:leader="none"/>
                <w:tab w:val="left" w:pos="1140" w:leader="none"/>
              </w:tabs>
              <w:rPr>
                <w:i/>
                <w:color w:val="ff0000"/>
                <w:sz w:val="22"/>
                <w:szCs w:val="22"/>
              </w:rPr>
            </w:pPr>
            <w:r>
              <w:rPr>
                <w:rStyle w:val="978"/>
                <w:bCs/>
                <w:color w:val="auto"/>
                <w:sz w:val="22"/>
                <w:szCs w:val="22"/>
                <w:u w:val="none"/>
              </w:rPr>
              <w:t xml:space="preserve">Копии документов, подтверждающих соответствие товара, работы или услуги, являющихся предметом закупки, требованиям, установленным в соответствии с законодательством РФ: </w:t>
            </w:r>
            <w:r>
              <w:rPr>
                <w:rStyle w:val="978"/>
                <w:bCs/>
                <w:color w:val="auto"/>
                <w:sz w:val="22"/>
                <w:szCs w:val="22"/>
                <w:u w:val="none"/>
              </w:rPr>
              <w:t xml:space="preserve">не требуются.</w:t>
            </w:r>
            <w:r>
              <w:rPr>
                <w:i/>
                <w:color w:val="ff0000"/>
                <w:sz w:val="22"/>
                <w:szCs w:val="22"/>
              </w:rPr>
            </w:r>
            <w:r>
              <w:rPr>
                <w:i/>
                <w:color w:val="ff0000"/>
                <w:sz w:val="22"/>
                <w:szCs w:val="22"/>
              </w:rPr>
            </w:r>
          </w:p>
          <w:p>
            <w:pPr>
              <w:pStyle w:val="1045"/>
              <w:numPr>
                <w:ilvl w:val="1"/>
                <w:numId w:val="34"/>
              </w:numPr>
              <w:ind w:left="314" w:firstLine="0"/>
              <w:jc w:val="both"/>
              <w:tabs>
                <w:tab w:val="left" w:pos="598" w:leader="none"/>
              </w:tabs>
              <w:rPr>
                <w:b/>
                <w:iCs/>
                <w:sz w:val="22"/>
                <w:szCs w:val="22"/>
              </w:rPr>
            </w:pPr>
            <w:r>
              <w:rPr>
                <w:b/>
                <w:iCs/>
                <w:sz w:val="22"/>
                <w:szCs w:val="22"/>
              </w:rPr>
              <w:t xml:space="preserve"> Предложение участника закупки о цене договора (единицы продукции):</w:t>
            </w:r>
            <w:r>
              <w:rPr>
                <w:b/>
                <w:iCs/>
                <w:sz w:val="22"/>
                <w:szCs w:val="22"/>
              </w:rPr>
            </w:r>
            <w:r>
              <w:rPr>
                <w:b/>
                <w:iCs/>
                <w:sz w:val="22"/>
                <w:szCs w:val="22"/>
              </w:rPr>
            </w:r>
          </w:p>
          <w:p>
            <w:pPr>
              <w:numPr>
                <w:ilvl w:val="0"/>
                <w:numId w:val="33"/>
              </w:numPr>
              <w:ind w:left="0" w:right="153" w:firstLine="0"/>
              <w:jc w:val="both"/>
              <w:tabs>
                <w:tab w:val="left" w:pos="0" w:leader="none"/>
                <w:tab w:val="left" w:pos="180" w:leader="none"/>
                <w:tab w:val="left" w:pos="314" w:leader="none"/>
                <w:tab w:val="left" w:pos="1140" w:leader="none"/>
              </w:tabs>
              <w:rPr>
                <w:iCs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Ценовое предложение по </w:t>
            </w:r>
            <w:hyperlink w:tooltip="#_Форма_3_ТЕХНИКО-КОММЕРЧЕСКОЕ_1" w:anchor="_Форма_3_ТЕХНИКО-КОММЕРЧЕСКОЕ_1" w:history="1">
              <w:r>
                <w:rPr>
                  <w:rStyle w:val="978"/>
                  <w:sz w:val="22"/>
                  <w:szCs w:val="22"/>
                </w:rPr>
                <w:t xml:space="preserve">Форме 3 раздела III «ФОРМЫ ДЛЯ ЗАПОЛНЕНИЯ УЧАСТНИКАМИ ЗАКУПКИ»</w:t>
              </w:r>
            </w:hyperlink>
            <w:r>
              <w:rPr>
                <w:rStyle w:val="978"/>
                <w:sz w:val="22"/>
                <w:szCs w:val="22"/>
              </w:rPr>
              <w:t xml:space="preserve"> </w:t>
            </w:r>
            <w:r>
              <w:rPr>
                <w:bCs/>
                <w:sz w:val="22"/>
              </w:rPr>
              <w:t xml:space="preserve">документации</w:t>
            </w:r>
            <w:r>
              <w:rPr>
                <w:sz w:val="22"/>
                <w:szCs w:val="22"/>
              </w:rPr>
              <w:t xml:space="preserve">.</w:t>
            </w:r>
            <w:r>
              <w:rPr>
                <w:iCs/>
                <w:sz w:val="22"/>
                <w:szCs w:val="22"/>
              </w:rPr>
            </w:r>
            <w:r>
              <w:rPr>
                <w:iCs/>
                <w:sz w:val="22"/>
                <w:szCs w:val="22"/>
              </w:rPr>
            </w:r>
          </w:p>
        </w:tc>
      </w:tr>
      <w:tr>
        <w:tblPrEx/>
        <w:trPr>
          <w:trHeight w:val="1685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56" w:type="dxa"/>
            <w:vAlign w:val="center"/>
            <w:textDirection w:val="lrTb"/>
            <w:noWrap w:val="false"/>
          </w:tcPr>
          <w:p>
            <w:pPr>
              <w:pStyle w:val="979"/>
              <w:numPr>
                <w:ilvl w:val="0"/>
                <w:numId w:val="1"/>
              </w:numPr>
              <w:ind w:left="0" w:firstLine="0"/>
              <w:tabs>
                <w:tab w:val="left" w:pos="0" w:leader="none"/>
              </w:tabs>
              <w:rPr>
                <w:b/>
                <w:sz w:val="22"/>
                <w:szCs w:val="22"/>
              </w:rPr>
            </w:pPr>
            <w:r/>
            <w:bookmarkStart w:id="205" w:name="_Ref368304315"/>
            <w:r/>
            <w:bookmarkEnd w:id="205"/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80" w:type="dxa"/>
            <w:vAlign w:val="center"/>
            <w:textDirection w:val="lrTb"/>
            <w:noWrap w:val="false"/>
          </w:tcPr>
          <w:p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Порядок, дата начала, дата и время окончания срока подачи заявок на участие в закупке (этапах закупки) </w: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421" w:type="dxa"/>
            <w:vAlign w:val="center"/>
            <w:textDirection w:val="lrTb"/>
            <w:noWrap w:val="false"/>
          </w:tcPr>
          <w:p>
            <w:pPr>
              <w:pStyle w:val="992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</w:rPr>
              <w:t xml:space="preserve">Заявки подаются посредством ЭП по адресу: </w:t>
            </w:r>
            <w:hyperlink r:id="rId16" w:tooltip="https://tender.lot-online.ru/" w:history="1">
              <w:r>
                <w:rPr>
                  <w:rStyle w:val="978"/>
                  <w:color w:val="auto"/>
                  <w:sz w:val="22"/>
                  <w:szCs w:val="22"/>
                  <w:highlight w:val="none"/>
                </w:rPr>
                <w:t xml:space="preserve">https://tender.lot-online.ru/</w:t>
              </w:r>
            </w:hyperlink>
            <w:r>
              <w:rPr>
                <w:sz w:val="22"/>
                <w:szCs w:val="22"/>
                <w:highlight w:val="none"/>
              </w:rPr>
              <w:t xml:space="preserve"> в соответствии с регламентом работы ЭП.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jc w:val="both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jc w:val="both"/>
              <w:rPr>
                <w:sz w:val="22"/>
                <w:szCs w:val="22"/>
                <w:highlight w:val="none"/>
              </w:rPr>
            </w:pPr>
            <w:r>
              <w:rPr>
                <w:b/>
                <w:sz w:val="22"/>
                <w:szCs w:val="22"/>
                <w:highlight w:val="none"/>
              </w:rPr>
              <w:t xml:space="preserve">Дата начала срока: </w:t>
            </w:r>
            <w:r>
              <w:rPr>
                <w:sz w:val="22"/>
                <w:szCs w:val="22"/>
                <w:highlight w:val="none"/>
              </w:rPr>
              <w:t xml:space="preserve">день размещения на ЭП извещения и документации.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jc w:val="both"/>
              <w:rPr>
                <w:b/>
                <w:sz w:val="22"/>
                <w:szCs w:val="22"/>
                <w:highlight w:val="none"/>
              </w:rPr>
            </w:pPr>
            <w:r>
              <w:rPr>
                <w:b/>
                <w:sz w:val="22"/>
                <w:szCs w:val="22"/>
                <w:highlight w:val="none"/>
              </w:rPr>
              <w:t xml:space="preserve">Дата и время окончания срока: </w:t>
            </w:r>
            <w:r>
              <w:rPr>
                <w:b/>
                <w:sz w:val="22"/>
                <w:szCs w:val="22"/>
                <w:highlight w:val="none"/>
              </w:rPr>
            </w:r>
            <w:r>
              <w:rPr>
                <w:b/>
                <w:sz w:val="22"/>
                <w:szCs w:val="22"/>
                <w:highlight w:val="none"/>
              </w:rPr>
            </w:r>
          </w:p>
          <w:p>
            <w:pPr>
              <w:rPr>
                <w:sz w:val="22"/>
                <w:szCs w:val="22"/>
                <w:highlight w:val="none"/>
              </w:rPr>
            </w:pPr>
            <w:r>
              <w:rPr>
                <w:highlight w:val="none"/>
              </w:rPr>
            </w:r>
            <w:sdt>
              <w:sdtPr>
                <w15:appearance w15:val="boundingBox"/>
                <w:id w:val="1168061555"/>
                <w:placeholder>
                  <w:docPart w:val="5134B839945D48CB984E8342E3B2AB08"/>
                </w:placeholder>
                <w:date w:fullDate="2026-10-22T00:00:00Z">
                  <w:calendar w:val="gregorian"/>
                  <w:dateFormat w:val="«dd» MMMM yyyy 'года'"/>
                  <w:lid w:val="ru-RU"/>
                </w:date>
                <w:rPr>
                  <w:sz w:val="22"/>
                  <w:szCs w:val="22"/>
                  <w:highlight w:val="none"/>
                </w:rPr>
              </w:sdtPr>
              <w:sdtContent>
                <w:r>
                  <w:rPr>
                    <w:sz w:val="22"/>
                    <w:szCs w:val="22"/>
                    <w:highlight w:val="none"/>
                  </w:rPr>
                  <w:t xml:space="preserve">«22» октября 2026 года</w:t>
                </w:r>
              </w:sdtContent>
            </w:sdt>
            <w:r>
              <w:rPr>
                <w:sz w:val="22"/>
                <w:szCs w:val="22"/>
                <w:highlight w:val="none"/>
              </w:rPr>
              <w:t xml:space="preserve"> </w:t>
            </w:r>
            <w:r>
              <w:rPr>
                <w:sz w:val="22"/>
                <w:szCs w:val="22"/>
                <w:highlight w:val="none"/>
              </w:rPr>
              <w:t xml:space="preserve">08</w:t>
            </w:r>
            <w:r>
              <w:rPr>
                <w:sz w:val="22"/>
                <w:szCs w:val="22"/>
                <w:highlight w:val="none"/>
              </w:rPr>
              <w:t xml:space="preserve">:</w:t>
            </w:r>
            <w:r>
              <w:rPr>
                <w:sz w:val="22"/>
                <w:szCs w:val="22"/>
                <w:highlight w:val="none"/>
              </w:rPr>
              <w:t xml:space="preserve">00</w:t>
            </w:r>
            <w:r>
              <w:rPr>
                <w:sz w:val="22"/>
                <w:szCs w:val="22"/>
                <w:highlight w:val="none"/>
              </w:rPr>
              <w:t xml:space="preserve"> (время московское)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</w:tr>
      <w:tr>
        <w:tblPrEx/>
        <w:trPr>
          <w:trHeight w:val="2415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56" w:type="dxa"/>
            <w:vAlign w:val="center"/>
            <w:textDirection w:val="lrTb"/>
            <w:noWrap w:val="false"/>
          </w:tcPr>
          <w:p>
            <w:pPr>
              <w:pStyle w:val="979"/>
              <w:numPr>
                <w:ilvl w:val="0"/>
                <w:numId w:val="1"/>
              </w:numPr>
              <w:ind w:left="0" w:firstLine="0"/>
              <w:tabs>
                <w:tab w:val="left" w:pos="0" w:leader="none"/>
              </w:tabs>
              <w:rPr>
                <w:b/>
                <w:sz w:val="22"/>
                <w:szCs w:val="22"/>
              </w:rPr>
            </w:pPr>
            <w:r/>
            <w:bookmarkStart w:id="206" w:name="_Ref378107245"/>
            <w:r/>
            <w:bookmarkEnd w:id="206"/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80" w:type="dxa"/>
            <w:vAlign w:val="center"/>
            <w:textDirection w:val="lrTb"/>
            <w:noWrap w:val="false"/>
          </w:tcPr>
          <w:p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Дата рассмотрения предложений участников закупки и подведения итогов закупки</w: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421" w:type="dxa"/>
            <w:vAlign w:val="center"/>
            <w:textDirection w:val="lrTb"/>
            <w:noWrap w:val="false"/>
          </w:tcPr>
          <w:p>
            <w:pPr>
              <w:jc w:val="both"/>
              <w:rPr>
                <w:b/>
                <w:sz w:val="22"/>
                <w:szCs w:val="22"/>
                <w:highlight w:val="none"/>
              </w:rPr>
            </w:pPr>
            <w:r>
              <w:rPr>
                <w:b/>
                <w:sz w:val="22"/>
                <w:szCs w:val="22"/>
                <w:highlight w:val="none"/>
              </w:rPr>
              <w:t xml:space="preserve">Рассмотрение первых частей заявок: </w:t>
            </w:r>
            <w:sdt>
              <w:sdtPr>
                <w15:appearance w15:val="boundingBox"/>
                <w:id w:val="-1111431491"/>
                <w:placeholder>
                  <w:docPart w:val="3BCD60251D7C4F4A9163F4CB21384E2E"/>
                </w:placeholder>
                <w:date w:fullDate="2026-10-23T00:00:00Z">
                  <w:calendar w:val="gregorian"/>
                  <w:dateFormat w:val="«dd» MMMM yyyy 'года'"/>
                  <w:lid w:val="ru-RU"/>
                </w:date>
                <w:rPr>
                  <w:sz w:val="22"/>
                  <w:szCs w:val="22"/>
                  <w:highlight w:val="none"/>
                </w:rPr>
              </w:sdtPr>
              <w:sdtContent>
                <w:r>
                  <w:rPr>
                    <w:sz w:val="22"/>
                    <w:szCs w:val="22"/>
                    <w:highlight w:val="none"/>
                  </w:rPr>
                  <w:t xml:space="preserve">«23» октября 2026 года</w:t>
                </w:r>
              </w:sdtContent>
            </w:sdt>
            <w:r>
              <w:rPr>
                <w:b/>
                <w:sz w:val="22"/>
                <w:szCs w:val="22"/>
                <w:highlight w:val="none"/>
              </w:rPr>
              <w:t xml:space="preserve"> </w:t>
            </w:r>
            <w:r>
              <w:rPr>
                <w:b/>
                <w:sz w:val="22"/>
                <w:szCs w:val="22"/>
                <w:highlight w:val="none"/>
              </w:rPr>
            </w:r>
            <w:r>
              <w:rPr>
                <w:b/>
                <w:sz w:val="22"/>
                <w:szCs w:val="22"/>
                <w:highlight w:val="none"/>
              </w:rPr>
            </w:r>
          </w:p>
          <w:p>
            <w:pPr>
              <w:jc w:val="both"/>
              <w:rPr>
                <w:b/>
                <w:sz w:val="22"/>
                <w:szCs w:val="22"/>
                <w:highlight w:val="none"/>
              </w:rPr>
            </w:pPr>
            <w:r>
              <w:rPr>
                <w:b/>
                <w:sz w:val="22"/>
                <w:szCs w:val="22"/>
                <w:highlight w:val="none"/>
              </w:rPr>
            </w:r>
            <w:r>
              <w:rPr>
                <w:b/>
                <w:sz w:val="22"/>
                <w:szCs w:val="22"/>
                <w:highlight w:val="none"/>
              </w:rPr>
            </w:r>
            <w:r>
              <w:rPr>
                <w:b/>
                <w:sz w:val="22"/>
                <w:szCs w:val="22"/>
                <w:highlight w:val="none"/>
              </w:rPr>
            </w:r>
          </w:p>
          <w:p>
            <w:pPr>
              <w:jc w:val="both"/>
              <w:rPr>
                <w:sz w:val="22"/>
                <w:szCs w:val="22"/>
                <w:highlight w:val="none"/>
              </w:rPr>
            </w:pPr>
            <w:r>
              <w:rPr>
                <w:b/>
                <w:sz w:val="22"/>
                <w:szCs w:val="22"/>
                <w:highlight w:val="none"/>
              </w:rPr>
              <w:t xml:space="preserve">Рассмотрение вторых частей заявок: </w:t>
            </w:r>
            <w:sdt>
              <w:sdtPr>
                <w15:appearance w15:val="boundingBox"/>
                <w:id w:val="151498027"/>
                <w:placeholder>
                  <w:docPart w:val="5134B839945D48CB984E8342E3B2AB08"/>
                </w:placeholder>
                <w:date w:fullDate="2026-10-27T00:00:00Z">
                  <w:calendar w:val="gregorian"/>
                  <w:dateFormat w:val="«dd» MMMM yyyy 'года'"/>
                  <w:lid w:val="ru-RU"/>
                </w:date>
                <w:rPr>
                  <w:sz w:val="22"/>
                  <w:szCs w:val="22"/>
                  <w:highlight w:val="none"/>
                </w:rPr>
              </w:sdtPr>
              <w:sdtContent>
                <w:r>
                  <w:rPr>
                    <w:sz w:val="22"/>
                    <w:szCs w:val="22"/>
                    <w:highlight w:val="none"/>
                  </w:rPr>
                  <w:t xml:space="preserve">«27» октября 2026 года</w:t>
                </w:r>
              </w:sdtContent>
            </w:sdt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jc w:val="both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jc w:val="both"/>
              <w:rPr>
                <w:sz w:val="22"/>
                <w:szCs w:val="22"/>
                <w:highlight w:val="none"/>
              </w:rPr>
            </w:pPr>
            <w:r>
              <w:rPr>
                <w:b/>
                <w:sz w:val="22"/>
                <w:szCs w:val="22"/>
                <w:highlight w:val="none"/>
              </w:rPr>
              <w:t xml:space="preserve">Оценка и сопоставление заявок, подведение итогов закупки</w:t>
            </w:r>
            <w:r>
              <w:rPr>
                <w:b/>
                <w:sz w:val="22"/>
                <w:szCs w:val="22"/>
                <w:highlight w:val="none"/>
              </w:rPr>
              <w:t xml:space="preserve">:</w:t>
            </w:r>
            <w:r>
              <w:rPr>
                <w:sz w:val="22"/>
                <w:szCs w:val="22"/>
                <w:highlight w:val="none"/>
              </w:rPr>
              <w:t xml:space="preserve"> </w:t>
            </w:r>
            <w:sdt>
              <w:sdtPr>
                <w15:appearance w15:val="boundingBox"/>
                <w:id w:val="1211309597"/>
                <w:placeholder>
                  <w:docPart w:val="5134B839945D48CB984E8342E3B2AB08"/>
                </w:placeholder>
                <w:date w:fullDate="2026-10-27T00:00:00Z">
                  <w:calendar w:val="gregorian"/>
                  <w:dateFormat w:val="«dd» MMMM yyyy 'года'"/>
                  <w:lid w:val="ru-RU"/>
                </w:date>
                <w:rPr>
                  <w:sz w:val="22"/>
                  <w:szCs w:val="22"/>
                  <w:highlight w:val="none"/>
                </w:rPr>
              </w:sdtPr>
              <w:sdtContent>
                <w:r>
                  <w:rPr>
                    <w:sz w:val="22"/>
                    <w:szCs w:val="22"/>
                    <w:highlight w:val="none"/>
                  </w:rPr>
                  <w:t xml:space="preserve">«27» октября 2026 года</w:t>
                </w:r>
              </w:sdtContent>
            </w:sdt>
            <w:r>
              <w:rPr>
                <w:sz w:val="22"/>
                <w:szCs w:val="22"/>
                <w:highlight w:val="none"/>
              </w:rPr>
              <w:t xml:space="preserve"> 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jc w:val="both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jc w:val="both"/>
              <w:rPr>
                <w:i/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</w:rPr>
              <w:t xml:space="preserve">Заказчик вправе рассмотреть заявки, оценить и сопоставить заявки, подвести итоги Закупки, ранее дат, указанных в настоящем пункте документации.</w:t>
            </w:r>
            <w:r>
              <w:rPr>
                <w:i/>
                <w:sz w:val="22"/>
                <w:szCs w:val="22"/>
                <w:highlight w:val="none"/>
              </w:rPr>
            </w:r>
            <w:r>
              <w:rPr>
                <w:i/>
                <w:sz w:val="22"/>
                <w:szCs w:val="22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56" w:type="dxa"/>
            <w:vAlign w:val="center"/>
            <w:textDirection w:val="lrTb"/>
            <w:noWrap w:val="false"/>
          </w:tcPr>
          <w:p>
            <w:pPr>
              <w:pStyle w:val="979"/>
              <w:numPr>
                <w:ilvl w:val="0"/>
                <w:numId w:val="1"/>
              </w:numPr>
              <w:ind w:left="0" w:firstLine="0"/>
              <w:tabs>
                <w:tab w:val="left" w:pos="0" w:leader="none"/>
              </w:tabs>
              <w:rPr>
                <w:b/>
                <w:sz w:val="22"/>
                <w:szCs w:val="22"/>
              </w:rPr>
            </w:pPr>
            <w:r/>
            <w:bookmarkStart w:id="207" w:name="_Ref55317440"/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80" w:type="dxa"/>
            <w:vAlign w:val="center"/>
            <w:textDirection w:val="lrTb"/>
            <w:noWrap w:val="false"/>
          </w:tcPr>
          <w:p>
            <w:pPr>
              <w:rPr>
                <w:b/>
                <w:sz w:val="22"/>
                <w:szCs w:val="22"/>
              </w:rPr>
            </w:pPr>
            <w:r/>
            <w:bookmarkStart w:id="208" w:name="форма9"/>
            <w:r/>
            <w:bookmarkEnd w:id="207"/>
            <w:r>
              <w:rPr>
                <w:b/>
                <w:sz w:val="22"/>
                <w:szCs w:val="22"/>
              </w:rPr>
              <w:t xml:space="preserve">Дата и время окончания срока предоставления участникам закупки разъяснений положений документации о закупке</w:t>
            </w:r>
            <w:bookmarkEnd w:id="208"/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421" w:type="dxa"/>
            <w:vAlign w:val="center"/>
            <w:textDirection w:val="lrTb"/>
            <w:noWrap w:val="false"/>
          </w:tcPr>
          <w:p>
            <w:pPr>
              <w:jc w:val="both"/>
              <w:rPr>
                <w:i/>
                <w:sz w:val="22"/>
                <w:szCs w:val="22"/>
                <w:highlight w:val="none"/>
              </w:rPr>
            </w:pPr>
            <w:r>
              <w:rPr>
                <w:b/>
                <w:sz w:val="22"/>
                <w:szCs w:val="22"/>
                <w:highlight w:val="none"/>
              </w:rPr>
              <w:t xml:space="preserve">Дата и время окончания срока предоставления участникам разъяснений положений документации о закупке: </w:t>
            </w:r>
            <w:sdt>
              <w:sdtPr>
                <w15:appearance w15:val="boundingBox"/>
                <w:id w:val="436331971"/>
                <w:placeholder>
                  <w:docPart w:val="5134B839945D48CB984E8342E3B2AB08"/>
                </w:placeholder>
                <w:date w:fullDate="2026-10-16T00:00:00Z">
                  <w:calendar w:val="gregorian"/>
                  <w:dateFormat w:val="«dd» MMMM yyyy 'года'"/>
                  <w:lid w:val="ru-RU"/>
                </w:date>
                <w:rPr>
                  <w:sz w:val="22"/>
                  <w:szCs w:val="22"/>
                  <w:highlight w:val="none"/>
                </w:rPr>
              </w:sdtPr>
              <w:sdtContent>
                <w:r>
                  <w:rPr>
                    <w:sz w:val="22"/>
                    <w:szCs w:val="22"/>
                    <w:highlight w:val="none"/>
                  </w:rPr>
                  <w:t xml:space="preserve">«16» октября 2026 года</w:t>
                </w:r>
              </w:sdtContent>
            </w:sdt>
            <w:r>
              <w:rPr>
                <w:sz w:val="22"/>
                <w:szCs w:val="22"/>
                <w:highlight w:val="none"/>
              </w:rPr>
              <w:t xml:space="preserve"> </w:t>
            </w:r>
            <w:r>
              <w:rPr>
                <w:sz w:val="22"/>
                <w:szCs w:val="22"/>
                <w:highlight w:val="none"/>
              </w:rPr>
              <w:t xml:space="preserve">23</w:t>
            </w:r>
            <w:r>
              <w:rPr>
                <w:sz w:val="22"/>
                <w:szCs w:val="22"/>
                <w:highlight w:val="none"/>
              </w:rPr>
              <w:t xml:space="preserve">:</w:t>
            </w:r>
            <w:r>
              <w:rPr>
                <w:sz w:val="22"/>
                <w:szCs w:val="22"/>
                <w:highlight w:val="none"/>
              </w:rPr>
              <w:t xml:space="preserve">59 </w:t>
            </w:r>
            <w:r>
              <w:rPr>
                <w:sz w:val="22"/>
                <w:szCs w:val="22"/>
                <w:highlight w:val="none"/>
              </w:rPr>
              <w:t xml:space="preserve">(время московское)</w:t>
            </w:r>
            <w:r>
              <w:rPr>
                <w:i/>
                <w:sz w:val="22"/>
                <w:szCs w:val="22"/>
                <w:highlight w:val="none"/>
              </w:rPr>
            </w:r>
            <w:r>
              <w:rPr>
                <w:i/>
                <w:sz w:val="22"/>
                <w:szCs w:val="22"/>
                <w:highlight w:val="none"/>
              </w:rPr>
            </w:r>
          </w:p>
        </w:tc>
      </w:tr>
      <w:tr>
        <w:tblPrEx/>
        <w:trPr>
          <w:trHeight w:val="413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56" w:type="dxa"/>
            <w:vAlign w:val="center"/>
            <w:textDirection w:val="lrTb"/>
            <w:noWrap w:val="false"/>
          </w:tcPr>
          <w:p>
            <w:pPr>
              <w:pStyle w:val="979"/>
              <w:numPr>
                <w:ilvl w:val="0"/>
                <w:numId w:val="1"/>
              </w:numPr>
              <w:ind w:left="0" w:firstLine="0"/>
              <w:tabs>
                <w:tab w:val="left" w:pos="0" w:leader="none"/>
              </w:tabs>
              <w:rPr>
                <w:b/>
                <w:sz w:val="22"/>
                <w:szCs w:val="22"/>
              </w:rPr>
            </w:pPr>
            <w:r/>
            <w:bookmarkStart w:id="209" w:name="_Ref193549776"/>
            <w:r/>
            <w:bookmarkEnd w:id="209"/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80" w:type="dxa"/>
            <w:vAlign w:val="center"/>
            <w:textDirection w:val="lrTb"/>
            <w:noWrap w:val="false"/>
          </w:tcPr>
          <w:p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Антидемпинговые меры</w: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421" w:type="dxa"/>
            <w:vAlign w:val="center"/>
            <w:textDirection w:val="lrTb"/>
            <w:noWrap w:val="false"/>
          </w:tcPr>
          <w:p>
            <w:pPr>
              <w:jc w:val="both"/>
              <w:rPr>
                <w:b/>
                <w:iCs/>
                <w:sz w:val="22"/>
                <w:szCs w:val="22"/>
              </w:rPr>
            </w:pPr>
            <w:r>
              <w:rPr>
                <w:b/>
                <w:iCs/>
                <w:sz w:val="22"/>
                <w:szCs w:val="22"/>
              </w:rPr>
              <w:t xml:space="preserve">Не установлены</w:t>
            </w:r>
            <w:r>
              <w:rPr>
                <w:b/>
                <w:iCs/>
                <w:sz w:val="22"/>
                <w:szCs w:val="22"/>
              </w:rPr>
            </w:r>
            <w:r>
              <w:rPr>
                <w:b/>
                <w:iCs/>
                <w:sz w:val="22"/>
                <w:szCs w:val="22"/>
              </w:rPr>
            </w:r>
          </w:p>
        </w:tc>
      </w:tr>
    </w:tbl>
    <w:p>
      <w:pPr>
        <w:pStyle w:val="813"/>
        <w:jc w:val="both"/>
        <w:keepLines w:val="0"/>
        <w:spacing w:before="240" w:after="120"/>
        <w:tabs>
          <w:tab w:val="left" w:pos="6424" w:leader="none"/>
        </w:tabs>
        <w:rPr>
          <w:b w:val="0"/>
          <w:sz w:val="2"/>
          <w:szCs w:val="2"/>
        </w:rPr>
      </w:pPr>
      <w:r>
        <w:br w:type="page" w:clear="all"/>
      </w:r>
      <w:bookmarkStart w:id="210" w:name="_2.3._Требования_к"/>
      <w:r/>
      <w:bookmarkStart w:id="211" w:name="_2.2._Требования_к"/>
      <w:r/>
      <w:bookmarkStart w:id="212" w:name="_2.4._Критерии_и"/>
      <w:r/>
      <w:bookmarkStart w:id="213" w:name="_2.3._Условия_заключения"/>
      <w:r/>
      <w:bookmarkStart w:id="214" w:name="_РАЗДЕЛ_III._ФОРМЫ"/>
      <w:r/>
      <w:bookmarkStart w:id="215" w:name="_Toc23149538"/>
      <w:r/>
      <w:bookmarkStart w:id="216" w:name="_Toc54336125"/>
      <w:r/>
      <w:bookmarkStart w:id="217" w:name="_Toc190199561"/>
      <w:r/>
      <w:bookmarkStart w:id="218" w:name="форма1"/>
      <w:r/>
      <w:bookmarkStart w:id="219" w:name="_Toc98251753"/>
      <w:r/>
      <w:bookmarkEnd w:id="210"/>
      <w:r/>
      <w:bookmarkEnd w:id="211"/>
      <w:r/>
      <w:bookmarkEnd w:id="212"/>
      <w:r/>
      <w:bookmarkEnd w:id="213"/>
      <w:r/>
      <w:bookmarkEnd w:id="214"/>
      <w:r>
        <w:rPr>
          <w:rFonts w:ascii="Times New Roman" w:hAnsi="Times New Roman" w:eastAsia="MS Mincho"/>
          <w:color w:val="17365d"/>
          <w:szCs w:val="24"/>
        </w:rPr>
        <w:t xml:space="preserve">РАЗДЕЛ III. ФОРМЫ ДЛЯ ЗАПОЛНЕНИЯ УЧАСТНИКАМИ ЗАКУПКИ</w:t>
      </w:r>
      <w:bookmarkEnd w:id="215"/>
      <w:r/>
      <w:bookmarkEnd w:id="216"/>
      <w:r/>
      <w:bookmarkEnd w:id="217"/>
      <w:r>
        <w:rPr>
          <w:rFonts w:eastAsia="MS Mincho"/>
          <w:b w:val="0"/>
        </w:rPr>
        <w:t xml:space="preserve"> </w:t>
      </w:r>
      <w:bookmarkEnd w:id="218"/>
      <w:r>
        <w:rPr>
          <w:b w:val="0"/>
          <w:sz w:val="2"/>
          <w:szCs w:val="2"/>
        </w:rPr>
      </w:r>
      <w:r>
        <w:rPr>
          <w:b w:val="0"/>
          <w:sz w:val="2"/>
          <w:szCs w:val="2"/>
        </w:rPr>
      </w:r>
    </w:p>
    <w:p>
      <w:pPr>
        <w:pStyle w:val="813"/>
        <w:ind w:left="792" w:hanging="360"/>
        <w:jc w:val="both"/>
        <w:keepLines w:val="0"/>
        <w:spacing w:before="240" w:after="120"/>
        <w:rPr>
          <w:rFonts w:ascii="Times New Roman" w:hAnsi="Times New Roman" w:eastAsia="MS Mincho"/>
          <w:color w:val="548dd4"/>
          <w:szCs w:val="24"/>
        </w:rPr>
      </w:pPr>
      <w:r/>
      <w:bookmarkStart w:id="220" w:name="_Форма_1_ЗАЯВКА"/>
      <w:r/>
      <w:bookmarkStart w:id="221" w:name="_Форма_1_ТЕХНИЧЕСКОЕ"/>
      <w:r/>
      <w:bookmarkStart w:id="222" w:name="_Toc23149539"/>
      <w:r/>
      <w:bookmarkStart w:id="223" w:name="_Toc54336126"/>
      <w:r/>
      <w:bookmarkStart w:id="224" w:name="_Toc190199562"/>
      <w:r/>
      <w:bookmarkEnd w:id="220"/>
      <w:r/>
      <w:bookmarkEnd w:id="221"/>
      <w:r>
        <w:rPr>
          <w:rFonts w:ascii="Times New Roman" w:hAnsi="Times New Roman" w:eastAsia="MS Mincho"/>
          <w:color w:val="548dd4"/>
          <w:szCs w:val="24"/>
        </w:rPr>
        <w:t xml:space="preserve">Форма 1 </w:t>
      </w:r>
      <w:bookmarkEnd w:id="222"/>
      <w:r/>
      <w:bookmarkEnd w:id="223"/>
      <w:r/>
      <w:bookmarkEnd w:id="224"/>
      <w:r>
        <w:rPr>
          <w:rFonts w:ascii="Times New Roman" w:hAnsi="Times New Roman" w:eastAsia="MS Mincho"/>
          <w:color w:val="548dd4"/>
          <w:szCs w:val="24"/>
        </w:rPr>
        <w:t xml:space="preserve">ТЕХНИЧЕСКОЕ ПРЕДЛОЖЕНИЕ</w:t>
      </w:r>
      <w:r>
        <w:rPr>
          <w:rFonts w:ascii="Times New Roman" w:hAnsi="Times New Roman" w:eastAsia="MS Mincho"/>
          <w:color w:val="548dd4"/>
          <w:szCs w:val="24"/>
        </w:rPr>
      </w:r>
      <w:r>
        <w:rPr>
          <w:rFonts w:ascii="Times New Roman" w:hAnsi="Times New Roman" w:eastAsia="MS Mincho"/>
          <w:color w:val="548dd4"/>
          <w:szCs w:val="24"/>
        </w:rPr>
      </w:r>
    </w:p>
    <w:p>
      <w:pPr>
        <w:pStyle w:val="977"/>
        <w:spacing w:after="120"/>
        <w:rPr>
          <w:b/>
        </w:rPr>
      </w:pPr>
      <w:r>
        <w:rPr>
          <w:b/>
        </w:rPr>
      </w:r>
      <w:r>
        <w:rPr>
          <w:b/>
        </w:rPr>
      </w:r>
      <w:r>
        <w:rPr>
          <w:b/>
        </w:rPr>
      </w:r>
    </w:p>
    <w:p>
      <w:pPr>
        <w:pStyle w:val="977"/>
        <w:spacing w:after="120"/>
        <w:rPr>
          <w:b/>
        </w:rPr>
      </w:pPr>
      <w:r>
        <w:rPr>
          <w:b/>
        </w:rPr>
        <w:t xml:space="preserve">ТЕХНИЧЕСКОЕ ПРЕДЛОЖЕНИЕ</w:t>
      </w:r>
      <w:r>
        <w:rPr>
          <w:b/>
        </w:rPr>
      </w:r>
      <w:r>
        <w:rPr>
          <w:b/>
        </w:rPr>
      </w:r>
    </w:p>
    <w:p>
      <w:pPr>
        <w:rPr>
          <w:sz w:val="10"/>
          <w:szCs w:val="10"/>
        </w:rPr>
      </w:pPr>
      <w:r>
        <w:rPr>
          <w:sz w:val="10"/>
          <w:szCs w:val="10"/>
        </w:rPr>
      </w:r>
      <w:r>
        <w:rPr>
          <w:sz w:val="10"/>
          <w:szCs w:val="10"/>
        </w:rPr>
      </w:r>
      <w:r>
        <w:rPr>
          <w:sz w:val="10"/>
          <w:szCs w:val="10"/>
        </w:rPr>
      </w:r>
    </w:p>
    <w:p>
      <w:pPr>
        <w:ind w:firstLine="567"/>
        <w:jc w:val="both"/>
      </w:pPr>
      <w:r/>
      <w:bookmarkStart w:id="225" w:name="_Письмо_о_подаче"/>
      <w:r/>
      <w:bookmarkStart w:id="226" w:name="_Заявка_о_подаче"/>
      <w:r/>
      <w:bookmarkEnd w:id="225"/>
      <w:r/>
      <w:bookmarkEnd w:id="226"/>
      <w:r>
        <w:t xml:space="preserve">Изучив документацию о проведении закупки в электронной форме на право заключения договора на _________________________________________________ </w:t>
      </w:r>
      <w:r>
        <w:rPr>
          <w:b/>
          <w:i/>
        </w:rPr>
        <w:t xml:space="preserve">[указать наименование закупки]</w:t>
      </w:r>
      <w:r>
        <w:t xml:space="preserve"> (далее – закупка), опубликованные</w:t>
      </w:r>
      <w:r>
        <w:rPr>
          <w:b/>
          <w:i/>
        </w:rPr>
        <w:t xml:space="preserve"> </w:t>
      </w:r>
      <w:r>
        <w:t xml:space="preserve">в Единой информационной системе по адресу: www.zakupki.gov.ru, закупка № ______ </w:t>
      </w:r>
      <w:r>
        <w:rPr>
          <w:b/>
          <w:i/>
        </w:rPr>
        <w:t xml:space="preserve">[указать номер извещения],</w:t>
      </w:r>
      <w:r>
        <w:t xml:space="preserve"> безоговорочно принимая установленные в них требования и условия, предлагаем:</w:t>
      </w:r>
      <w:r/>
    </w:p>
    <w:p>
      <w:pPr>
        <w:jc w:val="both"/>
        <w:rPr>
          <w:iCs/>
        </w:rPr>
      </w:pPr>
      <w:r>
        <w:rPr>
          <w:b/>
        </w:rPr>
        <w:t xml:space="preserve">поставить товар (товары)</w:t>
      </w:r>
      <w:r>
        <w:rPr>
          <w:i/>
          <w:color w:val="ff0000"/>
        </w:rPr>
        <w:t xml:space="preserve"> </w:t>
      </w:r>
      <w:r>
        <w:t xml:space="preserve">в соответствии с требованиями, изложенными в Разделах IV «ТЕХНИЧЕСКОЕ ЗАДАНИЕ» и V «ПРОЕКТ ДОГОВОРА» документации о закупке, </w:t>
      </w:r>
      <w:r>
        <w:rPr>
          <w:bCs/>
        </w:rPr>
        <w:t xml:space="preserve">на следующих условиях</w:t>
      </w:r>
      <w:r>
        <w:rPr>
          <w:iCs/>
        </w:rPr>
        <w:t xml:space="preserve">:</w:t>
      </w:r>
      <w:r>
        <w:rPr>
          <w:iCs/>
        </w:rPr>
      </w:r>
      <w:r>
        <w:rPr>
          <w:iCs/>
        </w:rPr>
      </w:r>
    </w:p>
    <w:p>
      <w:pPr>
        <w:jc w:val="both"/>
        <w:rPr>
          <w:iCs/>
        </w:rPr>
      </w:pPr>
      <w:r>
        <w:rPr>
          <w:iCs/>
        </w:rPr>
      </w:r>
      <w:r>
        <w:rPr>
          <w:iCs/>
        </w:rPr>
      </w:r>
      <w:r>
        <w:rPr>
          <w:iCs/>
        </w:rPr>
      </w:r>
    </w:p>
    <w:tbl>
      <w:tblPr>
        <w:tblW w:w="5017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4A0" w:firstRow="1" w:lastRow="0" w:firstColumn="1" w:lastColumn="0" w:noHBand="0" w:noVBand="1"/>
      </w:tblPr>
      <w:tblGrid>
        <w:gridCol w:w="436"/>
        <w:gridCol w:w="980"/>
        <w:gridCol w:w="3966"/>
        <w:gridCol w:w="880"/>
        <w:gridCol w:w="1172"/>
        <w:gridCol w:w="880"/>
        <w:gridCol w:w="1109"/>
        <w:gridCol w:w="798"/>
        <w:gridCol w:w="10"/>
      </w:tblGrid>
      <w:tr>
        <w:tblPrEx/>
        <w:trPr>
          <w:trHeight w:val="602"/>
        </w:trPr>
        <w:tc>
          <w:tcPr>
            <w:gridSpan w:val="2"/>
            <w:tcBorders>
              <w:bottom w:val="single" w:color="auto" w:sz="4" w:space="0"/>
            </w:tcBorders>
            <w:tcW w:w="692" w:type="pct"/>
            <w:vAlign w:val="center"/>
            <w:textDirection w:val="lrTb"/>
            <w:noWrap w:val="false"/>
          </w:tcPr>
          <w:p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</w:r>
            <w:r>
              <w:rPr>
                <w:b/>
                <w:color w:val="000000"/>
                <w:sz w:val="20"/>
                <w:szCs w:val="20"/>
              </w:rPr>
            </w:r>
            <w:r>
              <w:rPr>
                <w:b/>
                <w:color w:val="000000"/>
                <w:sz w:val="20"/>
                <w:szCs w:val="20"/>
              </w:rPr>
            </w:r>
          </w:p>
        </w:tc>
        <w:tc>
          <w:tcPr>
            <w:gridSpan w:val="7"/>
            <w:shd w:val="clear" w:color="auto" w:fill="auto"/>
            <w:tcBorders>
              <w:bottom w:val="single" w:color="auto" w:sz="4" w:space="0"/>
            </w:tcBorders>
            <w:tcW w:w="4308" w:type="pct"/>
            <w:vAlign w:val="center"/>
            <w:textDirection w:val="lrTb"/>
            <w:noWrap w:val="false"/>
          </w:tcPr>
          <w:p>
            <w:pPr>
              <w:jc w:val="center"/>
              <w:rPr>
                <w:color w:val="ff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**</w:t>
            </w:r>
            <w:r>
              <w:rPr>
                <w:b/>
                <w:color w:val="000000"/>
                <w:sz w:val="20"/>
                <w:szCs w:val="20"/>
              </w:rPr>
              <w:t xml:space="preserve">Сведения о функциональных (потребительских свойствах), качественных характеристиках товара</w:t>
            </w:r>
            <w:r>
              <w:rPr>
                <w:color w:val="ff0000"/>
                <w:sz w:val="20"/>
                <w:szCs w:val="20"/>
              </w:rPr>
            </w:r>
            <w:r>
              <w:rPr>
                <w:color w:val="ff0000"/>
                <w:sz w:val="20"/>
                <w:szCs w:val="20"/>
              </w:rPr>
            </w:r>
          </w:p>
        </w:tc>
      </w:tr>
      <w:tr>
        <w:tblPrEx/>
        <w:trPr>
          <w:gridAfter w:val="1"/>
          <w:trHeight w:val="288"/>
        </w:trPr>
        <w:tc>
          <w:tcPr>
            <w:shd w:val="clear" w:color="auto" w:fill="auto"/>
            <w:tcW w:w="213" w:type="pct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№ п/п</w:t>
            </w:r>
            <w:r>
              <w:rPr>
                <w:b/>
                <w:color w:val="000000"/>
                <w:sz w:val="20"/>
                <w:szCs w:val="20"/>
              </w:rPr>
            </w:r>
            <w:r>
              <w:rPr>
                <w:b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W w:w="479" w:type="pct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Наименование товара</w:t>
            </w:r>
            <w:r>
              <w:rPr>
                <w:b/>
                <w:color w:val="000000"/>
                <w:sz w:val="20"/>
                <w:szCs w:val="20"/>
              </w:rPr>
            </w:r>
            <w:r>
              <w:rPr>
                <w:b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W w:w="1938" w:type="pct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Указание </w:t>
            </w:r>
            <w:r>
              <w:rPr>
                <w:b/>
                <w:color w:val="000000"/>
                <w:sz w:val="20"/>
                <w:szCs w:val="20"/>
              </w:rPr>
              <w:t xml:space="preserve">наименования товарного знака при его наличии в Государственном реестре товарных знаков РФ или указание на наличие товарного знака с указанием регистрационного номера свидетельства на товарный знак (знак обслуживания)</w:t>
            </w:r>
            <w:r>
              <w:rPr>
                <w:rStyle w:val="1008"/>
                <w:b/>
                <w:color w:val="000000"/>
                <w:sz w:val="20"/>
                <w:szCs w:val="20"/>
              </w:rPr>
              <w:footnoteReference w:id="2"/>
            </w:r>
            <w:r>
              <w:rPr>
                <w:b/>
                <w:color w:val="000000"/>
                <w:sz w:val="20"/>
                <w:szCs w:val="20"/>
              </w:rPr>
              <w:t xml:space="preserve">, фирменное наименование, патенты (при наличии), полезные модели, промышленные образцы, наименование страны происхождения товара </w:t>
            </w:r>
            <w:r>
              <w:rPr>
                <w:b/>
                <w:color w:val="000000"/>
                <w:sz w:val="20"/>
                <w:szCs w:val="20"/>
                <w:u w:val="single"/>
              </w:rPr>
              <w:t xml:space="preserve">с указанием номера реестровой записи из реестра российской промышленной продукции, произведенной на территории</w:t>
            </w:r>
            <w:r>
              <w:rPr>
                <w:b/>
                <w:color w:val="000000"/>
                <w:sz w:val="20"/>
                <w:szCs w:val="20"/>
                <w:u w:val="single"/>
              </w:rPr>
              <w:t xml:space="preserve"> Российской Федерации, или евразийского реестра промышленных товаров государств - членов Евразийского экономического союза, произведенных на территории государства - члена Евразийского экономического союза, за исключением Российской Федерации (при наличии)</w:t>
            </w:r>
            <w:r>
              <w:rPr>
                <w:b/>
                <w:color w:val="000000"/>
                <w:sz w:val="20"/>
                <w:szCs w:val="20"/>
              </w:rPr>
            </w:r>
            <w:r>
              <w:rPr>
                <w:b/>
                <w:color w:val="000000"/>
                <w:sz w:val="20"/>
                <w:szCs w:val="20"/>
              </w:rPr>
            </w:r>
          </w:p>
        </w:tc>
        <w:tc>
          <w:tcPr>
            <w:gridSpan w:val="5"/>
            <w:shd w:val="clear" w:color="auto" w:fill="auto"/>
            <w:tcW w:w="2365" w:type="pct"/>
            <w:vAlign w:val="center"/>
            <w:textDirection w:val="lrTb"/>
            <w:noWrap w:val="false"/>
          </w:tcPr>
          <w:p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Функциональные,  качественные характеристики товара</w:t>
            </w:r>
            <w:r>
              <w:rPr>
                <w:b/>
                <w:color w:val="000000"/>
                <w:sz w:val="20"/>
                <w:szCs w:val="20"/>
              </w:rPr>
            </w:r>
            <w:r>
              <w:rPr>
                <w:b/>
                <w:color w:val="000000"/>
                <w:sz w:val="20"/>
                <w:szCs w:val="20"/>
              </w:rPr>
            </w:r>
          </w:p>
        </w:tc>
      </w:tr>
      <w:tr>
        <w:tblPrEx/>
        <w:trPr>
          <w:gridAfter w:val="1"/>
          <w:trHeight w:val="1056"/>
        </w:trPr>
        <w:tc>
          <w:tcPr>
            <w:tcW w:w="213" w:type="pct"/>
            <w:vAlign w:val="center"/>
            <w:vMerge w:val="continue"/>
            <w:textDirection w:val="lrTb"/>
            <w:noWrap w:val="false"/>
          </w:tcPr>
          <w:p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</w:tc>
        <w:tc>
          <w:tcPr>
            <w:tcW w:w="479" w:type="pct"/>
            <w:vAlign w:val="center"/>
            <w:vMerge w:val="continue"/>
            <w:textDirection w:val="lrTb"/>
            <w:noWrap w:val="false"/>
          </w:tcPr>
          <w:p>
            <w:pPr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</w:r>
            <w:r>
              <w:rPr>
                <w:b/>
                <w:color w:val="000000"/>
                <w:sz w:val="20"/>
                <w:szCs w:val="20"/>
              </w:rPr>
            </w:r>
            <w:r>
              <w:rPr>
                <w:b/>
                <w:color w:val="000000"/>
                <w:sz w:val="20"/>
                <w:szCs w:val="20"/>
              </w:rPr>
            </w:r>
          </w:p>
        </w:tc>
        <w:tc>
          <w:tcPr>
            <w:tcW w:w="1938" w:type="pct"/>
            <w:vAlign w:val="center"/>
            <w:vMerge w:val="continue"/>
            <w:textDirection w:val="lrTb"/>
            <w:noWrap w:val="false"/>
          </w:tcPr>
          <w:p>
            <w:pPr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</w:r>
            <w:r>
              <w:rPr>
                <w:b/>
                <w:color w:val="000000"/>
                <w:sz w:val="20"/>
                <w:szCs w:val="20"/>
              </w:rPr>
            </w:r>
            <w:r>
              <w:rPr>
                <w:b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W w:w="430" w:type="pct"/>
            <w:vAlign w:val="center"/>
            <w:textDirection w:val="lrTb"/>
            <w:noWrap w:val="false"/>
          </w:tcPr>
          <w:p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Требуемый параметр </w:t>
            </w:r>
            <w:r>
              <w:rPr>
                <w:b/>
                <w:color w:val="000000"/>
                <w:sz w:val="20"/>
                <w:szCs w:val="20"/>
              </w:rPr>
            </w:r>
            <w:r>
              <w:rPr>
                <w:b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W w:w="573" w:type="pct"/>
            <w:vAlign w:val="center"/>
            <w:textDirection w:val="lrTb"/>
            <w:noWrap w:val="false"/>
          </w:tcPr>
          <w:p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Требуемое значение параметра</w:t>
            </w:r>
            <w:r>
              <w:rPr>
                <w:b/>
                <w:color w:val="000000"/>
                <w:sz w:val="20"/>
                <w:szCs w:val="20"/>
              </w:rPr>
            </w:r>
            <w:r>
              <w:rPr>
                <w:b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W w:w="430" w:type="pct"/>
            <w:vAlign w:val="center"/>
            <w:textDirection w:val="lrTb"/>
            <w:noWrap w:val="false"/>
          </w:tcPr>
          <w:p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Значение параметра, предлагаемое участником </w:t>
            </w:r>
            <w:r>
              <w:rPr>
                <w:b/>
                <w:color w:val="000000"/>
                <w:sz w:val="20"/>
                <w:szCs w:val="20"/>
              </w:rPr>
            </w:r>
            <w:r>
              <w:rPr>
                <w:b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W w:w="542" w:type="pct"/>
            <w:vAlign w:val="center"/>
            <w:textDirection w:val="lrTb"/>
            <w:noWrap w:val="false"/>
          </w:tcPr>
          <w:p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Единица измерения параметра</w:t>
            </w:r>
            <w:r>
              <w:rPr>
                <w:b/>
                <w:color w:val="000000"/>
                <w:sz w:val="20"/>
                <w:szCs w:val="20"/>
              </w:rPr>
            </w:r>
            <w:r>
              <w:rPr>
                <w:b/>
                <w:color w:val="000000"/>
                <w:sz w:val="20"/>
                <w:szCs w:val="20"/>
              </w:rPr>
            </w:r>
          </w:p>
        </w:tc>
        <w:tc>
          <w:tcPr>
            <w:tcW w:w="390" w:type="pct"/>
            <w:vAlign w:val="center"/>
            <w:textDirection w:val="lrTb"/>
            <w:noWrap w:val="false"/>
          </w:tcPr>
          <w:p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18"/>
                <w:szCs w:val="20"/>
                <w:lang w:val="en-US"/>
              </w:rPr>
              <w:t xml:space="preserve">Сведения</w:t>
            </w:r>
            <w:r>
              <w:rPr>
                <w:b/>
                <w:color w:val="000000"/>
                <w:sz w:val="18"/>
                <w:szCs w:val="20"/>
                <w:lang w:val="en-US"/>
              </w:rPr>
              <w:t xml:space="preserve"> о </w:t>
            </w:r>
            <w:r>
              <w:rPr>
                <w:b/>
                <w:color w:val="000000"/>
                <w:sz w:val="18"/>
                <w:szCs w:val="20"/>
                <w:lang w:val="en-US"/>
              </w:rPr>
              <w:t xml:space="preserve">сертификации</w:t>
            </w:r>
            <w:r>
              <w:rPr>
                <w:b/>
                <w:color w:val="000000"/>
                <w:sz w:val="20"/>
                <w:szCs w:val="20"/>
              </w:rPr>
            </w:r>
            <w:r>
              <w:rPr>
                <w:b/>
                <w:color w:val="000000"/>
                <w:sz w:val="20"/>
                <w:szCs w:val="20"/>
              </w:rPr>
            </w:r>
          </w:p>
        </w:tc>
      </w:tr>
      <w:tr>
        <w:tblPrEx/>
        <w:trPr>
          <w:gridAfter w:val="1"/>
          <w:trHeight w:val="652"/>
        </w:trPr>
        <w:tc>
          <w:tcPr>
            <w:shd w:val="clear" w:color="auto" w:fill="auto"/>
            <w:tcW w:w="213" w:type="pct"/>
            <w:vAlign w:val="center"/>
            <w:textDirection w:val="lrTb"/>
            <w:noWrap w:val="false"/>
          </w:tcPr>
          <w:p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1.</w:t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W w:w="479" w:type="pct"/>
            <w:vAlign w:val="center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W w:w="1938" w:type="pct"/>
            <w:vAlign w:val="center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W w:w="430" w:type="pct"/>
            <w:vAlign w:val="center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W w:w="573" w:type="pct"/>
            <w:vAlign w:val="center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W w:w="430" w:type="pct"/>
            <w:vAlign w:val="center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W w:w="542" w:type="pct"/>
            <w:vAlign w:val="center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</w:tc>
        <w:tc>
          <w:tcPr>
            <w:tcW w:w="390" w:type="pct"/>
            <w:vAlign w:val="center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</w:tc>
      </w:tr>
      <w:tr>
        <w:tblPrEx/>
        <w:trPr>
          <w:gridAfter w:val="1"/>
          <w:trHeight w:val="652"/>
        </w:trPr>
        <w:tc>
          <w:tcPr>
            <w:shd w:val="clear" w:color="auto" w:fill="auto"/>
            <w:tcW w:w="213" w:type="pct"/>
            <w:vAlign w:val="center"/>
            <w:textDirection w:val="lrTb"/>
            <w:noWrap w:val="false"/>
          </w:tcPr>
          <w:p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2…</w:t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W w:w="479" w:type="pct"/>
            <w:vAlign w:val="center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W w:w="1938" w:type="pct"/>
            <w:vAlign w:val="center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W w:w="430" w:type="pct"/>
            <w:vAlign w:val="center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W w:w="573" w:type="pct"/>
            <w:vAlign w:val="center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W w:w="430" w:type="pct"/>
            <w:vAlign w:val="center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W w:w="542" w:type="pct"/>
            <w:vAlign w:val="center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</w:tc>
        <w:tc>
          <w:tcPr>
            <w:tcW w:w="390" w:type="pct"/>
            <w:vAlign w:val="center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</w:tc>
      </w:tr>
    </w:tbl>
    <w:p>
      <w:pPr>
        <w:jc w:val="both"/>
        <w:rPr>
          <w:iCs/>
        </w:rPr>
      </w:pPr>
      <w:r>
        <w:rPr>
          <w:iCs/>
        </w:rPr>
      </w:r>
      <w:r>
        <w:rPr>
          <w:iCs/>
        </w:rPr>
      </w:r>
      <w:r>
        <w:rPr>
          <w:iCs/>
        </w:rPr>
      </w:r>
    </w:p>
    <w:p>
      <w:pPr>
        <w:jc w:val="both"/>
        <w:rPr>
          <w:iCs/>
          <w:sz w:val="20"/>
        </w:rPr>
      </w:pPr>
      <w:r>
        <w:rPr>
          <w:iCs/>
          <w:sz w:val="20"/>
        </w:rPr>
      </w:r>
      <w:bookmarkEnd w:id="219"/>
      <w:r>
        <w:rPr>
          <w:iCs/>
          <w:sz w:val="20"/>
        </w:rPr>
      </w:r>
      <w:r>
        <w:rPr>
          <w:iCs/>
          <w:sz w:val="20"/>
        </w:rPr>
      </w:r>
    </w:p>
    <w:p>
      <w:pPr>
        <w:pStyle w:val="813"/>
        <w:ind w:left="792" w:hanging="360"/>
        <w:jc w:val="both"/>
        <w:keepLines w:val="0"/>
        <w:spacing w:before="240" w:after="120"/>
        <w:rPr>
          <w:rFonts w:ascii="Times New Roman" w:hAnsi="Times New Roman" w:eastAsia="MS Mincho"/>
          <w:color w:val="auto"/>
          <w:sz w:val="2"/>
          <w:szCs w:val="2"/>
        </w:rPr>
      </w:pPr>
      <w:r>
        <w:br w:type="page" w:clear="all"/>
      </w:r>
      <w:bookmarkStart w:id="227" w:name="_Ref55335821"/>
      <w:r/>
      <w:bookmarkStart w:id="228" w:name="_Ref55336345"/>
      <w:r/>
      <w:bookmarkStart w:id="229" w:name="_Toc57314674"/>
      <w:r/>
      <w:bookmarkStart w:id="230" w:name="_Toc69728988"/>
      <w:r/>
      <w:bookmarkStart w:id="231" w:name="_Toc98251754"/>
      <w:r/>
      <w:bookmarkEnd w:id="227"/>
      <w:r/>
      <w:bookmarkEnd w:id="228"/>
      <w:r/>
      <w:bookmarkEnd w:id="229"/>
      <w:r/>
      <w:bookmarkEnd w:id="230"/>
      <w:r/>
      <w:bookmarkEnd w:id="231"/>
      <w:r>
        <w:rPr>
          <w:rFonts w:ascii="Times New Roman" w:hAnsi="Times New Roman" w:eastAsia="MS Mincho"/>
          <w:color w:val="auto"/>
          <w:sz w:val="2"/>
          <w:szCs w:val="2"/>
        </w:rPr>
      </w:r>
      <w:r>
        <w:rPr>
          <w:rFonts w:ascii="Times New Roman" w:hAnsi="Times New Roman" w:eastAsia="MS Mincho"/>
          <w:color w:val="auto"/>
          <w:sz w:val="2"/>
          <w:szCs w:val="2"/>
        </w:rPr>
      </w:r>
    </w:p>
    <w:p>
      <w:pPr>
        <w:pStyle w:val="813"/>
        <w:ind w:left="792" w:hanging="360"/>
        <w:jc w:val="both"/>
        <w:keepLines w:val="0"/>
        <w:spacing w:before="240" w:after="120"/>
        <w:rPr>
          <w:rFonts w:ascii="Times New Roman" w:hAnsi="Times New Roman" w:eastAsia="MS Mincho"/>
          <w:color w:val="548dd4"/>
          <w:szCs w:val="24"/>
        </w:rPr>
      </w:pPr>
      <w:r/>
      <w:bookmarkStart w:id="232" w:name="_Форма_2_АНКЕТА"/>
      <w:r/>
      <w:bookmarkStart w:id="233" w:name="_Toc23149540"/>
      <w:r/>
      <w:bookmarkStart w:id="234" w:name="_Toc54336127"/>
      <w:r/>
      <w:bookmarkStart w:id="235" w:name="_Toc190199563"/>
      <w:r/>
      <w:bookmarkEnd w:id="232"/>
      <w:r>
        <w:rPr>
          <w:rFonts w:ascii="Times New Roman" w:hAnsi="Times New Roman" w:eastAsia="MS Mincho"/>
          <w:color w:val="548dd4"/>
          <w:szCs w:val="24"/>
        </w:rPr>
        <w:t xml:space="preserve">Форма 2 АНКЕТА УЧАСТНИКА </w:t>
      </w:r>
      <w:bookmarkEnd w:id="233"/>
      <w:r/>
      <w:bookmarkEnd w:id="234"/>
      <w:r/>
      <w:bookmarkEnd w:id="235"/>
      <w:r>
        <w:rPr>
          <w:rFonts w:ascii="Times New Roman" w:hAnsi="Times New Roman" w:eastAsia="MS Mincho"/>
          <w:color w:val="548dd4"/>
          <w:szCs w:val="24"/>
        </w:rPr>
        <w:t xml:space="preserve">ЗАКУПКИ</w:t>
      </w:r>
      <w:r>
        <w:rPr>
          <w:rFonts w:ascii="Times New Roman" w:hAnsi="Times New Roman" w:eastAsia="MS Mincho"/>
          <w:color w:val="548dd4"/>
          <w:szCs w:val="24"/>
        </w:rPr>
      </w:r>
      <w:r>
        <w:rPr>
          <w:rFonts w:ascii="Times New Roman" w:hAnsi="Times New Roman" w:eastAsia="MS Mincho"/>
          <w:color w:val="548dd4"/>
          <w:szCs w:val="24"/>
        </w:rPr>
      </w:r>
    </w:p>
    <w:p>
      <w:pPr>
        <w:pStyle w:val="977"/>
        <w:rPr>
          <w:b/>
          <w:sz w:val="28"/>
        </w:rPr>
      </w:pPr>
      <w:r/>
      <w:bookmarkStart w:id="236" w:name="_Анкета_Претендента_на"/>
      <w:r/>
      <w:bookmarkStart w:id="237" w:name="_Анкета_Участника_процедуры"/>
      <w:r/>
      <w:bookmarkStart w:id="238" w:name="_Форма_3_ТЕХНИКО-КОММЕРЧЕСКОЕ"/>
      <w:r/>
      <w:bookmarkStart w:id="239" w:name="_Toc255987077"/>
      <w:r/>
      <w:bookmarkStart w:id="240" w:name="_Toc305665990"/>
      <w:r/>
      <w:bookmarkStart w:id="241" w:name="_Toc23149541"/>
      <w:r/>
      <w:bookmarkStart w:id="242" w:name="_Toc54336128"/>
      <w:r/>
      <w:bookmarkEnd w:id="236"/>
      <w:r/>
      <w:bookmarkEnd w:id="237"/>
      <w:r/>
      <w:bookmarkEnd w:id="238"/>
      <w:r>
        <w:rPr>
          <w:b/>
          <w:sz w:val="28"/>
        </w:rPr>
        <w:t xml:space="preserve">АНКЕТА</w:t>
      </w:r>
      <w:bookmarkEnd w:id="239"/>
      <w:r/>
      <w:bookmarkEnd w:id="240"/>
      <w:r>
        <w:rPr>
          <w:b/>
          <w:sz w:val="28"/>
        </w:rPr>
      </w:r>
      <w:r>
        <w:rPr>
          <w:b/>
          <w:sz w:val="28"/>
        </w:rPr>
      </w:r>
    </w:p>
    <w:p>
      <w:pPr>
        <w:jc w:val="center"/>
        <w:rPr>
          <w:b/>
        </w:rPr>
      </w:pPr>
      <w:r>
        <w:rPr>
          <w:b/>
        </w:rPr>
        <w:t xml:space="preserve">(просим предоставлять в текстовом формате «.</w:t>
      </w:r>
      <w:r>
        <w:rPr>
          <w:b/>
        </w:rPr>
        <w:t xml:space="preserve">doc</w:t>
      </w:r>
      <w:r>
        <w:rPr>
          <w:b/>
        </w:rPr>
        <w:t xml:space="preserve">» или «.</w:t>
      </w:r>
      <w:r>
        <w:rPr>
          <w:b/>
        </w:rPr>
        <w:t xml:space="preserve">docx</w:t>
      </w:r>
      <w:r>
        <w:rPr>
          <w:b/>
        </w:rPr>
        <w:t xml:space="preserve">»)</w:t>
      </w:r>
      <w:r>
        <w:rPr>
          <w:b/>
        </w:rPr>
      </w:r>
      <w:r>
        <w:rPr>
          <w:b/>
        </w:rPr>
      </w:r>
    </w:p>
    <w:p>
      <w:pPr>
        <w:rPr>
          <w:sz w:val="22"/>
        </w:rPr>
      </w:pPr>
      <w:r>
        <w:rPr>
          <w:sz w:val="22"/>
        </w:rPr>
      </w:r>
      <w:r>
        <w:rPr>
          <w:sz w:val="22"/>
        </w:rPr>
      </w:r>
      <w:r>
        <w:rPr>
          <w:sz w:val="22"/>
        </w:rPr>
      </w:r>
    </w:p>
    <w:tbl>
      <w:tblPr>
        <w:tblW w:w="5000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0A0" w:firstRow="1" w:lastRow="0" w:firstColumn="1" w:lastColumn="0" w:noHBand="0" w:noVBand="0"/>
      </w:tblPr>
      <w:tblGrid>
        <w:gridCol w:w="624"/>
        <w:gridCol w:w="6118"/>
        <w:gridCol w:w="3454"/>
      </w:tblGrid>
      <w:tr>
        <w:tblPrEx/>
        <w:trPr>
          <w:cantSplit/>
        </w:trPr>
        <w:tc>
          <w:tcPr>
            <w:shd w:val="clear" w:color="auto" w:fill="f2f2f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06" w:type="pct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№</w:t>
            </w:r>
            <w:r/>
          </w:p>
        </w:tc>
        <w:tc>
          <w:tcPr>
            <w:shd w:val="clear" w:color="auto" w:fill="f2f2f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000" w:type="pct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Наименование</w:t>
            </w:r>
            <w:r/>
          </w:p>
        </w:tc>
        <w:tc>
          <w:tcPr>
            <w:shd w:val="clear" w:color="auto" w:fill="f2f2f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694" w:type="pct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Сведения об участнике закупки</w:t>
            </w:r>
            <w:r/>
          </w:p>
        </w:tc>
      </w:tr>
      <w:tr>
        <w:tblPrEx/>
        <w:trPr>
          <w:cantSplit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06" w:type="pct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1.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000" w:type="pct"/>
            <w:vAlign w:val="center"/>
            <w:textDirection w:val="lrTb"/>
            <w:noWrap w:val="false"/>
          </w:tcPr>
          <w:p>
            <w:r>
              <w:t xml:space="preserve">Для участника – юридического лица: наименование, фирменное наименование (при наличии), адрес юридического лица в пределах места нахождения юридического лица.</w:t>
            </w:r>
            <w:r/>
          </w:p>
          <w:p>
            <w:r>
              <w:t xml:space="preserve">Для участника – физического лица: фамилия, имя, отчество (при наличии), паспортные данные, адрес места жительства 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694" w:type="pct"/>
            <w:vAlign w:val="center"/>
            <w:textDirection w:val="lrTb"/>
            <w:noWrap w:val="false"/>
          </w:tcPr>
          <w:p>
            <w:pPr>
              <w:jc w:val="center"/>
            </w:pPr>
            <w:r/>
            <w:r/>
          </w:p>
        </w:tc>
      </w:tr>
      <w:tr>
        <w:tblPrEx/>
        <w:trPr>
          <w:cantSplit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06" w:type="pct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2.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000" w:type="pct"/>
            <w:vAlign w:val="center"/>
            <w:textDirection w:val="lrTb"/>
            <w:noWrap w:val="false"/>
          </w:tcPr>
          <w:p>
            <w:r>
              <w:t xml:space="preserve">Идентификационный номер налогоплательщика или в соответствии с законодательством соответствующего иностранного государства аналог идентификационного номера налогоплательщика (для иностранного лица)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694" w:type="pct"/>
            <w:vAlign w:val="center"/>
            <w:textDirection w:val="lrTb"/>
            <w:noWrap w:val="false"/>
          </w:tcPr>
          <w:p>
            <w:pPr>
              <w:jc w:val="center"/>
            </w:pPr>
            <w:r/>
            <w:r/>
          </w:p>
        </w:tc>
      </w:tr>
      <w:tr>
        <w:tblPrEx/>
        <w:trPr>
          <w:cantSplit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06" w:type="pct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3.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000" w:type="pct"/>
            <w:vAlign w:val="center"/>
            <w:textDirection w:val="lrTb"/>
            <w:noWrap w:val="false"/>
          </w:tcPr>
          <w:p>
            <w:r>
              <w:t xml:space="preserve">Идентификационный номер налогоплательщика (при наличии) учредителей, членов коллегиального исполнительного органа, лица, исполняющего</w:t>
            </w:r>
            <w:r>
              <w:t xml:space="preserve"> функции единоличного исполнительного органа юридического лица, если участником закупки является юридическое лицо, или в соответствии с законодательством соответствующего иностранного государства аналог идентификационного номера налогоплательщика таких лиц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694" w:type="pct"/>
            <w:vAlign w:val="center"/>
            <w:textDirection w:val="lrTb"/>
            <w:noWrap w:val="false"/>
          </w:tcPr>
          <w:p>
            <w:pPr>
              <w:jc w:val="center"/>
            </w:pPr>
            <w:r/>
            <w:r/>
          </w:p>
        </w:tc>
      </w:tr>
      <w:tr>
        <w:tblPrEx/>
        <w:trPr>
          <w:cantSplit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06" w:type="pct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4.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000" w:type="pct"/>
            <w:vAlign w:val="center"/>
            <w:textDirection w:val="lrTb"/>
            <w:noWrap w:val="false"/>
          </w:tcPr>
          <w:p>
            <w:r>
              <w:t xml:space="preserve">Реквизиты специального банковского счета участника закупки, если обеспечение заявки на участие в закупке предоставляется участником путем внесения денежных средств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694" w:type="pct"/>
            <w:vAlign w:val="center"/>
            <w:textDirection w:val="lrTb"/>
            <w:noWrap w:val="false"/>
          </w:tcPr>
          <w:p>
            <w:pPr>
              <w:jc w:val="center"/>
            </w:pPr>
            <w:r/>
            <w:r/>
          </w:p>
        </w:tc>
      </w:tr>
      <w:tr>
        <w:tblPrEx/>
        <w:trPr>
          <w:cantSplit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06" w:type="pct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5.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000" w:type="pct"/>
            <w:vAlign w:val="center"/>
            <w:textDirection w:val="lrTb"/>
            <w:noWrap w:val="false"/>
          </w:tcPr>
          <w:p>
            <w:r>
              <w:t xml:space="preserve">Наименование страны происхождения поставляемого товара (при осуществлении закупки товара, в том числе поставляемого заказчику при выполнении закупаемых работ, оказании закупаемых услуг), номер реестровой записи поставляемого товара (при наличии)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694" w:type="pct"/>
            <w:vAlign w:val="center"/>
            <w:textDirection w:val="lrTb"/>
            <w:noWrap w:val="false"/>
          </w:tcPr>
          <w:p>
            <w:pPr>
              <w:jc w:val="center"/>
            </w:pPr>
            <w:r/>
            <w:r/>
          </w:p>
        </w:tc>
      </w:tr>
    </w:tbl>
    <w:p>
      <w:pPr>
        <w:rPr>
          <w:rFonts w:eastAsia="MS Mincho"/>
        </w:rPr>
        <w:sectPr>
          <w:footnotePr/>
          <w:endnotePr/>
          <w:type w:val="nextPage"/>
          <w:pgSz w:w="11907" w:h="16840" w:orient="portrait"/>
          <w:pgMar w:top="851" w:right="567" w:bottom="567" w:left="1134" w:header="720" w:footer="720" w:gutter="0"/>
          <w:cols w:num="1" w:sep="0" w:space="708" w:equalWidth="1"/>
          <w:docGrid w:linePitch="360"/>
          <w:titlePg/>
        </w:sectPr>
      </w:pPr>
      <w:r>
        <w:rPr>
          <w:rFonts w:eastAsia="MS Mincho"/>
        </w:rPr>
      </w:r>
      <w:r>
        <w:rPr>
          <w:rFonts w:eastAsia="MS Mincho"/>
        </w:rPr>
      </w:r>
      <w:r>
        <w:rPr>
          <w:rFonts w:eastAsia="MS Mincho"/>
        </w:rPr>
      </w:r>
    </w:p>
    <w:p>
      <w:pPr>
        <w:pStyle w:val="813"/>
        <w:jc w:val="both"/>
        <w:keepLines w:val="0"/>
        <w:spacing w:before="240" w:after="120"/>
        <w:rPr>
          <w:rFonts w:ascii="Times New Roman" w:hAnsi="Times New Roman" w:eastAsia="MS Mincho"/>
          <w:color w:val="548dd4"/>
          <w:szCs w:val="24"/>
        </w:rPr>
      </w:pPr>
      <w:r/>
      <w:bookmarkStart w:id="243" w:name="_Форма_3_ТЕХНИКО-КОММЕРЧЕСКОЕ_1"/>
      <w:r/>
      <w:bookmarkStart w:id="244" w:name="_Форма_3_ЦЕНОВОЕ"/>
      <w:r/>
      <w:bookmarkStart w:id="245" w:name="_Toc190199564"/>
      <w:r/>
      <w:bookmarkEnd w:id="243"/>
      <w:r/>
      <w:bookmarkEnd w:id="244"/>
      <w:r>
        <w:rPr>
          <w:rFonts w:ascii="Times New Roman" w:hAnsi="Times New Roman" w:eastAsia="MS Mincho"/>
          <w:color w:val="548dd4"/>
          <w:szCs w:val="24"/>
        </w:rPr>
        <w:t xml:space="preserve">Форма 3 ЦЕНОВОЕ ПРЕДЛОЖЕНИЕ</w:t>
      </w:r>
      <w:bookmarkEnd w:id="241"/>
      <w:r/>
      <w:bookmarkEnd w:id="242"/>
      <w:r/>
      <w:bookmarkEnd w:id="245"/>
      <w:r>
        <w:rPr>
          <w:rFonts w:ascii="Times New Roman" w:hAnsi="Times New Roman" w:eastAsia="MS Mincho"/>
          <w:color w:val="548dd4"/>
          <w:szCs w:val="24"/>
        </w:rPr>
      </w:r>
      <w:r>
        <w:rPr>
          <w:rFonts w:ascii="Times New Roman" w:hAnsi="Times New Roman" w:eastAsia="MS Mincho"/>
          <w:color w:val="548dd4"/>
          <w:szCs w:val="24"/>
        </w:rPr>
      </w:r>
    </w:p>
    <w:p>
      <w:r/>
      <w:r/>
    </w:p>
    <w:p>
      <w:pPr>
        <w:jc w:val="center"/>
        <w:rPr>
          <w:b/>
        </w:rPr>
      </w:pPr>
      <w:r>
        <w:rPr>
          <w:b/>
        </w:rPr>
        <w:t xml:space="preserve">ЦЕНОВОЕ ПРЕДЛОЖЕНИЕ</w:t>
      </w:r>
      <w:r>
        <w:rPr>
          <w:b/>
        </w:rPr>
      </w:r>
      <w:r>
        <w:rPr>
          <w:b/>
        </w:rPr>
      </w:r>
    </w:p>
    <w:p>
      <w:pPr>
        <w:ind w:firstLine="708"/>
        <w:jc w:val="both"/>
      </w:pPr>
      <w:r/>
      <w:r/>
    </w:p>
    <w:p>
      <w:pPr>
        <w:ind w:firstLine="708"/>
        <w:jc w:val="both"/>
      </w:pPr>
      <w:r>
        <w:t xml:space="preserve">Предлагаем осуществить поставку товара по сумме цен единиц товаров</w:t>
      </w:r>
      <w:r>
        <w:t xml:space="preserve">: ________________ (_________________) руб. ___ коп., в том числе НДС _____ % – ___________ (________________) руб. ___ коп. / без НДС </w:t>
      </w:r>
      <w:r>
        <w:rPr>
          <w:b/>
          <w:bCs/>
          <w:i/>
          <w:iCs/>
        </w:rPr>
        <w:t xml:space="preserve">(если НДС не облагается, указать реквизиты документа, на основании которого участник освобождается от уплаты НДС, и ссылки на статьи НК РФ).</w:t>
      </w:r>
      <w:r/>
    </w:p>
    <w:p>
      <w:pPr>
        <w:rPr>
          <w:sz w:val="20"/>
        </w:rPr>
      </w:pPr>
      <w:r>
        <w:rPr>
          <w:sz w:val="20"/>
        </w:rPr>
      </w:r>
      <w:r>
        <w:rPr>
          <w:sz w:val="20"/>
        </w:rPr>
      </w:r>
      <w:r>
        <w:rPr>
          <w:sz w:val="20"/>
        </w:rPr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565"/>
        <w:gridCol w:w="5664"/>
        <w:gridCol w:w="1275"/>
        <w:gridCol w:w="706"/>
        <w:gridCol w:w="1986"/>
      </w:tblGrid>
      <w:tr>
        <w:tblPrEx/>
        <w:trPr>
          <w:trHeight w:val="1382"/>
        </w:trPr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5" w:type="dxa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№ п/п</w:t>
            </w:r>
            <w:r>
              <w:rPr>
                <w:b/>
                <w:color w:val="000000"/>
                <w:sz w:val="20"/>
                <w:szCs w:val="20"/>
              </w:rPr>
            </w:r>
            <w:r>
              <w:rPr>
                <w:b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64" w:type="dxa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Наименование закупаемого товара</w:t>
            </w:r>
            <w:r>
              <w:rPr>
                <w:b/>
                <w:color w:val="000000"/>
                <w:sz w:val="20"/>
                <w:szCs w:val="20"/>
              </w:rPr>
            </w:r>
            <w:r>
              <w:rPr>
                <w:b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5" w:type="dxa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Единица измерения</w:t>
            </w:r>
            <w:r>
              <w:rPr>
                <w:b/>
                <w:color w:val="000000"/>
                <w:sz w:val="20"/>
                <w:szCs w:val="20"/>
              </w:rPr>
            </w:r>
            <w:r>
              <w:rPr>
                <w:b/>
                <w:color w:val="000000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6" w:type="dxa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Кол-во</w:t>
            </w:r>
            <w:r>
              <w:rPr>
                <w:b/>
                <w:color w:val="000000"/>
                <w:sz w:val="20"/>
                <w:szCs w:val="20"/>
              </w:rPr>
            </w:r>
            <w:r>
              <w:rPr>
                <w:b/>
                <w:color w:val="000000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6" w:type="dxa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Цена за ед. с НДС/без НДС (руб.)</w:t>
            </w:r>
            <w:r>
              <w:rPr>
                <w:b/>
                <w:color w:val="000000"/>
                <w:sz w:val="20"/>
                <w:szCs w:val="20"/>
              </w:rPr>
            </w:r>
            <w:r>
              <w:rPr>
                <w:b/>
                <w:color w:val="000000"/>
                <w:sz w:val="20"/>
                <w:szCs w:val="20"/>
              </w:rPr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15"/>
        </w:trPr>
        <w:tc>
          <w:tcPr>
            <w:shd w:val="clear" w:color="auto" w:fill="auto"/>
            <w:tcW w:w="565" w:type="dxa"/>
            <w:vAlign w:val="center"/>
            <w:textDirection w:val="lrTb"/>
            <w:noWrap w:val="false"/>
          </w:tcPr>
          <w:p>
            <w:pPr>
              <w:ind w:firstLine="3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1</w:t>
            </w:r>
            <w:r>
              <w:rPr>
                <w:color w:val="000000"/>
                <w:sz w:val="18"/>
                <w:szCs w:val="18"/>
              </w:rPr>
            </w:r>
            <w:r>
              <w:rPr>
                <w:color w:val="000000"/>
                <w:sz w:val="18"/>
                <w:szCs w:val="18"/>
              </w:rPr>
            </w:r>
          </w:p>
        </w:tc>
        <w:tc>
          <w:tcPr>
            <w:shd w:val="clear" w:color="auto" w:fill="auto"/>
            <w:tcW w:w="5664" w:type="dxa"/>
            <w:vAlign w:val="center"/>
            <w:textDirection w:val="lrTb"/>
            <w:noWrap w:val="false"/>
          </w:tcPr>
          <w:p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Радиостойка промежуточная однопарная РС-0,8 ПР-1</w:t>
            </w:r>
            <w:r>
              <w:rPr>
                <w:color w:val="000000"/>
                <w:sz w:val="18"/>
                <w:szCs w:val="18"/>
              </w:rPr>
            </w:r>
            <w:r>
              <w:rPr>
                <w:color w:val="000000"/>
                <w:sz w:val="18"/>
                <w:szCs w:val="18"/>
              </w:rPr>
            </w:r>
          </w:p>
        </w:tc>
        <w:tc>
          <w:tcPr>
            <w:tcW w:w="1275" w:type="dxa"/>
            <w:vAlign w:val="center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шт</w:t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</w:tc>
        <w:tc>
          <w:tcPr>
            <w:tcW w:w="706" w:type="dxa"/>
            <w:vAlign w:val="center"/>
            <w:textDirection w:val="lrTb"/>
            <w:noWrap w:val="false"/>
          </w:tcPr>
          <w:p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1</w:t>
            </w:r>
            <w:r>
              <w:rPr>
                <w:color w:val="000000"/>
                <w:sz w:val="18"/>
                <w:szCs w:val="18"/>
              </w:rPr>
            </w:r>
            <w:r>
              <w:rPr>
                <w:color w:val="000000"/>
                <w:sz w:val="18"/>
                <w:szCs w:val="18"/>
              </w:rPr>
            </w:r>
          </w:p>
        </w:tc>
        <w:tc>
          <w:tcPr>
            <w:tcW w:w="1986" w:type="dxa"/>
            <w:vAlign w:val="center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15"/>
        </w:trPr>
        <w:tc>
          <w:tcPr>
            <w:shd w:val="clear" w:color="auto" w:fill="auto"/>
            <w:tcW w:w="565" w:type="dxa"/>
            <w:vAlign w:val="center"/>
            <w:textDirection w:val="lrTb"/>
            <w:noWrap w:val="false"/>
          </w:tcPr>
          <w:p>
            <w:pPr>
              <w:ind w:firstLine="3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2</w:t>
            </w:r>
            <w:r>
              <w:rPr>
                <w:color w:val="000000"/>
                <w:sz w:val="18"/>
                <w:szCs w:val="18"/>
              </w:rPr>
            </w:r>
            <w:r>
              <w:rPr>
                <w:color w:val="000000"/>
                <w:sz w:val="18"/>
                <w:szCs w:val="18"/>
              </w:rPr>
            </w:r>
          </w:p>
        </w:tc>
        <w:tc>
          <w:tcPr>
            <w:shd w:val="clear" w:color="auto" w:fill="auto"/>
            <w:tcW w:w="5664" w:type="dxa"/>
            <w:vAlign w:val="center"/>
            <w:textDirection w:val="lrTb"/>
            <w:noWrap w:val="false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Радиостойка угловая оконечная РС -2,5 УО-1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tcW w:w="1275" w:type="dxa"/>
            <w:vAlign w:val="center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шт</w:t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</w:tc>
        <w:tc>
          <w:tcPr>
            <w:tcW w:w="70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color w:val="000000"/>
                <w:sz w:val="18"/>
                <w:szCs w:val="18"/>
              </w:rPr>
              <w:t xml:space="preserve">1</w:t>
            </w:r>
            <w:r/>
          </w:p>
        </w:tc>
        <w:tc>
          <w:tcPr>
            <w:tcW w:w="1986" w:type="dxa"/>
            <w:vAlign w:val="center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15"/>
        </w:trPr>
        <w:tc>
          <w:tcPr>
            <w:shd w:val="clear" w:color="auto" w:fill="auto"/>
            <w:tcW w:w="565" w:type="dxa"/>
            <w:vAlign w:val="center"/>
            <w:textDirection w:val="lrTb"/>
            <w:noWrap w:val="false"/>
          </w:tcPr>
          <w:p>
            <w:pPr>
              <w:ind w:firstLine="3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3</w:t>
            </w:r>
            <w:r>
              <w:rPr>
                <w:color w:val="000000"/>
                <w:sz w:val="18"/>
                <w:szCs w:val="18"/>
              </w:rPr>
            </w:r>
            <w:r>
              <w:rPr>
                <w:color w:val="000000"/>
                <w:sz w:val="18"/>
                <w:szCs w:val="18"/>
              </w:rPr>
            </w:r>
          </w:p>
        </w:tc>
        <w:tc>
          <w:tcPr>
            <w:shd w:val="clear" w:color="auto" w:fill="auto"/>
            <w:tcW w:w="5664" w:type="dxa"/>
            <w:vAlign w:val="center"/>
            <w:textDirection w:val="lrTb"/>
            <w:noWrap w:val="false"/>
          </w:tcPr>
          <w:p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Радиостойка РС-2,5 ПР-1</w:t>
            </w:r>
            <w:r>
              <w:rPr>
                <w:color w:val="000000"/>
                <w:sz w:val="18"/>
                <w:szCs w:val="18"/>
              </w:rPr>
            </w:r>
            <w:r>
              <w:rPr>
                <w:color w:val="000000"/>
                <w:sz w:val="18"/>
                <w:szCs w:val="18"/>
              </w:rPr>
            </w:r>
          </w:p>
        </w:tc>
        <w:tc>
          <w:tcPr>
            <w:tcW w:w="1275" w:type="dxa"/>
            <w:vAlign w:val="center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шт</w:t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</w:tc>
        <w:tc>
          <w:tcPr>
            <w:tcW w:w="70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color w:val="000000"/>
                <w:sz w:val="18"/>
                <w:szCs w:val="18"/>
              </w:rPr>
              <w:t xml:space="preserve">1</w:t>
            </w:r>
            <w:r/>
          </w:p>
        </w:tc>
        <w:tc>
          <w:tcPr>
            <w:tcW w:w="1986" w:type="dxa"/>
            <w:vAlign w:val="center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05"/>
        </w:trPr>
        <w:tc>
          <w:tcPr>
            <w:shd w:val="clear" w:color="auto" w:fill="auto"/>
            <w:tcW w:w="565" w:type="dxa"/>
            <w:vAlign w:val="center"/>
            <w:textDirection w:val="lrTb"/>
            <w:noWrap w:val="false"/>
          </w:tcPr>
          <w:p>
            <w:pPr>
              <w:ind w:firstLine="3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4</w:t>
            </w:r>
            <w:r>
              <w:rPr>
                <w:color w:val="000000"/>
                <w:sz w:val="18"/>
                <w:szCs w:val="18"/>
              </w:rPr>
            </w:r>
            <w:r>
              <w:rPr>
                <w:color w:val="000000"/>
                <w:sz w:val="18"/>
                <w:szCs w:val="18"/>
              </w:rPr>
            </w:r>
          </w:p>
        </w:tc>
        <w:tc>
          <w:tcPr>
            <w:shd w:val="clear" w:color="auto" w:fill="auto"/>
            <w:tcW w:w="5664" w:type="dxa"/>
            <w:vAlign w:val="center"/>
            <w:textDirection w:val="lrTb"/>
            <w:noWrap w:val="false"/>
          </w:tcPr>
          <w:p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Радиостойка ПВ типа II-0,8 (L=2000, D=47) </w:t>
            </w:r>
            <w:r>
              <w:rPr>
                <w:color w:val="000000"/>
                <w:sz w:val="18"/>
                <w:szCs w:val="18"/>
              </w:rPr>
            </w:r>
            <w:r>
              <w:rPr>
                <w:color w:val="000000"/>
                <w:sz w:val="18"/>
                <w:szCs w:val="18"/>
              </w:rPr>
            </w:r>
          </w:p>
        </w:tc>
        <w:tc>
          <w:tcPr>
            <w:tcW w:w="1275" w:type="dxa"/>
            <w:vAlign w:val="center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шт</w:t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</w:tc>
        <w:tc>
          <w:tcPr>
            <w:tcW w:w="70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color w:val="000000"/>
                <w:sz w:val="18"/>
                <w:szCs w:val="18"/>
              </w:rPr>
              <w:t xml:space="preserve">1</w:t>
            </w:r>
            <w:r/>
          </w:p>
        </w:tc>
        <w:tc>
          <w:tcPr>
            <w:tcW w:w="1986" w:type="dxa"/>
            <w:vAlign w:val="center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15"/>
        </w:trPr>
        <w:tc>
          <w:tcPr>
            <w:shd w:val="clear" w:color="auto" w:fill="auto"/>
            <w:tcW w:w="565" w:type="dxa"/>
            <w:vAlign w:val="center"/>
            <w:textDirection w:val="lrTb"/>
            <w:noWrap w:val="false"/>
          </w:tcPr>
          <w:p>
            <w:pPr>
              <w:ind w:firstLine="3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5</w:t>
            </w:r>
            <w:r>
              <w:rPr>
                <w:color w:val="000000"/>
                <w:sz w:val="18"/>
                <w:szCs w:val="18"/>
              </w:rPr>
            </w:r>
            <w:r>
              <w:rPr>
                <w:color w:val="000000"/>
                <w:sz w:val="18"/>
                <w:szCs w:val="18"/>
              </w:rPr>
            </w:r>
          </w:p>
        </w:tc>
        <w:tc>
          <w:tcPr>
            <w:shd w:val="clear" w:color="auto" w:fill="auto"/>
            <w:tcW w:w="5664" w:type="dxa"/>
            <w:vAlign w:val="center"/>
            <w:textDirection w:val="lrTb"/>
            <w:noWrap w:val="false"/>
          </w:tcPr>
          <w:p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Радиостойка ПВ типа II-0,8 (L=2000, D=57)</w:t>
            </w:r>
            <w:r>
              <w:rPr>
                <w:color w:val="000000"/>
                <w:sz w:val="18"/>
                <w:szCs w:val="18"/>
              </w:rPr>
            </w:r>
            <w:r>
              <w:rPr>
                <w:color w:val="000000"/>
                <w:sz w:val="18"/>
                <w:szCs w:val="18"/>
              </w:rPr>
            </w:r>
          </w:p>
        </w:tc>
        <w:tc>
          <w:tcPr>
            <w:tcW w:w="1275" w:type="dxa"/>
            <w:vAlign w:val="center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шт</w:t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</w:tc>
        <w:tc>
          <w:tcPr>
            <w:tcW w:w="70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color w:val="000000"/>
                <w:sz w:val="18"/>
                <w:szCs w:val="18"/>
              </w:rPr>
              <w:t xml:space="preserve">1</w:t>
            </w:r>
            <w:r/>
          </w:p>
        </w:tc>
        <w:tc>
          <w:tcPr>
            <w:tcW w:w="1986" w:type="dxa"/>
            <w:vAlign w:val="center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15"/>
        </w:trPr>
        <w:tc>
          <w:tcPr>
            <w:shd w:val="clear" w:color="auto" w:fill="auto"/>
            <w:tcW w:w="565" w:type="dxa"/>
            <w:vAlign w:val="center"/>
            <w:textDirection w:val="lrTb"/>
            <w:noWrap w:val="false"/>
          </w:tcPr>
          <w:p>
            <w:pPr>
              <w:ind w:firstLine="3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6</w:t>
            </w:r>
            <w:r>
              <w:rPr>
                <w:color w:val="000000"/>
                <w:sz w:val="18"/>
                <w:szCs w:val="18"/>
              </w:rPr>
            </w:r>
            <w:r>
              <w:rPr>
                <w:color w:val="000000"/>
                <w:sz w:val="18"/>
                <w:szCs w:val="18"/>
              </w:rPr>
            </w:r>
          </w:p>
        </w:tc>
        <w:tc>
          <w:tcPr>
            <w:shd w:val="clear" w:color="auto" w:fill="auto"/>
            <w:tcW w:w="5664" w:type="dxa"/>
            <w:vAlign w:val="center"/>
            <w:textDirection w:val="lrTb"/>
            <w:noWrap w:val="false"/>
          </w:tcPr>
          <w:p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Радиостойка ПВ типа II-2,5 составная 5м</w:t>
            </w:r>
            <w:r>
              <w:rPr>
                <w:color w:val="000000"/>
                <w:sz w:val="18"/>
                <w:szCs w:val="18"/>
              </w:rPr>
            </w:r>
            <w:r>
              <w:rPr>
                <w:color w:val="000000"/>
                <w:sz w:val="18"/>
                <w:szCs w:val="18"/>
              </w:rPr>
            </w:r>
          </w:p>
        </w:tc>
        <w:tc>
          <w:tcPr>
            <w:tcW w:w="1275" w:type="dxa"/>
            <w:vAlign w:val="center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шт</w:t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</w:tc>
        <w:tc>
          <w:tcPr>
            <w:tcW w:w="70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color w:val="000000"/>
                <w:sz w:val="18"/>
                <w:szCs w:val="18"/>
              </w:rPr>
              <w:t xml:space="preserve">1</w:t>
            </w:r>
            <w:r/>
          </w:p>
        </w:tc>
        <w:tc>
          <w:tcPr>
            <w:tcW w:w="1986" w:type="dxa"/>
            <w:vAlign w:val="center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15"/>
        </w:trPr>
        <w:tc>
          <w:tcPr>
            <w:shd w:val="clear" w:color="auto" w:fill="auto"/>
            <w:tcW w:w="565" w:type="dxa"/>
            <w:vAlign w:val="center"/>
            <w:textDirection w:val="lrTb"/>
            <w:noWrap w:val="false"/>
          </w:tcPr>
          <w:p>
            <w:pPr>
              <w:ind w:firstLine="3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7</w:t>
            </w:r>
            <w:r>
              <w:rPr>
                <w:color w:val="000000"/>
                <w:sz w:val="18"/>
                <w:szCs w:val="18"/>
              </w:rPr>
            </w:r>
            <w:r>
              <w:rPr>
                <w:color w:val="000000"/>
                <w:sz w:val="18"/>
                <w:szCs w:val="18"/>
              </w:rPr>
            </w:r>
          </w:p>
        </w:tc>
        <w:tc>
          <w:tcPr>
            <w:shd w:val="clear" w:color="auto" w:fill="auto"/>
            <w:tcW w:w="5664" w:type="dxa"/>
            <w:vAlign w:val="center"/>
            <w:textDirection w:val="lrTb"/>
            <w:noWrap w:val="false"/>
          </w:tcPr>
          <w:p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Шпилька М12х1000</w:t>
            </w:r>
            <w:r>
              <w:rPr>
                <w:color w:val="000000"/>
                <w:sz w:val="18"/>
                <w:szCs w:val="18"/>
              </w:rPr>
            </w:r>
            <w:r>
              <w:rPr>
                <w:color w:val="000000"/>
                <w:sz w:val="18"/>
                <w:szCs w:val="18"/>
              </w:rPr>
            </w:r>
          </w:p>
        </w:tc>
        <w:tc>
          <w:tcPr>
            <w:tcW w:w="1275" w:type="dxa"/>
            <w:vAlign w:val="center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шт</w:t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</w:tc>
        <w:tc>
          <w:tcPr>
            <w:tcW w:w="70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color w:val="000000"/>
                <w:sz w:val="18"/>
                <w:szCs w:val="18"/>
              </w:rPr>
              <w:t xml:space="preserve">1</w:t>
            </w:r>
            <w:r/>
          </w:p>
        </w:tc>
        <w:tc>
          <w:tcPr>
            <w:tcW w:w="1986" w:type="dxa"/>
            <w:vAlign w:val="center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15"/>
        </w:trPr>
        <w:tc>
          <w:tcPr>
            <w:shd w:val="clear" w:color="auto" w:fill="auto"/>
            <w:tcW w:w="565" w:type="dxa"/>
            <w:vAlign w:val="center"/>
            <w:textDirection w:val="lrTb"/>
            <w:noWrap w:val="false"/>
          </w:tcPr>
          <w:p>
            <w:pPr>
              <w:ind w:firstLine="3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8</w:t>
            </w:r>
            <w:r>
              <w:rPr>
                <w:color w:val="000000"/>
                <w:sz w:val="18"/>
                <w:szCs w:val="18"/>
              </w:rPr>
            </w:r>
            <w:r>
              <w:rPr>
                <w:color w:val="000000"/>
                <w:sz w:val="18"/>
                <w:szCs w:val="18"/>
              </w:rPr>
            </w:r>
          </w:p>
        </w:tc>
        <w:tc>
          <w:tcPr>
            <w:shd w:val="clear" w:color="auto" w:fill="auto"/>
            <w:tcW w:w="5664" w:type="dxa"/>
            <w:vAlign w:val="center"/>
            <w:textDirection w:val="lrTb"/>
            <w:noWrap w:val="false"/>
          </w:tcPr>
          <w:p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Рым-гайка М12</w:t>
            </w:r>
            <w:r>
              <w:rPr>
                <w:color w:val="000000"/>
                <w:sz w:val="18"/>
                <w:szCs w:val="18"/>
              </w:rPr>
            </w:r>
            <w:r>
              <w:rPr>
                <w:color w:val="000000"/>
                <w:sz w:val="18"/>
                <w:szCs w:val="18"/>
              </w:rPr>
            </w:r>
          </w:p>
        </w:tc>
        <w:tc>
          <w:tcPr>
            <w:tcW w:w="1275" w:type="dxa"/>
            <w:vAlign w:val="center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шт</w:t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</w:tc>
        <w:tc>
          <w:tcPr>
            <w:tcW w:w="70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color w:val="000000"/>
                <w:sz w:val="18"/>
                <w:szCs w:val="18"/>
              </w:rPr>
              <w:t xml:space="preserve">1</w:t>
            </w:r>
            <w:r/>
          </w:p>
        </w:tc>
        <w:tc>
          <w:tcPr>
            <w:tcW w:w="1986" w:type="dxa"/>
            <w:vAlign w:val="center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15"/>
        </w:trPr>
        <w:tc>
          <w:tcPr>
            <w:shd w:val="clear" w:color="auto" w:fill="auto"/>
            <w:tcW w:w="565" w:type="dxa"/>
            <w:vAlign w:val="center"/>
            <w:textDirection w:val="lrTb"/>
            <w:noWrap w:val="false"/>
          </w:tcPr>
          <w:p>
            <w:pPr>
              <w:ind w:firstLine="3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9</w:t>
            </w:r>
            <w:r>
              <w:rPr>
                <w:color w:val="000000"/>
                <w:sz w:val="18"/>
                <w:szCs w:val="18"/>
              </w:rPr>
            </w:r>
            <w:r>
              <w:rPr>
                <w:color w:val="000000"/>
                <w:sz w:val="18"/>
                <w:szCs w:val="18"/>
              </w:rPr>
            </w:r>
          </w:p>
        </w:tc>
        <w:tc>
          <w:tcPr>
            <w:shd w:val="clear" w:color="auto" w:fill="auto"/>
            <w:tcW w:w="5664" w:type="dxa"/>
            <w:vAlign w:val="center"/>
            <w:textDirection w:val="lrTb"/>
            <w:noWrap w:val="false"/>
          </w:tcPr>
          <w:p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Шпилька М16х1000</w:t>
            </w:r>
            <w:r>
              <w:rPr>
                <w:color w:val="000000"/>
                <w:sz w:val="18"/>
                <w:szCs w:val="18"/>
              </w:rPr>
            </w:r>
            <w:r>
              <w:rPr>
                <w:color w:val="000000"/>
                <w:sz w:val="18"/>
                <w:szCs w:val="18"/>
              </w:rPr>
            </w:r>
          </w:p>
        </w:tc>
        <w:tc>
          <w:tcPr>
            <w:tcW w:w="1275" w:type="dxa"/>
            <w:vAlign w:val="center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шт</w:t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</w:tc>
        <w:tc>
          <w:tcPr>
            <w:tcW w:w="70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color w:val="000000"/>
                <w:sz w:val="18"/>
                <w:szCs w:val="18"/>
              </w:rPr>
              <w:t xml:space="preserve">1</w:t>
            </w:r>
            <w:r/>
          </w:p>
        </w:tc>
        <w:tc>
          <w:tcPr>
            <w:tcW w:w="1986" w:type="dxa"/>
            <w:vAlign w:val="center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15"/>
        </w:trPr>
        <w:tc>
          <w:tcPr>
            <w:shd w:val="clear" w:color="auto" w:fill="auto"/>
            <w:tcW w:w="565" w:type="dxa"/>
            <w:vAlign w:val="center"/>
            <w:textDirection w:val="lrTb"/>
            <w:noWrap w:val="false"/>
          </w:tcPr>
          <w:p>
            <w:pPr>
              <w:ind w:firstLine="3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10</w:t>
            </w:r>
            <w:r>
              <w:rPr>
                <w:color w:val="000000"/>
                <w:sz w:val="18"/>
                <w:szCs w:val="18"/>
              </w:rPr>
            </w:r>
            <w:r>
              <w:rPr>
                <w:color w:val="000000"/>
                <w:sz w:val="18"/>
                <w:szCs w:val="18"/>
              </w:rPr>
            </w:r>
          </w:p>
        </w:tc>
        <w:tc>
          <w:tcPr>
            <w:shd w:val="clear" w:color="auto" w:fill="auto"/>
            <w:tcW w:w="5664" w:type="dxa"/>
            <w:vAlign w:val="center"/>
            <w:textDirection w:val="lrTb"/>
            <w:noWrap w:val="false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Шпилька М16х420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tcW w:w="1275" w:type="dxa"/>
            <w:vAlign w:val="center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шт</w:t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</w:tc>
        <w:tc>
          <w:tcPr>
            <w:tcW w:w="70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color w:val="000000"/>
                <w:sz w:val="18"/>
                <w:szCs w:val="18"/>
              </w:rPr>
              <w:t xml:space="preserve">1</w:t>
            </w:r>
            <w:r/>
          </w:p>
        </w:tc>
        <w:tc>
          <w:tcPr>
            <w:tcW w:w="1986" w:type="dxa"/>
            <w:vAlign w:val="center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15"/>
        </w:trPr>
        <w:tc>
          <w:tcPr>
            <w:shd w:val="clear" w:color="auto" w:fill="auto"/>
            <w:tcW w:w="565" w:type="dxa"/>
            <w:vAlign w:val="center"/>
            <w:textDirection w:val="lrTb"/>
            <w:noWrap w:val="false"/>
          </w:tcPr>
          <w:p>
            <w:pPr>
              <w:ind w:firstLine="3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11</w:t>
            </w:r>
            <w:r>
              <w:rPr>
                <w:color w:val="000000"/>
                <w:sz w:val="18"/>
                <w:szCs w:val="18"/>
              </w:rPr>
            </w:r>
            <w:r>
              <w:rPr>
                <w:color w:val="000000"/>
                <w:sz w:val="18"/>
                <w:szCs w:val="18"/>
              </w:rPr>
            </w:r>
          </w:p>
        </w:tc>
        <w:tc>
          <w:tcPr>
            <w:shd w:val="clear" w:color="auto" w:fill="auto"/>
            <w:tcW w:w="5664" w:type="dxa"/>
            <w:vAlign w:val="center"/>
            <w:textDirection w:val="lrTb"/>
            <w:noWrap w:val="false"/>
          </w:tcPr>
          <w:p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Болт М12х220 стропильный с гайкой</w:t>
            </w:r>
            <w:r>
              <w:rPr>
                <w:color w:val="000000"/>
                <w:sz w:val="18"/>
                <w:szCs w:val="18"/>
              </w:rPr>
            </w:r>
            <w:r>
              <w:rPr>
                <w:color w:val="000000"/>
                <w:sz w:val="18"/>
                <w:szCs w:val="18"/>
              </w:rPr>
            </w:r>
          </w:p>
        </w:tc>
        <w:tc>
          <w:tcPr>
            <w:tcW w:w="1275" w:type="dxa"/>
            <w:vAlign w:val="center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шт</w:t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</w:tc>
        <w:tc>
          <w:tcPr>
            <w:tcW w:w="70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color w:val="000000"/>
                <w:sz w:val="18"/>
                <w:szCs w:val="18"/>
              </w:rPr>
              <w:t xml:space="preserve">1</w:t>
            </w:r>
            <w:r/>
          </w:p>
        </w:tc>
        <w:tc>
          <w:tcPr>
            <w:tcW w:w="1986" w:type="dxa"/>
            <w:vAlign w:val="center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15"/>
        </w:trPr>
        <w:tc>
          <w:tcPr>
            <w:shd w:val="clear" w:color="auto" w:fill="auto"/>
            <w:tcW w:w="565" w:type="dxa"/>
            <w:vAlign w:val="center"/>
            <w:textDirection w:val="lrTb"/>
            <w:noWrap w:val="false"/>
          </w:tcPr>
          <w:p>
            <w:pPr>
              <w:ind w:firstLine="3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12</w:t>
            </w:r>
            <w:r>
              <w:rPr>
                <w:color w:val="000000"/>
                <w:sz w:val="18"/>
                <w:szCs w:val="18"/>
              </w:rPr>
            </w:r>
            <w:r>
              <w:rPr>
                <w:color w:val="000000"/>
                <w:sz w:val="18"/>
                <w:szCs w:val="18"/>
              </w:rPr>
            </w:r>
          </w:p>
        </w:tc>
        <w:tc>
          <w:tcPr>
            <w:shd w:val="clear" w:color="auto" w:fill="auto"/>
            <w:tcW w:w="5664" w:type="dxa"/>
            <w:vAlign w:val="center"/>
            <w:textDirection w:val="lrTb"/>
            <w:noWrap w:val="false"/>
          </w:tcPr>
          <w:p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Болт М12х310 стропильный с гайкой</w:t>
            </w:r>
            <w:r>
              <w:rPr>
                <w:color w:val="000000"/>
                <w:sz w:val="18"/>
                <w:szCs w:val="18"/>
              </w:rPr>
            </w:r>
            <w:r>
              <w:rPr>
                <w:color w:val="000000"/>
                <w:sz w:val="18"/>
                <w:szCs w:val="18"/>
              </w:rPr>
            </w:r>
          </w:p>
        </w:tc>
        <w:tc>
          <w:tcPr>
            <w:tcW w:w="1275" w:type="dxa"/>
            <w:vAlign w:val="center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шт</w:t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</w:tc>
        <w:tc>
          <w:tcPr>
            <w:tcW w:w="70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color w:val="000000"/>
                <w:sz w:val="18"/>
                <w:szCs w:val="18"/>
              </w:rPr>
              <w:t xml:space="preserve">1</w:t>
            </w:r>
            <w:r/>
          </w:p>
        </w:tc>
        <w:tc>
          <w:tcPr>
            <w:tcW w:w="1986" w:type="dxa"/>
            <w:vAlign w:val="center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15"/>
        </w:trPr>
        <w:tc>
          <w:tcPr>
            <w:shd w:val="clear" w:color="auto" w:fill="auto"/>
            <w:tcW w:w="565" w:type="dxa"/>
            <w:vAlign w:val="center"/>
            <w:textDirection w:val="lrTb"/>
            <w:noWrap w:val="false"/>
          </w:tcPr>
          <w:p>
            <w:pPr>
              <w:ind w:firstLine="3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13</w:t>
            </w:r>
            <w:r>
              <w:rPr>
                <w:color w:val="000000"/>
                <w:sz w:val="18"/>
                <w:szCs w:val="18"/>
              </w:rPr>
            </w:r>
            <w:r>
              <w:rPr>
                <w:color w:val="000000"/>
                <w:sz w:val="18"/>
                <w:szCs w:val="18"/>
              </w:rPr>
            </w:r>
          </w:p>
        </w:tc>
        <w:tc>
          <w:tcPr>
            <w:shd w:val="clear" w:color="auto" w:fill="auto"/>
            <w:tcW w:w="5664" w:type="dxa"/>
            <w:vAlign w:val="center"/>
            <w:textDirection w:val="lrTb"/>
            <w:noWrap w:val="false"/>
          </w:tcPr>
          <w:p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Болт М12х410 стропильный с гайкой</w:t>
            </w:r>
            <w:r>
              <w:rPr>
                <w:color w:val="000000"/>
                <w:sz w:val="18"/>
                <w:szCs w:val="18"/>
              </w:rPr>
            </w:r>
            <w:r>
              <w:rPr>
                <w:color w:val="000000"/>
                <w:sz w:val="18"/>
                <w:szCs w:val="18"/>
              </w:rPr>
            </w:r>
          </w:p>
        </w:tc>
        <w:tc>
          <w:tcPr>
            <w:tcW w:w="1275" w:type="dxa"/>
            <w:vAlign w:val="center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шт</w:t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</w:tc>
        <w:tc>
          <w:tcPr>
            <w:tcW w:w="70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color w:val="000000"/>
                <w:sz w:val="18"/>
                <w:szCs w:val="18"/>
              </w:rPr>
              <w:t xml:space="preserve">1</w:t>
            </w:r>
            <w:r/>
          </w:p>
        </w:tc>
        <w:tc>
          <w:tcPr>
            <w:tcW w:w="1986" w:type="dxa"/>
            <w:vAlign w:val="center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15"/>
        </w:trPr>
        <w:tc>
          <w:tcPr>
            <w:shd w:val="clear" w:color="auto" w:fill="auto"/>
            <w:tcW w:w="565" w:type="dxa"/>
            <w:vAlign w:val="center"/>
            <w:textDirection w:val="lrTb"/>
            <w:noWrap w:val="false"/>
          </w:tcPr>
          <w:p>
            <w:pPr>
              <w:ind w:firstLine="3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14</w:t>
            </w:r>
            <w:r>
              <w:rPr>
                <w:color w:val="000000"/>
                <w:sz w:val="18"/>
                <w:szCs w:val="18"/>
              </w:rPr>
            </w:r>
            <w:r>
              <w:rPr>
                <w:color w:val="000000"/>
                <w:sz w:val="18"/>
                <w:szCs w:val="18"/>
              </w:rPr>
            </w:r>
          </w:p>
        </w:tc>
        <w:tc>
          <w:tcPr>
            <w:shd w:val="clear" w:color="auto" w:fill="auto"/>
            <w:tcW w:w="5664" w:type="dxa"/>
            <w:vAlign w:val="center"/>
            <w:textDirection w:val="lrTb"/>
            <w:noWrap w:val="false"/>
          </w:tcPr>
          <w:p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Болт Т-образный</w:t>
            </w:r>
            <w:r>
              <w:rPr>
                <w:color w:val="000000"/>
                <w:sz w:val="18"/>
                <w:szCs w:val="18"/>
              </w:rPr>
            </w:r>
            <w:r>
              <w:rPr>
                <w:color w:val="000000"/>
                <w:sz w:val="18"/>
                <w:szCs w:val="18"/>
              </w:rPr>
            </w:r>
          </w:p>
        </w:tc>
        <w:tc>
          <w:tcPr>
            <w:tcW w:w="1275" w:type="dxa"/>
            <w:vAlign w:val="center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шт</w:t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</w:tc>
        <w:tc>
          <w:tcPr>
            <w:tcW w:w="70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color w:val="000000"/>
                <w:sz w:val="18"/>
                <w:szCs w:val="18"/>
              </w:rPr>
              <w:t xml:space="preserve">1</w:t>
            </w:r>
            <w:r/>
          </w:p>
        </w:tc>
        <w:tc>
          <w:tcPr>
            <w:tcW w:w="1986" w:type="dxa"/>
            <w:vAlign w:val="center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15"/>
        </w:trPr>
        <w:tc>
          <w:tcPr>
            <w:shd w:val="clear" w:color="auto" w:fill="auto"/>
            <w:tcW w:w="565" w:type="dxa"/>
            <w:vAlign w:val="center"/>
            <w:textDirection w:val="lrTb"/>
            <w:noWrap w:val="false"/>
          </w:tcPr>
          <w:p>
            <w:pPr>
              <w:ind w:firstLine="3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15</w:t>
            </w:r>
            <w:r>
              <w:rPr>
                <w:color w:val="000000"/>
                <w:sz w:val="18"/>
                <w:szCs w:val="18"/>
              </w:rPr>
            </w:r>
            <w:r>
              <w:rPr>
                <w:color w:val="000000"/>
                <w:sz w:val="18"/>
                <w:szCs w:val="18"/>
              </w:rPr>
            </w:r>
          </w:p>
        </w:tc>
        <w:tc>
          <w:tcPr>
            <w:shd w:val="clear" w:color="auto" w:fill="auto"/>
            <w:tcW w:w="5664" w:type="dxa"/>
            <w:vAlign w:val="center"/>
            <w:textDirection w:val="lrTb"/>
            <w:noWrap w:val="false"/>
          </w:tcPr>
          <w:p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Гильза ГРСС (</w:t>
            </w:r>
            <w:r>
              <w:rPr>
                <w:color w:val="000000"/>
                <w:sz w:val="18"/>
                <w:szCs w:val="18"/>
              </w:rPr>
              <w:t xml:space="preserve">г.к</w:t>
            </w:r>
            <w:r>
              <w:rPr>
                <w:color w:val="000000"/>
                <w:sz w:val="18"/>
                <w:szCs w:val="18"/>
              </w:rPr>
              <w:t xml:space="preserve"> Р/С стеновая) + хомут 2шт</w:t>
            </w:r>
            <w:r>
              <w:rPr>
                <w:color w:val="000000"/>
                <w:sz w:val="18"/>
                <w:szCs w:val="18"/>
              </w:rPr>
            </w:r>
            <w:r>
              <w:rPr>
                <w:color w:val="000000"/>
                <w:sz w:val="18"/>
                <w:szCs w:val="18"/>
              </w:rPr>
            </w:r>
          </w:p>
        </w:tc>
        <w:tc>
          <w:tcPr>
            <w:tcW w:w="1275" w:type="dxa"/>
            <w:vAlign w:val="center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шт</w:t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</w:tc>
        <w:tc>
          <w:tcPr>
            <w:tcW w:w="70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color w:val="000000"/>
                <w:sz w:val="18"/>
                <w:szCs w:val="18"/>
              </w:rPr>
              <w:t xml:space="preserve">1</w:t>
            </w:r>
            <w:r/>
          </w:p>
        </w:tc>
        <w:tc>
          <w:tcPr>
            <w:tcW w:w="1986" w:type="dxa"/>
            <w:vAlign w:val="center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15"/>
        </w:trPr>
        <w:tc>
          <w:tcPr>
            <w:shd w:val="clear" w:color="auto" w:fill="auto"/>
            <w:tcW w:w="565" w:type="dxa"/>
            <w:vAlign w:val="center"/>
            <w:textDirection w:val="lrTb"/>
            <w:noWrap w:val="false"/>
          </w:tcPr>
          <w:p>
            <w:pPr>
              <w:ind w:firstLine="3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16</w:t>
            </w:r>
            <w:r>
              <w:rPr>
                <w:color w:val="000000"/>
                <w:sz w:val="18"/>
                <w:szCs w:val="18"/>
              </w:rPr>
            </w:r>
            <w:r>
              <w:rPr>
                <w:color w:val="000000"/>
                <w:sz w:val="18"/>
                <w:szCs w:val="18"/>
              </w:rPr>
            </w:r>
          </w:p>
        </w:tc>
        <w:tc>
          <w:tcPr>
            <w:shd w:val="clear" w:color="auto" w:fill="auto"/>
            <w:tcW w:w="5664" w:type="dxa"/>
            <w:vAlign w:val="center"/>
            <w:textDirection w:val="lrTb"/>
            <w:noWrap w:val="false"/>
          </w:tcPr>
          <w:p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Гильза опорная под РС (ОГР)</w:t>
            </w:r>
            <w:r>
              <w:rPr>
                <w:color w:val="000000"/>
                <w:sz w:val="18"/>
                <w:szCs w:val="18"/>
              </w:rPr>
            </w:r>
            <w:r>
              <w:rPr>
                <w:color w:val="000000"/>
                <w:sz w:val="18"/>
                <w:szCs w:val="18"/>
              </w:rPr>
            </w:r>
          </w:p>
        </w:tc>
        <w:tc>
          <w:tcPr>
            <w:tcW w:w="1275" w:type="dxa"/>
            <w:vAlign w:val="center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шт</w:t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</w:tc>
        <w:tc>
          <w:tcPr>
            <w:tcW w:w="70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color w:val="000000"/>
                <w:sz w:val="18"/>
                <w:szCs w:val="18"/>
              </w:rPr>
              <w:t xml:space="preserve">1</w:t>
            </w:r>
            <w:r/>
          </w:p>
        </w:tc>
        <w:tc>
          <w:tcPr>
            <w:tcW w:w="1986" w:type="dxa"/>
            <w:vAlign w:val="center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15"/>
        </w:trPr>
        <w:tc>
          <w:tcPr>
            <w:shd w:val="clear" w:color="auto" w:fill="auto"/>
            <w:tcW w:w="565" w:type="dxa"/>
            <w:vAlign w:val="center"/>
            <w:textDirection w:val="lrTb"/>
            <w:noWrap w:val="false"/>
          </w:tcPr>
          <w:p>
            <w:pPr>
              <w:ind w:firstLine="3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17</w:t>
            </w:r>
            <w:r>
              <w:rPr>
                <w:color w:val="000000"/>
                <w:sz w:val="18"/>
                <w:szCs w:val="18"/>
              </w:rPr>
            </w:r>
            <w:r>
              <w:rPr>
                <w:color w:val="000000"/>
                <w:sz w:val="18"/>
                <w:szCs w:val="18"/>
              </w:rPr>
            </w:r>
          </w:p>
        </w:tc>
        <w:tc>
          <w:tcPr>
            <w:shd w:val="clear" w:color="auto" w:fill="auto"/>
            <w:tcW w:w="5664" w:type="dxa"/>
            <w:vAlign w:val="center"/>
            <w:textDirection w:val="lrTb"/>
            <w:noWrap w:val="false"/>
          </w:tcPr>
          <w:p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Гильза опорная под РС (ОГР) (D отв. 50мм)</w:t>
            </w:r>
            <w:r>
              <w:rPr>
                <w:color w:val="000000"/>
                <w:sz w:val="18"/>
                <w:szCs w:val="18"/>
              </w:rPr>
            </w:r>
            <w:r>
              <w:rPr>
                <w:color w:val="000000"/>
                <w:sz w:val="18"/>
                <w:szCs w:val="18"/>
              </w:rPr>
            </w:r>
          </w:p>
        </w:tc>
        <w:tc>
          <w:tcPr>
            <w:tcW w:w="1275" w:type="dxa"/>
            <w:vAlign w:val="center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шт</w:t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</w:tc>
        <w:tc>
          <w:tcPr>
            <w:tcW w:w="70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color w:val="000000"/>
                <w:sz w:val="18"/>
                <w:szCs w:val="18"/>
              </w:rPr>
              <w:t xml:space="preserve">1</w:t>
            </w:r>
            <w:r/>
          </w:p>
        </w:tc>
        <w:tc>
          <w:tcPr>
            <w:tcW w:w="1986" w:type="dxa"/>
            <w:vAlign w:val="center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15"/>
        </w:trPr>
        <w:tc>
          <w:tcPr>
            <w:shd w:val="clear" w:color="auto" w:fill="auto"/>
            <w:tcW w:w="565" w:type="dxa"/>
            <w:vAlign w:val="center"/>
            <w:textDirection w:val="lrTb"/>
            <w:noWrap w:val="false"/>
          </w:tcPr>
          <w:p>
            <w:pPr>
              <w:ind w:firstLine="3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18</w:t>
            </w:r>
            <w:r>
              <w:rPr>
                <w:color w:val="000000"/>
                <w:sz w:val="18"/>
                <w:szCs w:val="18"/>
              </w:rPr>
            </w:r>
            <w:r>
              <w:rPr>
                <w:color w:val="000000"/>
                <w:sz w:val="18"/>
                <w:szCs w:val="18"/>
              </w:rPr>
            </w:r>
          </w:p>
        </w:tc>
        <w:tc>
          <w:tcPr>
            <w:shd w:val="clear" w:color="auto" w:fill="auto"/>
            <w:tcW w:w="5664" w:type="dxa"/>
            <w:vAlign w:val="center"/>
            <w:textDirection w:val="lrTb"/>
            <w:noWrap w:val="false"/>
          </w:tcPr>
          <w:p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Кронштейн РС</w:t>
            </w:r>
            <w:r>
              <w:rPr>
                <w:color w:val="000000"/>
                <w:sz w:val="18"/>
                <w:szCs w:val="18"/>
              </w:rPr>
            </w:r>
            <w:r>
              <w:rPr>
                <w:color w:val="000000"/>
                <w:sz w:val="18"/>
                <w:szCs w:val="18"/>
              </w:rPr>
            </w:r>
          </w:p>
        </w:tc>
        <w:tc>
          <w:tcPr>
            <w:tcW w:w="1275" w:type="dxa"/>
            <w:vAlign w:val="center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шт</w:t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</w:tc>
        <w:tc>
          <w:tcPr>
            <w:tcW w:w="70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color w:val="000000"/>
                <w:sz w:val="18"/>
                <w:szCs w:val="18"/>
              </w:rPr>
              <w:t xml:space="preserve">1</w:t>
            </w:r>
            <w:r/>
          </w:p>
        </w:tc>
        <w:tc>
          <w:tcPr>
            <w:tcW w:w="1986" w:type="dxa"/>
            <w:vAlign w:val="center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15"/>
        </w:trPr>
        <w:tc>
          <w:tcPr>
            <w:shd w:val="clear" w:color="auto" w:fill="auto"/>
            <w:tcW w:w="565" w:type="dxa"/>
            <w:vAlign w:val="center"/>
            <w:textDirection w:val="lrTb"/>
            <w:noWrap w:val="false"/>
          </w:tcPr>
          <w:p>
            <w:pPr>
              <w:ind w:firstLine="3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19</w:t>
            </w:r>
            <w:r>
              <w:rPr>
                <w:color w:val="000000"/>
                <w:sz w:val="18"/>
                <w:szCs w:val="18"/>
              </w:rPr>
            </w:r>
            <w:r>
              <w:rPr>
                <w:color w:val="000000"/>
                <w:sz w:val="18"/>
                <w:szCs w:val="18"/>
              </w:rPr>
            </w:r>
          </w:p>
        </w:tc>
        <w:tc>
          <w:tcPr>
            <w:shd w:val="clear" w:color="auto" w:fill="auto"/>
            <w:tcW w:w="5664" w:type="dxa"/>
            <w:vAlign w:val="center"/>
            <w:textDirection w:val="lrTb"/>
            <w:noWrap w:val="false"/>
          </w:tcPr>
          <w:p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Кронштейн для крепления ГРСС</w:t>
            </w:r>
            <w:r>
              <w:rPr>
                <w:color w:val="000000"/>
                <w:sz w:val="18"/>
                <w:szCs w:val="18"/>
              </w:rPr>
            </w:r>
            <w:r>
              <w:rPr>
                <w:color w:val="000000"/>
                <w:sz w:val="18"/>
                <w:szCs w:val="18"/>
              </w:rPr>
            </w:r>
          </w:p>
        </w:tc>
        <w:tc>
          <w:tcPr>
            <w:tcW w:w="1275" w:type="dxa"/>
            <w:vAlign w:val="center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шт</w:t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</w:tc>
        <w:tc>
          <w:tcPr>
            <w:tcW w:w="70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color w:val="000000"/>
                <w:sz w:val="18"/>
                <w:szCs w:val="18"/>
              </w:rPr>
              <w:t xml:space="preserve">1</w:t>
            </w:r>
            <w:r/>
          </w:p>
        </w:tc>
        <w:tc>
          <w:tcPr>
            <w:tcW w:w="1986" w:type="dxa"/>
            <w:vAlign w:val="center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15"/>
        </w:trPr>
        <w:tc>
          <w:tcPr>
            <w:shd w:val="clear" w:color="auto" w:fill="auto"/>
            <w:tcW w:w="565" w:type="dxa"/>
            <w:vAlign w:val="center"/>
            <w:textDirection w:val="lrTb"/>
            <w:noWrap w:val="false"/>
          </w:tcPr>
          <w:p>
            <w:pPr>
              <w:ind w:firstLine="3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20</w:t>
            </w:r>
            <w:r>
              <w:rPr>
                <w:color w:val="000000"/>
                <w:sz w:val="18"/>
                <w:szCs w:val="18"/>
              </w:rPr>
            </w:r>
            <w:r>
              <w:rPr>
                <w:color w:val="000000"/>
                <w:sz w:val="18"/>
                <w:szCs w:val="18"/>
              </w:rPr>
            </w:r>
          </w:p>
        </w:tc>
        <w:tc>
          <w:tcPr>
            <w:shd w:val="clear" w:color="auto" w:fill="auto"/>
            <w:tcW w:w="5664" w:type="dxa"/>
            <w:vAlign w:val="center"/>
            <w:textDirection w:val="lrTb"/>
            <w:noWrap w:val="false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Штырь ШТ-20 НС-01-Р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tcW w:w="1275" w:type="dxa"/>
            <w:vAlign w:val="center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шт</w:t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</w:tc>
        <w:tc>
          <w:tcPr>
            <w:tcW w:w="70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color w:val="000000"/>
                <w:sz w:val="18"/>
                <w:szCs w:val="18"/>
              </w:rPr>
              <w:t xml:space="preserve">1</w:t>
            </w:r>
            <w:r/>
          </w:p>
        </w:tc>
        <w:tc>
          <w:tcPr>
            <w:tcW w:w="1986" w:type="dxa"/>
            <w:vAlign w:val="center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15"/>
        </w:trPr>
        <w:tc>
          <w:tcPr>
            <w:shd w:val="clear" w:color="auto" w:fill="auto"/>
            <w:tcW w:w="565" w:type="dxa"/>
            <w:vAlign w:val="center"/>
            <w:textDirection w:val="lrTb"/>
            <w:noWrap w:val="false"/>
          </w:tcPr>
          <w:p>
            <w:pPr>
              <w:ind w:firstLine="3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21</w:t>
            </w:r>
            <w:r>
              <w:rPr>
                <w:color w:val="000000"/>
                <w:sz w:val="18"/>
                <w:szCs w:val="18"/>
              </w:rPr>
            </w:r>
            <w:r>
              <w:rPr>
                <w:color w:val="000000"/>
                <w:sz w:val="18"/>
                <w:szCs w:val="18"/>
              </w:rPr>
            </w:r>
          </w:p>
        </w:tc>
        <w:tc>
          <w:tcPr>
            <w:shd w:val="clear" w:color="auto" w:fill="auto"/>
            <w:tcW w:w="5664" w:type="dxa"/>
            <w:vAlign w:val="center"/>
            <w:textDirection w:val="lrTb"/>
            <w:noWrap w:val="false"/>
          </w:tcPr>
          <w:p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Талреп крюк-кольцо</w:t>
            </w:r>
            <w:r>
              <w:rPr>
                <w:color w:val="000000"/>
                <w:sz w:val="18"/>
                <w:szCs w:val="18"/>
              </w:rPr>
            </w:r>
            <w:r>
              <w:rPr>
                <w:color w:val="000000"/>
                <w:sz w:val="18"/>
                <w:szCs w:val="18"/>
              </w:rPr>
            </w:r>
          </w:p>
        </w:tc>
        <w:tc>
          <w:tcPr>
            <w:tcW w:w="1275" w:type="dxa"/>
            <w:vAlign w:val="center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шт</w:t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</w:tc>
        <w:tc>
          <w:tcPr>
            <w:tcW w:w="70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color w:val="000000"/>
                <w:sz w:val="18"/>
                <w:szCs w:val="18"/>
              </w:rPr>
              <w:t xml:space="preserve">1</w:t>
            </w:r>
            <w:r/>
          </w:p>
        </w:tc>
        <w:tc>
          <w:tcPr>
            <w:tcW w:w="1986" w:type="dxa"/>
            <w:vAlign w:val="center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15"/>
        </w:trPr>
        <w:tc>
          <w:tcPr>
            <w:shd w:val="clear" w:color="auto" w:fill="auto"/>
            <w:tcW w:w="565" w:type="dxa"/>
            <w:vAlign w:val="center"/>
            <w:textDirection w:val="lrTb"/>
            <w:noWrap w:val="false"/>
          </w:tcPr>
          <w:p>
            <w:pPr>
              <w:ind w:firstLine="3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22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auto"/>
            <w:tcW w:w="5664" w:type="dxa"/>
            <w:vAlign w:val="center"/>
            <w:textDirection w:val="lrTb"/>
            <w:noWrap w:val="false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Траверса 2-х штыр</w:t>
            </w:r>
            <w:r>
              <w:rPr>
                <w:sz w:val="18"/>
                <w:szCs w:val="18"/>
              </w:rPr>
              <w:t xml:space="preserve">ева</w:t>
            </w:r>
            <w:r>
              <w:rPr>
                <w:sz w:val="18"/>
                <w:szCs w:val="18"/>
              </w:rPr>
              <w:t xml:space="preserve">я земляная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tcW w:w="1275" w:type="dxa"/>
            <w:vAlign w:val="center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шт</w:t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</w:tc>
        <w:tc>
          <w:tcPr>
            <w:tcW w:w="70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color w:val="000000"/>
                <w:sz w:val="18"/>
                <w:szCs w:val="18"/>
              </w:rPr>
              <w:t xml:space="preserve">1</w:t>
            </w:r>
            <w:r/>
          </w:p>
        </w:tc>
        <w:tc>
          <w:tcPr>
            <w:tcW w:w="1986" w:type="dxa"/>
            <w:vAlign w:val="center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15"/>
        </w:trPr>
        <w:tc>
          <w:tcPr>
            <w:shd w:val="clear" w:color="auto" w:fill="auto"/>
            <w:tcW w:w="565" w:type="dxa"/>
            <w:vAlign w:val="center"/>
            <w:textDirection w:val="lrTb"/>
            <w:noWrap w:val="false"/>
          </w:tcPr>
          <w:p>
            <w:pPr>
              <w:ind w:firstLine="3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23</w:t>
            </w:r>
            <w:r>
              <w:rPr>
                <w:color w:val="000000"/>
                <w:sz w:val="18"/>
                <w:szCs w:val="18"/>
              </w:rPr>
            </w:r>
            <w:r>
              <w:rPr>
                <w:color w:val="000000"/>
                <w:sz w:val="18"/>
                <w:szCs w:val="18"/>
              </w:rPr>
            </w:r>
          </w:p>
        </w:tc>
        <w:tc>
          <w:tcPr>
            <w:shd w:val="clear" w:color="auto" w:fill="auto"/>
            <w:tcW w:w="5664" w:type="dxa"/>
            <w:vAlign w:val="center"/>
            <w:textDirection w:val="lrTb"/>
            <w:noWrap w:val="false"/>
          </w:tcPr>
          <w:p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Траверса 2-х штыревая с хомутом 2" в сборе</w:t>
            </w:r>
            <w:r>
              <w:rPr>
                <w:color w:val="000000"/>
                <w:sz w:val="18"/>
                <w:szCs w:val="18"/>
              </w:rPr>
            </w:r>
            <w:r>
              <w:rPr>
                <w:color w:val="000000"/>
                <w:sz w:val="18"/>
                <w:szCs w:val="18"/>
              </w:rPr>
            </w:r>
          </w:p>
        </w:tc>
        <w:tc>
          <w:tcPr>
            <w:tcW w:w="1275" w:type="dxa"/>
            <w:vAlign w:val="center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шт</w:t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</w:tc>
        <w:tc>
          <w:tcPr>
            <w:tcW w:w="70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color w:val="000000"/>
                <w:sz w:val="18"/>
                <w:szCs w:val="18"/>
              </w:rPr>
              <w:t xml:space="preserve">1</w:t>
            </w:r>
            <w:r/>
          </w:p>
        </w:tc>
        <w:tc>
          <w:tcPr>
            <w:tcW w:w="1986" w:type="dxa"/>
            <w:vAlign w:val="center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15"/>
        </w:trPr>
        <w:tc>
          <w:tcPr>
            <w:shd w:val="clear" w:color="auto" w:fill="auto"/>
            <w:tcW w:w="565" w:type="dxa"/>
            <w:vAlign w:val="center"/>
            <w:textDirection w:val="lrTb"/>
            <w:noWrap w:val="false"/>
          </w:tcPr>
          <w:p>
            <w:pPr>
              <w:ind w:firstLine="3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24</w:t>
            </w:r>
            <w:r>
              <w:rPr>
                <w:color w:val="000000"/>
                <w:sz w:val="18"/>
                <w:szCs w:val="18"/>
              </w:rPr>
            </w:r>
            <w:r>
              <w:rPr>
                <w:color w:val="000000"/>
                <w:sz w:val="18"/>
                <w:szCs w:val="18"/>
              </w:rPr>
            </w:r>
          </w:p>
        </w:tc>
        <w:tc>
          <w:tcPr>
            <w:shd w:val="clear" w:color="auto" w:fill="auto"/>
            <w:tcW w:w="5664" w:type="dxa"/>
            <w:vAlign w:val="center"/>
            <w:textDirection w:val="lrTb"/>
            <w:noWrap w:val="false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Траверса 4-х штыревая с хомутом сдвоенная в сборе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tcW w:w="1275" w:type="dxa"/>
            <w:vAlign w:val="center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шт</w:t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</w:tc>
        <w:tc>
          <w:tcPr>
            <w:tcW w:w="70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color w:val="000000"/>
                <w:sz w:val="18"/>
                <w:szCs w:val="18"/>
              </w:rPr>
              <w:t xml:space="preserve">1</w:t>
            </w:r>
            <w:r/>
          </w:p>
        </w:tc>
        <w:tc>
          <w:tcPr>
            <w:tcW w:w="1986" w:type="dxa"/>
            <w:vAlign w:val="center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15"/>
        </w:trPr>
        <w:tc>
          <w:tcPr>
            <w:shd w:val="clear" w:color="auto" w:fill="auto"/>
            <w:tcW w:w="565" w:type="dxa"/>
            <w:vAlign w:val="center"/>
            <w:textDirection w:val="lrTb"/>
            <w:noWrap w:val="false"/>
          </w:tcPr>
          <w:p>
            <w:pPr>
              <w:ind w:firstLine="3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25</w:t>
            </w:r>
            <w:r>
              <w:rPr>
                <w:color w:val="000000"/>
                <w:sz w:val="18"/>
                <w:szCs w:val="18"/>
              </w:rPr>
            </w:r>
            <w:r>
              <w:rPr>
                <w:color w:val="000000"/>
                <w:sz w:val="18"/>
                <w:szCs w:val="18"/>
              </w:rPr>
            </w:r>
          </w:p>
        </w:tc>
        <w:tc>
          <w:tcPr>
            <w:shd w:val="clear" w:color="auto" w:fill="auto"/>
            <w:tcW w:w="5664" w:type="dxa"/>
            <w:vAlign w:val="center"/>
            <w:textDirection w:val="lrTb"/>
            <w:noWrap w:val="false"/>
          </w:tcPr>
          <w:p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Хомут 4-х штыревой</w:t>
            </w:r>
            <w:r>
              <w:rPr>
                <w:color w:val="000000"/>
                <w:sz w:val="18"/>
                <w:szCs w:val="18"/>
              </w:rPr>
            </w:r>
            <w:r>
              <w:rPr>
                <w:color w:val="000000"/>
                <w:sz w:val="18"/>
                <w:szCs w:val="18"/>
              </w:rPr>
            </w:r>
          </w:p>
        </w:tc>
        <w:tc>
          <w:tcPr>
            <w:tcW w:w="1275" w:type="dxa"/>
            <w:vAlign w:val="center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шт</w:t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</w:tc>
        <w:tc>
          <w:tcPr>
            <w:tcW w:w="70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color w:val="000000"/>
                <w:sz w:val="18"/>
                <w:szCs w:val="18"/>
              </w:rPr>
              <w:t xml:space="preserve">1</w:t>
            </w:r>
            <w:r/>
          </w:p>
        </w:tc>
        <w:tc>
          <w:tcPr>
            <w:tcW w:w="1986" w:type="dxa"/>
            <w:vAlign w:val="center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15"/>
        </w:trPr>
        <w:tc>
          <w:tcPr>
            <w:shd w:val="clear" w:color="auto" w:fill="auto"/>
            <w:tcW w:w="565" w:type="dxa"/>
            <w:vAlign w:val="center"/>
            <w:textDirection w:val="lrTb"/>
            <w:noWrap w:val="false"/>
          </w:tcPr>
          <w:p>
            <w:pPr>
              <w:ind w:firstLine="3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26</w:t>
            </w:r>
            <w:r>
              <w:rPr>
                <w:color w:val="000000"/>
                <w:sz w:val="18"/>
                <w:szCs w:val="18"/>
              </w:rPr>
            </w:r>
            <w:r>
              <w:rPr>
                <w:color w:val="000000"/>
                <w:sz w:val="18"/>
                <w:szCs w:val="18"/>
              </w:rPr>
            </w:r>
          </w:p>
        </w:tc>
        <w:tc>
          <w:tcPr>
            <w:shd w:val="clear" w:color="auto" w:fill="auto"/>
            <w:tcW w:w="5664" w:type="dxa"/>
            <w:vAlign w:val="center"/>
            <w:textDirection w:val="lrTb"/>
            <w:noWrap w:val="false"/>
          </w:tcPr>
          <w:p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Хомут 2-х штыревой</w:t>
            </w:r>
            <w:r>
              <w:rPr>
                <w:color w:val="000000"/>
                <w:sz w:val="18"/>
                <w:szCs w:val="18"/>
              </w:rPr>
            </w:r>
            <w:r>
              <w:rPr>
                <w:color w:val="000000"/>
                <w:sz w:val="18"/>
                <w:szCs w:val="18"/>
              </w:rPr>
            </w:r>
          </w:p>
        </w:tc>
        <w:tc>
          <w:tcPr>
            <w:tcW w:w="1275" w:type="dxa"/>
            <w:vAlign w:val="center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шт</w:t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</w:tc>
        <w:tc>
          <w:tcPr>
            <w:tcW w:w="70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color w:val="000000"/>
                <w:sz w:val="18"/>
                <w:szCs w:val="18"/>
              </w:rPr>
              <w:t xml:space="preserve">1</w:t>
            </w:r>
            <w:r/>
          </w:p>
        </w:tc>
        <w:tc>
          <w:tcPr>
            <w:tcW w:w="1986" w:type="dxa"/>
            <w:vAlign w:val="center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15"/>
        </w:trPr>
        <w:tc>
          <w:tcPr>
            <w:shd w:val="clear" w:color="auto" w:fill="auto"/>
            <w:tcW w:w="565" w:type="dxa"/>
            <w:vAlign w:val="center"/>
            <w:textDirection w:val="lrTb"/>
            <w:noWrap w:val="false"/>
          </w:tcPr>
          <w:p>
            <w:pPr>
              <w:ind w:firstLine="3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27</w:t>
            </w:r>
            <w:r>
              <w:rPr>
                <w:color w:val="000000"/>
                <w:sz w:val="18"/>
                <w:szCs w:val="18"/>
              </w:rPr>
            </w:r>
            <w:r>
              <w:rPr>
                <w:color w:val="000000"/>
                <w:sz w:val="18"/>
                <w:szCs w:val="18"/>
              </w:rPr>
            </w:r>
          </w:p>
        </w:tc>
        <w:tc>
          <w:tcPr>
            <w:shd w:val="clear" w:color="auto" w:fill="auto"/>
            <w:tcW w:w="5664" w:type="dxa"/>
            <w:vAlign w:val="center"/>
            <w:textDirection w:val="lrTb"/>
            <w:noWrap w:val="false"/>
          </w:tcPr>
          <w:p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Хомут 1,5" для стойки</w:t>
            </w:r>
            <w:r>
              <w:rPr>
                <w:color w:val="000000"/>
                <w:sz w:val="18"/>
                <w:szCs w:val="18"/>
              </w:rPr>
            </w:r>
            <w:r>
              <w:rPr>
                <w:color w:val="000000"/>
                <w:sz w:val="18"/>
                <w:szCs w:val="18"/>
              </w:rPr>
            </w:r>
          </w:p>
        </w:tc>
        <w:tc>
          <w:tcPr>
            <w:tcW w:w="1275" w:type="dxa"/>
            <w:vAlign w:val="center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шт</w:t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</w:tc>
        <w:tc>
          <w:tcPr>
            <w:tcW w:w="70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color w:val="000000"/>
                <w:sz w:val="18"/>
                <w:szCs w:val="18"/>
              </w:rPr>
              <w:t xml:space="preserve">1</w:t>
            </w:r>
            <w:r/>
          </w:p>
        </w:tc>
        <w:tc>
          <w:tcPr>
            <w:tcW w:w="1986" w:type="dxa"/>
            <w:vAlign w:val="center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15"/>
        </w:trPr>
        <w:tc>
          <w:tcPr>
            <w:shd w:val="clear" w:color="auto" w:fill="auto"/>
            <w:tcW w:w="565" w:type="dxa"/>
            <w:vAlign w:val="center"/>
            <w:textDirection w:val="lrTb"/>
            <w:noWrap w:val="false"/>
          </w:tcPr>
          <w:p>
            <w:pPr>
              <w:ind w:firstLine="3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28</w:t>
            </w:r>
            <w:r>
              <w:rPr>
                <w:color w:val="000000"/>
                <w:sz w:val="18"/>
                <w:szCs w:val="18"/>
              </w:rPr>
            </w:r>
            <w:r>
              <w:rPr>
                <w:color w:val="000000"/>
                <w:sz w:val="18"/>
                <w:szCs w:val="18"/>
              </w:rPr>
            </w:r>
          </w:p>
        </w:tc>
        <w:tc>
          <w:tcPr>
            <w:shd w:val="clear" w:color="auto" w:fill="auto"/>
            <w:tcW w:w="5664" w:type="dxa"/>
            <w:vAlign w:val="center"/>
            <w:textDirection w:val="lrTb"/>
            <w:noWrap w:val="false"/>
          </w:tcPr>
          <w:p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Шайба 100х100</w:t>
            </w:r>
            <w:r>
              <w:rPr>
                <w:color w:val="000000"/>
                <w:sz w:val="18"/>
                <w:szCs w:val="18"/>
              </w:rPr>
            </w:r>
            <w:r>
              <w:rPr>
                <w:color w:val="000000"/>
                <w:sz w:val="18"/>
                <w:szCs w:val="18"/>
              </w:rPr>
            </w:r>
          </w:p>
        </w:tc>
        <w:tc>
          <w:tcPr>
            <w:tcW w:w="1275" w:type="dxa"/>
            <w:vAlign w:val="center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шт</w:t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</w:tc>
        <w:tc>
          <w:tcPr>
            <w:tcW w:w="70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color w:val="000000"/>
                <w:sz w:val="18"/>
                <w:szCs w:val="18"/>
              </w:rPr>
              <w:t xml:space="preserve">1</w:t>
            </w:r>
            <w:r/>
          </w:p>
        </w:tc>
        <w:tc>
          <w:tcPr>
            <w:tcW w:w="1986" w:type="dxa"/>
            <w:vAlign w:val="center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15"/>
        </w:trPr>
        <w:tc>
          <w:tcPr>
            <w:shd w:val="clear" w:color="auto" w:fill="auto"/>
            <w:tcW w:w="565" w:type="dxa"/>
            <w:vAlign w:val="center"/>
            <w:textDirection w:val="lrTb"/>
            <w:noWrap w:val="false"/>
          </w:tcPr>
          <w:p>
            <w:pPr>
              <w:ind w:firstLine="3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29</w:t>
            </w:r>
            <w:r>
              <w:rPr>
                <w:color w:val="000000"/>
                <w:sz w:val="18"/>
                <w:szCs w:val="18"/>
              </w:rPr>
            </w:r>
            <w:r>
              <w:rPr>
                <w:color w:val="000000"/>
                <w:sz w:val="18"/>
                <w:szCs w:val="18"/>
              </w:rPr>
            </w:r>
          </w:p>
        </w:tc>
        <w:tc>
          <w:tcPr>
            <w:shd w:val="clear" w:color="auto" w:fill="auto"/>
            <w:tcW w:w="5664" w:type="dxa"/>
            <w:vAlign w:val="center"/>
            <w:textDirection w:val="lrTb"/>
            <w:noWrap w:val="false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Уголок 35х35х400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с отверстием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tcW w:w="1275" w:type="dxa"/>
            <w:vAlign w:val="center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шт</w:t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</w:tc>
        <w:tc>
          <w:tcPr>
            <w:tcW w:w="70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color w:val="000000"/>
                <w:sz w:val="18"/>
                <w:szCs w:val="18"/>
              </w:rPr>
              <w:t xml:space="preserve">1</w:t>
            </w:r>
            <w:r/>
          </w:p>
        </w:tc>
        <w:tc>
          <w:tcPr>
            <w:tcW w:w="1986" w:type="dxa"/>
            <w:vAlign w:val="center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15"/>
        </w:trPr>
        <w:tc>
          <w:tcPr>
            <w:shd w:val="clear" w:color="auto" w:fill="auto"/>
            <w:tcW w:w="565" w:type="dxa"/>
            <w:vAlign w:val="center"/>
            <w:textDirection w:val="lrTb"/>
            <w:noWrap w:val="false"/>
          </w:tcPr>
          <w:p>
            <w:pPr>
              <w:ind w:firstLine="3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30</w:t>
            </w:r>
            <w:r>
              <w:rPr>
                <w:color w:val="000000"/>
                <w:sz w:val="18"/>
                <w:szCs w:val="18"/>
              </w:rPr>
            </w:r>
            <w:r>
              <w:rPr>
                <w:color w:val="000000"/>
                <w:sz w:val="18"/>
                <w:szCs w:val="18"/>
              </w:rPr>
            </w:r>
          </w:p>
        </w:tc>
        <w:tc>
          <w:tcPr>
            <w:shd w:val="clear" w:color="auto" w:fill="auto"/>
            <w:tcW w:w="5664" w:type="dxa"/>
            <w:vAlign w:val="center"/>
            <w:textDirection w:val="lrTb"/>
            <w:noWrap w:val="false"/>
          </w:tcPr>
          <w:p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Траверса дополнительная с хомутом 1,5</w:t>
            </w:r>
            <w:r>
              <w:rPr>
                <w:color w:val="000000"/>
                <w:sz w:val="18"/>
                <w:szCs w:val="18"/>
              </w:rPr>
            </w:r>
            <w:r>
              <w:rPr>
                <w:color w:val="000000"/>
                <w:sz w:val="18"/>
                <w:szCs w:val="18"/>
              </w:rPr>
            </w:r>
          </w:p>
        </w:tc>
        <w:tc>
          <w:tcPr>
            <w:tcW w:w="1275" w:type="dxa"/>
            <w:vAlign w:val="center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шт</w:t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</w:tc>
        <w:tc>
          <w:tcPr>
            <w:tcW w:w="70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color w:val="000000"/>
                <w:sz w:val="18"/>
                <w:szCs w:val="18"/>
              </w:rPr>
              <w:t xml:space="preserve">1</w:t>
            </w:r>
            <w:r/>
          </w:p>
        </w:tc>
        <w:tc>
          <w:tcPr>
            <w:tcW w:w="1986" w:type="dxa"/>
            <w:vAlign w:val="center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30"/>
        </w:trPr>
        <w:tc>
          <w:tcPr>
            <w:shd w:val="clear" w:color="auto" w:fill="auto"/>
            <w:tcW w:w="565" w:type="dxa"/>
            <w:vAlign w:val="center"/>
            <w:textDirection w:val="lrTb"/>
            <w:noWrap w:val="false"/>
          </w:tcPr>
          <w:p>
            <w:pPr>
              <w:ind w:firstLine="3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31</w:t>
            </w:r>
            <w:r>
              <w:rPr>
                <w:color w:val="000000"/>
                <w:sz w:val="18"/>
                <w:szCs w:val="18"/>
              </w:rPr>
            </w:r>
            <w:r>
              <w:rPr>
                <w:color w:val="000000"/>
                <w:sz w:val="18"/>
                <w:szCs w:val="18"/>
              </w:rPr>
            </w:r>
          </w:p>
        </w:tc>
        <w:tc>
          <w:tcPr>
            <w:shd w:val="clear" w:color="auto" w:fill="auto"/>
            <w:tcW w:w="5664" w:type="dxa"/>
            <w:vAlign w:val="center"/>
            <w:textDirection w:val="lrTb"/>
            <w:noWrap w:val="false"/>
          </w:tcPr>
          <w:p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Демпфер гашения вибрации</w:t>
            </w:r>
            <w:r>
              <w:rPr>
                <w:color w:val="000000"/>
                <w:sz w:val="18"/>
                <w:szCs w:val="18"/>
              </w:rPr>
            </w:r>
            <w:r>
              <w:rPr>
                <w:color w:val="000000"/>
                <w:sz w:val="18"/>
                <w:szCs w:val="18"/>
              </w:rPr>
            </w:r>
          </w:p>
        </w:tc>
        <w:tc>
          <w:tcPr>
            <w:tcW w:w="1275" w:type="dxa"/>
            <w:vAlign w:val="center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шт</w:t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</w:tc>
        <w:tc>
          <w:tcPr>
            <w:tcW w:w="70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color w:val="000000"/>
                <w:sz w:val="18"/>
                <w:szCs w:val="18"/>
              </w:rPr>
              <w:t xml:space="preserve">1</w:t>
            </w:r>
            <w:r/>
          </w:p>
        </w:tc>
        <w:tc>
          <w:tcPr>
            <w:tcW w:w="1986" w:type="dxa"/>
            <w:vAlign w:val="center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15"/>
        </w:trPr>
        <w:tc>
          <w:tcPr>
            <w:shd w:val="clear" w:color="auto" w:fill="auto"/>
            <w:tcW w:w="565" w:type="dxa"/>
            <w:vAlign w:val="center"/>
            <w:textDirection w:val="lrTb"/>
            <w:noWrap w:val="false"/>
          </w:tcPr>
          <w:p>
            <w:pPr>
              <w:ind w:firstLine="3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32</w:t>
            </w:r>
            <w:r>
              <w:rPr>
                <w:color w:val="000000"/>
                <w:sz w:val="18"/>
                <w:szCs w:val="18"/>
              </w:rPr>
            </w:r>
            <w:r>
              <w:rPr>
                <w:color w:val="000000"/>
                <w:sz w:val="18"/>
                <w:szCs w:val="18"/>
              </w:rPr>
            </w:r>
          </w:p>
        </w:tc>
        <w:tc>
          <w:tcPr>
            <w:shd w:val="clear" w:color="auto" w:fill="auto"/>
            <w:tcW w:w="5664" w:type="dxa"/>
            <w:vAlign w:val="center"/>
            <w:textDirection w:val="lrTb"/>
            <w:noWrap w:val="false"/>
          </w:tcPr>
          <w:p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Струбцина вильчатая (малая)</w:t>
            </w:r>
            <w:r>
              <w:rPr>
                <w:color w:val="000000"/>
                <w:sz w:val="18"/>
                <w:szCs w:val="18"/>
              </w:rPr>
            </w:r>
            <w:r>
              <w:rPr>
                <w:color w:val="000000"/>
                <w:sz w:val="18"/>
                <w:szCs w:val="18"/>
              </w:rPr>
            </w:r>
          </w:p>
        </w:tc>
        <w:tc>
          <w:tcPr>
            <w:tcW w:w="1275" w:type="dxa"/>
            <w:vAlign w:val="center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шт</w:t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</w:tc>
        <w:tc>
          <w:tcPr>
            <w:tcW w:w="70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color w:val="000000"/>
                <w:sz w:val="18"/>
                <w:szCs w:val="18"/>
              </w:rPr>
              <w:t xml:space="preserve">1</w:t>
            </w:r>
            <w:r/>
          </w:p>
        </w:tc>
        <w:tc>
          <w:tcPr>
            <w:tcW w:w="1986" w:type="dxa"/>
            <w:vAlign w:val="center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15"/>
        </w:trPr>
        <w:tc>
          <w:tcPr>
            <w:shd w:val="clear" w:color="auto" w:fill="auto"/>
            <w:tcW w:w="565" w:type="dxa"/>
            <w:vAlign w:val="center"/>
            <w:textDirection w:val="lrTb"/>
            <w:noWrap w:val="false"/>
          </w:tcPr>
          <w:p>
            <w:pPr>
              <w:ind w:firstLine="3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33</w:t>
            </w:r>
            <w:r>
              <w:rPr>
                <w:color w:val="000000"/>
                <w:sz w:val="18"/>
                <w:szCs w:val="18"/>
              </w:rPr>
            </w:r>
            <w:r>
              <w:rPr>
                <w:color w:val="000000"/>
                <w:sz w:val="18"/>
                <w:szCs w:val="18"/>
              </w:rPr>
            </w:r>
          </w:p>
        </w:tc>
        <w:tc>
          <w:tcPr>
            <w:shd w:val="clear" w:color="auto" w:fill="auto"/>
            <w:tcW w:w="5664" w:type="dxa"/>
            <w:vAlign w:val="center"/>
            <w:textDirection w:val="lrTb"/>
            <w:noWrap w:val="false"/>
          </w:tcPr>
          <w:p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Гайка М12</w:t>
            </w:r>
            <w:r>
              <w:rPr>
                <w:color w:val="000000"/>
                <w:sz w:val="18"/>
                <w:szCs w:val="18"/>
              </w:rPr>
            </w:r>
            <w:r>
              <w:rPr>
                <w:color w:val="000000"/>
                <w:sz w:val="18"/>
                <w:szCs w:val="18"/>
              </w:rPr>
            </w:r>
          </w:p>
        </w:tc>
        <w:tc>
          <w:tcPr>
            <w:tcW w:w="1275" w:type="dxa"/>
            <w:vAlign w:val="center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шт</w:t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</w:tc>
        <w:tc>
          <w:tcPr>
            <w:tcW w:w="70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color w:val="000000"/>
                <w:sz w:val="18"/>
                <w:szCs w:val="18"/>
              </w:rPr>
              <w:t xml:space="preserve">1</w:t>
            </w:r>
            <w:r/>
          </w:p>
        </w:tc>
        <w:tc>
          <w:tcPr>
            <w:tcW w:w="1986" w:type="dxa"/>
            <w:vAlign w:val="center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15"/>
        </w:trPr>
        <w:tc>
          <w:tcPr>
            <w:shd w:val="clear" w:color="auto" w:fill="auto"/>
            <w:tcW w:w="565" w:type="dxa"/>
            <w:vAlign w:val="center"/>
            <w:textDirection w:val="lrTb"/>
            <w:noWrap w:val="false"/>
          </w:tcPr>
          <w:p>
            <w:pPr>
              <w:ind w:firstLine="3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34</w:t>
            </w:r>
            <w:r>
              <w:rPr>
                <w:color w:val="000000"/>
                <w:sz w:val="18"/>
                <w:szCs w:val="18"/>
              </w:rPr>
            </w:r>
            <w:r>
              <w:rPr>
                <w:color w:val="000000"/>
                <w:sz w:val="18"/>
                <w:szCs w:val="18"/>
              </w:rPr>
            </w:r>
          </w:p>
        </w:tc>
        <w:tc>
          <w:tcPr>
            <w:shd w:val="clear" w:color="auto" w:fill="auto"/>
            <w:tcW w:w="5664" w:type="dxa"/>
            <w:vAlign w:val="center"/>
            <w:textDirection w:val="lrTb"/>
            <w:noWrap w:val="false"/>
          </w:tcPr>
          <w:p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Лапка для струбцины 135 гр.</w:t>
            </w:r>
            <w:r>
              <w:rPr>
                <w:color w:val="000000"/>
                <w:sz w:val="18"/>
                <w:szCs w:val="18"/>
              </w:rPr>
            </w:r>
            <w:r>
              <w:rPr>
                <w:color w:val="000000"/>
                <w:sz w:val="18"/>
                <w:szCs w:val="18"/>
              </w:rPr>
            </w:r>
          </w:p>
        </w:tc>
        <w:tc>
          <w:tcPr>
            <w:tcW w:w="1275" w:type="dxa"/>
            <w:vAlign w:val="center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шт</w:t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</w:tc>
        <w:tc>
          <w:tcPr>
            <w:tcW w:w="70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color w:val="000000"/>
                <w:sz w:val="18"/>
                <w:szCs w:val="18"/>
              </w:rPr>
              <w:t xml:space="preserve">1</w:t>
            </w:r>
            <w:r/>
          </w:p>
        </w:tc>
        <w:tc>
          <w:tcPr>
            <w:tcW w:w="1986" w:type="dxa"/>
            <w:vAlign w:val="center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15"/>
        </w:trPr>
        <w:tc>
          <w:tcPr>
            <w:shd w:val="clear" w:color="auto" w:fill="auto"/>
            <w:tcW w:w="565" w:type="dxa"/>
            <w:vAlign w:val="center"/>
            <w:textDirection w:val="lrTb"/>
            <w:noWrap w:val="false"/>
          </w:tcPr>
          <w:p>
            <w:pPr>
              <w:ind w:firstLine="3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35</w:t>
            </w:r>
            <w:r>
              <w:rPr>
                <w:color w:val="000000"/>
                <w:sz w:val="18"/>
                <w:szCs w:val="18"/>
              </w:rPr>
            </w:r>
            <w:r>
              <w:rPr>
                <w:color w:val="000000"/>
                <w:sz w:val="18"/>
                <w:szCs w:val="18"/>
              </w:rPr>
            </w:r>
          </w:p>
        </w:tc>
        <w:tc>
          <w:tcPr>
            <w:shd w:val="clear" w:color="auto" w:fill="auto"/>
            <w:tcW w:w="5664" w:type="dxa"/>
            <w:vAlign w:val="center"/>
            <w:textDirection w:val="lrTb"/>
            <w:noWrap w:val="false"/>
          </w:tcPr>
          <w:p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Хомут для тросовых выходов</w:t>
            </w:r>
            <w:r>
              <w:rPr>
                <w:color w:val="000000"/>
                <w:sz w:val="18"/>
                <w:szCs w:val="18"/>
              </w:rPr>
            </w:r>
            <w:r>
              <w:rPr>
                <w:color w:val="000000"/>
                <w:sz w:val="18"/>
                <w:szCs w:val="18"/>
              </w:rPr>
            </w:r>
          </w:p>
        </w:tc>
        <w:tc>
          <w:tcPr>
            <w:tcW w:w="1275" w:type="dxa"/>
            <w:vAlign w:val="center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шт</w:t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</w:tc>
        <w:tc>
          <w:tcPr>
            <w:tcW w:w="70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color w:val="000000"/>
                <w:sz w:val="18"/>
                <w:szCs w:val="18"/>
              </w:rPr>
              <w:t xml:space="preserve">1</w:t>
            </w:r>
            <w:r/>
          </w:p>
        </w:tc>
        <w:tc>
          <w:tcPr>
            <w:tcW w:w="1986" w:type="dxa"/>
            <w:vAlign w:val="center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15"/>
        </w:trPr>
        <w:tc>
          <w:tcPr>
            <w:shd w:val="clear" w:color="auto" w:fill="auto"/>
            <w:tcW w:w="565" w:type="dxa"/>
            <w:vAlign w:val="center"/>
            <w:textDirection w:val="lrTb"/>
            <w:noWrap w:val="false"/>
          </w:tcPr>
          <w:p>
            <w:pPr>
              <w:ind w:firstLine="3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36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auto"/>
            <w:tcW w:w="5664" w:type="dxa"/>
            <w:vAlign w:val="center"/>
            <w:textDirection w:val="lrTb"/>
            <w:noWrap w:val="false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Гайка М 16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tcW w:w="1275" w:type="dxa"/>
            <w:vAlign w:val="center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шт</w:t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</w:tc>
        <w:tc>
          <w:tcPr>
            <w:tcW w:w="70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color w:val="000000"/>
                <w:sz w:val="18"/>
                <w:szCs w:val="18"/>
              </w:rPr>
              <w:t xml:space="preserve">1</w:t>
            </w:r>
            <w:r/>
          </w:p>
        </w:tc>
        <w:tc>
          <w:tcPr>
            <w:tcW w:w="1986" w:type="dxa"/>
            <w:vAlign w:val="center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15"/>
        </w:trPr>
        <w:tc>
          <w:tcPr>
            <w:shd w:val="clear" w:color="auto" w:fill="auto"/>
            <w:tcW w:w="565" w:type="dxa"/>
            <w:vAlign w:val="center"/>
            <w:textDirection w:val="lrTb"/>
            <w:noWrap w:val="false"/>
          </w:tcPr>
          <w:p>
            <w:pPr>
              <w:ind w:firstLine="3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37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auto"/>
            <w:tcW w:w="5664" w:type="dxa"/>
            <w:vAlign w:val="center"/>
            <w:textDirection w:val="lrTb"/>
            <w:noWrap w:val="false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Гайка М 14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tcW w:w="1275" w:type="dxa"/>
            <w:vAlign w:val="center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шт</w:t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</w:tc>
        <w:tc>
          <w:tcPr>
            <w:tcW w:w="70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color w:val="000000"/>
                <w:sz w:val="18"/>
                <w:szCs w:val="18"/>
              </w:rPr>
              <w:t xml:space="preserve">1</w:t>
            </w:r>
            <w:r/>
          </w:p>
        </w:tc>
        <w:tc>
          <w:tcPr>
            <w:tcW w:w="1986" w:type="dxa"/>
            <w:vAlign w:val="center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15"/>
        </w:trPr>
        <w:tc>
          <w:tcPr>
            <w:shd w:val="clear" w:color="auto" w:fill="auto"/>
            <w:tcW w:w="565" w:type="dxa"/>
            <w:vAlign w:val="center"/>
            <w:textDirection w:val="lrTb"/>
            <w:noWrap w:val="false"/>
          </w:tcPr>
          <w:p>
            <w:pPr>
              <w:ind w:firstLine="3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38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auto"/>
            <w:tcW w:w="5664" w:type="dxa"/>
            <w:vAlign w:val="center"/>
            <w:textDirection w:val="lrTb"/>
            <w:noWrap w:val="false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Хомут к РС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tcW w:w="1275" w:type="dxa"/>
            <w:vAlign w:val="center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шт</w:t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</w:tc>
        <w:tc>
          <w:tcPr>
            <w:tcW w:w="70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color w:val="000000"/>
                <w:sz w:val="18"/>
                <w:szCs w:val="18"/>
              </w:rPr>
              <w:t xml:space="preserve">1</w:t>
            </w:r>
            <w:r/>
          </w:p>
        </w:tc>
        <w:tc>
          <w:tcPr>
            <w:tcW w:w="1986" w:type="dxa"/>
            <w:vAlign w:val="center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15"/>
        </w:trPr>
        <w:tc>
          <w:tcPr>
            <w:shd w:val="clear" w:color="auto" w:fill="auto"/>
            <w:tcW w:w="565" w:type="dxa"/>
            <w:vAlign w:val="center"/>
            <w:textDirection w:val="lrTb"/>
            <w:noWrap w:val="false"/>
          </w:tcPr>
          <w:p>
            <w:pPr>
              <w:ind w:firstLine="3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39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auto"/>
            <w:tcW w:w="5664" w:type="dxa"/>
            <w:vAlign w:val="center"/>
            <w:textDirection w:val="lrTb"/>
            <w:noWrap w:val="false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Скоба такелажная прямая 16мм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tcW w:w="1275" w:type="dxa"/>
            <w:textDirection w:val="lrTb"/>
            <w:noWrap w:val="false"/>
          </w:tcPr>
          <w:p>
            <w:pPr>
              <w:jc w:val="center"/>
            </w:pPr>
            <w:r>
              <w:rPr>
                <w:color w:val="000000"/>
                <w:sz w:val="20"/>
                <w:szCs w:val="20"/>
              </w:rPr>
              <w:t xml:space="preserve">шт</w:t>
            </w:r>
            <w:r/>
          </w:p>
        </w:tc>
        <w:tc>
          <w:tcPr>
            <w:tcW w:w="70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color w:val="000000"/>
                <w:sz w:val="18"/>
                <w:szCs w:val="18"/>
              </w:rPr>
              <w:t xml:space="preserve">1</w:t>
            </w:r>
            <w:r/>
          </w:p>
        </w:tc>
        <w:tc>
          <w:tcPr>
            <w:tcW w:w="1986" w:type="dxa"/>
            <w:vAlign w:val="center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15"/>
        </w:trPr>
        <w:tc>
          <w:tcPr>
            <w:shd w:val="clear" w:color="auto" w:fill="auto"/>
            <w:tcW w:w="565" w:type="dxa"/>
            <w:vAlign w:val="center"/>
            <w:textDirection w:val="lrTb"/>
            <w:noWrap w:val="false"/>
          </w:tcPr>
          <w:p>
            <w:pPr>
              <w:ind w:firstLine="3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40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auto"/>
            <w:tcW w:w="5664" w:type="dxa"/>
            <w:vAlign w:val="center"/>
            <w:textDirection w:val="lrTb"/>
            <w:noWrap w:val="false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Скоба U-образная, M12, 4"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tcW w:w="1275" w:type="dxa"/>
            <w:textDirection w:val="lrTb"/>
            <w:noWrap w:val="false"/>
          </w:tcPr>
          <w:p>
            <w:pPr>
              <w:jc w:val="center"/>
            </w:pPr>
            <w:r>
              <w:rPr>
                <w:color w:val="000000"/>
                <w:sz w:val="20"/>
                <w:szCs w:val="20"/>
              </w:rPr>
              <w:t xml:space="preserve">шт</w:t>
            </w:r>
            <w:r/>
          </w:p>
        </w:tc>
        <w:tc>
          <w:tcPr>
            <w:tcW w:w="70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color w:val="000000"/>
                <w:sz w:val="18"/>
                <w:szCs w:val="18"/>
              </w:rPr>
              <w:t xml:space="preserve">1</w:t>
            </w:r>
            <w:r/>
          </w:p>
        </w:tc>
        <w:tc>
          <w:tcPr>
            <w:tcW w:w="1986" w:type="dxa"/>
            <w:vAlign w:val="center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15"/>
        </w:trPr>
        <w:tc>
          <w:tcPr>
            <w:shd w:val="clear" w:color="auto" w:fill="auto"/>
            <w:tcW w:w="565" w:type="dxa"/>
            <w:vAlign w:val="center"/>
            <w:textDirection w:val="lrTb"/>
            <w:noWrap w:val="false"/>
          </w:tcPr>
          <w:p>
            <w:pPr>
              <w:ind w:firstLine="3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41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auto"/>
            <w:tcW w:w="5664" w:type="dxa"/>
            <w:vAlign w:val="center"/>
            <w:textDirection w:val="lrTb"/>
            <w:noWrap w:val="false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Пластина для U-образной скобы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tcW w:w="1275" w:type="dxa"/>
            <w:textDirection w:val="lrTb"/>
            <w:noWrap w:val="false"/>
          </w:tcPr>
          <w:p>
            <w:pPr>
              <w:jc w:val="center"/>
            </w:pPr>
            <w:r>
              <w:rPr>
                <w:color w:val="000000"/>
                <w:sz w:val="20"/>
                <w:szCs w:val="20"/>
              </w:rPr>
              <w:t xml:space="preserve">шт</w:t>
            </w:r>
            <w:r/>
          </w:p>
        </w:tc>
        <w:tc>
          <w:tcPr>
            <w:tcW w:w="70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color w:val="000000"/>
                <w:sz w:val="18"/>
                <w:szCs w:val="18"/>
              </w:rPr>
              <w:t xml:space="preserve">1</w:t>
            </w:r>
            <w:r/>
          </w:p>
        </w:tc>
        <w:tc>
          <w:tcPr>
            <w:tcW w:w="1986" w:type="dxa"/>
            <w:vAlign w:val="center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15"/>
        </w:trPr>
        <w:tc>
          <w:tcPr>
            <w:gridSpan w:val="4"/>
            <w:shd w:val="clear" w:color="auto" w:fill="auto"/>
            <w:tcW w:w="8210" w:type="dxa"/>
            <w:vAlign w:val="center"/>
            <w:textDirection w:val="lrTb"/>
            <w:noWrap w:val="false"/>
          </w:tcPr>
          <w:p>
            <w:pPr>
              <w:rPr>
                <w:color w:val="000000"/>
                <w:sz w:val="18"/>
                <w:szCs w:val="18"/>
              </w:rPr>
            </w:pPr>
            <w:r>
              <w:rPr>
                <w:b/>
              </w:rPr>
              <w:t xml:space="preserve">Итого сумма цен единиц товаров:</w:t>
            </w:r>
            <w:r>
              <w:rPr>
                <w:color w:val="000000"/>
                <w:sz w:val="18"/>
                <w:szCs w:val="18"/>
              </w:rPr>
            </w:r>
            <w:r>
              <w:rPr>
                <w:color w:val="000000"/>
                <w:sz w:val="18"/>
                <w:szCs w:val="18"/>
              </w:rPr>
            </w:r>
          </w:p>
        </w:tc>
        <w:tc>
          <w:tcPr>
            <w:tcW w:w="1986" w:type="dxa"/>
            <w:vAlign w:val="center"/>
            <w:textDirection w:val="lrTb"/>
            <w:noWrap w:val="false"/>
          </w:tcPr>
          <w:p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</w:tc>
      </w:tr>
    </w:tbl>
    <w:p>
      <w:pPr>
        <w:rPr>
          <w:sz w:val="22"/>
        </w:rPr>
      </w:pPr>
      <w:r>
        <w:rPr>
          <w:sz w:val="22"/>
        </w:rPr>
      </w:r>
      <w:r>
        <w:rPr>
          <w:sz w:val="22"/>
        </w:rPr>
      </w:r>
      <w:r>
        <w:rPr>
          <w:sz w:val="22"/>
        </w:rPr>
      </w:r>
    </w:p>
    <w:p>
      <w:pPr>
        <w:rPr>
          <w:sz w:val="22"/>
        </w:rPr>
        <w:sectPr>
          <w:footnotePr/>
          <w:endnotePr/>
          <w:type w:val="nextPage"/>
          <w:pgSz w:w="11907" w:h="16840" w:orient="portrait"/>
          <w:pgMar w:top="851" w:right="567" w:bottom="567" w:left="1134" w:header="720" w:footer="720" w:gutter="0"/>
          <w:cols w:num="1" w:sep="0" w:space="708" w:equalWidth="1"/>
          <w:docGrid w:linePitch="360"/>
          <w:titlePg/>
        </w:sectPr>
      </w:pPr>
      <w:r>
        <w:rPr>
          <w:sz w:val="22"/>
        </w:rPr>
      </w:r>
      <w:r>
        <w:rPr>
          <w:sz w:val="22"/>
        </w:rPr>
      </w:r>
      <w:r>
        <w:rPr>
          <w:sz w:val="22"/>
        </w:rPr>
      </w:r>
    </w:p>
    <w:p>
      <w:pPr>
        <w:pStyle w:val="813"/>
        <w:jc w:val="both"/>
        <w:keepLines w:val="0"/>
        <w:spacing w:before="240" w:after="120"/>
        <w:rPr>
          <w:rFonts w:ascii="Times New Roman" w:hAnsi="Times New Roman" w:eastAsia="MS Mincho"/>
          <w:color w:val="548dd4"/>
          <w:szCs w:val="24"/>
        </w:rPr>
      </w:pPr>
      <w:r/>
      <w:bookmarkStart w:id="246" w:name="_Форма_4_РЕКОМЕНДУЕМАЯ"/>
      <w:r/>
      <w:bookmarkStart w:id="247" w:name="_Toc23149542"/>
      <w:r/>
      <w:bookmarkStart w:id="248" w:name="_Toc54336129"/>
      <w:r/>
      <w:bookmarkStart w:id="249" w:name="_Toc190199565"/>
      <w:r/>
      <w:bookmarkStart w:id="250" w:name="_Ref313304436"/>
      <w:r/>
      <w:bookmarkStart w:id="251" w:name="_Toc314507388"/>
      <w:r/>
      <w:bookmarkStart w:id="252" w:name="_Toc322209429"/>
      <w:r/>
      <w:bookmarkEnd w:id="246"/>
      <w:r>
        <w:rPr>
          <w:rFonts w:ascii="Times New Roman" w:hAnsi="Times New Roman" w:eastAsia="MS Mincho"/>
          <w:color w:val="548dd4"/>
          <w:szCs w:val="24"/>
        </w:rPr>
        <w:t xml:space="preserve">Форма 4 РЕКОМЕНДУЕМАЯ ФОРМА ЗАПРОСА РАЗЪЯСНЕНИЙ ДОКУМЕНТАЦИИ О ЗАКУПКЕ</w:t>
      </w:r>
      <w:bookmarkEnd w:id="247"/>
      <w:r/>
      <w:bookmarkEnd w:id="248"/>
      <w:r/>
      <w:bookmarkEnd w:id="249"/>
      <w:r>
        <w:rPr>
          <w:rFonts w:ascii="Times New Roman" w:hAnsi="Times New Roman" w:eastAsia="MS Mincho"/>
          <w:color w:val="548dd4"/>
          <w:szCs w:val="24"/>
        </w:rPr>
      </w:r>
      <w:r>
        <w:rPr>
          <w:rFonts w:ascii="Times New Roman" w:hAnsi="Times New Roman" w:eastAsia="MS Mincho"/>
          <w:color w:val="548dd4"/>
          <w:szCs w:val="24"/>
        </w:rPr>
      </w:r>
    </w:p>
    <w:p>
      <w:r/>
      <w:r/>
    </w:p>
    <w:p>
      <w:pPr>
        <w:jc w:val="center"/>
      </w:pPr>
      <w:r>
        <w:t xml:space="preserve">РЕКОМЕНДУЕМАЯ ФОРМА ЗАПРОСА РАЗЪЯСНЕНИЙ ДОКУМЕНТАЦИИ</w:t>
      </w:r>
      <w:bookmarkEnd w:id="250"/>
      <w:r/>
      <w:bookmarkEnd w:id="251"/>
      <w:r/>
      <w:r/>
    </w:p>
    <w:p>
      <w:pPr>
        <w:jc w:val="center"/>
      </w:pPr>
      <w:r>
        <w:t xml:space="preserve">О ЗАКУПКЕ</w:t>
      </w:r>
      <w:bookmarkEnd w:id="252"/>
      <w:r/>
      <w:r/>
    </w:p>
    <w:p>
      <w:pPr>
        <w:pStyle w:val="982"/>
        <w:tabs>
          <w:tab w:val="clear" w:pos="4677" w:leader="none"/>
          <w:tab w:val="clear" w:pos="9355" w:leader="none"/>
        </w:tabs>
      </w:pPr>
      <w:r/>
      <w:r/>
    </w:p>
    <w:p>
      <w:pPr>
        <w:pStyle w:val="982"/>
        <w:jc w:val="both"/>
        <w:tabs>
          <w:tab w:val="clear" w:pos="4677" w:leader="none"/>
          <w:tab w:val="clear" w:pos="9355" w:leader="none"/>
        </w:tabs>
        <w:rPr>
          <w:i/>
        </w:rPr>
      </w:pPr>
      <w:r>
        <w:rPr>
          <w:i/>
          <w:color w:val="ff0000"/>
        </w:rPr>
        <w:t xml:space="preserve">(в запросе о даче разъяснений положений извещения и (или) положений документации, направляемые участниками, не допускается указание наименования участника или какой-либо иной информации, позволяющей идентифицировать участника).</w:t>
      </w:r>
      <w:r>
        <w:rPr>
          <w:i/>
        </w:rPr>
      </w:r>
      <w:r>
        <w:rPr>
          <w:i/>
        </w:rPr>
      </w:r>
    </w:p>
    <w:p>
      <w:pPr>
        <w:jc w:val="right"/>
      </w:pPr>
      <w:r/>
      <w:r/>
    </w:p>
    <w:p>
      <w:r/>
      <w:r/>
    </w:p>
    <w:p>
      <w:pPr>
        <w:jc w:val="center"/>
      </w:pPr>
      <w:r>
        <w:t xml:space="preserve">Уважаемый Заказчик!</w:t>
      </w:r>
      <w:r/>
    </w:p>
    <w:p>
      <w:pPr>
        <w:jc w:val="center"/>
      </w:pPr>
      <w:r>
        <w:t xml:space="preserve">Просим разъяснить следующие положения документации о проведении закупки в электронной форме на право заключения договора на _______________________________________________</w:t>
      </w:r>
      <w:r/>
    </w:p>
    <w:p>
      <w:pPr>
        <w:jc w:val="center"/>
      </w:pPr>
      <w:r>
        <w:t xml:space="preserve">(далее - документация о закупке):</w:t>
      </w:r>
      <w:r/>
    </w:p>
    <w:p>
      <w:r/>
      <w:r/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05"/>
        <w:gridCol w:w="1997"/>
        <w:gridCol w:w="2918"/>
        <w:gridCol w:w="4686"/>
      </w:tblGrid>
      <w:tr>
        <w:tblPrEx/>
        <w:trPr>
          <w:trHeight w:val="1390" w:hRule="exact"/>
        </w:trPr>
        <w:tc>
          <w:tcPr>
            <w:shd w:val="clear" w:color="auto" w:fill="ffffff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605" w:type="dxa"/>
            <w:vAlign w:val="center"/>
            <w:textDirection w:val="lrTb"/>
            <w:noWrap w:val="false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  <w:t xml:space="preserve">№ п/п</w:t>
            </w:r>
            <w:r>
              <w:rPr>
                <w:b/>
              </w:rPr>
            </w:r>
            <w:r>
              <w:rPr>
                <w:b/>
              </w:rPr>
            </w:r>
          </w:p>
        </w:tc>
        <w:tc>
          <w:tcPr>
            <w:shd w:val="clear" w:color="auto" w:fill="ffffff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1997" w:type="dxa"/>
            <w:vAlign w:val="center"/>
            <w:textDirection w:val="lrTb"/>
            <w:noWrap w:val="false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  <w:t xml:space="preserve">Раздел документации о закупке</w:t>
            </w:r>
            <w:r>
              <w:rPr>
                <w:b/>
              </w:rPr>
            </w:r>
            <w:r>
              <w:rPr>
                <w:b/>
              </w:rPr>
            </w:r>
          </w:p>
        </w:tc>
        <w:tc>
          <w:tcPr>
            <w:shd w:val="clear" w:color="auto" w:fill="ffffff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2918" w:type="dxa"/>
            <w:vAlign w:val="center"/>
            <w:textDirection w:val="lrTb"/>
            <w:noWrap w:val="false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  <w:t xml:space="preserve">Ссылка на пункт документации о закупке, положения которого следует разъяснить</w:t>
            </w:r>
            <w:r>
              <w:rPr>
                <w:b/>
              </w:rPr>
            </w:r>
            <w:r>
              <w:rPr>
                <w:b/>
              </w:rPr>
            </w:r>
          </w:p>
        </w:tc>
        <w:tc>
          <w:tcPr>
            <w:shd w:val="clear" w:color="auto" w:fill="ffffff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4686" w:type="dxa"/>
            <w:vAlign w:val="center"/>
            <w:textDirection w:val="lrTb"/>
            <w:noWrap w:val="false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  <w:t xml:space="preserve">Содержание запроса на разъяснение положений документации о закупке</w:t>
            </w:r>
            <w:r>
              <w:rPr>
                <w:b/>
              </w:rPr>
            </w:r>
            <w:r>
              <w:rPr>
                <w:b/>
              </w:rPr>
            </w:r>
          </w:p>
        </w:tc>
      </w:tr>
      <w:tr>
        <w:tblPrEx/>
        <w:trPr>
          <w:cantSplit/>
          <w:trHeight w:val="795"/>
        </w:trPr>
        <w:tc>
          <w:tcPr>
            <w:shd w:val="clear" w:color="auto" w:fill="ffffff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605" w:type="dxa"/>
            <w:vAlign w:val="center"/>
            <w:textDirection w:val="lrTb"/>
            <w:noWrap w:val="false"/>
          </w:tcPr>
          <w:p>
            <w:r>
              <w:t xml:space="preserve">1.</w:t>
            </w:r>
            <w:r/>
          </w:p>
        </w:tc>
        <w:tc>
          <w:tcPr>
            <w:shd w:val="clear" w:color="auto" w:fill="ffffff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1997" w:type="dxa"/>
            <w:vAlign w:val="center"/>
            <w:textDirection w:val="lrTb"/>
            <w:noWrap w:val="false"/>
          </w:tcPr>
          <w:p>
            <w:r/>
            <w:r/>
          </w:p>
        </w:tc>
        <w:tc>
          <w:tcPr>
            <w:shd w:val="clear" w:color="auto" w:fill="ffffff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2918" w:type="dxa"/>
            <w:vAlign w:val="center"/>
            <w:textDirection w:val="lrTb"/>
            <w:noWrap w:val="false"/>
          </w:tcPr>
          <w:p>
            <w:r/>
            <w:r/>
          </w:p>
        </w:tc>
        <w:tc>
          <w:tcPr>
            <w:shd w:val="clear" w:color="auto" w:fill="ffffff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4686" w:type="dxa"/>
            <w:vAlign w:val="center"/>
            <w:textDirection w:val="lrTb"/>
            <w:noWrap w:val="false"/>
          </w:tcPr>
          <w:p>
            <w:r/>
            <w:r/>
          </w:p>
        </w:tc>
      </w:tr>
      <w:tr>
        <w:tblPrEx/>
        <w:trPr>
          <w:cantSplit/>
          <w:trHeight w:val="810"/>
        </w:trPr>
        <w:tc>
          <w:tcPr>
            <w:shd w:val="clear" w:color="auto" w:fill="ffffff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tcW w:w="605" w:type="dxa"/>
            <w:vAlign w:val="center"/>
            <w:textDirection w:val="lrTb"/>
            <w:noWrap w:val="false"/>
          </w:tcPr>
          <w:p>
            <w:r>
              <w:t xml:space="preserve">2.</w:t>
            </w:r>
            <w:r/>
          </w:p>
        </w:tc>
        <w:tc>
          <w:tcPr>
            <w:shd w:val="clear" w:color="auto" w:fill="ffffff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1997" w:type="dxa"/>
            <w:vAlign w:val="center"/>
            <w:textDirection w:val="lrTb"/>
            <w:noWrap w:val="false"/>
          </w:tcPr>
          <w:p>
            <w:r/>
            <w:r/>
          </w:p>
        </w:tc>
        <w:tc>
          <w:tcPr>
            <w:shd w:val="clear" w:color="auto" w:fill="ffffff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2918" w:type="dxa"/>
            <w:vAlign w:val="center"/>
            <w:textDirection w:val="lrTb"/>
            <w:noWrap w:val="false"/>
          </w:tcPr>
          <w:p>
            <w:r/>
            <w:r/>
          </w:p>
        </w:tc>
        <w:tc>
          <w:tcPr>
            <w:shd w:val="clear" w:color="auto" w:fill="ffffff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4686" w:type="dxa"/>
            <w:vAlign w:val="center"/>
            <w:textDirection w:val="lrTb"/>
            <w:noWrap w:val="false"/>
          </w:tcPr>
          <w:p>
            <w:r/>
            <w:r/>
          </w:p>
        </w:tc>
      </w:tr>
    </w:tbl>
    <w:p>
      <w:r/>
      <w:r/>
    </w:p>
    <w:p>
      <w:r/>
      <w:r/>
    </w:p>
    <w:p>
      <w:pPr>
        <w:sectPr>
          <w:footnotePr/>
          <w:endnotePr/>
          <w:type w:val="nextPage"/>
          <w:pgSz w:w="11907" w:h="16840" w:orient="portrait"/>
          <w:pgMar w:top="851" w:right="567" w:bottom="567" w:left="1134" w:header="720" w:footer="720" w:gutter="0"/>
          <w:cols w:num="1" w:sep="0" w:space="708" w:equalWidth="1"/>
          <w:docGrid w:linePitch="360"/>
          <w:titlePg/>
        </w:sectPr>
      </w:pPr>
      <w:r/>
      <w:r/>
    </w:p>
    <w:p>
      <w:pPr>
        <w:rPr>
          <w:rFonts w:eastAsia="MS Mincho"/>
          <w:b/>
          <w:bCs/>
          <w:color w:val="0070c0"/>
          <w:sz w:val="28"/>
        </w:rPr>
      </w:pPr>
      <w:r/>
      <w:bookmarkStart w:id="253" w:name="_Форма_5_Справка"/>
      <w:r/>
      <w:bookmarkStart w:id="254" w:name="_Форма_5_ФОРМА"/>
      <w:r/>
      <w:bookmarkStart w:id="255" w:name="_Форма_6_Декларация"/>
      <w:r/>
      <w:bookmarkStart w:id="256" w:name="_Форма_5_Декларация"/>
      <w:r/>
      <w:bookmarkStart w:id="257" w:name="_Форма_7_План_1"/>
      <w:r/>
      <w:bookmarkStart w:id="258" w:name="_РАЗДЕЛ_IV._Техническое"/>
      <w:r/>
      <w:bookmarkStart w:id="259" w:name="_Toc23149544"/>
      <w:r/>
      <w:bookmarkEnd w:id="253"/>
      <w:r/>
      <w:bookmarkEnd w:id="254"/>
      <w:r/>
      <w:bookmarkEnd w:id="255"/>
      <w:r/>
      <w:bookmarkEnd w:id="256"/>
      <w:r/>
      <w:bookmarkEnd w:id="257"/>
      <w:r/>
      <w:bookmarkEnd w:id="258"/>
      <w:r>
        <w:rPr>
          <w:rFonts w:eastAsia="MS Mincho"/>
          <w:b/>
          <w:bCs/>
          <w:color w:val="0070c0"/>
          <w:sz w:val="28"/>
        </w:rPr>
        <w:t xml:space="preserve">Форма 5 </w:t>
      </w:r>
      <w:r>
        <w:rPr>
          <w:rFonts w:eastAsia="MS Mincho"/>
          <w:b/>
          <w:bCs/>
          <w:color w:val="0070c0"/>
          <w:sz w:val="28"/>
        </w:rPr>
        <w:t xml:space="preserve">ПРЕДЛОЖЕНИЕ О СРОКЕ ПОСТАВКИ </w:t>
      </w:r>
      <w:r>
        <w:rPr>
          <w:rFonts w:eastAsia="MS Mincho"/>
          <w:b/>
          <w:bCs/>
          <w:color w:val="0070c0"/>
          <w:sz w:val="28"/>
        </w:rPr>
        <w:t xml:space="preserve">ПАРТИИ </w:t>
      </w:r>
      <w:r>
        <w:rPr>
          <w:rFonts w:eastAsia="MS Mincho"/>
          <w:b/>
          <w:bCs/>
          <w:color w:val="0070c0"/>
          <w:sz w:val="28"/>
        </w:rPr>
        <w:t xml:space="preserve">ТОВАРА</w:t>
      </w:r>
      <w:r>
        <w:rPr>
          <w:rFonts w:eastAsia="MS Mincho"/>
          <w:b/>
          <w:bCs/>
          <w:color w:val="0070c0"/>
          <w:sz w:val="28"/>
        </w:rPr>
      </w:r>
      <w:r>
        <w:rPr>
          <w:rFonts w:eastAsia="MS Mincho"/>
          <w:b/>
          <w:bCs/>
          <w:color w:val="0070c0"/>
          <w:sz w:val="28"/>
        </w:rPr>
      </w:r>
    </w:p>
    <w:p>
      <w:pPr>
        <w:rPr>
          <w:i/>
          <w:color w:val="ff0000"/>
        </w:rPr>
      </w:pPr>
      <w:r>
        <w:rPr>
          <w:i/>
          <w:color w:val="ff0000"/>
        </w:rPr>
      </w:r>
      <w:r>
        <w:rPr>
          <w:i/>
          <w:color w:val="ff0000"/>
        </w:rPr>
      </w:r>
      <w:r>
        <w:rPr>
          <w:i/>
          <w:color w:val="ff0000"/>
        </w:rPr>
      </w:r>
    </w:p>
    <w:p>
      <w:pPr>
        <w:jc w:val="center"/>
        <w:spacing w:after="160" w:line="259" w:lineRule="auto"/>
        <w:rPr>
          <w:rFonts w:eastAsiaTheme="minorHAnsi"/>
          <w:b/>
          <w:lang w:eastAsia="en-US"/>
        </w:rPr>
      </w:pPr>
      <w:r/>
      <w:bookmarkStart w:id="260" w:name="_Toc54336131"/>
      <w:r/>
      <w:bookmarkStart w:id="261" w:name="_Toc190199566"/>
      <w:r>
        <w:rPr>
          <w:rFonts w:eastAsiaTheme="minorHAnsi"/>
          <w:b/>
          <w:lang w:eastAsia="en-US"/>
        </w:rPr>
        <w:t xml:space="preserve">ПРЕДЛОЖЕНИЕ О СРОКЕ ПОСТАВКИ ПАРТИИ ТОВАРА</w:t>
      </w:r>
      <w:r>
        <w:rPr>
          <w:rFonts w:eastAsiaTheme="minorHAnsi"/>
          <w:b/>
          <w:lang w:eastAsia="en-US"/>
        </w:rPr>
      </w:r>
      <w:r>
        <w:rPr>
          <w:rFonts w:eastAsiaTheme="minorHAnsi"/>
          <w:b/>
          <w:lang w:eastAsia="en-US"/>
        </w:rPr>
      </w:r>
    </w:p>
    <w:p>
      <w:pPr>
        <w:jc w:val="center"/>
        <w:rPr>
          <w:rFonts w:eastAsiaTheme="minorHAnsi"/>
          <w:b/>
          <w:lang w:eastAsia="en-US"/>
        </w:rPr>
      </w:pPr>
      <w:r>
        <w:rPr>
          <w:rFonts w:eastAsiaTheme="minorHAnsi"/>
          <w:b/>
          <w:lang w:eastAsia="en-US"/>
        </w:rPr>
      </w:r>
      <w:r>
        <w:rPr>
          <w:rFonts w:eastAsiaTheme="minorHAnsi"/>
          <w:b/>
          <w:lang w:eastAsia="en-US"/>
        </w:rPr>
      </w:r>
      <w:r>
        <w:rPr>
          <w:rFonts w:eastAsiaTheme="minorHAnsi"/>
          <w:b/>
          <w:lang w:eastAsia="en-US"/>
        </w:rPr>
      </w:r>
    </w:p>
    <w:p>
      <w:pPr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Изучив документацию по проведению конкурса в электронной форме на </w:t>
      </w:r>
      <w:r>
        <w:rPr>
          <w:rFonts w:eastAsiaTheme="minorHAnsi"/>
          <w:lang w:eastAsia="en-US"/>
        </w:rPr>
        <w:t xml:space="preserve">____________________________________________________________________________________</w:t>
      </w:r>
      <w:r>
        <w:rPr>
          <w:rFonts w:eastAsiaTheme="minorHAnsi"/>
          <w:lang w:eastAsia="en-US"/>
        </w:rPr>
        <w:t xml:space="preserve">,</w:t>
      </w:r>
      <w:r>
        <w:rPr>
          <w:rFonts w:eastAsiaTheme="minorHAnsi"/>
          <w:lang w:eastAsia="en-US"/>
        </w:rPr>
      </w:r>
      <w:r>
        <w:rPr>
          <w:rFonts w:eastAsiaTheme="minorHAnsi"/>
          <w:lang w:eastAsia="en-US"/>
        </w:rPr>
      </w:r>
    </w:p>
    <w:p>
      <w:pPr>
        <w:jc w:val="center"/>
        <w:rPr>
          <w:rFonts w:eastAsiaTheme="minorHAnsi"/>
          <w:i/>
          <w:vertAlign w:val="superscript"/>
          <w:lang w:eastAsia="en-US"/>
        </w:rPr>
      </w:pPr>
      <w:r>
        <w:rPr>
          <w:rFonts w:eastAsiaTheme="minorHAnsi"/>
          <w:i/>
          <w:vertAlign w:val="superscript"/>
          <w:lang w:eastAsia="en-US"/>
        </w:rPr>
        <w:t xml:space="preserve">(указывается наименование закупки)</w:t>
      </w:r>
      <w:r>
        <w:rPr>
          <w:rFonts w:eastAsiaTheme="minorHAnsi"/>
          <w:i/>
          <w:vertAlign w:val="superscript"/>
          <w:lang w:eastAsia="en-US"/>
        </w:rPr>
      </w:r>
      <w:r>
        <w:rPr>
          <w:rFonts w:eastAsiaTheme="minorHAnsi"/>
          <w:i/>
          <w:vertAlign w:val="superscript"/>
          <w:lang w:eastAsia="en-US"/>
        </w:rPr>
      </w:r>
    </w:p>
    <w:p>
      <w:pPr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размещенную на ЭП, предлагает поставить товар для нужд</w:t>
      </w:r>
      <w:r>
        <w:rPr>
          <w:rFonts w:eastAsiaTheme="minorHAnsi"/>
          <w:lang w:eastAsia="en-US"/>
        </w:rPr>
        <w:t xml:space="preserve"> </w:t>
      </w:r>
      <w:r>
        <w:rPr>
          <w:rFonts w:eastAsiaTheme="minorHAnsi"/>
          <w:lang w:eastAsia="en-US"/>
        </w:rPr>
        <w:t xml:space="preserve">АО «РСВО</w:t>
      </w:r>
      <w:r>
        <w:rPr>
          <w:rFonts w:eastAsiaTheme="minorHAnsi"/>
          <w:lang w:eastAsia="en-US"/>
        </w:rPr>
        <w:t xml:space="preserve">» в срок ____</w:t>
      </w:r>
      <w:r>
        <w:rPr>
          <w:rFonts w:eastAsiaTheme="minorHAnsi"/>
          <w:lang w:eastAsia="en-US"/>
        </w:rPr>
        <w:t xml:space="preserve">_____</w:t>
      </w:r>
      <w:r>
        <w:rPr>
          <w:rFonts w:eastAsiaTheme="minorHAnsi"/>
          <w:lang w:eastAsia="en-US"/>
        </w:rPr>
        <w:t xml:space="preserve">______ (________________________)</w:t>
      </w:r>
      <w:r>
        <w:rPr>
          <w:rFonts w:eastAsiaTheme="minorHAnsi"/>
          <w:vertAlign w:val="superscript"/>
          <w:lang w:eastAsia="en-US"/>
        </w:rPr>
        <w:footnoteReference w:id="3"/>
      </w:r>
      <w:r>
        <w:rPr>
          <w:rFonts w:eastAsiaTheme="minorHAnsi"/>
          <w:lang w:eastAsia="en-US"/>
        </w:rPr>
        <w:t xml:space="preserve"> </w:t>
      </w:r>
      <w:r>
        <w:rPr>
          <w:rFonts w:eastAsiaTheme="minorEastAsia"/>
          <w:color w:val="000000" w:themeColor="text1"/>
          <w:lang w:eastAsia="en-US"/>
        </w:rPr>
        <w:t xml:space="preserve">календарных</w:t>
      </w:r>
      <w:r>
        <w:rPr>
          <w:rFonts w:eastAsiaTheme="minorEastAsia"/>
          <w:color w:val="000000" w:themeColor="text1"/>
          <w:lang w:eastAsia="en-US"/>
        </w:rPr>
        <w:t xml:space="preserve"> дней с даты </w:t>
      </w:r>
      <w:r>
        <w:rPr>
          <w:rFonts w:eastAsiaTheme="minorEastAsia"/>
          <w:color w:val="000000" w:themeColor="text1"/>
          <w:lang w:eastAsia="en-US"/>
        </w:rPr>
        <w:t xml:space="preserve">подписания сторонами </w:t>
      </w:r>
      <w:r>
        <w:rPr>
          <w:rFonts w:eastAsiaTheme="minorEastAsia"/>
          <w:color w:val="000000" w:themeColor="text1"/>
          <w:lang w:eastAsia="en-US"/>
        </w:rPr>
        <w:t xml:space="preserve">Заявки на поставку партии товара</w:t>
      </w:r>
      <w:r>
        <w:rPr>
          <w:rFonts w:eastAsiaTheme="minorEastAsia"/>
          <w:color w:val="000000" w:themeColor="text1"/>
          <w:lang w:eastAsia="en-US"/>
        </w:rPr>
        <w:t xml:space="preserve">.</w:t>
      </w:r>
      <w:r>
        <w:rPr>
          <w:rFonts w:eastAsiaTheme="minorEastAsia"/>
          <w:color w:val="000000" w:themeColor="text1"/>
          <w:lang w:eastAsia="en-US"/>
        </w:rPr>
        <w:t xml:space="preserve"> </w:t>
      </w:r>
      <w:r>
        <w:rPr>
          <w:rFonts w:eastAsiaTheme="minorHAnsi"/>
          <w:lang w:eastAsia="en-US"/>
        </w:rPr>
      </w:r>
      <w:r>
        <w:rPr>
          <w:rFonts w:eastAsiaTheme="minorHAnsi"/>
          <w:lang w:eastAsia="en-US"/>
        </w:rPr>
      </w:r>
    </w:p>
    <w:p>
      <w:pPr>
        <w:rPr>
          <w:rFonts w:eastAsia="MS Mincho"/>
          <w:b/>
          <w:bCs/>
          <w:color w:val="17365d"/>
          <w:sz w:val="28"/>
        </w:rPr>
      </w:pPr>
      <w:r>
        <w:rPr>
          <w:rFonts w:eastAsia="MS Mincho"/>
          <w:color w:val="17365d"/>
        </w:rPr>
        <w:br w:type="page" w:clear="all"/>
      </w:r>
      <w:r>
        <w:rPr>
          <w:rFonts w:eastAsia="MS Mincho"/>
          <w:b/>
          <w:bCs/>
          <w:color w:val="17365d"/>
          <w:sz w:val="28"/>
        </w:rPr>
      </w:r>
      <w:r>
        <w:rPr>
          <w:rFonts w:eastAsia="MS Mincho"/>
          <w:b/>
          <w:bCs/>
          <w:color w:val="17365d"/>
          <w:sz w:val="28"/>
        </w:rPr>
      </w:r>
    </w:p>
    <w:p>
      <w:pPr>
        <w:pStyle w:val="813"/>
        <w:ind w:left="792" w:hanging="360"/>
        <w:jc w:val="both"/>
        <w:keepLines w:val="0"/>
        <w:spacing w:before="240" w:after="120"/>
        <w:tabs>
          <w:tab w:val="left" w:pos="6424" w:leader="none"/>
        </w:tabs>
        <w:rPr>
          <w:rFonts w:ascii="Times New Roman" w:hAnsi="Times New Roman" w:eastAsia="MS Mincho"/>
          <w:color w:val="17365d"/>
          <w:szCs w:val="24"/>
        </w:rPr>
      </w:pPr>
      <w:r>
        <w:rPr>
          <w:rFonts w:ascii="Times New Roman" w:hAnsi="Times New Roman" w:eastAsia="MS Mincho"/>
          <w:color w:val="17365d"/>
          <w:szCs w:val="24"/>
        </w:rPr>
        <w:t xml:space="preserve">РАЗДЕЛ IV. </w:t>
      </w:r>
      <w:bookmarkEnd w:id="259"/>
      <w:r>
        <w:rPr>
          <w:rFonts w:ascii="Times New Roman" w:hAnsi="Times New Roman" w:eastAsia="MS Mincho"/>
          <w:color w:val="17365d"/>
          <w:szCs w:val="24"/>
        </w:rPr>
        <w:t xml:space="preserve">ТЕХНИЧЕСКОЕ ЗАДАНИЕ</w:t>
      </w:r>
      <w:bookmarkEnd w:id="260"/>
      <w:r/>
      <w:bookmarkEnd w:id="261"/>
      <w:r>
        <w:rPr>
          <w:rFonts w:ascii="Times New Roman" w:hAnsi="Times New Roman" w:eastAsia="MS Mincho"/>
          <w:color w:val="17365d"/>
          <w:szCs w:val="24"/>
        </w:rPr>
      </w:r>
      <w:r>
        <w:rPr>
          <w:rFonts w:ascii="Times New Roman" w:hAnsi="Times New Roman" w:eastAsia="MS Mincho"/>
          <w:color w:val="17365d"/>
          <w:szCs w:val="24"/>
        </w:rPr>
      </w:r>
    </w:p>
    <w:p>
      <w:pPr>
        <w:pStyle w:val="982"/>
        <w:tabs>
          <w:tab w:val="clear" w:pos="4677" w:leader="none"/>
          <w:tab w:val="clear" w:pos="9355" w:leader="none"/>
        </w:tabs>
        <w:rPr>
          <w:rFonts w:eastAsia="MS Mincho"/>
          <w:color w:val="17365d"/>
          <w:sz w:val="2"/>
          <w:szCs w:val="2"/>
        </w:rPr>
      </w:pPr>
      <w:r/>
      <w:bookmarkStart w:id="262" w:name="_РАЗДЕЛ_V._ПРОЕКТ"/>
      <w:r/>
      <w:bookmarkStart w:id="263" w:name="_Toc23149545"/>
      <w:r/>
      <w:bookmarkStart w:id="264" w:name="_Toc54336132"/>
      <w:r/>
      <w:bookmarkEnd w:id="262"/>
      <w:r>
        <w:rPr>
          <w:rFonts w:eastAsia="MS Mincho"/>
          <w:color w:val="17365d"/>
          <w:sz w:val="2"/>
          <w:szCs w:val="2"/>
        </w:rPr>
      </w:r>
      <w:r>
        <w:rPr>
          <w:rFonts w:eastAsia="MS Mincho"/>
          <w:color w:val="17365d"/>
          <w:sz w:val="2"/>
          <w:szCs w:val="2"/>
        </w:rPr>
      </w:r>
    </w:p>
    <w:p>
      <w:pPr>
        <w:pStyle w:val="813"/>
        <w:ind w:left="792" w:hanging="360"/>
        <w:jc w:val="both"/>
        <w:keepLines w:val="0"/>
        <w:spacing w:before="240" w:after="120"/>
        <w:tabs>
          <w:tab w:val="left" w:pos="6424" w:leader="none"/>
        </w:tabs>
        <w:rPr>
          <w:rFonts w:ascii="Times New Roman" w:hAnsi="Times New Roman" w:eastAsia="MS Mincho"/>
          <w:color w:val="17365d"/>
          <w:szCs w:val="24"/>
        </w:rPr>
      </w:pPr>
      <w:r/>
      <w:bookmarkStart w:id="265" w:name="_РАЗДЕЛ_V._ПРОЕКТ_1"/>
      <w:r/>
      <w:bookmarkStart w:id="266" w:name="_Toc190199567"/>
      <w:r/>
      <w:bookmarkEnd w:id="265"/>
      <w:r>
        <w:rPr>
          <w:rFonts w:ascii="Times New Roman" w:hAnsi="Times New Roman" w:eastAsia="MS Mincho"/>
          <w:color w:val="17365d"/>
          <w:szCs w:val="24"/>
        </w:rPr>
        <w:t xml:space="preserve">РАЗДЕЛ V. </w:t>
      </w:r>
      <w:bookmarkEnd w:id="263"/>
      <w:r>
        <w:rPr>
          <w:rFonts w:ascii="Times New Roman" w:hAnsi="Times New Roman" w:eastAsia="MS Mincho"/>
          <w:color w:val="17365d"/>
          <w:szCs w:val="24"/>
        </w:rPr>
        <w:t xml:space="preserve">ПРОЕКТ ДОГОВОРА</w:t>
      </w:r>
      <w:bookmarkStart w:id="267" w:name="_РАЗДЕЛ_VI._КРИТЕРИИ"/>
      <w:r/>
      <w:bookmarkStart w:id="268" w:name="_РАЗДЕЛ_VI._КРИТЕРИИ_1"/>
      <w:r/>
      <w:bookmarkStart w:id="269" w:name="_Toc54336133"/>
      <w:r/>
      <w:bookmarkStart w:id="270" w:name="_Toc190199568"/>
      <w:r/>
      <w:bookmarkStart w:id="271" w:name="_Toc381613567"/>
      <w:r/>
      <w:bookmarkEnd w:id="264"/>
      <w:r/>
      <w:bookmarkEnd w:id="266"/>
      <w:r/>
      <w:bookmarkEnd w:id="267"/>
      <w:r/>
      <w:bookmarkEnd w:id="268"/>
      <w:r>
        <w:rPr>
          <w:rFonts w:ascii="Times New Roman" w:hAnsi="Times New Roman" w:eastAsia="MS Mincho"/>
          <w:color w:val="17365d"/>
          <w:szCs w:val="24"/>
        </w:rPr>
      </w:r>
      <w:r>
        <w:rPr>
          <w:rFonts w:ascii="Times New Roman" w:hAnsi="Times New Roman" w:eastAsia="MS Mincho"/>
          <w:color w:val="17365d"/>
          <w:szCs w:val="24"/>
        </w:rPr>
      </w:r>
    </w:p>
    <w:p>
      <w:pPr>
        <w:pStyle w:val="813"/>
        <w:ind w:left="792" w:hanging="360"/>
        <w:jc w:val="both"/>
        <w:keepLines w:val="0"/>
        <w:spacing w:before="240" w:after="120"/>
        <w:tabs>
          <w:tab w:val="left" w:pos="6424" w:leader="none"/>
        </w:tabs>
        <w:rPr>
          <w:rFonts w:ascii="Times New Roman" w:hAnsi="Times New Roman" w:eastAsia="MS Mincho"/>
          <w:color w:val="17365d"/>
          <w:szCs w:val="24"/>
        </w:rPr>
      </w:pPr>
      <w:r/>
      <w:bookmarkStart w:id="272" w:name="_РАЗДЕЛ_VI._КРИТЕРИИ_2"/>
      <w:r/>
      <w:bookmarkEnd w:id="272"/>
      <w:r>
        <w:rPr>
          <w:rFonts w:ascii="Times New Roman" w:hAnsi="Times New Roman" w:eastAsia="MS Mincho"/>
          <w:color w:val="17365d"/>
          <w:szCs w:val="24"/>
        </w:rPr>
        <w:t xml:space="preserve">РАЗДЕЛ V</w:t>
      </w:r>
      <w:r>
        <w:rPr>
          <w:rFonts w:ascii="Times New Roman" w:hAnsi="Times New Roman" w:eastAsia="MS Mincho"/>
          <w:color w:val="17365d"/>
          <w:szCs w:val="24"/>
          <w:lang w:val="en-US"/>
        </w:rPr>
        <w:t xml:space="preserve">I</w:t>
      </w:r>
      <w:r>
        <w:rPr>
          <w:rFonts w:ascii="Times New Roman" w:hAnsi="Times New Roman" w:eastAsia="MS Mincho"/>
          <w:color w:val="17365d"/>
          <w:szCs w:val="24"/>
        </w:rPr>
        <w:t xml:space="preserve">. КРИТЕРИИ И ПОРЯДОК ОЦЕНКИ ЗАЯВОК</w:t>
      </w:r>
      <w:bookmarkEnd w:id="269"/>
      <w:r/>
      <w:bookmarkEnd w:id="270"/>
      <w:r>
        <w:rPr>
          <w:rFonts w:ascii="Times New Roman" w:hAnsi="Times New Roman" w:eastAsia="MS Mincho"/>
          <w:color w:val="17365d"/>
          <w:szCs w:val="24"/>
        </w:rPr>
      </w:r>
      <w:r>
        <w:rPr>
          <w:rFonts w:ascii="Times New Roman" w:hAnsi="Times New Roman" w:eastAsia="MS Mincho"/>
          <w:color w:val="17365d"/>
          <w:szCs w:val="24"/>
        </w:rPr>
      </w:r>
    </w:p>
    <w:p>
      <w:pPr>
        <w:pStyle w:val="813"/>
        <w:ind w:left="792" w:hanging="360"/>
        <w:jc w:val="both"/>
        <w:keepLines w:val="0"/>
        <w:spacing w:before="240" w:after="120"/>
        <w:tabs>
          <w:tab w:val="left" w:pos="6424" w:leader="none"/>
        </w:tabs>
        <w:rPr>
          <w:rFonts w:ascii="Times New Roman" w:hAnsi="Times New Roman" w:eastAsia="MS Mincho"/>
          <w:color w:val="17365d"/>
          <w:szCs w:val="24"/>
        </w:rPr>
      </w:pPr>
      <w:r/>
      <w:bookmarkStart w:id="273" w:name="_РАЗДЕЛ_VII._РАСЧЕТ"/>
      <w:r/>
      <w:bookmarkEnd w:id="273"/>
      <w:r>
        <w:rPr>
          <w:rFonts w:ascii="Times New Roman" w:hAnsi="Times New Roman" w:eastAsia="MS Mincho"/>
          <w:color w:val="17365d"/>
          <w:szCs w:val="24"/>
        </w:rPr>
        <w:t xml:space="preserve">РАЗДЕЛ VI</w:t>
      </w:r>
      <w:r>
        <w:rPr>
          <w:rFonts w:ascii="Times New Roman" w:hAnsi="Times New Roman" w:eastAsia="MS Mincho"/>
          <w:color w:val="17365d"/>
          <w:szCs w:val="24"/>
          <w:lang w:val="en-US"/>
        </w:rPr>
        <w:t xml:space="preserve">I</w:t>
      </w:r>
      <w:r>
        <w:rPr>
          <w:rFonts w:ascii="Times New Roman" w:hAnsi="Times New Roman" w:eastAsia="MS Mincho"/>
          <w:color w:val="17365d"/>
          <w:szCs w:val="24"/>
        </w:rPr>
        <w:t xml:space="preserve">. </w:t>
      </w:r>
      <w:bookmarkEnd w:id="271"/>
      <w:r>
        <w:rPr>
          <w:rFonts w:ascii="Times New Roman" w:hAnsi="Times New Roman" w:eastAsia="MS Mincho"/>
          <w:color w:val="17365d"/>
          <w:szCs w:val="24"/>
          <w:lang w:bidi="ru-RU"/>
        </w:rPr>
        <w:t xml:space="preserve">РАСЧЕТ (ОБОСНОВАНИЕ) НМЦ</w:t>
      </w:r>
      <w:r>
        <w:rPr>
          <w:rFonts w:ascii="Times New Roman" w:hAnsi="Times New Roman" w:eastAsia="MS Mincho"/>
          <w:color w:val="17365d"/>
          <w:szCs w:val="24"/>
        </w:rPr>
      </w:r>
      <w:r>
        <w:rPr>
          <w:rFonts w:ascii="Times New Roman" w:hAnsi="Times New Roman" w:eastAsia="MS Mincho"/>
          <w:color w:val="17365d"/>
          <w:szCs w:val="24"/>
        </w:rPr>
      </w:r>
    </w:p>
    <w:sectPr>
      <w:headerReference w:type="default" r:id="rId11"/>
      <w:footnotePr/>
      <w:endnotePr/>
      <w:type w:val="nextPage"/>
      <w:pgSz w:w="11907" w:h="16840" w:orient="portrait"/>
      <w:pgMar w:top="851" w:right="567" w:bottom="567" w:left="1134" w:header="720" w:footer="720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MS Gothic">
    <w:panose1 w:val="020B0606040504090204"/>
  </w:font>
  <w:font w:name="Wingdings">
    <w:panose1 w:val="05010000000000000000"/>
  </w:font>
  <w:font w:name="Symbol">
    <w:panose1 w:val="05010000000000000000"/>
  </w:font>
  <w:font w:name="Arial (WT)">
    <w:panose1 w:val="020B0604020202020204"/>
  </w:font>
  <w:font w:name="Courier New">
    <w:panose1 w:val="02070309020205020404"/>
  </w:font>
  <w:font w:name="MS Mincho">
    <w:panose1 w:val="02020606060505090204"/>
  </w:font>
  <w:font w:name="Tahoma">
    <w:panose1 w:val="020B0604030504040204"/>
  </w:font>
  <w:font w:name="Arial">
    <w:panose1 w:val="020B0604020202020204"/>
  </w:font>
  <w:font w:name="Cambria">
    <w:panose1 w:val="02040503050406030204"/>
  </w:font>
  <w:font w:name="Calibri">
    <w:panose1 w:val="020F0502020204030204"/>
  </w:font>
  <w:font w:name="Times New Roman">
    <w:panose1 w:val="020206030504050203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  <w:footnote w:id="2">
    <w:p>
      <w:pPr>
        <w:pStyle w:val="1006"/>
        <w:ind w:firstLine="284"/>
        <w:jc w:val="both"/>
      </w:pPr>
      <w:r>
        <w:rPr>
          <w:rStyle w:val="1008"/>
        </w:rPr>
        <w:footnoteRef/>
      </w:r>
      <w:r>
        <w:t xml:space="preserve"> </w:t>
      </w:r>
      <w:r>
        <w:rPr>
          <w:color w:val="1f497d"/>
        </w:rPr>
        <w:t xml:space="preserve">В случае отсутствия зарегистрированного товарного знака в Государственном реестре товарных знаков РФ, необходимо указать «товарный знак отсутствует».</w:t>
      </w:r>
      <w:r/>
    </w:p>
  </w:footnote>
  <w:footnote w:id="3">
    <w:p>
      <w:pPr>
        <w:pStyle w:val="1006"/>
        <w:jc w:val="both"/>
      </w:pPr>
      <w:r>
        <w:rPr>
          <w:rStyle w:val="1008"/>
        </w:rPr>
        <w:footnoteRef/>
      </w:r>
      <w:r>
        <w:t xml:space="preserve"> </w:t>
      </w:r>
      <w:r>
        <w:rPr>
          <w:szCs w:val="24"/>
        </w:rPr>
        <w:t xml:space="preserve">Срок поставки товара не может превышать </w:t>
      </w:r>
      <w:r>
        <w:rPr>
          <w:szCs w:val="24"/>
        </w:rPr>
        <w:t xml:space="preserve">8</w:t>
      </w:r>
      <w:r>
        <w:rPr>
          <w:szCs w:val="24"/>
        </w:rPr>
        <w:t xml:space="preserve">0 (</w:t>
      </w:r>
      <w:r>
        <w:rPr>
          <w:szCs w:val="24"/>
        </w:rPr>
        <w:t xml:space="preserve">Восем</w:t>
      </w:r>
      <w:r>
        <w:rPr>
          <w:szCs w:val="24"/>
        </w:rPr>
        <w:t xml:space="preserve">ьдесят</w:t>
      </w:r>
      <w:r>
        <w:rPr>
          <w:szCs w:val="24"/>
        </w:rPr>
        <w:t xml:space="preserve">) календарных дней </w:t>
      </w:r>
      <w:r>
        <w:rPr>
          <w:szCs w:val="24"/>
        </w:rPr>
        <w:t xml:space="preserve">с даты подписания сторонами Заявки на поставку партии товара</w:t>
      </w:r>
      <w:r>
        <w:rPr>
          <w:rFonts w:eastAsiaTheme="minorEastAsia"/>
          <w:color w:val="000000" w:themeColor="text1"/>
          <w:szCs w:val="24"/>
        </w:rPr>
        <w:t xml:space="preserve">.</w:t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1818916781"/>
      <w:docPartObj>
        <w:docPartGallery w:val="Page Numbers (Top of Page)"/>
        <w:docPartUnique w:val="true"/>
      </w:docPartObj>
      <w:rPr/>
    </w:sdtPr>
    <w:sdtContent>
      <w:p>
        <w:pPr>
          <w:pStyle w:val="982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t xml:space="preserve">28</w:t>
        </w:r>
        <w:r>
          <w:fldChar w:fldCharType="end"/>
        </w:r>
        <w:r/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82"/>
      <w:jc w:val="center"/>
    </w:pPr>
    <w:r>
      <w:fldChar w:fldCharType="begin"/>
    </w:r>
    <w:r>
      <w:instrText xml:space="preserve">PAGE   \* MERGEFORMAT</w:instrText>
    </w:r>
    <w:r>
      <w:fldChar w:fldCharType="separate"/>
    </w:r>
    <w:r>
      <w:t xml:space="preserve">31</w:t>
    </w:r>
    <w:r>
      <w:fldChar w:fldCharType="end"/>
    </w:r>
    <w:r/>
  </w:p>
  <w:p>
    <w:pPr>
      <w:pStyle w:val="982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540" w:hanging="360"/>
      </w:pPr>
      <w:rPr>
        <w:rFonts w:hint="default"/>
        <w:b w:val="0"/>
        <w:i w:val="0"/>
        <w:sz w:val="24"/>
        <w:szCs w:val="28"/>
      </w:rPr>
    </w:lvl>
    <w:lvl w:ilvl="1">
      <w:start w:val="1"/>
      <w:numFmt w:val="bullet"/>
      <w:isLgl w:val="false"/>
      <w:suff w:val="tab"/>
      <w:lvlText w:val="­"/>
      <w:lvlJc w:val="left"/>
      <w:pPr>
        <w:ind w:left="1440" w:hanging="360"/>
        <w:tabs>
          <w:tab w:val="num" w:pos="1457" w:leader="none"/>
        </w:tabs>
      </w:pPr>
      <w:rPr>
        <w:rFonts w:hint="default" w:ascii="Arial (WT)" w:hAnsi="Arial (WT)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bullet"/>
      <w:isLgl w:val="false"/>
      <w:suff w:val="tab"/>
      <w:lvlText w:val=""/>
      <w:lvlJc w:val="left"/>
      <w:pPr>
        <w:ind w:left="3600" w:hanging="360"/>
        <w:tabs>
          <w:tab w:val="num" w:pos="3600" w:leader="none"/>
        </w:tabs>
      </w:pPr>
      <w:rPr>
        <w:rFonts w:hint="default" w:ascii="Symbol" w:hAnsi="Symbol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2">
    <w:multiLevelType w:val="hybridMultilevel"/>
    <w:lvl w:ilvl="0">
      <w:start w:val="1"/>
      <w:numFmt w:val="decimal"/>
      <w:pStyle w:val="1064"/>
      <w:isLgl w:val="false"/>
      <w:suff w:val="tab"/>
      <w:lvlText w:val="%1."/>
      <w:lvlJc w:val="left"/>
      <w:pPr>
        <w:ind w:left="643" w:hanging="360"/>
        <w:tabs>
          <w:tab w:val="num" w:pos="643" w:leader="none"/>
        </w:tabs>
      </w:p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3">
    <w:multiLevelType w:val="hybridMultilevel"/>
    <w:lvl w:ilvl="0">
      <w:start w:val="2"/>
      <w:numFmt w:val="decimal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  <w:rPr>
        <w:rFonts w:cs="Times New Roman"/>
      </w:rPr>
    </w:lvl>
    <w:lvl w:ilvl="1">
      <w:start w:val="1"/>
      <w:numFmt w:val="decimal"/>
      <w:isLgl w:val="false"/>
      <w:suff w:val="tab"/>
      <w:lvlText w:val="%1.%2."/>
      <w:lvlJc w:val="left"/>
      <w:pPr>
        <w:ind w:left="2771" w:hanging="360"/>
        <w:tabs>
          <w:tab w:val="num" w:pos="2771" w:leader="none"/>
        </w:tabs>
      </w:pPr>
      <w:rPr>
        <w:rFonts w:cs="Times New Roman"/>
        <w:b/>
      </w:rPr>
    </w:lvl>
    <w:lvl w:ilvl="2">
      <w:start w:val="1"/>
      <w:numFmt w:val="bullet"/>
      <w:isLgl w:val="false"/>
      <w:suff w:val="tab"/>
      <w:lvlText w:val=""/>
      <w:lvlJc w:val="left"/>
      <w:pPr>
        <w:ind w:left="720" w:hanging="720"/>
        <w:tabs>
          <w:tab w:val="num" w:pos="720" w:leader="none"/>
        </w:tabs>
      </w:pPr>
      <w:rPr>
        <w:rFonts w:hint="default" w:ascii="Symbol" w:hAnsi="Symbol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720" w:hanging="720"/>
        <w:tabs>
          <w:tab w:val="num" w:pos="720" w:leader="none"/>
        </w:tabs>
      </w:pPr>
      <w:rPr>
        <w:rFonts w:cs="Times New Roman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  <w:tabs>
          <w:tab w:val="num" w:pos="1080" w:leader="none"/>
        </w:tabs>
      </w:pPr>
      <w:rPr>
        <w:rFonts w:cs="Times New Roman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1080" w:hanging="1080"/>
        <w:tabs>
          <w:tab w:val="num" w:pos="1080" w:leader="none"/>
        </w:tabs>
      </w:pPr>
      <w:rPr>
        <w:rFonts w:cs="Times New Roman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1440" w:hanging="1440"/>
        <w:tabs>
          <w:tab w:val="num" w:pos="1440" w:leader="none"/>
        </w:tabs>
      </w:pPr>
      <w:rPr>
        <w:rFonts w:cs="Times New Roman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440" w:hanging="1440"/>
        <w:tabs>
          <w:tab w:val="num" w:pos="1440" w:leader="none"/>
        </w:tabs>
      </w:pPr>
      <w:rPr>
        <w:rFonts w:cs="Times New Roman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800" w:hanging="1800"/>
        <w:tabs>
          <w:tab w:val="num" w:pos="1800" w:leader="none"/>
        </w:tabs>
      </w:pPr>
      <w:rPr>
        <w:rFonts w:cs="Times New Roman"/>
      </w:r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42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5">
    <w:multiLevelType w:val="hybridMultilevel"/>
    <w:lvl w:ilvl="0">
      <w:start w:val="1"/>
      <w:numFmt w:val="bullet"/>
      <w:pStyle w:val="1088"/>
      <w:isLgl w:val="false"/>
      <w:suff w:val="tab"/>
      <w:lvlText w:val=""/>
      <w:lvlJc w:val="left"/>
      <w:pPr>
        <w:ind w:left="1429" w:hanging="360"/>
      </w:pPr>
      <w:rPr>
        <w:rFonts w:hint="default" w:ascii="Symbol" w:hAnsi="Symbol"/>
        <w:sz w:val="24"/>
        <w:szCs w:val="24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</w:pPr>
      <w:rPr>
        <w:rFonts w:hint="default" w:ascii="Wingdings" w:hAnsi="Wingdings"/>
      </w:rPr>
    </w:lvl>
  </w:abstractNum>
  <w:abstractNum w:abstractNumId="6">
    <w:multiLevelType w:val="hybridMultilevel"/>
    <w:lvl w:ilvl="0">
      <w:start w:val="2"/>
      <w:numFmt w:val="decimal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  <w:rPr>
        <w:rFonts w:cs="Times New Roman"/>
      </w:rPr>
    </w:lvl>
    <w:lvl w:ilvl="1">
      <w:start w:val="1"/>
      <w:numFmt w:val="decimal"/>
      <w:isLgl w:val="false"/>
      <w:suff w:val="tab"/>
      <w:lvlText w:val="%1.%2."/>
      <w:lvlJc w:val="left"/>
      <w:pPr>
        <w:ind w:left="2771" w:hanging="360"/>
        <w:tabs>
          <w:tab w:val="num" w:pos="2771" w:leader="none"/>
        </w:tabs>
      </w:pPr>
      <w:rPr>
        <w:rFonts w:cs="Times New Roman"/>
        <w:b/>
      </w:rPr>
    </w:lvl>
    <w:lvl w:ilvl="2">
      <w:start w:val="1"/>
      <w:numFmt w:val="decimal"/>
      <w:isLgl w:val="false"/>
      <w:suff w:val="tab"/>
      <w:lvlText w:val="%3)"/>
      <w:lvlJc w:val="left"/>
      <w:pPr>
        <w:ind w:left="720" w:hanging="720"/>
        <w:tabs>
          <w:tab w:val="num" w:pos="720" w:leader="none"/>
        </w:tabs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720" w:hanging="720"/>
        <w:tabs>
          <w:tab w:val="num" w:pos="720" w:leader="none"/>
        </w:tabs>
      </w:pPr>
      <w:rPr>
        <w:rFonts w:cs="Times New Roman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  <w:tabs>
          <w:tab w:val="num" w:pos="1080" w:leader="none"/>
        </w:tabs>
      </w:pPr>
      <w:rPr>
        <w:rFonts w:cs="Times New Roman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1080" w:hanging="1080"/>
        <w:tabs>
          <w:tab w:val="num" w:pos="1080" w:leader="none"/>
        </w:tabs>
      </w:pPr>
      <w:rPr>
        <w:rFonts w:cs="Times New Roman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1440" w:hanging="1440"/>
        <w:tabs>
          <w:tab w:val="num" w:pos="1440" w:leader="none"/>
        </w:tabs>
      </w:pPr>
      <w:rPr>
        <w:rFonts w:cs="Times New Roman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440" w:hanging="1440"/>
        <w:tabs>
          <w:tab w:val="num" w:pos="1440" w:leader="none"/>
        </w:tabs>
      </w:pPr>
      <w:rPr>
        <w:rFonts w:cs="Times New Roman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800" w:hanging="1800"/>
        <w:tabs>
          <w:tab w:val="num" w:pos="1800" w:leader="none"/>
        </w:tabs>
      </w:pPr>
      <w:rPr>
        <w:rFonts w:cs="Times New Roman"/>
      </w:rPr>
    </w:lvl>
  </w:abstractNum>
  <w:abstractNum w:abstractNumId="7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706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26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46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66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6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06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26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6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66" w:hanging="360"/>
      </w:pPr>
      <w:rPr>
        <w:rFonts w:hint="default" w:ascii="Wingdings" w:hAnsi="Wingdings"/>
      </w:rPr>
    </w:lvl>
  </w:abstractNum>
  <w:abstractNum w:abstractNumId="8">
    <w:multiLevelType w:val="hybridMultilevel"/>
    <w:lvl w:ilvl="0">
      <w:start w:val="1"/>
      <w:numFmt w:val="upperRoman"/>
      <w:isLgl w:val="false"/>
      <w:suff w:val="tab"/>
      <w:lvlText w:val="%1."/>
      <w:lvlJc w:val="right"/>
      <w:pPr>
        <w:ind w:left="720" w:hanging="360"/>
      </w:pPr>
    </w:lvl>
    <w:lvl w:ilvl="1">
      <w:start w:val="1"/>
      <w:numFmt w:val="upperRoman"/>
      <w:isLgl w:val="false"/>
      <w:suff w:val="tab"/>
      <w:lvlText w:val="%2."/>
      <w:lvlJc w:val="righ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9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429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</w:pPr>
      <w:rPr>
        <w:rFonts w:hint="default" w:ascii="Wingdings" w:hAnsi="Wingdings"/>
      </w:rPr>
    </w:lvl>
  </w:abstractNum>
  <w:abstractNum w:abstractNumId="10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429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</w:pPr>
      <w:rPr>
        <w:rFonts w:hint="default" w:ascii="Wingdings" w:hAnsi="Wingdings"/>
      </w:rPr>
    </w:lvl>
  </w:abstractNum>
  <w:abstractNum w:abstractNumId="11">
    <w:multiLevelType w:val="hybridMultilevel"/>
    <w:lvl w:ilvl="0">
      <w:start w:val="1"/>
      <w:numFmt w:val="decimal"/>
      <w:pStyle w:val="1065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suff w:val="tab"/>
      <w:lvlText w:val="%1.%2."/>
      <w:lvlJc w:val="left"/>
      <w:pPr>
        <w:ind w:left="1194" w:hanging="660"/>
      </w:pPr>
      <w:rPr>
        <w:rFonts w:hint="default"/>
      </w:rPr>
    </w:lvl>
    <w:lvl w:ilvl="2">
      <w:start w:val="3"/>
      <w:numFmt w:val="decimal"/>
      <w:isLgl/>
      <w:suff w:val="tab"/>
      <w:lvlText w:val="%1.%2.%3."/>
      <w:lvlJc w:val="left"/>
      <w:pPr>
        <w:ind w:left="1428" w:hanging="720"/>
      </w:pPr>
      <w:rPr>
        <w:rFonts w:hint="default"/>
        <w:b w:val="0"/>
        <w:sz w:val="24"/>
        <w:szCs w:val="24"/>
      </w:rPr>
    </w:lvl>
    <w:lvl w:ilvl="3">
      <w:start w:val="1"/>
      <w:numFmt w:val="decimalZero"/>
      <w:isLgl/>
      <w:suff w:val="tab"/>
      <w:lvlText w:val="%1.%2.%3.%4."/>
      <w:lvlJc w:val="left"/>
      <w:pPr>
        <w:ind w:left="1602" w:hanging="720"/>
      </w:pPr>
      <w:rPr>
        <w:rFonts w:hint="default"/>
        <w:b w:val="0"/>
        <w:sz w:val="24"/>
        <w:szCs w:val="24"/>
      </w:rPr>
    </w:lvl>
    <w:lvl w:ilvl="4">
      <w:start w:val="1"/>
      <w:numFmt w:val="decimal"/>
      <w:isLgl/>
      <w:suff w:val="tab"/>
      <w:lvlText w:val="%1.%2.%3.%4.%5."/>
      <w:lvlJc w:val="left"/>
      <w:pPr>
        <w:ind w:left="2136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2310" w:hanging="108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2844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3018" w:hanging="144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3552" w:hanging="1800"/>
      </w:pPr>
      <w:rPr>
        <w:rFonts w:hint="default"/>
      </w:r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decimal"/>
      <w:isLgl/>
      <w:suff w:val="tab"/>
      <w:lvlText w:val="%1.%2."/>
      <w:lvlJc w:val="left"/>
      <w:pPr>
        <w:ind w:left="1194" w:hanging="660"/>
      </w:pPr>
      <w:rPr>
        <w:rFonts w:hint="default"/>
      </w:rPr>
    </w:lvl>
    <w:lvl w:ilvl="2">
      <w:start w:val="20"/>
      <w:numFmt w:val="decimal"/>
      <w:isLgl/>
      <w:suff w:val="tab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1602" w:hanging="72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2136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2310" w:hanging="108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2844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3018" w:hanging="144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3552" w:hanging="1800"/>
      </w:pPr>
      <w:rPr>
        <w:rFonts w:hint="default"/>
      </w:rPr>
    </w:lvl>
  </w:abstractNum>
  <w:abstractNum w:abstractNumId="1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  <w:rPr>
        <w:rFonts w:hint="default" w:cs="Times New Roman"/>
        <w:sz w:val="28"/>
      </w:rPr>
    </w:lvl>
    <w:lvl w:ilvl="1">
      <w:start w:val="1"/>
      <w:numFmt w:val="decimal"/>
      <w:isLgl w:val="false"/>
      <w:suff w:val="tab"/>
      <w:lvlText w:val="%1.%2."/>
      <w:lvlJc w:val="left"/>
      <w:pPr>
        <w:ind w:left="2771" w:hanging="360"/>
        <w:tabs>
          <w:tab w:val="num" w:pos="2771" w:leader="none"/>
        </w:tabs>
      </w:pPr>
      <w:rPr>
        <w:rFonts w:hint="default" w:cs="Times New Roman"/>
        <w:b/>
      </w:rPr>
    </w:lvl>
    <w:lvl w:ilvl="2">
      <w:start w:val="1"/>
      <w:numFmt w:val="bullet"/>
      <w:isLgl w:val="false"/>
      <w:suff w:val="tab"/>
      <w:lvlText w:val=""/>
      <w:lvlJc w:val="left"/>
      <w:pPr>
        <w:ind w:left="1003" w:hanging="720"/>
        <w:tabs>
          <w:tab w:val="num" w:pos="1003" w:leader="none"/>
        </w:tabs>
      </w:pPr>
      <w:rPr>
        <w:rFonts w:hint="default" w:ascii="Symbol" w:hAnsi="Symbol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720" w:hanging="720"/>
        <w:tabs>
          <w:tab w:val="num" w:pos="720" w:leader="none"/>
        </w:tabs>
      </w:pPr>
      <w:rPr>
        <w:rFonts w:hint="default" w:cs="Times New Roman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  <w:tabs>
          <w:tab w:val="num" w:pos="1080" w:leader="none"/>
        </w:tabs>
      </w:pPr>
      <w:rPr>
        <w:rFonts w:hint="default" w:cs="Times New Roman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1080" w:hanging="1080"/>
        <w:tabs>
          <w:tab w:val="num" w:pos="1080" w:leader="none"/>
        </w:tabs>
      </w:pPr>
      <w:rPr>
        <w:rFonts w:hint="default" w:cs="Times New Roman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1440" w:hanging="1440"/>
        <w:tabs>
          <w:tab w:val="num" w:pos="1440" w:leader="none"/>
        </w:tabs>
      </w:pPr>
      <w:rPr>
        <w:rFonts w:hint="default" w:cs="Times New Roman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440" w:hanging="1440"/>
        <w:tabs>
          <w:tab w:val="num" w:pos="1440" w:leader="none"/>
        </w:tabs>
      </w:pPr>
      <w:rPr>
        <w:rFonts w:hint="default" w:cs="Times New Roman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800" w:hanging="1800"/>
        <w:tabs>
          <w:tab w:val="num" w:pos="1800" w:leader="none"/>
        </w:tabs>
      </w:pPr>
      <w:rPr>
        <w:rFonts w:hint="default" w:cs="Times New Roman"/>
      </w:rPr>
    </w:lvl>
  </w:abstractNum>
  <w:abstractNum w:abstractNumId="14">
    <w:multiLevelType w:val="hybridMultilevel"/>
    <w:styleLink w:val="1055"/>
    <w:lvl w:ilvl="0">
      <w:start w:val="1"/>
      <w:numFmt w:val="decimal"/>
      <w:pStyle w:val="1053"/>
      <w:isLgl w:val="false"/>
      <w:suff w:val="tab"/>
      <w:lvlText w:val="%1."/>
      <w:lvlJc w:val="left"/>
      <w:pPr>
        <w:ind w:left="0" w:firstLine="567"/>
        <w:tabs>
          <w:tab w:val="num" w:pos="1134" w:leader="none"/>
        </w:tabs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2126" w:hanging="708"/>
        <w:tabs>
          <w:tab w:val="num" w:pos="708" w:leader="none"/>
        </w:tabs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2835" w:hanging="708"/>
        <w:tabs>
          <w:tab w:val="num" w:pos="2835" w:leader="none"/>
        </w:tabs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3540" w:hanging="708"/>
        <w:tabs>
          <w:tab w:val="num" w:pos="708" w:leader="none"/>
        </w:tabs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4248" w:hanging="708"/>
        <w:tabs>
          <w:tab w:val="num" w:pos="708" w:leader="none"/>
        </w:tabs>
      </w:pPr>
      <w:rPr>
        <w:rFonts w:hint="default"/>
      </w:rPr>
    </w:lvl>
    <w:lvl w:ilvl="5">
      <w:start w:val="1"/>
      <w:numFmt w:val="none"/>
      <w:isLgl w:val="false"/>
      <w:suff w:val="tab"/>
      <w:lvlText w:val=""/>
      <w:lvlJc w:val="left"/>
      <w:pPr>
        <w:tabs>
          <w:tab w:val="num" w:pos="360" w:leader="none"/>
        </w:tabs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5664" w:hanging="708"/>
        <w:tabs>
          <w:tab w:val="num" w:pos="708" w:leader="none"/>
        </w:tabs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6372" w:hanging="708"/>
        <w:tabs>
          <w:tab w:val="num" w:pos="708" w:leader="none"/>
        </w:tabs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7080" w:hanging="708"/>
        <w:tabs>
          <w:tab w:val="num" w:pos="708" w:leader="none"/>
        </w:tabs>
      </w:pPr>
      <w:rPr>
        <w:rFonts w:hint="default"/>
      </w:rPr>
    </w:lvl>
  </w:abstractNum>
  <w:abstractNum w:abstractNumId="15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429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</w:pPr>
      <w:rPr>
        <w:rFonts w:hint="default" w:ascii="Wingdings" w:hAnsi="Wingdings"/>
      </w:rPr>
    </w:lvl>
  </w:abstractNum>
  <w:abstractNum w:abstractNumId="16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723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443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3163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883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603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323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6043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763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483" w:hanging="360"/>
      </w:pPr>
      <w:rPr>
        <w:rFonts w:hint="default" w:ascii="Wingdings" w:hAnsi="Wingdings"/>
      </w:rPr>
    </w:lvl>
  </w:abstractNum>
  <w:abstractNum w:abstractNumId="17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540" w:hanging="360"/>
      </w:pPr>
      <w:rPr>
        <w:rFonts w:hint="default"/>
        <w:b w:val="0"/>
        <w:i w:val="0"/>
        <w:sz w:val="24"/>
        <w:szCs w:val="28"/>
      </w:rPr>
    </w:lvl>
    <w:lvl w:ilvl="1">
      <w:start w:val="1"/>
      <w:numFmt w:val="bullet"/>
      <w:isLgl w:val="false"/>
      <w:suff w:val="tab"/>
      <w:lvlText w:val="­"/>
      <w:lvlJc w:val="left"/>
      <w:pPr>
        <w:ind w:left="1440" w:hanging="360"/>
        <w:tabs>
          <w:tab w:val="num" w:pos="1457" w:leader="none"/>
        </w:tabs>
      </w:pPr>
      <w:rPr>
        <w:rFonts w:hint="default" w:ascii="Arial (WT)" w:hAnsi="Arial (WT)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bullet"/>
      <w:isLgl w:val="false"/>
      <w:suff w:val="tab"/>
      <w:lvlText w:val=""/>
      <w:lvlJc w:val="left"/>
      <w:pPr>
        <w:ind w:left="3600" w:hanging="360"/>
        <w:tabs>
          <w:tab w:val="num" w:pos="3600" w:leader="none"/>
        </w:tabs>
      </w:pPr>
      <w:rPr>
        <w:rFonts w:hint="default" w:ascii="Symbol" w:hAnsi="Symbol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18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706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26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46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66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6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06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26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6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66" w:hanging="360"/>
      </w:pPr>
      <w:rPr>
        <w:rFonts w:hint="default" w:ascii="Wingdings" w:hAnsi="Wingdings"/>
      </w:rPr>
    </w:lvl>
  </w:abstractNum>
  <w:abstractNum w:abstractNumId="19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540" w:hanging="360"/>
      </w:pPr>
      <w:rPr>
        <w:rFonts w:hint="default"/>
        <w:b w:val="0"/>
        <w:i w:val="0"/>
        <w:sz w:val="22"/>
        <w:szCs w:val="28"/>
      </w:rPr>
    </w:lvl>
    <w:lvl w:ilvl="1">
      <w:start w:val="1"/>
      <w:numFmt w:val="bullet"/>
      <w:isLgl w:val="false"/>
      <w:suff w:val="tab"/>
      <w:lvlText w:val="­"/>
      <w:lvlJc w:val="left"/>
      <w:pPr>
        <w:ind w:left="1440" w:hanging="360"/>
        <w:tabs>
          <w:tab w:val="num" w:pos="1457" w:leader="none"/>
        </w:tabs>
      </w:pPr>
      <w:rPr>
        <w:rFonts w:hint="default" w:ascii="Arial (WT)" w:hAnsi="Arial (WT)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bullet"/>
      <w:isLgl w:val="false"/>
      <w:suff w:val="tab"/>
      <w:lvlText w:val=""/>
      <w:lvlJc w:val="left"/>
      <w:pPr>
        <w:ind w:left="3600" w:hanging="360"/>
        <w:tabs>
          <w:tab w:val="num" w:pos="3600" w:leader="none"/>
        </w:tabs>
      </w:pPr>
      <w:rPr>
        <w:rFonts w:hint="default" w:ascii="Symbol" w:hAnsi="Symbol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20">
    <w:multiLevelType w:val="hybridMultilevel"/>
    <w:lvl w:ilvl="0">
      <w:start w:val="2"/>
      <w:numFmt w:val="decimal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  <w:rPr>
        <w:rFonts w:cs="Times New Roman"/>
      </w:rPr>
    </w:lvl>
    <w:lvl w:ilvl="1">
      <w:start w:val="1"/>
      <w:numFmt w:val="decimal"/>
      <w:isLgl w:val="false"/>
      <w:suff w:val="tab"/>
      <w:lvlText w:val="%1.%2."/>
      <w:lvlJc w:val="left"/>
      <w:pPr>
        <w:ind w:left="2771" w:hanging="360"/>
        <w:tabs>
          <w:tab w:val="num" w:pos="2771" w:leader="none"/>
        </w:tabs>
      </w:pPr>
      <w:rPr>
        <w:rFonts w:cs="Times New Roman"/>
        <w:b/>
      </w:rPr>
    </w:lvl>
    <w:lvl w:ilvl="2">
      <w:start w:val="1"/>
      <w:numFmt w:val="bullet"/>
      <w:isLgl w:val="false"/>
      <w:suff w:val="tab"/>
      <w:lvlText w:val=""/>
      <w:lvlJc w:val="left"/>
      <w:pPr>
        <w:ind w:left="720" w:hanging="720"/>
        <w:tabs>
          <w:tab w:val="num" w:pos="720" w:leader="none"/>
        </w:tabs>
      </w:pPr>
      <w:rPr>
        <w:rFonts w:hint="default" w:ascii="Symbol" w:hAnsi="Symbol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720" w:hanging="720"/>
        <w:tabs>
          <w:tab w:val="num" w:pos="720" w:leader="none"/>
        </w:tabs>
      </w:pPr>
      <w:rPr>
        <w:rFonts w:cs="Times New Roman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  <w:tabs>
          <w:tab w:val="num" w:pos="1080" w:leader="none"/>
        </w:tabs>
      </w:pPr>
      <w:rPr>
        <w:rFonts w:cs="Times New Roman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1080" w:hanging="1080"/>
        <w:tabs>
          <w:tab w:val="num" w:pos="1080" w:leader="none"/>
        </w:tabs>
      </w:pPr>
      <w:rPr>
        <w:rFonts w:cs="Times New Roman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1440" w:hanging="1440"/>
        <w:tabs>
          <w:tab w:val="num" w:pos="1440" w:leader="none"/>
        </w:tabs>
      </w:pPr>
      <w:rPr>
        <w:rFonts w:cs="Times New Roman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440" w:hanging="1440"/>
        <w:tabs>
          <w:tab w:val="num" w:pos="1440" w:leader="none"/>
        </w:tabs>
      </w:pPr>
      <w:rPr>
        <w:rFonts w:cs="Times New Roman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800" w:hanging="1800"/>
        <w:tabs>
          <w:tab w:val="num" w:pos="1800" w:leader="none"/>
        </w:tabs>
      </w:pPr>
      <w:rPr>
        <w:rFonts w:cs="Times New Roman"/>
      </w:rPr>
    </w:lvl>
  </w:abstractNum>
  <w:abstractNum w:abstractNumId="21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3">
    <w:multiLevelType w:val="hybridMultilevel"/>
    <w:lvl w:ilvl="0">
      <w:start w:val="1"/>
      <w:numFmt w:val="bullet"/>
      <w:pStyle w:val="1086"/>
      <w:isLgl w:val="false"/>
      <w:suff w:val="tab"/>
      <w:lvlText w:val=""/>
      <w:lvlJc w:val="left"/>
      <w:pPr>
        <w:ind w:left="643" w:hanging="360"/>
        <w:tabs>
          <w:tab w:val="num" w:pos="643" w:leader="none"/>
        </w:tabs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24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644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720"/>
      </w:pPr>
      <w:rPr>
        <w:rFonts w:hint="default"/>
      </w:rPr>
    </w:lvl>
    <w:lvl w:ilvl="1">
      <w:start w:val="3"/>
      <w:numFmt w:val="decimal"/>
      <w:isLgl w:val="false"/>
      <w:suff w:val="tab"/>
      <w:lvlText w:val="%1.%2."/>
      <w:lvlJc w:val="left"/>
      <w:pPr>
        <w:ind w:left="720" w:hanging="720"/>
      </w:pPr>
      <w:rPr>
        <w:rFonts w:hint="default"/>
      </w:rPr>
    </w:lvl>
    <w:lvl w:ilvl="2">
      <w:start w:val="4"/>
      <w:numFmt w:val="decimal"/>
      <w:isLgl w:val="false"/>
      <w:suff w:val="tab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bullet"/>
      <w:isLgl w:val="false"/>
      <w:suff w:val="tab"/>
      <w:lvlText w:val=""/>
      <w:lvlJc w:val="left"/>
      <w:pPr>
        <w:ind w:left="720" w:hanging="720"/>
      </w:pPr>
      <w:rPr>
        <w:rFonts w:hint="default" w:ascii="Symbol" w:hAnsi="Symbol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7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783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503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3223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943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663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383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6103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823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543" w:hanging="360"/>
      </w:pPr>
      <w:rPr>
        <w:rFonts w:hint="default" w:ascii="Wingdings" w:hAnsi="Wingdings"/>
      </w:rPr>
    </w:lvl>
  </w:abstractNum>
  <w:abstractNum w:abstractNumId="2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  <w:rPr>
        <w:rFonts w:hint="default" w:cs="Times New Roman"/>
        <w:sz w:val="28"/>
      </w:rPr>
    </w:lvl>
    <w:lvl w:ilvl="1">
      <w:start w:val="1"/>
      <w:numFmt w:val="decimal"/>
      <w:isLgl w:val="false"/>
      <w:suff w:val="tab"/>
      <w:lvlText w:val="%1.%2."/>
      <w:lvlJc w:val="left"/>
      <w:pPr>
        <w:ind w:left="4330" w:hanging="360"/>
        <w:tabs>
          <w:tab w:val="num" w:pos="4330" w:leader="none"/>
        </w:tabs>
      </w:pPr>
      <w:rPr>
        <w:rFonts w:hint="default" w:cs="Times New Roman"/>
        <w:b/>
      </w:rPr>
    </w:lvl>
    <w:lvl w:ilvl="2">
      <w:start w:val="1"/>
      <w:numFmt w:val="decimal"/>
      <w:isLgl w:val="false"/>
      <w:suff w:val="tab"/>
      <w:lvlText w:val="%1.%2.%3."/>
      <w:lvlJc w:val="left"/>
      <w:pPr>
        <w:ind w:left="1003" w:hanging="720"/>
        <w:tabs>
          <w:tab w:val="num" w:pos="1003" w:leader="none"/>
        </w:tabs>
      </w:pPr>
      <w:rPr>
        <w:rFonts w:hint="default" w:cs="Times New Roman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720" w:hanging="720"/>
        <w:tabs>
          <w:tab w:val="num" w:pos="720" w:leader="none"/>
        </w:tabs>
      </w:pPr>
      <w:rPr>
        <w:rFonts w:hint="default" w:cs="Times New Roman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  <w:tabs>
          <w:tab w:val="num" w:pos="1080" w:leader="none"/>
        </w:tabs>
      </w:pPr>
      <w:rPr>
        <w:rFonts w:hint="default" w:cs="Times New Roman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1080" w:hanging="1080"/>
        <w:tabs>
          <w:tab w:val="num" w:pos="1080" w:leader="none"/>
        </w:tabs>
      </w:pPr>
      <w:rPr>
        <w:rFonts w:hint="default" w:cs="Times New Roman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1440" w:hanging="1440"/>
        <w:tabs>
          <w:tab w:val="num" w:pos="1440" w:leader="none"/>
        </w:tabs>
      </w:pPr>
      <w:rPr>
        <w:rFonts w:hint="default" w:cs="Times New Roman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440" w:hanging="1440"/>
        <w:tabs>
          <w:tab w:val="num" w:pos="1440" w:leader="none"/>
        </w:tabs>
      </w:pPr>
      <w:rPr>
        <w:rFonts w:hint="default" w:cs="Times New Roman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800" w:hanging="1800"/>
        <w:tabs>
          <w:tab w:val="num" w:pos="1800" w:leader="none"/>
        </w:tabs>
      </w:pPr>
      <w:rPr>
        <w:rFonts w:hint="default" w:cs="Times New Roman"/>
      </w:rPr>
    </w:lvl>
  </w:abstractNum>
  <w:abstractNum w:abstractNumId="29">
    <w:multiLevelType w:val="hybridMultilevel"/>
    <w:lvl w:ilvl="0">
      <w:start w:val="1"/>
      <w:numFmt w:val="bullet"/>
      <w:isLgl w:val="false"/>
      <w:suff w:val="tab"/>
      <w:lvlText w:val="­"/>
      <w:lvlJc w:val="left"/>
      <w:pPr>
        <w:ind w:left="1259" w:hanging="360"/>
      </w:pPr>
      <w:rPr>
        <w:rFonts w:hint="default" w:ascii="Arial (WT)" w:hAnsi="Arial (WT)"/>
      </w:rPr>
    </w:lvl>
    <w:lvl w:ilvl="1">
      <w:start w:val="1"/>
      <w:numFmt w:val="bullet"/>
      <w:isLgl w:val="false"/>
      <w:suff w:val="tab"/>
      <w:lvlText w:val="o"/>
      <w:lvlJc w:val="left"/>
      <w:pPr>
        <w:ind w:left="1979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699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419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39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859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579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299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019" w:hanging="360"/>
      </w:pPr>
      <w:rPr>
        <w:rFonts w:hint="default" w:ascii="Wingdings" w:hAnsi="Wingdings"/>
      </w:rPr>
    </w:lvl>
  </w:abstractNum>
  <w:abstractNum w:abstractNumId="3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502" w:hanging="360"/>
      </w:pPr>
      <w:rPr>
        <w:rFonts w:hint="default" w:ascii="Times New Roman" w:hAnsi="Times New Roman"/>
        <w:b/>
        <w:i w:val="0"/>
        <w:caps w:val="0"/>
        <w:strike w:val="0"/>
        <w:vanish w:val="0"/>
        <w:color w:val="000000"/>
        <w:sz w:val="22"/>
        <w:szCs w:val="22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isLgl/>
      <w:suff w:val="tab"/>
      <w:lvlText w:val="%1.%2."/>
      <w:lvlJc w:val="left"/>
      <w:pPr>
        <w:ind w:left="1047" w:hanging="480"/>
      </w:pPr>
      <w:rPr>
        <w:rFonts w:hint="default"/>
        <w:b/>
      </w:rPr>
    </w:lvl>
    <w:lvl w:ilvl="2">
      <w:start w:val="1"/>
      <w:numFmt w:val="decimal"/>
      <w:isLgl/>
      <w:suff w:val="tab"/>
      <w:lvlText w:val="%1.%2.%3."/>
      <w:lvlJc w:val="left"/>
      <w:pPr>
        <w:ind w:left="1494" w:hanging="720"/>
      </w:pPr>
      <w:rPr>
        <w:rFonts w:hint="default"/>
        <w:b/>
      </w:rPr>
    </w:lvl>
    <w:lvl w:ilvl="3">
      <w:start w:val="1"/>
      <w:numFmt w:val="decimal"/>
      <w:isLgl/>
      <w:suff w:val="tab"/>
      <w:lvlText w:val="%1.%2.%3.%4."/>
      <w:lvlJc w:val="left"/>
      <w:pPr>
        <w:ind w:left="1701" w:hanging="720"/>
      </w:pPr>
      <w:rPr>
        <w:rFonts w:hint="default"/>
        <w:b/>
      </w:rPr>
    </w:lvl>
    <w:lvl w:ilvl="4">
      <w:start w:val="1"/>
      <w:numFmt w:val="decimal"/>
      <w:isLgl/>
      <w:suff w:val="tab"/>
      <w:lvlText w:val="%1.%2.%3.%4.%5."/>
      <w:lvlJc w:val="left"/>
      <w:pPr>
        <w:ind w:left="2268" w:hanging="1080"/>
      </w:pPr>
      <w:rPr>
        <w:rFonts w:hint="default"/>
        <w:b/>
      </w:rPr>
    </w:lvl>
    <w:lvl w:ilvl="5">
      <w:start w:val="1"/>
      <w:numFmt w:val="decimal"/>
      <w:isLgl/>
      <w:suff w:val="tab"/>
      <w:lvlText w:val="%1.%2.%3.%4.%5.%6."/>
      <w:lvlJc w:val="left"/>
      <w:pPr>
        <w:ind w:left="2475" w:hanging="1080"/>
      </w:pPr>
      <w:rPr>
        <w:rFonts w:hint="default"/>
        <w:b/>
      </w:rPr>
    </w:lvl>
    <w:lvl w:ilvl="6">
      <w:start w:val="1"/>
      <w:numFmt w:val="decimal"/>
      <w:isLgl/>
      <w:suff w:val="tab"/>
      <w:lvlText w:val="%1.%2.%3.%4.%5.%6.%7."/>
      <w:lvlJc w:val="left"/>
      <w:pPr>
        <w:ind w:left="3042" w:hanging="1440"/>
      </w:pPr>
      <w:rPr>
        <w:rFonts w:hint="default"/>
        <w:b/>
      </w:rPr>
    </w:lvl>
    <w:lvl w:ilvl="7">
      <w:start w:val="1"/>
      <w:numFmt w:val="decimal"/>
      <w:isLgl/>
      <w:suff w:val="tab"/>
      <w:lvlText w:val="%1.%2.%3.%4.%5.%6.%7.%8."/>
      <w:lvlJc w:val="left"/>
      <w:pPr>
        <w:ind w:left="3249" w:hanging="1440"/>
      </w:pPr>
      <w:rPr>
        <w:rFonts w:hint="default"/>
        <w:b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3816" w:hanging="1800"/>
      </w:pPr>
      <w:rPr>
        <w:rFonts w:hint="default"/>
        <w:b/>
      </w:rPr>
    </w:lvl>
  </w:abstractNum>
  <w:abstractNum w:abstractNumId="3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rFonts w:cs="Times New Roman"/>
        <w:sz w:val="24"/>
        <w:szCs w:val="24"/>
      </w:r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32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360" w:hanging="360"/>
      </w:pPr>
    </w:lvl>
    <w:lvl w:ilvl="1">
      <w:start w:val="1"/>
      <w:numFmt w:val="lowerLetter"/>
      <w:isLgl w:val="false"/>
      <w:suff w:val="tab"/>
      <w:lvlText w:val="%2)"/>
      <w:lvlJc w:val="left"/>
      <w:pPr>
        <w:ind w:left="720" w:hanging="360"/>
      </w:pPr>
    </w:lvl>
    <w:lvl w:ilvl="2">
      <w:start w:val="1"/>
      <w:numFmt w:val="lowerRoman"/>
      <w:isLgl w:val="false"/>
      <w:suff w:val="tab"/>
      <w:lvlText w:val="%3)"/>
      <w:lvlJc w:val="left"/>
      <w:pPr>
        <w:ind w:left="1080" w:hanging="360"/>
      </w:pPr>
    </w:lvl>
    <w:lvl w:ilvl="3">
      <w:start w:val="1"/>
      <w:numFmt w:val="decimal"/>
      <w:isLgl w:val="false"/>
      <w:suff w:val="tab"/>
      <w:lvlText w:val="(%4)"/>
      <w:lvlJc w:val="left"/>
      <w:pPr>
        <w:ind w:left="1440" w:hanging="360"/>
      </w:pPr>
    </w:lvl>
    <w:lvl w:ilvl="4">
      <w:start w:val="1"/>
      <w:numFmt w:val="lowerLetter"/>
      <w:isLgl w:val="false"/>
      <w:suff w:val="tab"/>
      <w:lvlText w:val="(%5)"/>
      <w:lvlJc w:val="left"/>
      <w:pPr>
        <w:ind w:left="1800" w:hanging="360"/>
      </w:pPr>
    </w:lvl>
    <w:lvl w:ilvl="5">
      <w:start w:val="1"/>
      <w:numFmt w:val="lowerRoman"/>
      <w:isLgl w:val="false"/>
      <w:suff w:val="tab"/>
      <w:lvlText w:val="(%6)"/>
      <w:lvlJc w:val="left"/>
      <w:pPr>
        <w:ind w:left="2160" w:hanging="360"/>
      </w:pPr>
    </w:lvl>
    <w:lvl w:ilvl="6">
      <w:start w:val="1"/>
      <w:numFmt w:val="decimal"/>
      <w:isLgl w:val="false"/>
      <w:suff w:val="tab"/>
      <w:lvlText w:val="%7."/>
      <w:lvlJc w:val="left"/>
      <w:pPr>
        <w:ind w:left="252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2880" w:hanging="360"/>
      </w:pPr>
    </w:lvl>
    <w:lvl w:ilvl="8">
      <w:start w:val="1"/>
      <w:numFmt w:val="lowerRoman"/>
      <w:isLgl w:val="false"/>
      <w:suff w:val="tab"/>
      <w:lvlText w:val="%9."/>
      <w:lvlJc w:val="left"/>
      <w:pPr>
        <w:ind w:left="3240" w:hanging="360"/>
      </w:pPr>
    </w:lvl>
  </w:abstractNum>
  <w:abstractNum w:abstractNumId="33">
    <w:multiLevelType w:val="hybridMultilevel"/>
    <w:lvl w:ilvl="0">
      <w:start w:val="2"/>
      <w:numFmt w:val="decimal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  <w:rPr>
        <w:rFonts w:cs="Times New Roman"/>
      </w:rPr>
    </w:lvl>
    <w:lvl w:ilvl="1">
      <w:start w:val="1"/>
      <w:numFmt w:val="decimal"/>
      <w:isLgl w:val="false"/>
      <w:suff w:val="tab"/>
      <w:lvlText w:val="%1.%2."/>
      <w:lvlJc w:val="left"/>
      <w:pPr>
        <w:ind w:left="2771" w:hanging="360"/>
        <w:tabs>
          <w:tab w:val="num" w:pos="2771" w:leader="none"/>
        </w:tabs>
      </w:pPr>
      <w:rPr>
        <w:rFonts w:cs="Times New Roman"/>
        <w:b/>
      </w:rPr>
    </w:lvl>
    <w:lvl w:ilvl="2">
      <w:start w:val="1"/>
      <w:numFmt w:val="decimal"/>
      <w:isLgl w:val="false"/>
      <w:suff w:val="tab"/>
      <w:lvlText w:val="%3)"/>
      <w:lvlJc w:val="left"/>
      <w:pPr>
        <w:ind w:left="720" w:hanging="720"/>
        <w:tabs>
          <w:tab w:val="num" w:pos="720" w:leader="none"/>
        </w:tabs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720" w:hanging="720"/>
        <w:tabs>
          <w:tab w:val="num" w:pos="720" w:leader="none"/>
        </w:tabs>
      </w:pPr>
      <w:rPr>
        <w:rFonts w:cs="Times New Roman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  <w:tabs>
          <w:tab w:val="num" w:pos="1080" w:leader="none"/>
        </w:tabs>
      </w:pPr>
      <w:rPr>
        <w:rFonts w:cs="Times New Roman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1080" w:hanging="1080"/>
        <w:tabs>
          <w:tab w:val="num" w:pos="1080" w:leader="none"/>
        </w:tabs>
      </w:pPr>
      <w:rPr>
        <w:rFonts w:cs="Times New Roman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1440" w:hanging="1440"/>
        <w:tabs>
          <w:tab w:val="num" w:pos="1440" w:leader="none"/>
        </w:tabs>
      </w:pPr>
      <w:rPr>
        <w:rFonts w:cs="Times New Roman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440" w:hanging="1440"/>
        <w:tabs>
          <w:tab w:val="num" w:pos="1440" w:leader="none"/>
        </w:tabs>
      </w:pPr>
      <w:rPr>
        <w:rFonts w:cs="Times New Roman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800" w:hanging="1800"/>
        <w:tabs>
          <w:tab w:val="num" w:pos="1800" w:leader="none"/>
        </w:tabs>
      </w:pPr>
      <w:rPr>
        <w:rFonts w:cs="Times New Roman"/>
      </w:rPr>
    </w:lvl>
  </w:abstractNum>
  <w:abstractNum w:abstractNumId="34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723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443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3163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883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603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323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6043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763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483" w:hanging="360"/>
      </w:pPr>
      <w:rPr>
        <w:rFonts w:hint="default" w:ascii="Wingdings" w:hAnsi="Wingdings"/>
      </w:rPr>
    </w:lvl>
  </w:abstractNum>
  <w:abstractNum w:abstractNumId="35">
    <w:multiLevelType w:val="hybridMultilevel"/>
    <w:styleLink w:val="1046"/>
    <w:lvl w:ilvl="0">
      <w:start w:val="1"/>
      <w:numFmt w:val="decimal"/>
      <w:pStyle w:val="1046"/>
      <w:isLgl w:val="false"/>
      <w:suff w:val="tab"/>
      <w:lvlText w:val="%1."/>
      <w:lvlJc w:val="left"/>
      <w:pPr>
        <w:ind w:left="660" w:hanging="660"/>
      </w:pPr>
      <w:rPr>
        <w:rFonts w:cs="Times New Roman"/>
      </w:rPr>
    </w:lvl>
    <w:lvl w:ilvl="1">
      <w:start w:val="1"/>
      <w:numFmt w:val="decimal"/>
      <w:isLgl w:val="false"/>
      <w:suff w:val="tab"/>
      <w:lvlText w:val="%1.%2."/>
      <w:lvlJc w:val="left"/>
      <w:pPr>
        <w:ind w:left="984" w:hanging="660"/>
      </w:pPr>
      <w:rPr>
        <w:rFonts w:cs="Times New Roman"/>
      </w:rPr>
    </w:lvl>
    <w:lvl w:ilvl="2">
      <w:start w:val="1"/>
      <w:numFmt w:val="decimal"/>
      <w:isLgl w:val="false"/>
      <w:suff w:val="tab"/>
      <w:lvlText w:val="13.2.%3"/>
      <w:lvlJc w:val="left"/>
      <w:pPr>
        <w:ind w:left="1004" w:hanging="720"/>
      </w:pPr>
      <w:rPr>
        <w:rFonts w:cs="Times New Roman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692" w:hanging="720"/>
      </w:pPr>
      <w:rPr>
        <w:rFonts w:cs="Times New Roman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376" w:hanging="1080"/>
      </w:pPr>
      <w:rPr>
        <w:rFonts w:cs="Times New Roman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700" w:hanging="1080"/>
      </w:pPr>
      <w:rPr>
        <w:rFonts w:cs="Times New Roman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384" w:hanging="1440"/>
      </w:pPr>
      <w:rPr>
        <w:rFonts w:cs="Times New Roman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08" w:hanging="1440"/>
      </w:pPr>
      <w:rPr>
        <w:rFonts w:cs="Times New Roman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92" w:hanging="1800"/>
      </w:pPr>
      <w:rPr>
        <w:rFonts w:cs="Times New Roman"/>
      </w:rPr>
    </w:lvl>
  </w:abstractNum>
  <w:abstractNum w:abstractNumId="36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540" w:hanging="360"/>
      </w:pPr>
      <w:rPr>
        <w:rFonts w:hint="default"/>
        <w:b w:val="0"/>
        <w:i w:val="0"/>
        <w:color w:val="auto"/>
        <w:sz w:val="22"/>
        <w:szCs w:val="28"/>
      </w:rPr>
    </w:lvl>
    <w:lvl w:ilvl="1">
      <w:start w:val="1"/>
      <w:numFmt w:val="bullet"/>
      <w:isLgl w:val="false"/>
      <w:suff w:val="tab"/>
      <w:lvlText w:val="­"/>
      <w:lvlJc w:val="left"/>
      <w:pPr>
        <w:ind w:left="1440" w:hanging="360"/>
        <w:tabs>
          <w:tab w:val="num" w:pos="1457" w:leader="none"/>
        </w:tabs>
      </w:pPr>
      <w:rPr>
        <w:rFonts w:hint="default" w:ascii="Arial (WT)" w:hAnsi="Arial (WT)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bullet"/>
      <w:isLgl w:val="false"/>
      <w:suff w:val="tab"/>
      <w:lvlText w:val=""/>
      <w:lvlJc w:val="left"/>
      <w:pPr>
        <w:ind w:left="3600" w:hanging="360"/>
        <w:tabs>
          <w:tab w:val="num" w:pos="3600" w:leader="none"/>
        </w:tabs>
      </w:pPr>
      <w:rPr>
        <w:rFonts w:hint="default" w:ascii="Symbol" w:hAnsi="Symbol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3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  <w:rPr>
        <w:rFonts w:hint="default" w:cs="Times New Roman"/>
        <w:sz w:val="28"/>
      </w:rPr>
    </w:lvl>
    <w:lvl w:ilvl="1">
      <w:start w:val="1"/>
      <w:numFmt w:val="decimal"/>
      <w:isLgl w:val="false"/>
      <w:suff w:val="tab"/>
      <w:lvlText w:val="%1.%2."/>
      <w:lvlJc w:val="left"/>
      <w:pPr>
        <w:ind w:left="2771" w:hanging="360"/>
        <w:tabs>
          <w:tab w:val="num" w:pos="2771" w:leader="none"/>
        </w:tabs>
      </w:pPr>
      <w:rPr>
        <w:rFonts w:hint="default" w:cs="Times New Roman"/>
        <w:b/>
      </w:rPr>
    </w:lvl>
    <w:lvl w:ilvl="2">
      <w:start w:val="1"/>
      <w:numFmt w:val="bullet"/>
      <w:isLgl w:val="false"/>
      <w:suff w:val="tab"/>
      <w:lvlText w:val=""/>
      <w:lvlJc w:val="left"/>
      <w:pPr>
        <w:ind w:left="1003" w:hanging="720"/>
        <w:tabs>
          <w:tab w:val="num" w:pos="1003" w:leader="none"/>
        </w:tabs>
      </w:pPr>
      <w:rPr>
        <w:rFonts w:hint="default" w:ascii="Symbol" w:hAnsi="Symbol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720" w:hanging="720"/>
        <w:tabs>
          <w:tab w:val="num" w:pos="720" w:leader="none"/>
        </w:tabs>
      </w:pPr>
      <w:rPr>
        <w:rFonts w:hint="default" w:cs="Times New Roman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  <w:tabs>
          <w:tab w:val="num" w:pos="1080" w:leader="none"/>
        </w:tabs>
      </w:pPr>
      <w:rPr>
        <w:rFonts w:hint="default" w:cs="Times New Roman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1080" w:hanging="1080"/>
        <w:tabs>
          <w:tab w:val="num" w:pos="1080" w:leader="none"/>
        </w:tabs>
      </w:pPr>
      <w:rPr>
        <w:rFonts w:hint="default" w:cs="Times New Roman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1440" w:hanging="1440"/>
        <w:tabs>
          <w:tab w:val="num" w:pos="1440" w:leader="none"/>
        </w:tabs>
      </w:pPr>
      <w:rPr>
        <w:rFonts w:hint="default" w:cs="Times New Roman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440" w:hanging="1440"/>
        <w:tabs>
          <w:tab w:val="num" w:pos="1440" w:leader="none"/>
        </w:tabs>
      </w:pPr>
      <w:rPr>
        <w:rFonts w:hint="default" w:cs="Times New Roman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800" w:hanging="1800"/>
        <w:tabs>
          <w:tab w:val="num" w:pos="1800" w:leader="none"/>
        </w:tabs>
      </w:pPr>
      <w:rPr>
        <w:rFonts w:hint="default" w:cs="Times New Roman"/>
      </w:rPr>
    </w:lvl>
  </w:abstractNum>
  <w:abstractNum w:abstractNumId="38">
    <w:multiLevelType w:val="hybridMultilevel"/>
    <w:lvl w:ilvl="0">
      <w:start w:val="2"/>
      <w:numFmt w:val="decimal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  <w:rPr>
        <w:rFonts w:cs="Times New Roman"/>
        <w:sz w:val="28"/>
      </w:rPr>
    </w:lvl>
    <w:lvl w:ilvl="1">
      <w:start w:val="1"/>
      <w:numFmt w:val="decimal"/>
      <w:isLgl w:val="false"/>
      <w:suff w:val="tab"/>
      <w:lvlText w:val="%1.%2."/>
      <w:lvlJc w:val="left"/>
      <w:pPr>
        <w:ind w:left="2771" w:hanging="360"/>
        <w:tabs>
          <w:tab w:val="num" w:pos="2771" w:leader="none"/>
        </w:tabs>
      </w:pPr>
      <w:rPr>
        <w:rFonts w:cs="Times New Roman"/>
        <w:b/>
      </w:rPr>
    </w:lvl>
    <w:lvl w:ilvl="2">
      <w:start w:val="1"/>
      <w:numFmt w:val="decimal"/>
      <w:isLgl w:val="false"/>
      <w:suff w:val="tab"/>
      <w:lvlText w:val="%3)"/>
      <w:lvlJc w:val="left"/>
      <w:pPr>
        <w:ind w:left="1004" w:hanging="720"/>
        <w:tabs>
          <w:tab w:val="num" w:pos="1004" w:leader="none"/>
        </w:tabs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720" w:hanging="720"/>
        <w:tabs>
          <w:tab w:val="num" w:pos="720" w:leader="none"/>
        </w:tabs>
      </w:pPr>
      <w:rPr>
        <w:rFonts w:cs="Times New Roman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  <w:tabs>
          <w:tab w:val="num" w:pos="1080" w:leader="none"/>
        </w:tabs>
      </w:pPr>
      <w:rPr>
        <w:rFonts w:cs="Times New Roman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1080" w:hanging="1080"/>
        <w:tabs>
          <w:tab w:val="num" w:pos="1080" w:leader="none"/>
        </w:tabs>
      </w:pPr>
      <w:rPr>
        <w:rFonts w:cs="Times New Roman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1440" w:hanging="1440"/>
        <w:tabs>
          <w:tab w:val="num" w:pos="1440" w:leader="none"/>
        </w:tabs>
      </w:pPr>
      <w:rPr>
        <w:rFonts w:cs="Times New Roman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440" w:hanging="1440"/>
        <w:tabs>
          <w:tab w:val="num" w:pos="1440" w:leader="none"/>
        </w:tabs>
      </w:pPr>
      <w:rPr>
        <w:rFonts w:cs="Times New Roman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800" w:hanging="1800"/>
        <w:tabs>
          <w:tab w:val="num" w:pos="1800" w:leader="none"/>
        </w:tabs>
      </w:pPr>
      <w:rPr>
        <w:rFonts w:cs="Times New Roman"/>
      </w:rPr>
    </w:lvl>
  </w:abstractNum>
  <w:abstractNum w:abstractNumId="3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0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42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41">
    <w:multiLevelType w:val="hybridMultilevel"/>
    <w:lvl w:ilvl="0">
      <w:start w:val="2"/>
      <w:numFmt w:val="decimal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  <w:rPr>
        <w:rFonts w:cs="Times New Roman"/>
      </w:rPr>
    </w:lvl>
    <w:lvl w:ilvl="1">
      <w:start w:val="1"/>
      <w:numFmt w:val="decimal"/>
      <w:isLgl w:val="false"/>
      <w:suff w:val="tab"/>
      <w:lvlText w:val="%1.%2."/>
      <w:lvlJc w:val="left"/>
      <w:pPr>
        <w:ind w:left="2771" w:hanging="360"/>
        <w:tabs>
          <w:tab w:val="num" w:pos="2771" w:leader="none"/>
        </w:tabs>
      </w:pPr>
      <w:rPr>
        <w:rFonts w:cs="Times New Roman"/>
        <w:b/>
      </w:rPr>
    </w:lvl>
    <w:lvl w:ilvl="2">
      <w:start w:val="1"/>
      <w:numFmt w:val="decimal"/>
      <w:isLgl w:val="false"/>
      <w:suff w:val="tab"/>
      <w:lvlText w:val="%3)"/>
      <w:lvlJc w:val="left"/>
      <w:pPr>
        <w:ind w:left="720" w:hanging="720"/>
        <w:tabs>
          <w:tab w:val="num" w:pos="720" w:leader="none"/>
        </w:tabs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720" w:hanging="720"/>
        <w:tabs>
          <w:tab w:val="num" w:pos="720" w:leader="none"/>
        </w:tabs>
      </w:pPr>
      <w:rPr>
        <w:rFonts w:cs="Times New Roman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  <w:tabs>
          <w:tab w:val="num" w:pos="1080" w:leader="none"/>
        </w:tabs>
      </w:pPr>
      <w:rPr>
        <w:rFonts w:cs="Times New Roman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1080" w:hanging="1080"/>
        <w:tabs>
          <w:tab w:val="num" w:pos="1080" w:leader="none"/>
        </w:tabs>
      </w:pPr>
      <w:rPr>
        <w:rFonts w:cs="Times New Roman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1440" w:hanging="1440"/>
        <w:tabs>
          <w:tab w:val="num" w:pos="1440" w:leader="none"/>
        </w:tabs>
      </w:pPr>
      <w:rPr>
        <w:rFonts w:cs="Times New Roman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440" w:hanging="1440"/>
        <w:tabs>
          <w:tab w:val="num" w:pos="1440" w:leader="none"/>
        </w:tabs>
      </w:pPr>
      <w:rPr>
        <w:rFonts w:cs="Times New Roman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800" w:hanging="1800"/>
        <w:tabs>
          <w:tab w:val="num" w:pos="1800" w:leader="none"/>
        </w:tabs>
      </w:pPr>
      <w:rPr>
        <w:rFonts w:cs="Times New Roman"/>
      </w:rPr>
    </w:lvl>
  </w:abstractNum>
  <w:num w:numId="1">
    <w:abstractNumId w:val="25"/>
  </w:num>
  <w:num w:numId="2">
    <w:abstractNumId w:val="35"/>
  </w:num>
  <w:num w:numId="3">
    <w:abstractNumId w:val="28"/>
  </w:num>
  <w:num w:numId="4">
    <w:abstractNumId w:val="14"/>
    <w:lvlOverride w:ilvl="0">
      <w:lvl w:ilvl="0">
        <w:start w:val="1"/>
        <w:numFmt w:val="decimal"/>
        <w:pStyle w:val="1053"/>
        <w:isLgl w:val="false"/>
        <w:suff w:val="tab"/>
        <w:lvlText w:val="%1."/>
        <w:lvlJc w:val="left"/>
        <w:pPr>
          <w:ind w:left="0" w:firstLine="567"/>
          <w:tabs>
            <w:tab w:val="num" w:pos="1134" w:leader="none"/>
          </w:tabs>
        </w:pPr>
        <w:rPr>
          <w:rFonts w:hint="default"/>
          <w:color w:val="auto"/>
        </w:rPr>
      </w:lvl>
    </w:lvlOverride>
  </w:num>
  <w:num w:numId="5">
    <w:abstractNumId w:val="41"/>
  </w:num>
  <w:num w:numId="6">
    <w:abstractNumId w:val="3"/>
  </w:num>
  <w:num w:numId="7">
    <w:abstractNumId w:val="20"/>
  </w:num>
  <w:num w:numId="8">
    <w:abstractNumId w:val="17"/>
  </w:num>
  <w:num w:numId="9">
    <w:abstractNumId w:val="12"/>
  </w:num>
  <w:num w:numId="10">
    <w:abstractNumId w:val="14"/>
  </w:num>
  <w:num w:numId="11">
    <w:abstractNumId w:val="31"/>
  </w:num>
  <w:num w:numId="12">
    <w:abstractNumId w:val="4"/>
  </w:num>
  <w:num w:numId="13">
    <w:abstractNumId w:val="29"/>
  </w:num>
  <w:num w:numId="14">
    <w:abstractNumId w:val="30"/>
  </w:num>
  <w:num w:numId="15">
    <w:abstractNumId w:val="32"/>
  </w:num>
  <w:num w:numId="16">
    <w:abstractNumId w:val="37"/>
  </w:num>
  <w:num w:numId="17">
    <w:abstractNumId w:val="34"/>
  </w:num>
  <w:num w:numId="18">
    <w:abstractNumId w:val="10"/>
  </w:num>
  <w:num w:numId="19">
    <w:abstractNumId w:val="21"/>
  </w:num>
  <w:num w:numId="20">
    <w:abstractNumId w:val="2"/>
  </w:num>
  <w:num w:numId="21">
    <w:abstractNumId w:val="11"/>
  </w:num>
  <w:num w:numId="22">
    <w:abstractNumId w:val="26"/>
  </w:num>
  <w:num w:numId="23">
    <w:abstractNumId w:val="23"/>
  </w:num>
  <w:num w:numId="24">
    <w:abstractNumId w:val="5"/>
  </w:num>
  <w:num w:numId="25">
    <w:abstractNumId w:val="22"/>
  </w:num>
  <w:num w:numId="26">
    <w:abstractNumId w:val="40"/>
  </w:num>
  <w:num w:numId="27">
    <w:abstractNumId w:val="7"/>
  </w:num>
  <w:num w:numId="28">
    <w:abstractNumId w:val="18"/>
  </w:num>
  <w:num w:numId="29">
    <w:abstractNumId w:val="38"/>
  </w:num>
  <w:num w:numId="30">
    <w:abstractNumId w:val="6"/>
  </w:num>
  <w:num w:numId="31">
    <w:abstractNumId w:val="33"/>
  </w:num>
  <w:num w:numId="32">
    <w:abstractNumId w:val="36"/>
  </w:num>
  <w:num w:numId="33">
    <w:abstractNumId w:val="19"/>
  </w:num>
  <w:num w:numId="34">
    <w:abstractNumId w:val="8"/>
  </w:num>
  <w:num w:numId="35">
    <w:abstractNumId w:val="27"/>
  </w:num>
  <w:num w:numId="36">
    <w:abstractNumId w:val="13"/>
  </w:num>
  <w:num w:numId="37">
    <w:abstractNumId w:val="9"/>
  </w:num>
  <w:num w:numId="38">
    <w:abstractNumId w:val="24"/>
  </w:num>
  <w:num w:numId="39">
    <w:abstractNumId w:val="39"/>
  </w:num>
  <w:num w:numId="40">
    <w:abstractNumId w:val="0"/>
  </w:num>
  <w:num w:numId="41">
    <w:abstractNumId w:val="16"/>
  </w:num>
  <w:num w:numId="42">
    <w:abstractNumId w:val="15"/>
  </w:num>
  <w:num w:numId="4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284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Times New Roman" w:hAnsi="Times New Roman" w:eastAsia="Calibri" w:cs="Times New Roman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806">
    <w:name w:val="Title Char"/>
    <w:basedOn w:val="822"/>
    <w:link w:val="834"/>
    <w:uiPriority w:val="10"/>
    <w:rPr>
      <w:sz w:val="48"/>
      <w:szCs w:val="48"/>
    </w:rPr>
  </w:style>
  <w:style w:type="character" w:styleId="807">
    <w:name w:val="Subtitle Char"/>
    <w:basedOn w:val="822"/>
    <w:link w:val="836"/>
    <w:uiPriority w:val="11"/>
    <w:rPr>
      <w:sz w:val="24"/>
      <w:szCs w:val="24"/>
    </w:rPr>
  </w:style>
  <w:style w:type="character" w:styleId="808">
    <w:name w:val="Quote Char"/>
    <w:link w:val="838"/>
    <w:uiPriority w:val="29"/>
    <w:rPr>
      <w:i/>
    </w:rPr>
  </w:style>
  <w:style w:type="character" w:styleId="809">
    <w:name w:val="Intense Quote Char"/>
    <w:link w:val="840"/>
    <w:uiPriority w:val="30"/>
    <w:rPr>
      <w:i/>
    </w:rPr>
  </w:style>
  <w:style w:type="character" w:styleId="810">
    <w:name w:val="Caption Char"/>
    <w:basedOn w:val="822"/>
    <w:link w:val="844"/>
    <w:uiPriority w:val="35"/>
    <w:rPr>
      <w:b/>
      <w:bCs/>
      <w:color w:val="4f81bd" w:themeColor="accent1"/>
      <w:sz w:val="18"/>
      <w:szCs w:val="18"/>
    </w:rPr>
  </w:style>
  <w:style w:type="character" w:styleId="811">
    <w:name w:val="Endnote Text Char"/>
    <w:link w:val="972"/>
    <w:uiPriority w:val="99"/>
    <w:rPr>
      <w:sz w:val="20"/>
    </w:rPr>
  </w:style>
  <w:style w:type="paragraph" w:styleId="812" w:default="1">
    <w:name w:val="Normal"/>
    <w:qFormat/>
    <w:rPr>
      <w:rFonts w:eastAsia="Times New Roman"/>
      <w:sz w:val="24"/>
      <w:szCs w:val="24"/>
    </w:rPr>
  </w:style>
  <w:style w:type="paragraph" w:styleId="813">
    <w:name w:val="Heading 1"/>
    <w:basedOn w:val="812"/>
    <w:next w:val="812"/>
    <w:link w:val="1009"/>
    <w:uiPriority w:val="9"/>
    <w:qFormat/>
    <w:pPr>
      <w:keepLines/>
      <w:keepNext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814">
    <w:name w:val="Heading 2"/>
    <w:basedOn w:val="812"/>
    <w:next w:val="812"/>
    <w:link w:val="996"/>
    <w:uiPriority w:val="9"/>
    <w:qFormat/>
    <w:pPr>
      <w:keepLines/>
      <w:keepNext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815">
    <w:name w:val="Heading 3"/>
    <w:basedOn w:val="812"/>
    <w:next w:val="812"/>
    <w:link w:val="1010"/>
    <w:uiPriority w:val="9"/>
    <w:qFormat/>
    <w:pPr>
      <w:keepLines/>
      <w:keepNext/>
      <w:spacing w:before="200"/>
      <w:outlineLvl w:val="2"/>
    </w:pPr>
    <w:rPr>
      <w:rFonts w:ascii="Cambria" w:hAnsi="Cambria"/>
      <w:b/>
      <w:bCs/>
      <w:color w:val="4f81bd"/>
    </w:rPr>
  </w:style>
  <w:style w:type="paragraph" w:styleId="816">
    <w:name w:val="Heading 4"/>
    <w:basedOn w:val="812"/>
    <w:next w:val="812"/>
    <w:link w:val="1011"/>
    <w:uiPriority w:val="9"/>
    <w:qFormat/>
    <w:pPr>
      <w:keepLines/>
      <w:keepNext/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paragraph" w:styleId="817">
    <w:name w:val="Heading 5"/>
    <w:basedOn w:val="812"/>
    <w:next w:val="812"/>
    <w:link w:val="1020"/>
    <w:uiPriority w:val="9"/>
    <w:qFormat/>
    <w:pPr>
      <w:keepNext/>
      <w:outlineLvl w:val="4"/>
    </w:pPr>
    <w:rPr>
      <w:b/>
      <w:i/>
      <w:sz w:val="26"/>
      <w:szCs w:val="26"/>
    </w:rPr>
  </w:style>
  <w:style w:type="paragraph" w:styleId="818">
    <w:name w:val="Heading 6"/>
    <w:basedOn w:val="812"/>
    <w:next w:val="812"/>
    <w:link w:val="1035"/>
    <w:uiPriority w:val="9"/>
    <w:qFormat/>
    <w:pPr>
      <w:ind w:firstLine="709"/>
      <w:jc w:val="right"/>
      <w:keepNext/>
      <w:outlineLvl w:val="5"/>
    </w:pPr>
    <w:rPr>
      <w:b/>
      <w:sz w:val="26"/>
      <w:szCs w:val="26"/>
    </w:rPr>
  </w:style>
  <w:style w:type="paragraph" w:styleId="819">
    <w:name w:val="Heading 7"/>
    <w:basedOn w:val="812"/>
    <w:next w:val="812"/>
    <w:link w:val="991"/>
    <w:uiPriority w:val="9"/>
    <w:qFormat/>
    <w:pPr>
      <w:ind w:left="3469" w:hanging="1296"/>
      <w:spacing w:before="240" w:after="60"/>
      <w:tabs>
        <w:tab w:val="num" w:pos="3469" w:leader="none"/>
      </w:tabs>
      <w:outlineLvl w:val="6"/>
    </w:pPr>
  </w:style>
  <w:style w:type="paragraph" w:styleId="820">
    <w:name w:val="Heading 8"/>
    <w:basedOn w:val="812"/>
    <w:next w:val="812"/>
    <w:link w:val="1038"/>
    <w:uiPriority w:val="9"/>
    <w:qFormat/>
    <w:pPr>
      <w:keepLines/>
      <w:keepNext/>
      <w:spacing w:before="200"/>
      <w:outlineLvl w:val="7"/>
    </w:pPr>
    <w:rPr>
      <w:rFonts w:ascii="Cambria" w:hAnsi="Cambria"/>
      <w:color w:val="404040"/>
      <w:sz w:val="20"/>
      <w:szCs w:val="20"/>
    </w:rPr>
  </w:style>
  <w:style w:type="paragraph" w:styleId="821">
    <w:name w:val="Heading 9"/>
    <w:basedOn w:val="812"/>
    <w:next w:val="812"/>
    <w:link w:val="1039"/>
    <w:uiPriority w:val="9"/>
    <w:qFormat/>
    <w:pPr>
      <w:jc w:val="center"/>
      <w:keepNext/>
      <w:outlineLvl w:val="8"/>
    </w:pPr>
    <w:rPr>
      <w:bCs/>
      <w:i/>
      <w:iCs/>
      <w:sz w:val="26"/>
      <w:szCs w:val="26"/>
    </w:rPr>
  </w:style>
  <w:style w:type="character" w:styleId="822" w:default="1">
    <w:name w:val="Default Paragraph Font"/>
    <w:uiPriority w:val="1"/>
    <w:semiHidden/>
    <w:unhideWhenUsed/>
  </w:style>
  <w:style w:type="table" w:styleId="823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24" w:default="1">
    <w:name w:val="No List"/>
    <w:uiPriority w:val="99"/>
    <w:semiHidden/>
    <w:unhideWhenUsed/>
  </w:style>
  <w:style w:type="character" w:styleId="825" w:customStyle="1">
    <w:name w:val="Heading 1 Char"/>
    <w:basedOn w:val="822"/>
    <w:uiPriority w:val="9"/>
    <w:rPr>
      <w:rFonts w:ascii="Arial" w:hAnsi="Arial" w:eastAsia="Arial" w:cs="Arial"/>
      <w:sz w:val="40"/>
      <w:szCs w:val="40"/>
    </w:rPr>
  </w:style>
  <w:style w:type="character" w:styleId="826" w:customStyle="1">
    <w:name w:val="Heading 2 Char"/>
    <w:basedOn w:val="822"/>
    <w:uiPriority w:val="9"/>
    <w:rPr>
      <w:rFonts w:ascii="Arial" w:hAnsi="Arial" w:eastAsia="Arial" w:cs="Arial"/>
      <w:sz w:val="34"/>
    </w:rPr>
  </w:style>
  <w:style w:type="character" w:styleId="827" w:customStyle="1">
    <w:name w:val="Heading 3 Char"/>
    <w:basedOn w:val="822"/>
    <w:uiPriority w:val="9"/>
    <w:rPr>
      <w:rFonts w:ascii="Arial" w:hAnsi="Arial" w:eastAsia="Arial" w:cs="Arial"/>
      <w:sz w:val="30"/>
      <w:szCs w:val="30"/>
    </w:rPr>
  </w:style>
  <w:style w:type="character" w:styleId="828" w:customStyle="1">
    <w:name w:val="Heading 4 Char"/>
    <w:basedOn w:val="822"/>
    <w:uiPriority w:val="9"/>
    <w:rPr>
      <w:rFonts w:ascii="Arial" w:hAnsi="Arial" w:eastAsia="Arial" w:cs="Arial"/>
      <w:b/>
      <w:bCs/>
      <w:sz w:val="26"/>
      <w:szCs w:val="26"/>
    </w:rPr>
  </w:style>
  <w:style w:type="character" w:styleId="829" w:customStyle="1">
    <w:name w:val="Heading 5 Char"/>
    <w:basedOn w:val="822"/>
    <w:uiPriority w:val="9"/>
    <w:rPr>
      <w:rFonts w:ascii="Arial" w:hAnsi="Arial" w:eastAsia="Arial" w:cs="Arial"/>
      <w:b/>
      <w:bCs/>
      <w:sz w:val="24"/>
      <w:szCs w:val="24"/>
    </w:rPr>
  </w:style>
  <w:style w:type="character" w:styleId="830" w:customStyle="1">
    <w:name w:val="Heading 6 Char"/>
    <w:basedOn w:val="822"/>
    <w:uiPriority w:val="9"/>
    <w:rPr>
      <w:rFonts w:ascii="Arial" w:hAnsi="Arial" w:eastAsia="Arial" w:cs="Arial"/>
      <w:b/>
      <w:bCs/>
      <w:sz w:val="22"/>
      <w:szCs w:val="22"/>
    </w:rPr>
  </w:style>
  <w:style w:type="character" w:styleId="831" w:customStyle="1">
    <w:name w:val="Heading 7 Char"/>
    <w:basedOn w:val="822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832" w:customStyle="1">
    <w:name w:val="Heading 8 Char"/>
    <w:basedOn w:val="822"/>
    <w:uiPriority w:val="9"/>
    <w:rPr>
      <w:rFonts w:ascii="Arial" w:hAnsi="Arial" w:eastAsia="Arial" w:cs="Arial"/>
      <w:i/>
      <w:iCs/>
      <w:sz w:val="22"/>
      <w:szCs w:val="22"/>
    </w:rPr>
  </w:style>
  <w:style w:type="character" w:styleId="833" w:customStyle="1">
    <w:name w:val="Heading 9 Char"/>
    <w:basedOn w:val="822"/>
    <w:uiPriority w:val="9"/>
    <w:rPr>
      <w:rFonts w:ascii="Arial" w:hAnsi="Arial" w:eastAsia="Arial" w:cs="Arial"/>
      <w:i/>
      <w:iCs/>
      <w:sz w:val="21"/>
      <w:szCs w:val="21"/>
    </w:rPr>
  </w:style>
  <w:style w:type="paragraph" w:styleId="834">
    <w:name w:val="Title"/>
    <w:basedOn w:val="812"/>
    <w:next w:val="812"/>
    <w:link w:val="8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835" w:customStyle="1">
    <w:name w:val="Заголовок Знак"/>
    <w:basedOn w:val="822"/>
    <w:link w:val="834"/>
    <w:uiPriority w:val="10"/>
    <w:rPr>
      <w:sz w:val="48"/>
      <w:szCs w:val="48"/>
    </w:rPr>
  </w:style>
  <w:style w:type="paragraph" w:styleId="836">
    <w:name w:val="Subtitle"/>
    <w:basedOn w:val="812"/>
    <w:next w:val="812"/>
    <w:link w:val="837"/>
    <w:uiPriority w:val="11"/>
    <w:qFormat/>
    <w:pPr>
      <w:spacing w:before="200" w:after="200"/>
    </w:pPr>
  </w:style>
  <w:style w:type="character" w:styleId="837" w:customStyle="1">
    <w:name w:val="Подзаголовок Знак"/>
    <w:basedOn w:val="822"/>
    <w:link w:val="836"/>
    <w:uiPriority w:val="11"/>
    <w:rPr>
      <w:sz w:val="24"/>
      <w:szCs w:val="24"/>
    </w:rPr>
  </w:style>
  <w:style w:type="paragraph" w:styleId="838">
    <w:name w:val="Quote"/>
    <w:basedOn w:val="812"/>
    <w:next w:val="812"/>
    <w:link w:val="839"/>
    <w:uiPriority w:val="29"/>
    <w:qFormat/>
    <w:pPr>
      <w:ind w:left="720" w:right="720"/>
    </w:pPr>
    <w:rPr>
      <w:i/>
    </w:rPr>
  </w:style>
  <w:style w:type="character" w:styleId="839" w:customStyle="1">
    <w:name w:val="Цитата 2 Знак"/>
    <w:link w:val="838"/>
    <w:uiPriority w:val="29"/>
    <w:rPr>
      <w:i/>
    </w:rPr>
  </w:style>
  <w:style w:type="paragraph" w:styleId="840">
    <w:name w:val="Intense Quote"/>
    <w:basedOn w:val="812"/>
    <w:next w:val="812"/>
    <w:link w:val="841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841" w:customStyle="1">
    <w:name w:val="Выделенная цитата Знак"/>
    <w:link w:val="840"/>
    <w:uiPriority w:val="30"/>
    <w:rPr>
      <w:i/>
    </w:rPr>
  </w:style>
  <w:style w:type="character" w:styleId="842" w:customStyle="1">
    <w:name w:val="Header Char"/>
    <w:basedOn w:val="822"/>
    <w:uiPriority w:val="99"/>
  </w:style>
  <w:style w:type="character" w:styleId="843" w:customStyle="1">
    <w:name w:val="Footer Char"/>
    <w:basedOn w:val="822"/>
    <w:uiPriority w:val="99"/>
  </w:style>
  <w:style w:type="paragraph" w:styleId="844">
    <w:name w:val="Caption"/>
    <w:basedOn w:val="812"/>
    <w:next w:val="812"/>
    <w:link w:val="845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styleId="845" w:customStyle="1">
    <w:name w:val="Название объекта Знак"/>
    <w:basedOn w:val="822"/>
    <w:link w:val="844"/>
    <w:uiPriority w:val="35"/>
    <w:rPr>
      <w:b/>
      <w:bCs/>
      <w:color w:val="5b9bd5" w:themeColor="accent1"/>
      <w:sz w:val="18"/>
      <w:szCs w:val="18"/>
    </w:rPr>
  </w:style>
  <w:style w:type="table" w:styleId="846" w:customStyle="1">
    <w:name w:val="Table Grid Light"/>
    <w:basedOn w:val="823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847">
    <w:name w:val="Plain Table 1"/>
    <w:basedOn w:val="823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48">
    <w:name w:val="Plain Table 2"/>
    <w:basedOn w:val="823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49">
    <w:name w:val="Plain Table 3"/>
    <w:basedOn w:val="823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850">
    <w:name w:val="Plain Table 4"/>
    <w:basedOn w:val="823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1">
    <w:name w:val="Plain Table 5"/>
    <w:basedOn w:val="823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852">
    <w:name w:val="Grid Table 1 Light"/>
    <w:basedOn w:val="823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3" w:customStyle="1">
    <w:name w:val="Grid Table 1 Light - Accent 1"/>
    <w:basedOn w:val="823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EC4E6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4" w:customStyle="1">
    <w:name w:val="Grid Table 1 Light - Accent 2"/>
    <w:basedOn w:val="823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4B28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5" w:customStyle="1">
    <w:name w:val="Grid Table 1 Light - Accent 3"/>
    <w:basedOn w:val="823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ACACA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6" w:customStyle="1">
    <w:name w:val="Grid Table 1 Light - Accent 4"/>
    <w:basedOn w:val="823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FDA6A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7" w:customStyle="1">
    <w:name w:val="Grid Table 1 Light - Accent 5"/>
    <w:basedOn w:val="823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1ACDC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8" w:customStyle="1">
    <w:name w:val="Grid Table 1 Light - Accent 6"/>
    <w:basedOn w:val="823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AAD19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9">
    <w:name w:val="Grid Table 2"/>
    <w:basedOn w:val="823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0" w:customStyle="1">
    <w:name w:val="Grid Table 2 - Accent 1"/>
    <w:basedOn w:val="823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8A2D8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8A2D8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1" w:customStyle="1">
    <w:name w:val="Grid Table 2 - Accent 2"/>
    <w:basedOn w:val="823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4B184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2" w:customStyle="1">
    <w:name w:val="Grid Table 2 - Accent 3"/>
    <w:basedOn w:val="823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A5A5A5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3" w:customStyle="1">
    <w:name w:val="Grid Table 2 - Accent 4"/>
    <w:basedOn w:val="823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FD865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4" w:customStyle="1">
    <w:name w:val="Grid Table 2 - Accent 5"/>
    <w:basedOn w:val="823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5" w:customStyle="1">
    <w:name w:val="Grid Table 2 - Accent 6"/>
    <w:basedOn w:val="823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6">
    <w:name w:val="Grid Table 3"/>
    <w:basedOn w:val="823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7" w:customStyle="1">
    <w:name w:val="Grid Table 3 - Accent 1"/>
    <w:basedOn w:val="823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8" w:customStyle="1">
    <w:name w:val="Grid Table 3 - Accent 2"/>
    <w:basedOn w:val="823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9" w:customStyle="1">
    <w:name w:val="Grid Table 3 - Accent 3"/>
    <w:basedOn w:val="823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0" w:customStyle="1">
    <w:name w:val="Grid Table 3 - Accent 4"/>
    <w:basedOn w:val="823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1" w:customStyle="1">
    <w:name w:val="Grid Table 3 - Accent 5"/>
    <w:basedOn w:val="823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2" w:customStyle="1">
    <w:name w:val="Grid Table 3 - Accent 6"/>
    <w:basedOn w:val="823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3">
    <w:name w:val="Grid Table 4"/>
    <w:basedOn w:val="823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874" w:customStyle="1">
    <w:name w:val="Grid Table 4 - Accent 1"/>
    <w:basedOn w:val="823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68a2d8" w:themeColor="accent1" w:themeTint="EA" w:fill="68a2d8" w:themeFill="accent1" w:themeFillTint="EA"/>
        <w:tcBorders>
          <w:top w:val="single" w:color="68A2D8" w:themeColor="accent1" w:themeTint="EA" w:sz="4" w:space="0"/>
          <w:left w:val="single" w:color="68A2D8" w:themeColor="accent1" w:themeTint="EA" w:sz="4" w:space="0"/>
          <w:bottom w:val="single" w:color="68A2D8" w:themeColor="accent1" w:themeTint="EA" w:sz="4" w:space="0"/>
          <w:right w:val="single" w:color="68A2D8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68A2D8" w:themeColor="accent1" w:themeTint="EA" w:sz="4" w:space="0"/>
        </w:tcBorders>
      </w:tcPr>
    </w:tblStylePr>
  </w:style>
  <w:style w:type="table" w:styleId="875" w:customStyle="1">
    <w:name w:val="Grid Table 4 - Accent 2"/>
    <w:basedOn w:val="823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4" w:space="0"/>
          <w:left w:val="single" w:color="F4B184" w:themeColor="accent2" w:themeTint="97" w:sz="4" w:space="0"/>
          <w:bottom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4B184" w:themeColor="accent2" w:themeTint="97" w:sz="4" w:space="0"/>
        </w:tcBorders>
      </w:tcPr>
    </w:tblStylePr>
  </w:style>
  <w:style w:type="table" w:styleId="876" w:customStyle="1">
    <w:name w:val="Grid Table 4 - Accent 3"/>
    <w:basedOn w:val="823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themeTint="FE" w:fill="a5a5a5" w:themeFill="accent3" w:themeFillTint="FE"/>
        <w:tcBorders>
          <w:top w:val="single" w:color="A5A5A5" w:themeColor="accent3" w:themeTint="FE" w:sz="4" w:space="0"/>
          <w:left w:val="single" w:color="A5A5A5" w:themeColor="accent3" w:themeTint="FE" w:sz="4" w:space="0"/>
          <w:bottom w:val="single" w:color="A5A5A5" w:themeColor="accent3" w:themeTint="FE" w:sz="4" w:space="0"/>
          <w:right w:val="single" w:color="A5A5A5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themeTint="FE" w:sz="4" w:space="0"/>
        </w:tcBorders>
      </w:tcPr>
    </w:tblStylePr>
  </w:style>
  <w:style w:type="table" w:styleId="877" w:customStyle="1">
    <w:name w:val="Grid Table 4 - Accent 4"/>
    <w:basedOn w:val="823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4" w:space="0"/>
          <w:left w:val="single" w:color="FFD865" w:themeColor="accent4" w:themeTint="9A" w:sz="4" w:space="0"/>
          <w:bottom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D865" w:themeColor="accent4" w:themeTint="9A" w:sz="4" w:space="0"/>
        </w:tcBorders>
      </w:tcPr>
    </w:tblStylePr>
  </w:style>
  <w:style w:type="table" w:styleId="878" w:customStyle="1">
    <w:name w:val="Grid Table 4 - Accent 5"/>
    <w:basedOn w:val="823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</w:tcBorders>
      </w:tcPr>
    </w:tblStylePr>
  </w:style>
  <w:style w:type="table" w:styleId="879" w:customStyle="1">
    <w:name w:val="Grid Table 4 - Accent 6"/>
    <w:basedOn w:val="823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</w:tcBorders>
      </w:tcPr>
    </w:tblStylePr>
  </w:style>
  <w:style w:type="table" w:styleId="880">
    <w:name w:val="Grid Table 5 Dark"/>
    <w:basedOn w:val="823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881" w:customStyle="1">
    <w:name w:val="Grid Table 5 Dark- Accent 1"/>
    <w:basedOn w:val="823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deaf6" w:themeColor="accent1" w:themeTint="34" w:fill="ddeaf6" w:themeFill="accent1" w:themeFillTint="34"/>
    </w:tblPr>
    <w:tblStylePr w:type="band1Horz">
      <w:tcPr>
        <w:shd w:val="clear" w:color="b3d0eb" w:themeColor="accent1" w:themeTint="75" w:fill="b3d0eb" w:themeFill="accent1" w:themeFillTint="75"/>
      </w:tcPr>
    </w:tblStylePr>
    <w:tblStylePr w:type="band1Vert">
      <w:tcPr>
        <w:shd w:val="clear" w:color="b3d0eb" w:themeColor="accent1" w:themeTint="75" w:fill="b3d0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  <w:tcBorders>
          <w:top w:val="single" w:color="FFFFFF" w:themeColor="light1" w:sz="4" w:space="0"/>
        </w:tcBorders>
      </w:tcPr>
    </w:tblStylePr>
  </w:style>
  <w:style w:type="table" w:styleId="882" w:customStyle="1">
    <w:name w:val="Grid Table 5 Dark - Accent 2"/>
    <w:basedOn w:val="823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be5d6" w:themeColor="accent2" w:themeTint="32" w:fill="fbe5d6" w:themeFill="accent2" w:themeFillTint="32"/>
    </w:tblPr>
    <w:tblStylePr w:type="band1Horz">
      <w:tcPr>
        <w:shd w:val="clear" w:color="f6c3a0" w:themeColor="accent2" w:themeTint="75" w:fill="f6c3a0" w:themeFill="accent2" w:themeFillTint="75"/>
      </w:tcPr>
    </w:tblStylePr>
    <w:tblStylePr w:type="band1Vert">
      <w:tcPr>
        <w:shd w:val="clear" w:color="f6c3a0" w:themeColor="accent2" w:themeTint="75" w:fill="f6c3a0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  <w:tcBorders>
          <w:top w:val="single" w:color="FFFFFF" w:themeColor="light1" w:sz="4" w:space="0"/>
        </w:tcBorders>
      </w:tcPr>
    </w:tblStylePr>
  </w:style>
  <w:style w:type="table" w:styleId="883" w:customStyle="1">
    <w:name w:val="Grid Table 5 Dark - Accent 3"/>
    <w:basedOn w:val="823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cecec" w:themeColor="accent3" w:themeTint="34" w:fill="ececec" w:themeFill="accent3" w:themeFillTint="34"/>
    </w:tblPr>
    <w:tblStylePr w:type="band1Horz">
      <w:tcPr>
        <w:shd w:val="clear" w:color="d5d5d5" w:themeColor="accent3" w:themeTint="75" w:fill="d5d5d5" w:themeFill="accent3" w:themeFillTint="75"/>
      </w:tcPr>
    </w:tblStylePr>
    <w:tblStylePr w:type="band1Vert">
      <w:tcPr>
        <w:shd w:val="clear" w:color="d5d5d5" w:themeColor="accent3" w:themeTint="75" w:fill="d5d5d5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  <w:tcBorders>
          <w:top w:val="single" w:color="FFFFFF" w:themeColor="light1" w:sz="4" w:space="0"/>
        </w:tcBorders>
      </w:tcPr>
    </w:tblStylePr>
  </w:style>
  <w:style w:type="table" w:styleId="884" w:customStyle="1">
    <w:name w:val="Grid Table 5 Dark- Accent 4"/>
    <w:basedOn w:val="823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ff2cb" w:themeColor="accent4" w:themeTint="34" w:fill="fff2cb" w:themeFill="accent4" w:themeFillTint="34"/>
    </w:tblPr>
    <w:tblStylePr w:type="band1Horz">
      <w:tcPr>
        <w:shd w:val="clear" w:color="ffe28a" w:themeColor="accent4" w:themeTint="75" w:fill="ffe28a" w:themeFill="accent4" w:themeFillTint="75"/>
      </w:tcPr>
    </w:tblStylePr>
    <w:tblStylePr w:type="band1Vert">
      <w:tcPr>
        <w:shd w:val="clear" w:color="ffe28a" w:themeColor="accent4" w:themeTint="75" w:fill="ffe28a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  <w:tcBorders>
          <w:top w:val="single" w:color="FFFFFF" w:themeColor="light1" w:sz="4" w:space="0"/>
        </w:tcBorders>
      </w:tcPr>
    </w:tblStylePr>
  </w:style>
  <w:style w:type="table" w:styleId="885" w:customStyle="1">
    <w:name w:val="Grid Table 5 Dark - Accent 5"/>
    <w:basedOn w:val="823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8e2f3" w:themeColor="accent5" w:themeTint="34" w:fill="d8e2f3" w:themeFill="accent5" w:themeFillTint="34"/>
    </w:tblPr>
    <w:tblStylePr w:type="band1Horz">
      <w:tcPr>
        <w:shd w:val="clear" w:color="a9bee4" w:themeColor="accent5" w:themeTint="75" w:fill="a9bee4" w:themeFill="accent5" w:themeFillTint="75"/>
      </w:tcPr>
    </w:tblStylePr>
    <w:tblStylePr w:type="band1Vert">
      <w:tcPr>
        <w:shd w:val="clear" w:color="a9bee4" w:themeColor="accent5" w:themeTint="75" w:fill="a9be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FFFFFF" w:themeColor="light1" w:sz="4" w:space="0"/>
        </w:tcBorders>
      </w:tcPr>
    </w:tblStylePr>
  </w:style>
  <w:style w:type="table" w:styleId="886" w:customStyle="1">
    <w:name w:val="Grid Table 5 Dark - Accent 6"/>
    <w:basedOn w:val="823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1efd8" w:themeColor="accent6" w:themeTint="34" w:fill="e1efd8" w:themeFill="accent6" w:themeFillTint="34"/>
    </w:tblPr>
    <w:tblStylePr w:type="band1Horz">
      <w:tcPr>
        <w:shd w:val="clear" w:color="bcdba8" w:themeColor="accent6" w:themeTint="75" w:fill="bcdba8" w:themeFill="accent6" w:themeFillTint="75"/>
      </w:tcPr>
    </w:tblStylePr>
    <w:tblStylePr w:type="band1Vert">
      <w:tcPr>
        <w:shd w:val="clear" w:color="bcdba8" w:themeColor="accent6" w:themeTint="75" w:fill="bc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FFFFFF" w:themeColor="light1" w:sz="4" w:space="0"/>
        </w:tcBorders>
      </w:tcPr>
    </w:tblStylePr>
  </w:style>
  <w:style w:type="table" w:styleId="887">
    <w:name w:val="Grid Table 6 Colorful"/>
    <w:basedOn w:val="823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888" w:customStyle="1">
    <w:name w:val="Grid Table 6 Colorful - Accent 1"/>
    <w:basedOn w:val="823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b/>
        <w:color w:val="acccea" w:themeColor="accent1" w:themeTint="80" w:themeShade="95"/>
      </w:rPr>
    </w:tblStylePr>
    <w:tblStylePr w:type="firstRow">
      <w:rPr>
        <w:b/>
        <w:color w:val="acccea" w:themeColor="accent1" w:themeTint="80" w:themeShade="95"/>
      </w:rPr>
      <w:tcPr>
        <w:tcBorders>
          <w:bottom w:val="single" w:color="ACCCEA" w:themeColor="accent1" w:themeTint="80" w:sz="12" w:space="0"/>
        </w:tcBorders>
      </w:tcPr>
    </w:tblStylePr>
    <w:tblStylePr w:type="lastCol">
      <w:rPr>
        <w:b/>
        <w:color w:val="acccea" w:themeColor="accent1" w:themeTint="80" w:themeShade="95"/>
      </w:rPr>
    </w:tblStylePr>
    <w:tblStylePr w:type="lastRow">
      <w:rPr>
        <w:b/>
        <w:color w:val="acccea" w:themeColor="accent1" w:themeTint="80" w:themeShade="95"/>
      </w:rPr>
    </w:tblStylePr>
  </w:style>
  <w:style w:type="table" w:styleId="889" w:customStyle="1">
    <w:name w:val="Grid Table 6 Colorful - Accent 2"/>
    <w:basedOn w:val="823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</w:tblStylePr>
  </w:style>
  <w:style w:type="table" w:styleId="890" w:customStyle="1">
    <w:name w:val="Grid Table 6 Colorful - Accent 3"/>
    <w:basedOn w:val="823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b/>
        <w:color w:val="a5a5a5" w:themeColor="accent3" w:themeTint="FE" w:themeShade="95"/>
      </w:rPr>
    </w:tblStylePr>
    <w:tblStylePr w:type="firstRow">
      <w:rPr>
        <w:b/>
        <w:color w:val="a5a5a5" w:themeColor="accent3" w:themeTint="FE" w:themeShade="95"/>
      </w:rPr>
      <w:tcPr>
        <w:tcBorders>
          <w:bottom w:val="single" w:color="A5A5A5" w:themeColor="accent3" w:themeTint="FE" w:sz="12" w:space="0"/>
        </w:tcBorders>
      </w:tcPr>
    </w:tblStylePr>
    <w:tblStylePr w:type="lastCol">
      <w:rPr>
        <w:b/>
        <w:color w:val="a5a5a5" w:themeColor="accent3" w:themeTint="FE" w:themeShade="95"/>
      </w:rPr>
    </w:tblStylePr>
    <w:tblStylePr w:type="lastRow">
      <w:rPr>
        <w:b/>
        <w:color w:val="a5a5a5" w:themeColor="accent3" w:themeTint="FE" w:themeShade="95"/>
      </w:rPr>
    </w:tblStylePr>
  </w:style>
  <w:style w:type="table" w:styleId="891" w:customStyle="1">
    <w:name w:val="Grid Table 6 Colorful - Accent 4"/>
    <w:basedOn w:val="823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</w:tblStylePr>
  </w:style>
  <w:style w:type="table" w:styleId="892" w:customStyle="1">
    <w:name w:val="Grid Table 6 Colorful - Accent 5"/>
    <w:basedOn w:val="823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4472C4" w:themeColor="accent5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893" w:customStyle="1">
    <w:name w:val="Grid Table 6 Colorful - Accent 6"/>
    <w:basedOn w:val="823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70AD47" w:themeColor="accent6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894">
    <w:name w:val="Grid Table 7 Colorful"/>
    <w:basedOn w:val="823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5" w:customStyle="1">
    <w:name w:val="Grid Table 7 Colorful - Accent 1"/>
    <w:basedOn w:val="823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rFonts w:ascii="Arial" w:hAnsi="Arial"/>
        <w:i/>
        <w:color w:val="acccea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CCCEA" w:themeColor="accent1" w:themeTint="80" w:sz="4" w:space="0"/>
        </w:tcBorders>
      </w:tcPr>
    </w:tblStylePr>
    <w:tblStylePr w:type="firstRow">
      <w:rPr>
        <w:rFonts w:ascii="Arial" w:hAnsi="Arial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CCCEA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ACCCEA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CCCEA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6" w:customStyle="1">
    <w:name w:val="Grid Table 7 Colorful - Accent 2"/>
    <w:basedOn w:val="823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7" w:customStyle="1">
    <w:name w:val="Grid Table 7 Colorful - Accent 3"/>
    <w:basedOn w:val="823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rFonts w:ascii="Arial" w:hAnsi="Arial"/>
        <w:i/>
        <w:color w:val="a5a5a5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themeTint="FE" w:sz="4" w:space="0"/>
        </w:tcBorders>
      </w:tcPr>
    </w:tblStylePr>
    <w:tblStylePr w:type="fir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5A5A5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cPr>
        <w:shd w:val="clear" w:color="ffffff" w:fill="auto"/>
        <w:tcBorders>
          <w:top w:val="none" w:color="000000" w:sz="4" w:space="0"/>
          <w:left w:val="single" w:color="A5A5A5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8" w:customStyle="1">
    <w:name w:val="Grid Table 7 Colorful - Accent 4"/>
    <w:basedOn w:val="823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9" w:customStyle="1">
    <w:name w:val="Grid Table 7 Colorful - Accent 5"/>
    <w:basedOn w:val="823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rFonts w:ascii="Arial" w:hAnsi="Arial"/>
        <w:i/>
        <w:color w:val="254175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5AFDD" w:themeColor="accent5" w:themeTint="90" w:sz="4" w:space="0"/>
        </w:tcBorders>
      </w:tcPr>
    </w:tblStylePr>
    <w:tblStylePr w:type="firstRow">
      <w:rPr>
        <w:rFonts w:ascii="Arial" w:hAnsi="Arial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cPr>
        <w:shd w:val="clear" w:color="ffffff" w:fill="auto"/>
        <w:tcBorders>
          <w:top w:val="none" w:color="000000" w:sz="4" w:space="0"/>
          <w:left w:val="single" w:color="95AFDD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single" w:color="95AFDD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0" w:customStyle="1">
    <w:name w:val="Grid Table 7 Colorful - Accent 6"/>
    <w:basedOn w:val="823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16429" w:themeColor="accent6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  <w:tblStylePr w:type="firstCol">
      <w:rPr>
        <w:rFonts w:ascii="Arial" w:hAnsi="Arial"/>
        <w:i/>
        <w:color w:val="416429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DD394" w:themeColor="accent6" w:themeTint="90" w:sz="4" w:space="0"/>
        </w:tcBorders>
      </w:tcPr>
    </w:tblStylePr>
    <w:tblStylePr w:type="fir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cPr>
        <w:shd w:val="clear" w:color="ffffff" w:fill="auto"/>
        <w:tcBorders>
          <w:top w:val="none" w:color="000000" w:sz="4" w:space="0"/>
          <w:left w:val="single" w:color="ADD394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single" w:color="ADD394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1">
    <w:name w:val="List Table 1 Light"/>
    <w:basedOn w:val="823"/>
    <w:uiPriority w:val="99"/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2" w:customStyle="1">
    <w:name w:val="List Table 1 Light - Accent 1"/>
    <w:basedOn w:val="823"/>
    <w:uiPriority w:val="99"/>
    <w:tblPr>
      <w:tblStyleRowBandSize w:val="1"/>
      <w:tblStyleColBandSize w:val="1"/>
    </w:tblPr>
    <w:tblStylePr w:type="band1Horz"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3" w:customStyle="1">
    <w:name w:val="List Table 1 Light - Accent 2"/>
    <w:basedOn w:val="823"/>
    <w:uiPriority w:val="99"/>
    <w:tblPr>
      <w:tblStyleRowBandSize w:val="1"/>
      <w:tblStyleColBandSize w:val="1"/>
    </w:tblPr>
    <w:tblStylePr w:type="band1Horz"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4" w:customStyle="1">
    <w:name w:val="List Table 1 Light - Accent 3"/>
    <w:basedOn w:val="823"/>
    <w:uiPriority w:val="99"/>
    <w:tblPr>
      <w:tblStyleRowBandSize w:val="1"/>
      <w:tblStyleColBandSize w:val="1"/>
    </w:tblPr>
    <w:tblStylePr w:type="band1Horz"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5" w:customStyle="1">
    <w:name w:val="List Table 1 Light - Accent 4"/>
    <w:basedOn w:val="823"/>
    <w:uiPriority w:val="99"/>
    <w:tblPr>
      <w:tblStyleRowBandSize w:val="1"/>
      <w:tblStyleColBandSize w:val="1"/>
    </w:tblPr>
    <w:tblStylePr w:type="band1Horz"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6" w:customStyle="1">
    <w:name w:val="List Table 1 Light - Accent 5"/>
    <w:basedOn w:val="823"/>
    <w:uiPriority w:val="99"/>
    <w:tblPr>
      <w:tblStyleRowBandSize w:val="1"/>
      <w:tblStyleColBandSize w:val="1"/>
    </w:tblPr>
    <w:tblStylePr w:type="band1Horz"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7" w:customStyle="1">
    <w:name w:val="List Table 1 Light - Accent 6"/>
    <w:basedOn w:val="823"/>
    <w:uiPriority w:val="99"/>
    <w:tblPr>
      <w:tblStyleRowBandSize w:val="1"/>
      <w:tblStyleColBandSize w:val="1"/>
    </w:tblPr>
    <w:tblStylePr w:type="band1Horz"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8">
    <w:name w:val="List Table 2"/>
    <w:basedOn w:val="823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909" w:customStyle="1">
    <w:name w:val="List Table 2 - Accent 1"/>
    <w:basedOn w:val="823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</w:style>
  <w:style w:type="table" w:styleId="910" w:customStyle="1">
    <w:name w:val="List Table 2 - Accent 2"/>
    <w:basedOn w:val="823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</w:style>
  <w:style w:type="table" w:styleId="911" w:customStyle="1">
    <w:name w:val="List Table 2 - Accent 3"/>
    <w:basedOn w:val="823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</w:style>
  <w:style w:type="table" w:styleId="912" w:customStyle="1">
    <w:name w:val="List Table 2 - Accent 4"/>
    <w:basedOn w:val="823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</w:style>
  <w:style w:type="table" w:styleId="913" w:customStyle="1">
    <w:name w:val="List Table 2 - Accent 5"/>
    <w:basedOn w:val="823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</w:style>
  <w:style w:type="table" w:styleId="914" w:customStyle="1">
    <w:name w:val="List Table 2 - Accent 6"/>
    <w:basedOn w:val="823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</w:style>
  <w:style w:type="table" w:styleId="915">
    <w:name w:val="List Table 3"/>
    <w:basedOn w:val="823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6" w:customStyle="1">
    <w:name w:val="List Table 3 - Accent 1"/>
    <w:basedOn w:val="823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7" w:customStyle="1">
    <w:name w:val="List Table 3 - Accent 2"/>
    <w:basedOn w:val="823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4B184" w:themeColor="accent2" w:themeTint="97" w:sz="4" w:space="0"/>
          <w:bottom w:val="single" w:color="F4B184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8" w:customStyle="1">
    <w:name w:val="List Table 3 - Accent 3"/>
    <w:basedOn w:val="823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9C9C9" w:themeColor="accent3" w:themeTint="98" w:sz="4" w:space="0"/>
          <w:bottom w:val="single" w:color="C9C9C9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9C9C9" w:themeColor="accent3" w:themeTint="98" w:sz="4" w:space="0"/>
          <w:right w:val="single" w:color="C9C9C9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9c9c9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9" w:customStyle="1">
    <w:name w:val="List Table 3 - Accent 4"/>
    <w:basedOn w:val="823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D865" w:themeColor="accent4" w:themeTint="9A" w:sz="4" w:space="0"/>
          <w:bottom w:val="single" w:color="FFD865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20" w:customStyle="1">
    <w:name w:val="List Table 3 - Accent 5"/>
    <w:basedOn w:val="823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8DA9DB" w:themeColor="accent5" w:themeTint="9A" w:sz="4" w:space="0"/>
          <w:bottom w:val="single" w:color="8DA9DB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8DA9DB" w:themeColor="accent5" w:themeTint="9A" w:sz="4" w:space="0"/>
          <w:right w:val="single" w:color="8DA9DB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da9db" w:themeColor="accent5" w:themeTint="9A" w:fill="8da9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21" w:customStyle="1">
    <w:name w:val="List Table 3 - Accent 6"/>
    <w:basedOn w:val="823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A9D08E" w:themeColor="accent6" w:themeTint="98" w:sz="4" w:space="0"/>
          <w:bottom w:val="single" w:color="A9D08E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A9D08E" w:themeColor="accent6" w:themeTint="98" w:sz="4" w:space="0"/>
          <w:right w:val="single" w:color="A9D08E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9d08e" w:themeColor="accent6" w:themeTint="98" w:fill="a9d08e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22">
    <w:name w:val="List Table 4"/>
    <w:basedOn w:val="823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23" w:customStyle="1">
    <w:name w:val="List Table 4 - Accent 1"/>
    <w:basedOn w:val="823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24" w:customStyle="1">
    <w:name w:val="List Table 4 - Accent 2"/>
    <w:basedOn w:val="823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25" w:customStyle="1">
    <w:name w:val="List Table 4 - Accent 3"/>
    <w:basedOn w:val="823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26" w:customStyle="1">
    <w:name w:val="List Table 4 - Accent 4"/>
    <w:basedOn w:val="823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27" w:customStyle="1">
    <w:name w:val="List Table 4 - Accent 5"/>
    <w:basedOn w:val="823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28" w:customStyle="1">
    <w:name w:val="List Table 4 - Accent 6"/>
    <w:basedOn w:val="823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29">
    <w:name w:val="List Table 5 Dark"/>
    <w:basedOn w:val="823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30" w:customStyle="1">
    <w:name w:val="List Table 5 Dark - Accent 1"/>
    <w:basedOn w:val="823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  <w:shd w:val="clear" w:color="5b9bd5" w:themeColor="accent1" w:fill="5b9bd5" w:themeFill="accent1"/>
    </w:tblPr>
    <w:tblStylePr w:type="band1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5b9bd5" w:themeColor="accent1" w:fill="5b9bd5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5b9bd5" w:themeColor="accent1" w:fill="5b9bd5" w:themeFill="accent1"/>
        <w:tcBorders>
          <w:top w:val="single" w:color="5B9BD5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31" w:customStyle="1">
    <w:name w:val="List Table 5 Dark - Accent 2"/>
    <w:basedOn w:val="823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  <w:shd w:val="clear" w:color="f4b184" w:themeColor="accent2" w:themeTint="97" w:fill="f4b184" w:themeFill="accent2" w:themeFillTint="97"/>
    </w:tblPr>
    <w:tblStylePr w:type="band1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4b184" w:themeColor="accent2" w:themeTint="97" w:fill="f4b184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4B184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4B184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32" w:customStyle="1">
    <w:name w:val="List Table 5 Dark - Accent 3"/>
    <w:basedOn w:val="823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  <w:shd w:val="clear" w:color="c9c9c9" w:themeColor="accent3" w:themeTint="98" w:fill="c9c9c9" w:themeFill="accent3" w:themeFillTint="98"/>
    </w:tblPr>
    <w:tblStylePr w:type="band1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9c9c9" w:themeColor="accent3" w:themeTint="98" w:fill="c9c9c9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9C9C9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9c9c9" w:themeColor="accent3" w:themeTint="98" w:fill="c9c9c9" w:themeFill="accent3" w:themeFillTint="98"/>
        <w:tcBorders>
          <w:top w:val="single" w:color="C9C9C9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9C9C9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33" w:customStyle="1">
    <w:name w:val="List Table 5 Dark - Accent 4"/>
    <w:basedOn w:val="823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  <w:shd w:val="clear" w:color="ffd865" w:themeColor="accent4" w:themeTint="9A" w:fill="ffd865" w:themeFill="accent4" w:themeFillTint="9A"/>
    </w:tblPr>
    <w:tblStylePr w:type="band1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d865" w:themeColor="accent4" w:themeTint="9A" w:fill="ffd865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FD865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FD865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34" w:customStyle="1">
    <w:name w:val="List Table 5 Dark - Accent 5"/>
    <w:basedOn w:val="823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  <w:shd w:val="clear" w:color="8da9db" w:themeColor="accent5" w:themeTint="9A" w:fill="8da9db" w:themeFill="accent5" w:themeFillTint="9A"/>
    </w:tblPr>
    <w:tblStylePr w:type="band1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8da9db" w:themeColor="accent5" w:themeTint="9A" w:fill="8da9db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8DA9DB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8da9db" w:themeColor="accent5" w:themeTint="9A" w:fill="8da9db" w:themeFill="accent5" w:themeFillTint="9A"/>
        <w:tcBorders>
          <w:top w:val="single" w:color="8DA9DB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8DA9DB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35" w:customStyle="1">
    <w:name w:val="List Table 5 Dark - Accent 6"/>
    <w:basedOn w:val="823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  <w:shd w:val="clear" w:color="a9d08e" w:themeColor="accent6" w:themeTint="98" w:fill="a9d08e" w:themeFill="accent6" w:themeFillTint="98"/>
    </w:tblPr>
    <w:tblStylePr w:type="band1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a9d08e" w:themeColor="accent6" w:themeTint="98" w:fill="a9d08e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A9D08E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9d08e" w:themeColor="accent6" w:themeTint="98" w:fill="a9d08e" w:themeFill="accent6" w:themeFillTint="98"/>
        <w:tcBorders>
          <w:top w:val="single" w:color="A9D08E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A9D08E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36">
    <w:name w:val="List Table 6 Colorful"/>
    <w:basedOn w:val="823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937" w:customStyle="1">
    <w:name w:val="List Table 6 Colorful - Accent 1"/>
    <w:basedOn w:val="823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b/>
        <w:color w:val="245a8d" w:themeColor="accent1" w:themeShade="95"/>
      </w:rPr>
    </w:tblStylePr>
    <w:tblStylePr w:type="firstRow">
      <w:rPr>
        <w:b/>
        <w:color w:val="245a8d" w:themeColor="accent1" w:themeShade="95"/>
      </w:rPr>
      <w:tcPr>
        <w:tcBorders>
          <w:bottom w:val="single" w:color="5B9BD5" w:themeColor="accent1" w:sz="4" w:space="0"/>
        </w:tcBorders>
      </w:tcPr>
    </w:tblStylePr>
    <w:tblStylePr w:type="lastCol">
      <w:rPr>
        <w:b/>
        <w:color w:val="245a8d" w:themeColor="accent1" w:themeShade="95"/>
      </w:rPr>
    </w:tblStylePr>
    <w:tblStylePr w:type="lastRow">
      <w:rPr>
        <w:b/>
        <w:color w:val="245a8d" w:themeColor="accent1" w:themeShade="95"/>
      </w:rPr>
      <w:tcPr>
        <w:tcBorders>
          <w:top w:val="single" w:color="5B9BD5" w:themeColor="accent1" w:sz="4" w:space="0"/>
        </w:tcBorders>
      </w:tcPr>
    </w:tblStylePr>
  </w:style>
  <w:style w:type="table" w:styleId="938" w:customStyle="1">
    <w:name w:val="List Table 6 Colorful - Accent 2"/>
    <w:basedOn w:val="823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4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  <w:tcPr>
        <w:tcBorders>
          <w:top w:val="single" w:color="F4B184" w:themeColor="accent2" w:themeTint="97" w:sz="4" w:space="0"/>
        </w:tcBorders>
      </w:tcPr>
    </w:tblStylePr>
  </w:style>
  <w:style w:type="table" w:styleId="939" w:customStyle="1">
    <w:name w:val="List Table 6 Colorful - Accent 3"/>
    <w:basedOn w:val="823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b/>
        <w:color w:val="c9c9c9" w:themeColor="accent3" w:themeTint="98" w:themeShade="95"/>
      </w:rPr>
    </w:tblStylePr>
    <w:tblStylePr w:type="firstRow">
      <w:rPr>
        <w:b/>
        <w:color w:val="c9c9c9" w:themeColor="accent3" w:themeTint="98" w:themeShade="95"/>
      </w:rPr>
      <w:tcPr>
        <w:tcBorders>
          <w:bottom w:val="single" w:color="C9C9C9" w:themeColor="accent3" w:themeTint="98" w:sz="4" w:space="0"/>
        </w:tcBorders>
      </w:tcPr>
    </w:tblStylePr>
    <w:tblStylePr w:type="lastCol">
      <w:rPr>
        <w:b/>
        <w:color w:val="c9c9c9" w:themeColor="accent3" w:themeTint="98" w:themeShade="95"/>
      </w:rPr>
    </w:tblStylePr>
    <w:tblStylePr w:type="lastRow">
      <w:rPr>
        <w:b/>
        <w:color w:val="c9c9c9" w:themeColor="accent3" w:themeTint="98" w:themeShade="95"/>
      </w:rPr>
      <w:tcPr>
        <w:tcBorders>
          <w:top w:val="single" w:color="C9C9C9" w:themeColor="accent3" w:themeTint="98" w:sz="4" w:space="0"/>
        </w:tcBorders>
      </w:tcPr>
    </w:tblStylePr>
  </w:style>
  <w:style w:type="table" w:styleId="940" w:customStyle="1">
    <w:name w:val="List Table 6 Colorful - Accent 4"/>
    <w:basedOn w:val="823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4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  <w:tcPr>
        <w:tcBorders>
          <w:top w:val="single" w:color="FFD865" w:themeColor="accent4" w:themeTint="9A" w:sz="4" w:space="0"/>
        </w:tcBorders>
      </w:tcPr>
    </w:tblStylePr>
  </w:style>
  <w:style w:type="table" w:styleId="941" w:customStyle="1">
    <w:name w:val="List Table 6 Colorful - Accent 5"/>
    <w:basedOn w:val="823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b/>
        <w:color w:val="8da9db" w:themeColor="accent5" w:themeTint="9A" w:themeShade="95"/>
      </w:rPr>
    </w:tblStylePr>
    <w:tblStylePr w:type="firstRow">
      <w:rPr>
        <w:b/>
        <w:color w:val="8da9db" w:themeColor="accent5" w:themeTint="9A" w:themeShade="95"/>
      </w:rPr>
      <w:tcPr>
        <w:tcBorders>
          <w:bottom w:val="single" w:color="8DA9DB" w:themeColor="accent5" w:themeTint="9A" w:sz="4" w:space="0"/>
        </w:tcBorders>
      </w:tcPr>
    </w:tblStylePr>
    <w:tblStylePr w:type="lastCol">
      <w:rPr>
        <w:b/>
        <w:color w:val="8da9db" w:themeColor="accent5" w:themeTint="9A" w:themeShade="95"/>
      </w:rPr>
    </w:tblStylePr>
    <w:tblStylePr w:type="lastRow">
      <w:rPr>
        <w:b/>
        <w:color w:val="8da9db" w:themeColor="accent5" w:themeTint="9A" w:themeShade="95"/>
      </w:rPr>
      <w:tcPr>
        <w:tcBorders>
          <w:top w:val="single" w:color="8DA9DB" w:themeColor="accent5" w:themeTint="9A" w:sz="4" w:space="0"/>
        </w:tcBorders>
      </w:tcPr>
    </w:tblStylePr>
  </w:style>
  <w:style w:type="table" w:styleId="942" w:customStyle="1">
    <w:name w:val="List Table 6 Colorful - Accent 6"/>
    <w:basedOn w:val="823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b/>
        <w:color w:val="a9d08e" w:themeColor="accent6" w:themeTint="98" w:themeShade="95"/>
      </w:rPr>
    </w:tblStylePr>
    <w:tblStylePr w:type="firstRow">
      <w:rPr>
        <w:b/>
        <w:color w:val="a9d08e" w:themeColor="accent6" w:themeTint="98" w:themeShade="95"/>
      </w:rPr>
      <w:tcPr>
        <w:tcBorders>
          <w:bottom w:val="single" w:color="A9D08E" w:themeColor="accent6" w:themeTint="98" w:sz="4" w:space="0"/>
        </w:tcBorders>
      </w:tcPr>
    </w:tblStylePr>
    <w:tblStylePr w:type="lastCol">
      <w:rPr>
        <w:b/>
        <w:color w:val="a9d08e" w:themeColor="accent6" w:themeTint="98" w:themeShade="95"/>
      </w:rPr>
    </w:tblStylePr>
    <w:tblStylePr w:type="lastRow">
      <w:rPr>
        <w:b/>
        <w:color w:val="a9d08e" w:themeColor="accent6" w:themeTint="98" w:themeShade="95"/>
      </w:rPr>
      <w:tcPr>
        <w:tcBorders>
          <w:top w:val="single" w:color="A9D08E" w:themeColor="accent6" w:themeTint="98" w:sz="4" w:space="0"/>
        </w:tcBorders>
      </w:tcPr>
    </w:tblStylePr>
  </w:style>
  <w:style w:type="table" w:styleId="943">
    <w:name w:val="List Table 7 Colorful"/>
    <w:basedOn w:val="823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44" w:customStyle="1">
    <w:name w:val="List Table 7 Colorful - Accent 1"/>
    <w:basedOn w:val="823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rFonts w:ascii="Arial" w:hAnsi="Arial"/>
        <w:i/>
        <w:color w:val="245a8d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</w:tcPr>
    </w:tblStylePr>
    <w:tblStylePr w:type="firstRow">
      <w:rPr>
        <w:rFonts w:ascii="Arial" w:hAnsi="Arial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cPr>
        <w:shd w:val="clear" w:color="ffffff" w:fill="auto"/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45" w:customStyle="1">
    <w:name w:val="List Table 7 Colorful - Accent 2"/>
    <w:basedOn w:val="823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46" w:customStyle="1">
    <w:name w:val="List Table 7 Colorful - Accent 3"/>
    <w:basedOn w:val="823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rFonts w:ascii="Arial" w:hAnsi="Arial"/>
        <w:i/>
        <w:color w:val="c9c9c9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9C9C9" w:themeColor="accent3" w:themeTint="98" w:sz="4" w:space="0"/>
        </w:tcBorders>
      </w:tcPr>
    </w:tblStylePr>
    <w:tblStylePr w:type="fir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C9C9C9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C9C9C9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9C9C9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47" w:customStyle="1">
    <w:name w:val="List Table 7 Colorful - Accent 4"/>
    <w:basedOn w:val="823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48" w:customStyle="1">
    <w:name w:val="List Table 7 Colorful - Accent 5"/>
    <w:basedOn w:val="823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rFonts w:ascii="Arial" w:hAnsi="Arial"/>
        <w:i/>
        <w:color w:val="8da9db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8DA9DB" w:themeColor="accent5" w:themeTint="9A" w:sz="4" w:space="0"/>
        </w:tcBorders>
      </w:tcPr>
    </w:tblStylePr>
    <w:tblStylePr w:type="firstRow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8DA9DB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8DA9DB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8DA9DB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49" w:customStyle="1">
    <w:name w:val="List Table 7 Colorful - Accent 6"/>
    <w:basedOn w:val="823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rFonts w:ascii="Arial" w:hAnsi="Arial"/>
        <w:i/>
        <w:color w:val="a9d08e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9D08E" w:themeColor="accent6" w:themeTint="98" w:sz="4" w:space="0"/>
        </w:tcBorders>
      </w:tcPr>
    </w:tblStylePr>
    <w:tblStylePr w:type="fir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9D08E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A9D08E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A9D08E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50" w:customStyle="1">
    <w:name w:val="Lined - Accent"/>
    <w:basedOn w:val="823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951" w:customStyle="1">
    <w:name w:val="Lined - Accent 1"/>
    <w:basedOn w:val="823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952" w:customStyle="1">
    <w:name w:val="Lined - Accent 2"/>
    <w:basedOn w:val="823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953" w:customStyle="1">
    <w:name w:val="Lined - Accent 3"/>
    <w:basedOn w:val="823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954" w:customStyle="1">
    <w:name w:val="Lined - Accent 4"/>
    <w:basedOn w:val="823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955" w:customStyle="1">
    <w:name w:val="Lined - Accent 5"/>
    <w:basedOn w:val="823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956" w:customStyle="1">
    <w:name w:val="Lined - Accent 6"/>
    <w:basedOn w:val="823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957" w:customStyle="1">
    <w:name w:val="Bordered &amp; Lined - Accent"/>
    <w:basedOn w:val="823"/>
    <w:uiPriority w:val="99"/>
    <w:rPr>
      <w:color w:val="404040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958" w:customStyle="1">
    <w:name w:val="Bordered &amp; Lined - Accent 1"/>
    <w:basedOn w:val="823"/>
    <w:uiPriority w:val="99"/>
    <w:rPr>
      <w:color w:val="404040"/>
    </w:rPr>
    <w:tblPr>
      <w:tblStyleRowBandSize w:val="1"/>
      <w:tblStyleColBandSize w:val="1"/>
      <w:tblBorders>
        <w:top w:val="single" w:color="245A8D" w:themeColor="accent1" w:themeShade="95" w:sz="4" w:space="0"/>
        <w:left w:val="single" w:color="245A8D" w:themeColor="accent1" w:themeShade="95" w:sz="4" w:space="0"/>
        <w:bottom w:val="single" w:color="245A8D" w:themeColor="accent1" w:themeShade="95" w:sz="4" w:space="0"/>
        <w:right w:val="single" w:color="245A8D" w:themeColor="accent1" w:themeShade="95" w:sz="4" w:space="0"/>
        <w:insideH w:val="single" w:color="245A8D" w:themeColor="accent1" w:themeShade="95" w:sz="4" w:space="0"/>
        <w:insideV w:val="single" w:color="245A8D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959" w:customStyle="1">
    <w:name w:val="Bordered &amp; Lined - Accent 2"/>
    <w:basedOn w:val="823"/>
    <w:uiPriority w:val="99"/>
    <w:rPr>
      <w:color w:val="404040"/>
    </w:rPr>
    <w:tblPr>
      <w:tblStyleRowBandSize w:val="1"/>
      <w:tblStyleColBandSize w:val="1"/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960" w:customStyle="1">
    <w:name w:val="Bordered &amp; Lined - Accent 3"/>
    <w:basedOn w:val="823"/>
    <w:uiPriority w:val="99"/>
    <w:rPr>
      <w:color w:val="404040"/>
    </w:rPr>
    <w:tblPr>
      <w:tblStyleRowBandSize w:val="1"/>
      <w:tblStyleColBandSize w:val="1"/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961" w:customStyle="1">
    <w:name w:val="Bordered &amp; Lined - Accent 4"/>
    <w:basedOn w:val="823"/>
    <w:uiPriority w:val="99"/>
    <w:rPr>
      <w:color w:val="404040"/>
    </w:rPr>
    <w:tblPr>
      <w:tblStyleRowBandSize w:val="1"/>
      <w:tblStyleColBandSize w:val="1"/>
      <w:tblBorders>
        <w:top w:val="single" w:color="957000" w:themeColor="accent4" w:themeShade="95" w:sz="4" w:space="0"/>
        <w:left w:val="single" w:color="957000" w:themeColor="accent4" w:themeShade="95" w:sz="4" w:space="0"/>
        <w:bottom w:val="single" w:color="957000" w:themeColor="accent4" w:themeShade="95" w:sz="4" w:space="0"/>
        <w:right w:val="single" w:color="957000" w:themeColor="accent4" w:themeShade="95" w:sz="4" w:space="0"/>
        <w:insideH w:val="single" w:color="957000" w:themeColor="accent4" w:themeShade="95" w:sz="4" w:space="0"/>
        <w:insideV w:val="single" w:color="957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962" w:customStyle="1">
    <w:name w:val="Bordered &amp; Lined - Accent 5"/>
    <w:basedOn w:val="823"/>
    <w:uiPriority w:val="99"/>
    <w:rPr>
      <w:color w:val="404040"/>
    </w:rPr>
    <w:tblPr>
      <w:tblStyleRowBandSize w:val="1"/>
      <w:tblStyleColBandSize w:val="1"/>
      <w:tblBorders>
        <w:top w:val="single" w:color="254175" w:themeColor="accent5" w:themeShade="95" w:sz="4" w:space="0"/>
        <w:left w:val="single" w:color="254175" w:themeColor="accent5" w:themeShade="95" w:sz="4" w:space="0"/>
        <w:bottom w:val="single" w:color="254175" w:themeColor="accent5" w:themeShade="95" w:sz="4" w:space="0"/>
        <w:right w:val="single" w:color="254175" w:themeColor="accent5" w:themeShade="95" w:sz="4" w:space="0"/>
        <w:insideH w:val="single" w:color="254175" w:themeColor="accent5" w:themeShade="95" w:sz="4" w:space="0"/>
        <w:insideV w:val="single" w:color="254175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963" w:customStyle="1">
    <w:name w:val="Bordered &amp; Lined - Accent 6"/>
    <w:basedOn w:val="823"/>
    <w:uiPriority w:val="99"/>
    <w:rPr>
      <w:color w:val="404040"/>
    </w:rPr>
    <w:tblPr>
      <w:tblStyleRowBandSize w:val="1"/>
      <w:tblStyleColBandSize w:val="1"/>
      <w:tblBorders>
        <w:top w:val="single" w:color="416429" w:themeColor="accent6" w:themeShade="95" w:sz="4" w:space="0"/>
        <w:left w:val="single" w:color="416429" w:themeColor="accent6" w:themeShade="95" w:sz="4" w:space="0"/>
        <w:bottom w:val="single" w:color="416429" w:themeColor="accent6" w:themeShade="95" w:sz="4" w:space="0"/>
        <w:right w:val="single" w:color="416429" w:themeColor="accent6" w:themeShade="95" w:sz="4" w:space="0"/>
        <w:insideH w:val="single" w:color="416429" w:themeColor="accent6" w:themeShade="95" w:sz="4" w:space="0"/>
        <w:insideV w:val="single" w:color="416429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964" w:customStyle="1">
    <w:name w:val="Bordered"/>
    <w:basedOn w:val="823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965" w:customStyle="1">
    <w:name w:val="Bordered - Accent 1"/>
    <w:basedOn w:val="823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5B9BD5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5B9BD5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5B9BD5" w:themeColor="accent1" w:sz="12" w:space="0"/>
        </w:tcBorders>
      </w:tcPr>
    </w:tblStylePr>
  </w:style>
  <w:style w:type="table" w:styleId="966" w:customStyle="1">
    <w:name w:val="Bordered - Accent 2"/>
    <w:basedOn w:val="823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4B184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4B184" w:themeColor="accent2" w:themeTint="97" w:sz="12" w:space="0"/>
        </w:tcBorders>
      </w:tcPr>
    </w:tblStylePr>
  </w:style>
  <w:style w:type="table" w:styleId="967" w:customStyle="1">
    <w:name w:val="Bordered - Accent 3"/>
    <w:basedOn w:val="823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9C9C9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9C9C9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9C9C9" w:themeColor="accent3" w:themeTint="98" w:sz="12" w:space="0"/>
        </w:tcBorders>
      </w:tcPr>
    </w:tblStylePr>
  </w:style>
  <w:style w:type="table" w:styleId="968" w:customStyle="1">
    <w:name w:val="Bordered - Accent 4"/>
    <w:basedOn w:val="823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FD865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FD865" w:themeColor="accent4" w:themeTint="9A" w:sz="12" w:space="0"/>
        </w:tcBorders>
      </w:tcPr>
    </w:tblStylePr>
  </w:style>
  <w:style w:type="table" w:styleId="969" w:customStyle="1">
    <w:name w:val="Bordered - Accent 5"/>
    <w:basedOn w:val="823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8DA9DB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8DA9DB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8DA9DB" w:themeColor="accent5" w:themeTint="9A" w:sz="12" w:space="0"/>
        </w:tcBorders>
      </w:tcPr>
    </w:tblStylePr>
  </w:style>
  <w:style w:type="table" w:styleId="970" w:customStyle="1">
    <w:name w:val="Bordered - Accent 6"/>
    <w:basedOn w:val="823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A9D08E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A9D08E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A9D08E" w:themeColor="accent6" w:themeTint="98" w:sz="12" w:space="0"/>
        </w:tcBorders>
      </w:tcPr>
    </w:tblStylePr>
  </w:style>
  <w:style w:type="character" w:styleId="971" w:customStyle="1">
    <w:name w:val="Footnote Text Char"/>
    <w:uiPriority w:val="99"/>
    <w:rPr>
      <w:sz w:val="18"/>
    </w:rPr>
  </w:style>
  <w:style w:type="paragraph" w:styleId="972">
    <w:name w:val="endnote text"/>
    <w:basedOn w:val="812"/>
    <w:link w:val="973"/>
    <w:uiPriority w:val="99"/>
    <w:semiHidden/>
    <w:unhideWhenUsed/>
    <w:rPr>
      <w:sz w:val="20"/>
    </w:rPr>
  </w:style>
  <w:style w:type="character" w:styleId="973" w:customStyle="1">
    <w:name w:val="Текст концевой сноски Знак"/>
    <w:link w:val="972"/>
    <w:uiPriority w:val="99"/>
    <w:rPr>
      <w:sz w:val="20"/>
    </w:rPr>
  </w:style>
  <w:style w:type="character" w:styleId="974">
    <w:name w:val="endnote reference"/>
    <w:basedOn w:val="822"/>
    <w:uiPriority w:val="99"/>
    <w:semiHidden/>
    <w:unhideWhenUsed/>
    <w:rPr>
      <w:vertAlign w:val="superscript"/>
    </w:rPr>
  </w:style>
  <w:style w:type="paragraph" w:styleId="975">
    <w:name w:val="table of figures"/>
    <w:basedOn w:val="812"/>
    <w:next w:val="812"/>
    <w:uiPriority w:val="99"/>
    <w:unhideWhenUsed/>
  </w:style>
  <w:style w:type="paragraph" w:styleId="976" w:customStyle="1">
    <w:name w:val="заголовок 11"/>
    <w:basedOn w:val="812"/>
    <w:next w:val="812"/>
    <w:pPr>
      <w:jc w:val="center"/>
      <w:keepNext/>
    </w:pPr>
    <w:rPr>
      <w:szCs w:val="20"/>
    </w:rPr>
  </w:style>
  <w:style w:type="paragraph" w:styleId="977" w:customStyle="1">
    <w:name w:val="rvps1"/>
    <w:basedOn w:val="812"/>
    <w:pPr>
      <w:jc w:val="center"/>
    </w:pPr>
  </w:style>
  <w:style w:type="character" w:styleId="978">
    <w:name w:val="Hyperlink"/>
    <w:uiPriority w:val="99"/>
    <w:unhideWhenUsed/>
    <w:rPr>
      <w:color w:val="0000ff"/>
      <w:u w:val="single"/>
    </w:rPr>
  </w:style>
  <w:style w:type="paragraph" w:styleId="979">
    <w:name w:val="List Paragraph"/>
    <w:basedOn w:val="812"/>
    <w:link w:val="1052"/>
    <w:uiPriority w:val="34"/>
    <w:qFormat/>
    <w:pPr>
      <w:contextualSpacing/>
      <w:ind w:left="720"/>
    </w:pPr>
  </w:style>
  <w:style w:type="paragraph" w:styleId="980">
    <w:name w:val="toc 1"/>
    <w:basedOn w:val="812"/>
    <w:next w:val="812"/>
    <w:uiPriority w:val="39"/>
    <w:pPr>
      <w:spacing w:before="120"/>
    </w:pPr>
    <w:rPr>
      <w:rFonts w:asciiTheme="minorHAnsi" w:hAnsiTheme="minorHAnsi" w:cstheme="minorHAnsi"/>
      <w:b/>
      <w:bCs/>
      <w:i/>
      <w:iCs/>
    </w:rPr>
  </w:style>
  <w:style w:type="paragraph" w:styleId="981">
    <w:name w:val="toc 2"/>
    <w:basedOn w:val="812"/>
    <w:next w:val="812"/>
    <w:uiPriority w:val="39"/>
    <w:pPr>
      <w:ind w:left="240"/>
      <w:spacing w:before="120"/>
    </w:pPr>
    <w:rPr>
      <w:rFonts w:asciiTheme="minorHAnsi" w:hAnsiTheme="minorHAnsi" w:cstheme="minorHAnsi"/>
      <w:b/>
      <w:bCs/>
      <w:sz w:val="22"/>
      <w:szCs w:val="22"/>
    </w:rPr>
  </w:style>
  <w:style w:type="paragraph" w:styleId="982">
    <w:name w:val="Header"/>
    <w:basedOn w:val="812"/>
    <w:link w:val="983"/>
    <w:uiPriority w:val="99"/>
    <w:unhideWhenUsed/>
    <w:pPr>
      <w:tabs>
        <w:tab w:val="center" w:pos="4677" w:leader="none"/>
        <w:tab w:val="right" w:pos="9355" w:leader="none"/>
      </w:tabs>
    </w:pPr>
  </w:style>
  <w:style w:type="character" w:styleId="983" w:customStyle="1">
    <w:name w:val="Верхний колонтитул Знак"/>
    <w:link w:val="982"/>
    <w:uiPriority w:val="99"/>
    <w:rPr>
      <w:rFonts w:eastAsia="Times New Roman"/>
      <w:lang w:eastAsia="ru-RU"/>
    </w:rPr>
  </w:style>
  <w:style w:type="paragraph" w:styleId="984">
    <w:name w:val="Footer"/>
    <w:basedOn w:val="812"/>
    <w:link w:val="985"/>
    <w:uiPriority w:val="99"/>
    <w:unhideWhenUsed/>
    <w:pPr>
      <w:tabs>
        <w:tab w:val="center" w:pos="4677" w:leader="none"/>
        <w:tab w:val="right" w:pos="9355" w:leader="none"/>
      </w:tabs>
    </w:pPr>
  </w:style>
  <w:style w:type="character" w:styleId="985" w:customStyle="1">
    <w:name w:val="Нижний колонтитул Знак"/>
    <w:link w:val="984"/>
    <w:uiPriority w:val="99"/>
    <w:rPr>
      <w:rFonts w:eastAsia="Times New Roman"/>
      <w:lang w:eastAsia="ru-RU"/>
    </w:rPr>
  </w:style>
  <w:style w:type="paragraph" w:styleId="986">
    <w:name w:val="Balloon Text"/>
    <w:basedOn w:val="812"/>
    <w:link w:val="987"/>
    <w:uiPriority w:val="99"/>
    <w:semiHidden/>
    <w:unhideWhenUsed/>
    <w:rPr>
      <w:rFonts w:ascii="Tahoma" w:hAnsi="Tahoma" w:cs="Tahoma"/>
      <w:sz w:val="16"/>
      <w:szCs w:val="16"/>
    </w:rPr>
  </w:style>
  <w:style w:type="character" w:styleId="987" w:customStyle="1">
    <w:name w:val="Текст выноски Знак"/>
    <w:link w:val="986"/>
    <w:uiPriority w:val="99"/>
    <w:semiHidden/>
    <w:rPr>
      <w:rFonts w:ascii="Tahoma" w:hAnsi="Tahoma" w:eastAsia="Times New Roman" w:cs="Tahoma"/>
      <w:sz w:val="16"/>
      <w:szCs w:val="16"/>
      <w:lang w:eastAsia="ru-RU"/>
    </w:rPr>
  </w:style>
  <w:style w:type="table" w:styleId="988">
    <w:name w:val="Table Grid"/>
    <w:basedOn w:val="823"/>
    <w:uiPriority w:val="59"/>
    <w:rPr>
      <w:rFonts w:cs="Arial"/>
      <w:color w:val="000000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989">
    <w:name w:val="Normal (Web)"/>
    <w:basedOn w:val="812"/>
    <w:link w:val="1036"/>
    <w:uiPriority w:val="99"/>
    <w:qFormat/>
    <w:pPr>
      <w:spacing w:before="100" w:beforeAutospacing="1" w:after="100" w:afterAutospacing="1"/>
    </w:pPr>
  </w:style>
  <w:style w:type="paragraph" w:styleId="990" w:customStyle="1">
    <w:name w:val="Times 12"/>
    <w:basedOn w:val="812"/>
    <w:qFormat/>
    <w:pPr>
      <w:ind w:firstLine="567"/>
      <w:jc w:val="both"/>
    </w:pPr>
    <w:rPr>
      <w:bCs/>
      <w:szCs w:val="22"/>
    </w:rPr>
  </w:style>
  <w:style w:type="character" w:styleId="991" w:customStyle="1">
    <w:name w:val="Заголовок 7 Знак"/>
    <w:link w:val="819"/>
    <w:rPr>
      <w:rFonts w:eastAsia="Times New Roman"/>
      <w:lang w:eastAsia="ru-RU"/>
    </w:rPr>
  </w:style>
  <w:style w:type="paragraph" w:styleId="992" w:customStyle="1">
    <w:name w:val="rvps9"/>
    <w:basedOn w:val="812"/>
    <w:pPr>
      <w:jc w:val="both"/>
    </w:pPr>
  </w:style>
  <w:style w:type="paragraph" w:styleId="993" w:customStyle="1">
    <w:name w:val="Стиль3"/>
    <w:basedOn w:val="994"/>
    <w:link w:val="1084"/>
    <w:qFormat/>
    <w:pPr>
      <w:ind w:left="1080"/>
      <w:jc w:val="both"/>
      <w:spacing w:after="0" w:line="240" w:lineRule="auto"/>
      <w:widowControl w:val="off"/>
      <w:tabs>
        <w:tab w:val="num" w:pos="1307" w:leader="none"/>
      </w:tabs>
    </w:pPr>
    <w:rPr>
      <w:szCs w:val="20"/>
    </w:rPr>
  </w:style>
  <w:style w:type="paragraph" w:styleId="994">
    <w:name w:val="Body Text Indent 2"/>
    <w:basedOn w:val="812"/>
    <w:link w:val="995"/>
    <w:uiPriority w:val="99"/>
    <w:unhideWhenUsed/>
    <w:pPr>
      <w:ind w:left="283"/>
      <w:spacing w:after="120" w:line="480" w:lineRule="auto"/>
    </w:pPr>
  </w:style>
  <w:style w:type="character" w:styleId="995" w:customStyle="1">
    <w:name w:val="Основной текст с отступом 2 Знак"/>
    <w:link w:val="994"/>
    <w:uiPriority w:val="99"/>
    <w:rPr>
      <w:rFonts w:eastAsia="Times New Roman"/>
      <w:lang w:eastAsia="ru-RU"/>
    </w:rPr>
  </w:style>
  <w:style w:type="character" w:styleId="996" w:customStyle="1">
    <w:name w:val="Заголовок 2 Знак"/>
    <w:link w:val="814"/>
    <w:rPr>
      <w:rFonts w:ascii="Cambria" w:hAnsi="Cambria" w:eastAsia="Times New Roman" w:cs="Times New Roman"/>
      <w:b/>
      <w:bCs/>
      <w:color w:val="4f81bd"/>
      <w:sz w:val="26"/>
      <w:szCs w:val="26"/>
      <w:lang w:eastAsia="ru-RU"/>
    </w:rPr>
  </w:style>
  <w:style w:type="paragraph" w:styleId="997">
    <w:name w:val="Plain Text"/>
    <w:basedOn w:val="812"/>
    <w:link w:val="998"/>
    <w:rPr>
      <w:rFonts w:ascii="Courier New" w:hAnsi="Courier New"/>
      <w:sz w:val="20"/>
      <w:szCs w:val="20"/>
    </w:rPr>
  </w:style>
  <w:style w:type="character" w:styleId="998" w:customStyle="1">
    <w:name w:val="Текст Знак"/>
    <w:link w:val="997"/>
    <w:rPr>
      <w:rFonts w:ascii="Courier New" w:hAnsi="Courier New" w:eastAsia="Times New Roman"/>
      <w:sz w:val="20"/>
      <w:szCs w:val="20"/>
      <w:lang w:eastAsia="ru-RU"/>
    </w:rPr>
  </w:style>
  <w:style w:type="paragraph" w:styleId="999" w:customStyle="1">
    <w:name w:val="Таблица шапка"/>
    <w:basedOn w:val="812"/>
    <w:pPr>
      <w:ind w:left="57" w:right="57"/>
      <w:keepNext/>
      <w:spacing w:before="40" w:after="40"/>
    </w:pPr>
    <w:rPr>
      <w:sz w:val="22"/>
      <w:szCs w:val="20"/>
    </w:rPr>
  </w:style>
  <w:style w:type="paragraph" w:styleId="1000" w:customStyle="1">
    <w:name w:val="Таблица текст"/>
    <w:basedOn w:val="812"/>
    <w:pPr>
      <w:ind w:left="57" w:right="57"/>
      <w:spacing w:before="40" w:after="40"/>
    </w:pPr>
    <w:rPr>
      <w:szCs w:val="20"/>
    </w:rPr>
  </w:style>
  <w:style w:type="character" w:styleId="1001" w:customStyle="1">
    <w:name w:val="Ариал Знак1"/>
    <w:link w:val="1002"/>
    <w:rPr>
      <w:rFonts w:ascii="Arial" w:hAnsi="Arial" w:cs="Arial"/>
    </w:rPr>
  </w:style>
  <w:style w:type="paragraph" w:styleId="1002" w:customStyle="1">
    <w:name w:val="Ариал"/>
    <w:basedOn w:val="812"/>
    <w:link w:val="1001"/>
    <w:pPr>
      <w:ind w:firstLine="851"/>
      <w:jc w:val="both"/>
      <w:spacing w:before="120" w:after="120" w:line="360" w:lineRule="auto"/>
    </w:pPr>
    <w:rPr>
      <w:rFonts w:ascii="Arial" w:hAnsi="Arial" w:eastAsia="Calibri" w:cs="Arial"/>
      <w:lang w:eastAsia="en-US"/>
    </w:rPr>
  </w:style>
  <w:style w:type="paragraph" w:styleId="1003" w:customStyle="1">
    <w:name w:val="Пункт б/н"/>
    <w:basedOn w:val="812"/>
    <w:pPr>
      <w:ind w:firstLine="567"/>
      <w:jc w:val="both"/>
      <w:spacing w:line="360" w:lineRule="auto"/>
      <w:tabs>
        <w:tab w:val="left" w:pos="1134" w:leader="none"/>
      </w:tabs>
    </w:pPr>
    <w:rPr>
      <w:bCs/>
      <w:sz w:val="22"/>
      <w:szCs w:val="22"/>
    </w:rPr>
  </w:style>
  <w:style w:type="character" w:styleId="1004" w:customStyle="1">
    <w:name w:val="Ариал Таблица Знак"/>
    <w:link w:val="1005"/>
    <w:rPr>
      <w:rFonts w:ascii="Arial" w:hAnsi="Arial" w:cs="Arial"/>
    </w:rPr>
  </w:style>
  <w:style w:type="paragraph" w:styleId="1005" w:customStyle="1">
    <w:name w:val="Ариал Таблица"/>
    <w:basedOn w:val="1002"/>
    <w:link w:val="1004"/>
    <w:pPr>
      <w:ind w:firstLine="0"/>
      <w:spacing w:before="0" w:after="0" w:line="240" w:lineRule="auto"/>
      <w:widowControl w:val="off"/>
    </w:pPr>
  </w:style>
  <w:style w:type="paragraph" w:styleId="1006">
    <w:name w:val="footnote text"/>
    <w:basedOn w:val="812"/>
    <w:link w:val="1007"/>
    <w:uiPriority w:val="99"/>
    <w:unhideWhenUsed/>
    <w:rPr>
      <w:sz w:val="20"/>
      <w:szCs w:val="20"/>
    </w:rPr>
  </w:style>
  <w:style w:type="character" w:styleId="1007" w:customStyle="1">
    <w:name w:val="Текст сноски Знак"/>
    <w:link w:val="1006"/>
    <w:rPr>
      <w:rFonts w:eastAsia="Times New Roman"/>
      <w:sz w:val="20"/>
      <w:szCs w:val="20"/>
      <w:lang w:eastAsia="ru-RU"/>
    </w:rPr>
  </w:style>
  <w:style w:type="character" w:styleId="1008">
    <w:name w:val="footnote reference"/>
    <w:link w:val="1094"/>
    <w:uiPriority w:val="99"/>
    <w:unhideWhenUsed/>
    <w:rPr>
      <w:vertAlign w:val="superscript"/>
    </w:rPr>
  </w:style>
  <w:style w:type="character" w:styleId="1009" w:customStyle="1">
    <w:name w:val="Заголовок 1 Знак"/>
    <w:link w:val="813"/>
    <w:rPr>
      <w:rFonts w:ascii="Cambria" w:hAnsi="Cambria" w:eastAsia="Times New Roman" w:cs="Times New Roman"/>
      <w:b/>
      <w:bCs/>
      <w:color w:val="365f91"/>
      <w:sz w:val="28"/>
      <w:szCs w:val="28"/>
      <w:lang w:eastAsia="ru-RU"/>
    </w:rPr>
  </w:style>
  <w:style w:type="character" w:styleId="1010" w:customStyle="1">
    <w:name w:val="Заголовок 3 Знак"/>
    <w:link w:val="815"/>
    <w:uiPriority w:val="9"/>
    <w:semiHidden/>
    <w:rPr>
      <w:rFonts w:ascii="Cambria" w:hAnsi="Cambria" w:eastAsia="Times New Roman" w:cs="Times New Roman"/>
      <w:b/>
      <w:bCs/>
      <w:color w:val="4f81bd"/>
      <w:lang w:eastAsia="ru-RU"/>
    </w:rPr>
  </w:style>
  <w:style w:type="character" w:styleId="1011" w:customStyle="1">
    <w:name w:val="Заголовок 4 Знак"/>
    <w:link w:val="816"/>
    <w:rPr>
      <w:rFonts w:ascii="Cambria" w:hAnsi="Cambria" w:eastAsia="Times New Roman" w:cs="Times New Roman"/>
      <w:b/>
      <w:bCs/>
      <w:i/>
      <w:iCs/>
      <w:color w:val="4f81bd"/>
      <w:lang w:eastAsia="ru-RU"/>
    </w:rPr>
  </w:style>
  <w:style w:type="paragraph" w:styleId="1012" w:customStyle="1">
    <w:name w:val="ConsPlusNormal"/>
    <w:link w:val="1073"/>
    <w:pPr>
      <w:ind w:firstLine="720"/>
      <w:widowControl w:val="off"/>
    </w:pPr>
    <w:rPr>
      <w:rFonts w:ascii="Arial" w:hAnsi="Arial" w:eastAsia="Times New Roman" w:cs="Arial"/>
    </w:rPr>
  </w:style>
  <w:style w:type="character" w:styleId="1013">
    <w:name w:val="page number"/>
    <w:basedOn w:val="822"/>
  </w:style>
  <w:style w:type="paragraph" w:styleId="1014" w:customStyle="1">
    <w:name w:val="rvps46"/>
    <w:basedOn w:val="812"/>
    <w:pPr>
      <w:spacing w:before="120" w:after="120"/>
    </w:pPr>
  </w:style>
  <w:style w:type="character" w:styleId="1015">
    <w:name w:val="annotation reference"/>
    <w:uiPriority w:val="99"/>
    <w:unhideWhenUsed/>
    <w:rPr>
      <w:sz w:val="16"/>
      <w:szCs w:val="16"/>
    </w:rPr>
  </w:style>
  <w:style w:type="paragraph" w:styleId="1016">
    <w:name w:val="annotation text"/>
    <w:basedOn w:val="812"/>
    <w:link w:val="1017"/>
    <w:uiPriority w:val="99"/>
    <w:unhideWhenUsed/>
    <w:rPr>
      <w:sz w:val="20"/>
      <w:szCs w:val="20"/>
    </w:rPr>
  </w:style>
  <w:style w:type="character" w:styleId="1017" w:customStyle="1">
    <w:name w:val="Текст примечания Знак"/>
    <w:link w:val="1016"/>
    <w:uiPriority w:val="99"/>
    <w:rPr>
      <w:rFonts w:eastAsia="Times New Roman"/>
      <w:sz w:val="20"/>
      <w:szCs w:val="20"/>
      <w:lang w:eastAsia="ru-RU"/>
    </w:rPr>
  </w:style>
  <w:style w:type="paragraph" w:styleId="1018">
    <w:name w:val="annotation subject"/>
    <w:basedOn w:val="1016"/>
    <w:next w:val="1016"/>
    <w:link w:val="1019"/>
    <w:uiPriority w:val="99"/>
    <w:semiHidden/>
    <w:unhideWhenUsed/>
    <w:rPr>
      <w:b/>
      <w:bCs/>
    </w:rPr>
  </w:style>
  <w:style w:type="character" w:styleId="1019" w:customStyle="1">
    <w:name w:val="Тема примечания Знак"/>
    <w:link w:val="1018"/>
    <w:uiPriority w:val="99"/>
    <w:semiHidden/>
    <w:rPr>
      <w:rFonts w:eastAsia="Times New Roman"/>
      <w:b/>
      <w:bCs/>
      <w:sz w:val="20"/>
      <w:szCs w:val="20"/>
      <w:lang w:eastAsia="ru-RU"/>
    </w:rPr>
  </w:style>
  <w:style w:type="character" w:styleId="1020" w:customStyle="1">
    <w:name w:val="Заголовок 5 Знак"/>
    <w:link w:val="817"/>
    <w:uiPriority w:val="9"/>
    <w:rPr>
      <w:rFonts w:eastAsia="Times New Roman"/>
      <w:b/>
      <w:i/>
      <w:sz w:val="26"/>
      <w:szCs w:val="26"/>
      <w:lang w:eastAsia="ru-RU"/>
    </w:rPr>
  </w:style>
  <w:style w:type="paragraph" w:styleId="1021">
    <w:name w:val="Body Text Indent"/>
    <w:basedOn w:val="812"/>
    <w:link w:val="1022"/>
    <w:unhideWhenUsed/>
    <w:pPr>
      <w:ind w:firstLine="567"/>
      <w:jc w:val="both"/>
    </w:pPr>
    <w:rPr>
      <w:b/>
      <w:sz w:val="26"/>
      <w:szCs w:val="26"/>
    </w:rPr>
  </w:style>
  <w:style w:type="character" w:styleId="1022" w:customStyle="1">
    <w:name w:val="Основной текст с отступом Знак"/>
    <w:link w:val="1021"/>
    <w:uiPriority w:val="99"/>
    <w:rPr>
      <w:rFonts w:eastAsia="Times New Roman"/>
      <w:b/>
      <w:sz w:val="26"/>
      <w:szCs w:val="26"/>
      <w:lang w:eastAsia="ru-RU"/>
    </w:rPr>
  </w:style>
  <w:style w:type="paragraph" w:styleId="1023">
    <w:name w:val="Body Text"/>
    <w:basedOn w:val="812"/>
    <w:link w:val="1024"/>
    <w:uiPriority w:val="99"/>
    <w:unhideWhenUsed/>
    <w:rPr>
      <w:i/>
      <w:sz w:val="26"/>
      <w:szCs w:val="26"/>
    </w:rPr>
  </w:style>
  <w:style w:type="character" w:styleId="1024" w:customStyle="1">
    <w:name w:val="Основной текст Знак"/>
    <w:link w:val="1023"/>
    <w:uiPriority w:val="99"/>
    <w:rPr>
      <w:rFonts w:eastAsia="Times New Roman"/>
      <w:i/>
      <w:sz w:val="26"/>
      <w:szCs w:val="26"/>
      <w:lang w:eastAsia="ru-RU"/>
    </w:rPr>
  </w:style>
  <w:style w:type="paragraph" w:styleId="1025">
    <w:name w:val="Body Text 2"/>
    <w:basedOn w:val="812"/>
    <w:link w:val="1026"/>
    <w:uiPriority w:val="99"/>
    <w:unhideWhenUsed/>
    <w:rPr>
      <w:i/>
      <w:color w:val="ff0000"/>
      <w:sz w:val="26"/>
      <w:szCs w:val="26"/>
    </w:rPr>
  </w:style>
  <w:style w:type="character" w:styleId="1026" w:customStyle="1">
    <w:name w:val="Основной текст 2 Знак"/>
    <w:link w:val="1025"/>
    <w:uiPriority w:val="99"/>
    <w:rPr>
      <w:rFonts w:eastAsia="Times New Roman"/>
      <w:i/>
      <w:color w:val="ff0000"/>
      <w:sz w:val="26"/>
      <w:szCs w:val="26"/>
      <w:lang w:eastAsia="ru-RU"/>
    </w:rPr>
  </w:style>
  <w:style w:type="paragraph" w:styleId="1027" w:customStyle="1">
    <w:name w:val="Пункт"/>
    <w:basedOn w:val="812"/>
    <w:pPr>
      <w:ind w:left="1404" w:hanging="504"/>
      <w:jc w:val="both"/>
      <w:tabs>
        <w:tab w:val="num" w:pos="1980" w:leader="none"/>
      </w:tabs>
    </w:pPr>
    <w:rPr>
      <w:szCs w:val="28"/>
    </w:rPr>
  </w:style>
  <w:style w:type="paragraph" w:styleId="1028" w:customStyle="1">
    <w:name w:val="ConsPlusNonformat"/>
    <w:pPr>
      <w:widowControl w:val="off"/>
    </w:pPr>
    <w:rPr>
      <w:rFonts w:ascii="Courier New" w:hAnsi="Courier New" w:eastAsia="Times New Roman" w:cs="Courier New"/>
    </w:rPr>
  </w:style>
  <w:style w:type="paragraph" w:styleId="1029">
    <w:name w:val="TOC Heading"/>
    <w:basedOn w:val="813"/>
    <w:next w:val="812"/>
    <w:uiPriority w:val="39"/>
    <w:pPr>
      <w:spacing w:line="276" w:lineRule="auto"/>
      <w:outlineLvl w:val="9"/>
    </w:pPr>
  </w:style>
  <w:style w:type="paragraph" w:styleId="1030">
    <w:name w:val="toc 3"/>
    <w:basedOn w:val="812"/>
    <w:next w:val="812"/>
    <w:uiPriority w:val="39"/>
    <w:unhideWhenUsed/>
    <w:pPr>
      <w:ind w:left="480"/>
    </w:pPr>
    <w:rPr>
      <w:rFonts w:asciiTheme="minorHAnsi" w:hAnsiTheme="minorHAnsi" w:cstheme="minorHAnsi"/>
      <w:sz w:val="20"/>
      <w:szCs w:val="20"/>
    </w:rPr>
  </w:style>
  <w:style w:type="paragraph" w:styleId="1031">
    <w:name w:val="Body Text 3"/>
    <w:basedOn w:val="812"/>
    <w:link w:val="1032"/>
    <w:uiPriority w:val="99"/>
    <w:unhideWhenUsed/>
    <w:rPr>
      <w:sz w:val="26"/>
      <w:szCs w:val="26"/>
    </w:rPr>
  </w:style>
  <w:style w:type="character" w:styleId="1032" w:customStyle="1">
    <w:name w:val="Основной текст 3 Знак"/>
    <w:link w:val="1031"/>
    <w:uiPriority w:val="99"/>
    <w:rPr>
      <w:rFonts w:eastAsia="Times New Roman"/>
      <w:sz w:val="26"/>
      <w:szCs w:val="26"/>
      <w:lang w:eastAsia="ru-RU"/>
    </w:rPr>
  </w:style>
  <w:style w:type="paragraph" w:styleId="1033">
    <w:name w:val="Body Text Indent 3"/>
    <w:basedOn w:val="812"/>
    <w:link w:val="1034"/>
    <w:uiPriority w:val="99"/>
    <w:unhideWhenUsed/>
    <w:pPr>
      <w:ind w:left="16"/>
      <w:jc w:val="both"/>
      <w:tabs>
        <w:tab w:val="num" w:pos="1200" w:leader="none"/>
      </w:tabs>
    </w:pPr>
    <w:rPr>
      <w:i/>
      <w:color w:val="808080"/>
    </w:rPr>
  </w:style>
  <w:style w:type="character" w:styleId="1034" w:customStyle="1">
    <w:name w:val="Основной текст с отступом 3 Знак"/>
    <w:link w:val="1033"/>
    <w:uiPriority w:val="99"/>
    <w:rPr>
      <w:rFonts w:eastAsia="Times New Roman"/>
      <w:i/>
      <w:color w:val="808080"/>
      <w:lang w:eastAsia="ru-RU"/>
    </w:rPr>
  </w:style>
  <w:style w:type="character" w:styleId="1035" w:customStyle="1">
    <w:name w:val="Заголовок 6 Знак"/>
    <w:link w:val="818"/>
    <w:rPr>
      <w:rFonts w:eastAsia="Times New Roman"/>
      <w:b/>
      <w:sz w:val="26"/>
      <w:szCs w:val="26"/>
      <w:lang w:eastAsia="ru-RU"/>
    </w:rPr>
  </w:style>
  <w:style w:type="character" w:styleId="1036" w:customStyle="1">
    <w:name w:val="Обычный (веб) Знак"/>
    <w:link w:val="989"/>
    <w:uiPriority w:val="99"/>
    <w:rPr>
      <w:rFonts w:eastAsia="Times New Roman"/>
      <w:lang w:eastAsia="ru-RU"/>
    </w:rPr>
  </w:style>
  <w:style w:type="paragraph" w:styleId="1037">
    <w:name w:val="Block Text"/>
    <w:basedOn w:val="812"/>
    <w:uiPriority w:val="99"/>
    <w:unhideWhenUsed/>
    <w:pPr>
      <w:contextualSpacing/>
      <w:ind w:left="16" w:right="113"/>
      <w:jc w:val="both"/>
      <w:spacing w:after="200" w:line="276" w:lineRule="auto"/>
      <w:tabs>
        <w:tab w:val="left" w:pos="16" w:leader="none"/>
      </w:tabs>
    </w:pPr>
    <w:rPr>
      <w:sz w:val="26"/>
      <w:szCs w:val="26"/>
      <w:lang w:eastAsia="en-US"/>
    </w:rPr>
  </w:style>
  <w:style w:type="character" w:styleId="1038" w:customStyle="1">
    <w:name w:val="Заголовок 8 Знак"/>
    <w:link w:val="820"/>
    <w:rPr>
      <w:rFonts w:ascii="Cambria" w:hAnsi="Cambria" w:eastAsia="Times New Roman" w:cs="Times New Roman"/>
      <w:color w:val="404040"/>
      <w:sz w:val="20"/>
      <w:szCs w:val="20"/>
      <w:lang w:eastAsia="ru-RU"/>
    </w:rPr>
  </w:style>
  <w:style w:type="character" w:styleId="1039" w:customStyle="1">
    <w:name w:val="Заголовок 9 Знак"/>
    <w:link w:val="821"/>
    <w:rPr>
      <w:rFonts w:eastAsia="Times New Roman"/>
      <w:bCs/>
      <w:i/>
      <w:iCs/>
      <w:sz w:val="26"/>
      <w:szCs w:val="26"/>
      <w:lang w:eastAsia="ru-RU"/>
    </w:rPr>
  </w:style>
  <w:style w:type="paragraph" w:styleId="1040" w:customStyle="1">
    <w:name w:val="çàãîëîâîê 2"/>
    <w:basedOn w:val="812"/>
    <w:next w:val="812"/>
    <w:pPr>
      <w:jc w:val="both"/>
      <w:keepNext/>
    </w:pPr>
    <w:rPr>
      <w:szCs w:val="20"/>
      <w:lang w:val="en-GB"/>
    </w:rPr>
  </w:style>
  <w:style w:type="paragraph" w:styleId="1041" w:customStyle="1">
    <w:name w:val="Абзац списка1"/>
    <w:basedOn w:val="812"/>
    <w:pPr>
      <w:contextualSpacing/>
      <w:ind w:left="720"/>
      <w:spacing w:after="200" w:line="276" w:lineRule="auto"/>
    </w:pPr>
    <w:rPr>
      <w:rFonts w:ascii="Calibri" w:hAnsi="Calibri"/>
      <w:sz w:val="22"/>
      <w:szCs w:val="22"/>
      <w:lang w:eastAsia="en-US"/>
    </w:rPr>
  </w:style>
  <w:style w:type="paragraph" w:styleId="1042" w:customStyle="1">
    <w:name w:val="Текст документа"/>
    <w:basedOn w:val="812"/>
    <w:link w:val="1043"/>
    <w:uiPriority w:val="99"/>
    <w:pPr>
      <w:ind w:firstLine="720"/>
      <w:jc w:val="both"/>
      <w:spacing w:line="360" w:lineRule="auto"/>
    </w:pPr>
  </w:style>
  <w:style w:type="character" w:styleId="1043" w:customStyle="1">
    <w:name w:val="Текст документа Знак"/>
    <w:link w:val="1042"/>
    <w:uiPriority w:val="99"/>
    <w:rPr>
      <w:rFonts w:eastAsia="Times New Roman"/>
      <w:lang w:eastAsia="ru-RU"/>
    </w:rPr>
  </w:style>
  <w:style w:type="character" w:styleId="1044">
    <w:name w:val="FollowedHyperlink"/>
    <w:uiPriority w:val="99"/>
    <w:semiHidden/>
    <w:unhideWhenUsed/>
    <w:rPr>
      <w:color w:val="800080"/>
      <w:u w:val="single"/>
    </w:rPr>
  </w:style>
  <w:style w:type="paragraph" w:styleId="1045" w:customStyle="1">
    <w:name w:val="Default"/>
    <w:rPr>
      <w:color w:val="000000"/>
      <w:sz w:val="24"/>
      <w:szCs w:val="24"/>
      <w:lang w:eastAsia="en-US"/>
    </w:rPr>
  </w:style>
  <w:style w:type="numbering" w:styleId="1046" w:customStyle="1">
    <w:name w:val="Стиль4"/>
    <w:pPr>
      <w:numPr>
        <w:ilvl w:val="0"/>
        <w:numId w:val="2"/>
      </w:numPr>
    </w:pPr>
  </w:style>
  <w:style w:type="paragraph" w:styleId="1047" w:customStyle="1">
    <w:name w:val="Char Char4 Знак Знак Char Char Знак Знак Char Char Знак Char Char"/>
    <w:basedOn w:val="812"/>
    <w:semiHidden/>
    <w:pPr>
      <w:jc w:val="right"/>
      <w:spacing w:after="160" w:line="240" w:lineRule="exact"/>
      <w:widowControl w:val="off"/>
    </w:pPr>
    <w:rPr>
      <w:sz w:val="20"/>
      <w:szCs w:val="20"/>
      <w:lang w:val="en-GB" w:eastAsia="en-US"/>
    </w:rPr>
  </w:style>
  <w:style w:type="paragraph" w:styleId="1048">
    <w:name w:val="Revision"/>
    <w:hidden/>
    <w:uiPriority w:val="99"/>
    <w:semiHidden/>
    <w:rPr>
      <w:rFonts w:eastAsia="Times New Roman"/>
      <w:sz w:val="24"/>
      <w:szCs w:val="24"/>
    </w:rPr>
  </w:style>
  <w:style w:type="character" w:styleId="1049">
    <w:name w:val="Placeholder Text"/>
    <w:basedOn w:val="822"/>
    <w:uiPriority w:val="99"/>
    <w:semiHidden/>
    <w:rPr>
      <w:color w:val="808080"/>
    </w:rPr>
  </w:style>
  <w:style w:type="character" w:styleId="1050" w:customStyle="1">
    <w:name w:val="Заголовок №1_"/>
    <w:link w:val="1051"/>
    <w:rPr>
      <w:sz w:val="39"/>
      <w:szCs w:val="39"/>
      <w:shd w:val="clear" w:color="auto" w:fill="ffffff"/>
    </w:rPr>
  </w:style>
  <w:style w:type="paragraph" w:styleId="1051" w:customStyle="1">
    <w:name w:val="Заголовок №1"/>
    <w:basedOn w:val="812"/>
    <w:link w:val="1050"/>
    <w:pPr>
      <w:spacing w:after="780" w:line="240" w:lineRule="atLeast"/>
      <w:shd w:val="clear" w:color="auto" w:fill="ffffff"/>
      <w:outlineLvl w:val="0"/>
    </w:pPr>
    <w:rPr>
      <w:rFonts w:eastAsia="Calibri"/>
      <w:sz w:val="39"/>
      <w:szCs w:val="39"/>
    </w:rPr>
  </w:style>
  <w:style w:type="character" w:styleId="1052" w:customStyle="1">
    <w:name w:val="Абзац списка Знак"/>
    <w:link w:val="979"/>
    <w:uiPriority w:val="34"/>
    <w:rPr>
      <w:rFonts w:eastAsia="Times New Roman"/>
      <w:sz w:val="24"/>
      <w:szCs w:val="24"/>
    </w:rPr>
  </w:style>
  <w:style w:type="paragraph" w:styleId="1053" w:customStyle="1">
    <w:name w:val="Подподпункт"/>
    <w:basedOn w:val="812"/>
    <w:qFormat/>
    <w:pPr>
      <w:numPr>
        <w:ilvl w:val="0"/>
        <w:numId w:val="4"/>
      </w:numPr>
      <w:jc w:val="both"/>
      <w:spacing w:line="360" w:lineRule="auto"/>
    </w:pPr>
    <w:rPr>
      <w:bCs/>
      <w:sz w:val="22"/>
      <w:szCs w:val="22"/>
    </w:rPr>
  </w:style>
  <w:style w:type="paragraph" w:styleId="1054" w:customStyle="1">
    <w:name w:val="Пункт-6"/>
    <w:basedOn w:val="812"/>
    <w:qFormat/>
    <w:pPr>
      <w:ind w:firstLine="567"/>
      <w:jc w:val="both"/>
      <w:spacing w:line="288" w:lineRule="auto"/>
      <w:tabs>
        <w:tab w:val="num" w:pos="1701" w:leader="none"/>
      </w:tabs>
    </w:pPr>
    <w:rPr>
      <w:sz w:val="28"/>
    </w:rPr>
  </w:style>
  <w:style w:type="numbering" w:styleId="1055" w:customStyle="1">
    <w:name w:val="Нумерация заголовки 14"/>
    <w:uiPriority w:val="99"/>
    <w:pPr>
      <w:numPr>
        <w:ilvl w:val="0"/>
        <w:numId w:val="10"/>
      </w:numPr>
    </w:pPr>
  </w:style>
  <w:style w:type="character" w:styleId="1056" w:customStyle="1">
    <w:name w:val="Текст сноски Знак2 Знак"/>
    <w:uiPriority w:val="99"/>
    <w:rPr>
      <w:rFonts w:ascii="Calibri" w:hAnsi="Calibri" w:eastAsia="Calibri" w:cs="Times New Roman"/>
      <w:sz w:val="20"/>
      <w:szCs w:val="20"/>
      <w:lang w:eastAsia="ru-RU"/>
    </w:rPr>
  </w:style>
  <w:style w:type="paragraph" w:styleId="1057">
    <w:name w:val="toc 4"/>
    <w:basedOn w:val="812"/>
    <w:next w:val="812"/>
    <w:uiPriority w:val="39"/>
    <w:unhideWhenUsed/>
    <w:pPr>
      <w:ind w:left="720"/>
    </w:pPr>
    <w:rPr>
      <w:rFonts w:asciiTheme="minorHAnsi" w:hAnsiTheme="minorHAnsi" w:cstheme="minorHAnsi"/>
      <w:sz w:val="20"/>
      <w:szCs w:val="20"/>
    </w:rPr>
  </w:style>
  <w:style w:type="paragraph" w:styleId="1058">
    <w:name w:val="toc 5"/>
    <w:basedOn w:val="812"/>
    <w:next w:val="812"/>
    <w:uiPriority w:val="39"/>
    <w:unhideWhenUsed/>
    <w:pPr>
      <w:ind w:left="960"/>
    </w:pPr>
    <w:rPr>
      <w:rFonts w:asciiTheme="minorHAnsi" w:hAnsiTheme="minorHAnsi" w:cstheme="minorHAnsi"/>
      <w:sz w:val="20"/>
      <w:szCs w:val="20"/>
    </w:rPr>
  </w:style>
  <w:style w:type="paragraph" w:styleId="1059">
    <w:name w:val="toc 6"/>
    <w:basedOn w:val="812"/>
    <w:next w:val="812"/>
    <w:uiPriority w:val="39"/>
    <w:unhideWhenUsed/>
    <w:pPr>
      <w:ind w:left="1200"/>
    </w:pPr>
    <w:rPr>
      <w:rFonts w:asciiTheme="minorHAnsi" w:hAnsiTheme="minorHAnsi" w:cstheme="minorHAnsi"/>
      <w:sz w:val="20"/>
      <w:szCs w:val="20"/>
    </w:rPr>
  </w:style>
  <w:style w:type="paragraph" w:styleId="1060">
    <w:name w:val="toc 7"/>
    <w:basedOn w:val="812"/>
    <w:next w:val="812"/>
    <w:uiPriority w:val="39"/>
    <w:unhideWhenUsed/>
    <w:pPr>
      <w:ind w:left="1440"/>
    </w:pPr>
    <w:rPr>
      <w:rFonts w:asciiTheme="minorHAnsi" w:hAnsiTheme="minorHAnsi" w:cstheme="minorHAnsi"/>
      <w:sz w:val="20"/>
      <w:szCs w:val="20"/>
    </w:rPr>
  </w:style>
  <w:style w:type="paragraph" w:styleId="1061">
    <w:name w:val="toc 8"/>
    <w:basedOn w:val="812"/>
    <w:next w:val="812"/>
    <w:uiPriority w:val="39"/>
    <w:unhideWhenUsed/>
    <w:pPr>
      <w:ind w:left="1680"/>
    </w:pPr>
    <w:rPr>
      <w:rFonts w:asciiTheme="minorHAnsi" w:hAnsiTheme="minorHAnsi" w:cstheme="minorHAnsi"/>
      <w:sz w:val="20"/>
      <w:szCs w:val="20"/>
    </w:rPr>
  </w:style>
  <w:style w:type="paragraph" w:styleId="1062">
    <w:name w:val="toc 9"/>
    <w:basedOn w:val="812"/>
    <w:next w:val="812"/>
    <w:uiPriority w:val="39"/>
    <w:unhideWhenUsed/>
    <w:pPr>
      <w:ind w:left="1920"/>
    </w:pPr>
    <w:rPr>
      <w:rFonts w:asciiTheme="minorHAnsi" w:hAnsiTheme="minorHAnsi" w:cstheme="minorHAnsi"/>
      <w:sz w:val="20"/>
      <w:szCs w:val="20"/>
    </w:rPr>
  </w:style>
  <w:style w:type="paragraph" w:styleId="1063" w:customStyle="1">
    <w:name w:val="Основной текст (5)"/>
    <w:basedOn w:val="812"/>
    <w:pPr>
      <w:jc w:val="both"/>
      <w:spacing w:before="360" w:line="283" w:lineRule="exact"/>
      <w:shd w:val="clear" w:color="auto" w:fill="ffffff"/>
      <w:widowControl w:val="off"/>
    </w:pPr>
    <w:rPr>
      <w:i/>
      <w:iCs/>
      <w:sz w:val="23"/>
      <w:szCs w:val="23"/>
      <w:lang w:eastAsia="zh-CN"/>
    </w:rPr>
  </w:style>
  <w:style w:type="paragraph" w:styleId="1064">
    <w:name w:val="List Number"/>
    <w:basedOn w:val="812"/>
    <w:pPr>
      <w:numPr>
        <w:ilvl w:val="0"/>
        <w:numId w:val="20"/>
      </w:numPr>
      <w:ind w:left="360"/>
      <w:jc w:val="both"/>
      <w:spacing w:after="60"/>
      <w:tabs>
        <w:tab w:val="num" w:pos="360" w:leader="none"/>
        <w:tab w:val="clear" w:pos="643" w:leader="none"/>
      </w:tabs>
    </w:pPr>
    <w:rPr>
      <w:szCs w:val="20"/>
    </w:rPr>
  </w:style>
  <w:style w:type="paragraph" w:styleId="1065" w:customStyle="1">
    <w:name w:val="Стиль1"/>
    <w:basedOn w:val="812"/>
    <w:link w:val="1081"/>
    <w:qFormat/>
    <w:pPr>
      <w:numPr>
        <w:ilvl w:val="0"/>
        <w:numId w:val="21"/>
      </w:numPr>
      <w:keepLines/>
      <w:keepNext/>
      <w:spacing w:after="60"/>
      <w:widowControl w:val="off"/>
      <w:suppressLineNumbers/>
    </w:pPr>
    <w:rPr>
      <w:b/>
      <w:sz w:val="28"/>
    </w:rPr>
  </w:style>
  <w:style w:type="paragraph" w:styleId="1066">
    <w:name w:val="Date"/>
    <w:basedOn w:val="812"/>
    <w:next w:val="812"/>
    <w:link w:val="1067"/>
    <w:pPr>
      <w:jc w:val="both"/>
      <w:spacing w:after="60"/>
    </w:pPr>
  </w:style>
  <w:style w:type="character" w:styleId="1067" w:customStyle="1">
    <w:name w:val="Дата Знак"/>
    <w:basedOn w:val="822"/>
    <w:link w:val="1066"/>
    <w:rPr>
      <w:rFonts w:eastAsia="Times New Roman"/>
      <w:sz w:val="24"/>
      <w:szCs w:val="24"/>
    </w:rPr>
  </w:style>
  <w:style w:type="paragraph" w:styleId="1068" w:customStyle="1">
    <w:name w:val="Стиль3 Знак Знак"/>
    <w:basedOn w:val="994"/>
    <w:link w:val="1069"/>
    <w:pPr>
      <w:jc w:val="both"/>
      <w:spacing w:after="0" w:line="240" w:lineRule="auto"/>
      <w:widowControl w:val="off"/>
      <w:tabs>
        <w:tab w:val="num" w:pos="360" w:leader="none"/>
      </w:tabs>
    </w:pPr>
  </w:style>
  <w:style w:type="character" w:styleId="1069" w:customStyle="1">
    <w:name w:val="Стиль3 Знак Знак Знак"/>
    <w:link w:val="1068"/>
    <w:rPr>
      <w:rFonts w:eastAsia="Times New Roman"/>
      <w:sz w:val="24"/>
      <w:szCs w:val="24"/>
    </w:rPr>
  </w:style>
  <w:style w:type="character" w:styleId="1070" w:customStyle="1">
    <w:name w:val="f"/>
  </w:style>
  <w:style w:type="character" w:styleId="1071" w:customStyle="1">
    <w:name w:val="blk"/>
  </w:style>
  <w:style w:type="character" w:styleId="1072" w:customStyle="1">
    <w:name w:val="u"/>
  </w:style>
  <w:style w:type="character" w:styleId="1073" w:customStyle="1">
    <w:name w:val="ConsPlusNormal Знак"/>
    <w:link w:val="1012"/>
    <w:rPr>
      <w:rFonts w:ascii="Arial" w:hAnsi="Arial" w:eastAsia="Times New Roman" w:cs="Arial"/>
    </w:rPr>
  </w:style>
  <w:style w:type="paragraph" w:styleId="1074" w:customStyle="1">
    <w:name w:val="ConsPlusTitle"/>
    <w:pPr>
      <w:widowControl w:val="off"/>
    </w:pPr>
    <w:rPr>
      <w:rFonts w:ascii="Calibri" w:hAnsi="Calibri" w:eastAsia="Times New Roman" w:cs="Calibri"/>
      <w:b/>
      <w:sz w:val="22"/>
    </w:rPr>
  </w:style>
  <w:style w:type="character" w:styleId="1075">
    <w:name w:val="Strong"/>
    <w:uiPriority w:val="22"/>
    <w:rPr>
      <w:b/>
      <w:bCs/>
    </w:rPr>
  </w:style>
  <w:style w:type="character" w:styleId="1076" w:customStyle="1">
    <w:name w:val="apple-converted-space"/>
  </w:style>
  <w:style w:type="character" w:styleId="1077" w:customStyle="1">
    <w:name w:val="Основной текст с отступом Знак1"/>
    <w:rPr>
      <w:rFonts w:ascii="Times New Roman" w:hAnsi="Times New Roman" w:eastAsia="Times New Roman"/>
      <w:sz w:val="24"/>
      <w:szCs w:val="24"/>
    </w:rPr>
  </w:style>
  <w:style w:type="paragraph" w:styleId="1078" w:customStyle="1">
    <w:name w:val="Обычный + по ширине"/>
    <w:basedOn w:val="812"/>
    <w:uiPriority w:val="99"/>
    <w:pPr>
      <w:jc w:val="both"/>
    </w:pPr>
  </w:style>
  <w:style w:type="character" w:styleId="1079" w:customStyle="1">
    <w:name w:val="Символ сноски"/>
    <w:rPr>
      <w:rFonts w:hint="default" w:ascii="Times New Roman" w:hAnsi="Times New Roman" w:cs="Times New Roman"/>
      <w:vertAlign w:val="superscript"/>
    </w:rPr>
  </w:style>
  <w:style w:type="paragraph" w:styleId="1080" w:customStyle="1">
    <w:name w:val="ConsNormal"/>
    <w:pPr>
      <w:ind w:right="19772" w:firstLine="720"/>
      <w:widowControl w:val="off"/>
    </w:pPr>
    <w:rPr>
      <w:rFonts w:ascii="Arial" w:hAnsi="Arial" w:eastAsia="Times New Roman" w:cs="Arial"/>
    </w:rPr>
  </w:style>
  <w:style w:type="character" w:styleId="1081" w:customStyle="1">
    <w:name w:val="Стиль1 Знак"/>
    <w:link w:val="1065"/>
    <w:rPr>
      <w:rFonts w:eastAsia="Times New Roman"/>
      <w:b/>
      <w:sz w:val="28"/>
      <w:szCs w:val="24"/>
    </w:rPr>
  </w:style>
  <w:style w:type="paragraph" w:styleId="1082" w:customStyle="1">
    <w:name w:val="Стиль2"/>
    <w:basedOn w:val="815"/>
    <w:link w:val="1083"/>
    <w:qFormat/>
    <w:pPr>
      <w:jc w:val="both"/>
      <w:keepLines w:val="0"/>
      <w:spacing w:before="0"/>
      <w:tabs>
        <w:tab w:val="left" w:pos="1134" w:leader="none"/>
      </w:tabs>
    </w:pPr>
    <w:rPr>
      <w:rFonts w:ascii="Times New Roman" w:hAnsi="Times New Roman"/>
      <w:b w:val="0"/>
      <w:color w:val="000000"/>
    </w:rPr>
  </w:style>
  <w:style w:type="character" w:styleId="1083" w:customStyle="1">
    <w:name w:val="Стиль2 Знак"/>
    <w:link w:val="1082"/>
    <w:rPr>
      <w:rFonts w:eastAsia="Times New Roman"/>
      <w:bCs/>
      <w:color w:val="000000"/>
      <w:sz w:val="24"/>
      <w:szCs w:val="24"/>
    </w:rPr>
  </w:style>
  <w:style w:type="character" w:styleId="1084" w:customStyle="1">
    <w:name w:val="Стиль3 Знак"/>
    <w:link w:val="993"/>
    <w:rPr>
      <w:rFonts w:eastAsia="Times New Roman"/>
      <w:sz w:val="24"/>
    </w:rPr>
  </w:style>
  <w:style w:type="paragraph" w:styleId="1085" w:customStyle="1">
    <w:name w:val="s_1"/>
    <w:basedOn w:val="812"/>
    <w:pPr>
      <w:spacing w:before="100" w:beforeAutospacing="1" w:after="100" w:afterAutospacing="1"/>
    </w:pPr>
  </w:style>
  <w:style w:type="paragraph" w:styleId="1086">
    <w:name w:val="List Bullet 2"/>
    <w:basedOn w:val="812"/>
    <w:pPr>
      <w:numPr>
        <w:ilvl w:val="0"/>
        <w:numId w:val="23"/>
      </w:numPr>
      <w:jc w:val="both"/>
      <w:spacing w:after="60"/>
    </w:pPr>
    <w:rPr>
      <w:szCs w:val="20"/>
    </w:rPr>
  </w:style>
  <w:style w:type="paragraph" w:styleId="1087" w:customStyle="1">
    <w:name w:val="содержание2-11"/>
    <w:basedOn w:val="812"/>
    <w:pPr>
      <w:jc w:val="both"/>
      <w:spacing w:after="60"/>
    </w:pPr>
  </w:style>
  <w:style w:type="paragraph" w:styleId="1088" w:customStyle="1">
    <w:name w:val="Абзац первого уровня"/>
    <w:basedOn w:val="812"/>
    <w:qFormat/>
    <w:pPr>
      <w:numPr>
        <w:ilvl w:val="0"/>
        <w:numId w:val="24"/>
      </w:numPr>
      <w:jc w:val="both"/>
      <w:spacing w:before="120" w:after="120"/>
    </w:pPr>
    <w:rPr>
      <w:rFonts w:ascii="Calibri" w:hAnsi="Calibri"/>
    </w:rPr>
  </w:style>
  <w:style w:type="paragraph" w:styleId="1089" w:customStyle="1">
    <w:name w:val="Заголовок 4.H4"/>
    <w:basedOn w:val="812"/>
    <w:next w:val="812"/>
    <w:pPr>
      <w:spacing w:before="120"/>
    </w:pPr>
    <w:rPr>
      <w:sz w:val="22"/>
      <w:szCs w:val="20"/>
    </w:rPr>
  </w:style>
  <w:style w:type="character" w:styleId="1090" w:customStyle="1">
    <w:name w:val="Основной текст + Курсив"/>
    <w:rPr>
      <w:rFonts w:ascii="Times New Roman" w:hAnsi="Times New Roman" w:eastAsia="Times New Roman" w:cs="Times New Roman"/>
      <w:b w:val="0"/>
      <w:bCs w:val="0"/>
      <w:i/>
      <w:iCs/>
      <w:caps w:val="0"/>
      <w:smallCaps w:val="0"/>
      <w:strike w:val="0"/>
      <w:color w:val="000000"/>
      <w:spacing w:val="0"/>
      <w:position w:val="0"/>
      <w:sz w:val="23"/>
      <w:szCs w:val="23"/>
      <w:u w:val="none"/>
      <w:vertAlign w:val="baseline"/>
      <w:lang w:val="ru-RU" w:bidi="ar-SA"/>
    </w:rPr>
  </w:style>
  <w:style w:type="character" w:styleId="1091" w:customStyle="1">
    <w:name w:val="Основной текст (5) + Не курсив"/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color w:val="000000"/>
      <w:spacing w:val="0"/>
      <w:position w:val="0"/>
      <w:sz w:val="23"/>
      <w:szCs w:val="23"/>
      <w:u w:val="none"/>
      <w:vertAlign w:val="baseline"/>
      <w:lang w:val="ru-RU" w:bidi="ar-SA"/>
    </w:rPr>
  </w:style>
  <w:style w:type="paragraph" w:styleId="1092" w:customStyle="1">
    <w:name w:val="Основной текст4"/>
    <w:basedOn w:val="812"/>
    <w:pPr>
      <w:ind w:hanging="420"/>
      <w:jc w:val="right"/>
      <w:spacing w:before="60" w:after="1860" w:line="0" w:lineRule="atLeast"/>
      <w:shd w:val="clear" w:color="auto" w:fill="ffffff"/>
      <w:widowControl w:val="off"/>
    </w:pPr>
    <w:rPr>
      <w:sz w:val="23"/>
      <w:szCs w:val="23"/>
      <w:lang w:eastAsia="zh-CN"/>
    </w:rPr>
  </w:style>
  <w:style w:type="paragraph" w:styleId="1093">
    <w:name w:val="No Spacing"/>
    <w:uiPriority w:val="1"/>
    <w:qFormat/>
    <w:pPr>
      <w:jc w:val="both"/>
    </w:pPr>
    <w:rPr>
      <w:rFonts w:eastAsia="Times New Roman"/>
      <w:sz w:val="24"/>
      <w:szCs w:val="24"/>
    </w:rPr>
  </w:style>
  <w:style w:type="paragraph" w:styleId="1094" w:customStyle="1">
    <w:name w:val="Знак сноски1"/>
    <w:link w:val="1008"/>
    <w:qFormat/>
    <w:rPr>
      <w:vertAlign w:val="superscript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glossaryDocument" Target="glossary/document.xml" /><Relationship Id="rId7" Type="http://schemas.openxmlformats.org/officeDocument/2006/relationships/numbering" Target="numbering.xml" /><Relationship Id="rId8" Type="http://schemas.openxmlformats.org/officeDocument/2006/relationships/footnotes" Target="footnotes.xml" /><Relationship Id="rId9" Type="http://schemas.openxmlformats.org/officeDocument/2006/relationships/endnotes" Target="endnotes.xml" /><Relationship Id="rId10" Type="http://schemas.openxmlformats.org/officeDocument/2006/relationships/header" Target="header1.xml" /><Relationship Id="rId11" Type="http://schemas.openxmlformats.org/officeDocument/2006/relationships/header" Target="header2.xml" /><Relationship Id="rId12" Type="http://schemas.openxmlformats.org/officeDocument/2006/relationships/customXml" Target="../customXml/item1.xml" /><Relationship Id="rId13" Type="http://schemas.openxmlformats.org/officeDocument/2006/relationships/hyperlink" Target="consultantplus://offline/ref=4EC7C5ABBFE81CDAA8ECCF21FD8C032FA341226F7845897019ADCBE211DDF4F4B5BC683FEC0265CE08C7O" TargetMode="External"/><Relationship Id="rId14" Type="http://schemas.openxmlformats.org/officeDocument/2006/relationships/hyperlink" Target="https://rsvo.ru/" TargetMode="External"/><Relationship Id="rId15" Type="http://schemas.openxmlformats.org/officeDocument/2006/relationships/hyperlink" Target="http://www.consultant.ru/document/cons_doc_LAW_291280/4fd2ccf6a182a2b787ee4617151ecac811a23b50/" TargetMode="External"/><Relationship Id="rId16" Type="http://schemas.openxmlformats.org/officeDocument/2006/relationships/hyperlink" Target="https://tender.lot-online.ru/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glossary/_rels/comments.xml.rels><?xml version="1.0" encoding="UTF-8" standalone="yes"?><Relationships xmlns="http://schemas.openxmlformats.org/package/2006/relationships"></Relationships>
</file>

<file path=word/glossary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footnotes" Target="footnotes.xml" /><Relationship Id="rId6" Type="http://schemas.openxmlformats.org/officeDocument/2006/relationships/endnotes" Target="endnotes.xml" /></Relationships>
</file>

<file path=word/glossary/_rels/endnotes.xml.rels><?xml version="1.0" encoding="UTF-8" standalone="yes"?><Relationships xmlns="http://schemas.openxmlformats.org/package/2006/relationships"></Relationships>
</file>

<file path=word/glossary/_rels/footnotes.xml.rels><?xml version="1.0" encoding="UTF-8" standalone="yes"?><Relationships xmlns="http://schemas.openxmlformats.org/package/2006/relationships"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docParts>
    <w:docPart>
      <w:docPartPr>
        <w:name w:val="66AD5A000763434EB2BA9A3A068EB23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0467153-B0E4-4B2E-AC6F-F4075030E9FF}"/>
      </w:docPartPr>
      <w:docPartBody>
        <w:p>
          <w:pPr>
            <w:pStyle w:val="1793"/>
          </w:pPr>
          <w:r>
            <w:rPr>
              <w:rStyle w:val="1763"/>
            </w:rPr>
            <w:t xml:space="preserve">Выберите элемент.</w:t>
          </w:r>
          <w:r/>
        </w:p>
      </w:docPartBody>
    </w:docPart>
    <w:docPart>
      <w:docPartPr>
        <w:name w:val="5134B839945D48CB984E8342E3B2AB0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33967AD-AB48-4D83-B699-1498DA7549C4}"/>
      </w:docPartPr>
      <w:docPartBody>
        <w:p>
          <w:pPr>
            <w:pStyle w:val="1792"/>
          </w:pPr>
          <w:r>
            <w:rPr>
              <w:rStyle w:val="1763"/>
            </w:rPr>
            <w:t xml:space="preserve">Место для ввода даты.</w:t>
          </w:r>
          <w:r/>
        </w:p>
      </w:docPartBody>
    </w:docPart>
    <w:docPart>
      <w:docPartPr>
        <w:name w:val="3BCD60251D7C4F4A9163F4CB21384E2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DAB6232-D81F-4990-8DFF-553CAC9FD80C}"/>
      </w:docPartPr>
      <w:docPartBody>
        <w:p>
          <w:pPr>
            <w:pStyle w:val="1794"/>
          </w:pPr>
          <w:r>
            <w:rPr>
              <w:rStyle w:val="1763"/>
            </w:rPr>
            <w:t xml:space="preserve">Место для ввода даты.</w:t>
          </w:r>
          <w:r/>
        </w:p>
      </w:docPartBody>
    </w:docPart>
  </w:docParts>
</w:glossaryDocument>
</file>

<file path=word/glossary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</w:font>
  <w:font w:name="Liberation Sans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glossary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284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EastAsia" w:cstheme="minorBidi"/>
        <w:sz w:val="22"/>
        <w:szCs w:val="22"/>
        <w:lang w:val="ru-RU" w:eastAsia="ru-RU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563">
    <w:name w:val="Heading 1 Char"/>
    <w:basedOn w:val="1591"/>
    <w:link w:val="1582"/>
    <w:uiPriority w:val="9"/>
    <w:rPr>
      <w:rFonts w:ascii="Liberation Sans" w:hAnsi="Liberation Sans" w:eastAsia="Liberation Sans" w:cs="Liberation Sans"/>
      <w:sz w:val="40"/>
      <w:szCs w:val="40"/>
    </w:rPr>
  </w:style>
  <w:style w:type="character" w:styleId="1564">
    <w:name w:val="Heading 2 Char"/>
    <w:basedOn w:val="1591"/>
    <w:link w:val="1583"/>
    <w:uiPriority w:val="9"/>
    <w:rPr>
      <w:rFonts w:ascii="Liberation Sans" w:hAnsi="Liberation Sans" w:eastAsia="Liberation Sans" w:cs="Liberation Sans"/>
      <w:sz w:val="34"/>
    </w:rPr>
  </w:style>
  <w:style w:type="character" w:styleId="1565">
    <w:name w:val="Heading 3 Char"/>
    <w:basedOn w:val="1591"/>
    <w:link w:val="1584"/>
    <w:uiPriority w:val="9"/>
    <w:rPr>
      <w:rFonts w:ascii="Liberation Sans" w:hAnsi="Liberation Sans" w:eastAsia="Liberation Sans" w:cs="Liberation Sans"/>
      <w:sz w:val="30"/>
      <w:szCs w:val="30"/>
    </w:rPr>
  </w:style>
  <w:style w:type="character" w:styleId="1566">
    <w:name w:val="Heading 4 Char"/>
    <w:basedOn w:val="1591"/>
    <w:link w:val="1585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1567">
    <w:name w:val="Heading 5 Char"/>
    <w:basedOn w:val="1591"/>
    <w:link w:val="1586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1568">
    <w:name w:val="Heading 6 Char"/>
    <w:basedOn w:val="1591"/>
    <w:link w:val="1587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1569">
    <w:name w:val="Heading 7 Char"/>
    <w:basedOn w:val="1591"/>
    <w:link w:val="1588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1570">
    <w:name w:val="Heading 8 Char"/>
    <w:basedOn w:val="1591"/>
    <w:link w:val="1589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1571">
    <w:name w:val="Heading 9 Char"/>
    <w:basedOn w:val="1591"/>
    <w:link w:val="1590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1572">
    <w:name w:val="Title Char"/>
    <w:basedOn w:val="1591"/>
    <w:link w:val="1605"/>
    <w:uiPriority w:val="10"/>
    <w:rPr>
      <w:sz w:val="48"/>
      <w:szCs w:val="48"/>
    </w:rPr>
  </w:style>
  <w:style w:type="character" w:styleId="1573">
    <w:name w:val="Subtitle Char"/>
    <w:basedOn w:val="1591"/>
    <w:link w:val="1607"/>
    <w:uiPriority w:val="11"/>
    <w:rPr>
      <w:sz w:val="24"/>
      <w:szCs w:val="24"/>
    </w:rPr>
  </w:style>
  <w:style w:type="character" w:styleId="1574">
    <w:name w:val="Quote Char"/>
    <w:link w:val="1609"/>
    <w:uiPriority w:val="29"/>
    <w:rPr>
      <w:i/>
    </w:rPr>
  </w:style>
  <w:style w:type="character" w:styleId="1575">
    <w:name w:val="Intense Quote Char"/>
    <w:link w:val="1611"/>
    <w:uiPriority w:val="30"/>
    <w:rPr>
      <w:i/>
    </w:rPr>
  </w:style>
  <w:style w:type="character" w:styleId="1576">
    <w:name w:val="Header Char"/>
    <w:basedOn w:val="1591"/>
    <w:link w:val="1613"/>
    <w:uiPriority w:val="99"/>
  </w:style>
  <w:style w:type="character" w:styleId="1577">
    <w:name w:val="Footer Char"/>
    <w:basedOn w:val="1591"/>
    <w:link w:val="1615"/>
    <w:uiPriority w:val="99"/>
  </w:style>
  <w:style w:type="character" w:styleId="1578">
    <w:name w:val="Caption Char"/>
    <w:basedOn w:val="1591"/>
    <w:link w:val="1617"/>
    <w:uiPriority w:val="35"/>
    <w:rPr>
      <w:b/>
      <w:bCs/>
      <w:color w:val="4f81bd" w:themeColor="accent1"/>
      <w:sz w:val="18"/>
      <w:szCs w:val="18"/>
    </w:rPr>
  </w:style>
  <w:style w:type="character" w:styleId="1579">
    <w:name w:val="Footnote Text Char"/>
    <w:link w:val="1746"/>
    <w:uiPriority w:val="99"/>
    <w:rPr>
      <w:sz w:val="18"/>
    </w:rPr>
  </w:style>
  <w:style w:type="character" w:styleId="1580">
    <w:name w:val="Endnote Text Char"/>
    <w:link w:val="1749"/>
    <w:uiPriority w:val="99"/>
    <w:rPr>
      <w:sz w:val="20"/>
    </w:rPr>
  </w:style>
  <w:style w:type="paragraph" w:styleId="1581" w:default="1">
    <w:name w:val="Normal"/>
    <w:qFormat/>
  </w:style>
  <w:style w:type="paragraph" w:styleId="1582">
    <w:name w:val="Heading 1"/>
    <w:basedOn w:val="1581"/>
    <w:next w:val="1581"/>
    <w:link w:val="1594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1583">
    <w:name w:val="Heading 2"/>
    <w:basedOn w:val="1581"/>
    <w:next w:val="1581"/>
    <w:link w:val="1595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1584">
    <w:name w:val="Heading 3"/>
    <w:basedOn w:val="1581"/>
    <w:next w:val="1581"/>
    <w:link w:val="1596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1585">
    <w:name w:val="Heading 4"/>
    <w:basedOn w:val="1581"/>
    <w:next w:val="1581"/>
    <w:link w:val="1597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1586">
    <w:name w:val="Heading 5"/>
    <w:basedOn w:val="1581"/>
    <w:next w:val="1581"/>
    <w:link w:val="1598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1587">
    <w:name w:val="Heading 6"/>
    <w:basedOn w:val="1581"/>
    <w:next w:val="1581"/>
    <w:link w:val="1599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</w:rPr>
  </w:style>
  <w:style w:type="paragraph" w:styleId="1588">
    <w:name w:val="Heading 7"/>
    <w:basedOn w:val="1581"/>
    <w:next w:val="1581"/>
    <w:link w:val="1600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</w:rPr>
  </w:style>
  <w:style w:type="paragraph" w:styleId="1589">
    <w:name w:val="Heading 8"/>
    <w:basedOn w:val="1581"/>
    <w:next w:val="1581"/>
    <w:link w:val="1601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</w:rPr>
  </w:style>
  <w:style w:type="paragraph" w:styleId="1590">
    <w:name w:val="Heading 9"/>
    <w:basedOn w:val="1581"/>
    <w:next w:val="1581"/>
    <w:link w:val="1602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1591" w:default="1">
    <w:name w:val="Default Paragraph Font"/>
    <w:uiPriority w:val="1"/>
    <w:semiHidden/>
    <w:unhideWhenUsed/>
  </w:style>
  <w:style w:type="table" w:styleId="1592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1593" w:default="1">
    <w:name w:val="No List"/>
    <w:uiPriority w:val="99"/>
    <w:semiHidden/>
    <w:unhideWhenUsed/>
  </w:style>
  <w:style w:type="character" w:styleId="1594" w:customStyle="1">
    <w:name w:val="Заголовок 1 Знак"/>
    <w:basedOn w:val="1591"/>
    <w:link w:val="1582"/>
    <w:uiPriority w:val="9"/>
    <w:rPr>
      <w:rFonts w:ascii="Arial" w:hAnsi="Arial" w:eastAsia="Arial" w:cs="Arial"/>
      <w:sz w:val="40"/>
      <w:szCs w:val="40"/>
    </w:rPr>
  </w:style>
  <w:style w:type="character" w:styleId="1595" w:customStyle="1">
    <w:name w:val="Заголовок 2 Знак"/>
    <w:basedOn w:val="1591"/>
    <w:link w:val="1583"/>
    <w:uiPriority w:val="9"/>
    <w:rPr>
      <w:rFonts w:ascii="Arial" w:hAnsi="Arial" w:eastAsia="Arial" w:cs="Arial"/>
      <w:sz w:val="34"/>
    </w:rPr>
  </w:style>
  <w:style w:type="character" w:styleId="1596" w:customStyle="1">
    <w:name w:val="Заголовок 3 Знак"/>
    <w:basedOn w:val="1591"/>
    <w:link w:val="1584"/>
    <w:uiPriority w:val="9"/>
    <w:rPr>
      <w:rFonts w:ascii="Arial" w:hAnsi="Arial" w:eastAsia="Arial" w:cs="Arial"/>
      <w:sz w:val="30"/>
      <w:szCs w:val="30"/>
    </w:rPr>
  </w:style>
  <w:style w:type="character" w:styleId="1597" w:customStyle="1">
    <w:name w:val="Заголовок 4 Знак"/>
    <w:basedOn w:val="1591"/>
    <w:link w:val="1585"/>
    <w:uiPriority w:val="9"/>
    <w:rPr>
      <w:rFonts w:ascii="Arial" w:hAnsi="Arial" w:eastAsia="Arial" w:cs="Arial"/>
      <w:b/>
      <w:bCs/>
      <w:sz w:val="26"/>
      <w:szCs w:val="26"/>
    </w:rPr>
  </w:style>
  <w:style w:type="character" w:styleId="1598" w:customStyle="1">
    <w:name w:val="Заголовок 5 Знак"/>
    <w:basedOn w:val="1591"/>
    <w:link w:val="1586"/>
    <w:uiPriority w:val="9"/>
    <w:rPr>
      <w:rFonts w:ascii="Arial" w:hAnsi="Arial" w:eastAsia="Arial" w:cs="Arial"/>
      <w:b/>
      <w:bCs/>
      <w:sz w:val="24"/>
      <w:szCs w:val="24"/>
    </w:rPr>
  </w:style>
  <w:style w:type="character" w:styleId="1599" w:customStyle="1">
    <w:name w:val="Заголовок 6 Знак"/>
    <w:basedOn w:val="1591"/>
    <w:link w:val="1587"/>
    <w:uiPriority w:val="9"/>
    <w:rPr>
      <w:rFonts w:ascii="Arial" w:hAnsi="Arial" w:eastAsia="Arial" w:cs="Arial"/>
      <w:b/>
      <w:bCs/>
      <w:sz w:val="22"/>
      <w:szCs w:val="22"/>
    </w:rPr>
  </w:style>
  <w:style w:type="character" w:styleId="1600" w:customStyle="1">
    <w:name w:val="Заголовок 7 Знак"/>
    <w:basedOn w:val="1591"/>
    <w:link w:val="1588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1601" w:customStyle="1">
    <w:name w:val="Заголовок 8 Знак"/>
    <w:basedOn w:val="1591"/>
    <w:link w:val="1589"/>
    <w:uiPriority w:val="9"/>
    <w:rPr>
      <w:rFonts w:ascii="Arial" w:hAnsi="Arial" w:eastAsia="Arial" w:cs="Arial"/>
      <w:i/>
      <w:iCs/>
      <w:sz w:val="22"/>
      <w:szCs w:val="22"/>
    </w:rPr>
  </w:style>
  <w:style w:type="character" w:styleId="1602" w:customStyle="1">
    <w:name w:val="Заголовок 9 Знак"/>
    <w:basedOn w:val="1591"/>
    <w:link w:val="1590"/>
    <w:uiPriority w:val="9"/>
    <w:rPr>
      <w:rFonts w:ascii="Arial" w:hAnsi="Arial" w:eastAsia="Arial" w:cs="Arial"/>
      <w:i/>
      <w:iCs/>
      <w:sz w:val="21"/>
      <w:szCs w:val="21"/>
    </w:rPr>
  </w:style>
  <w:style w:type="paragraph" w:styleId="1603">
    <w:name w:val="List Paragraph"/>
    <w:basedOn w:val="1581"/>
    <w:uiPriority w:val="34"/>
    <w:qFormat/>
    <w:pPr>
      <w:contextualSpacing/>
      <w:ind w:left="720"/>
    </w:pPr>
  </w:style>
  <w:style w:type="paragraph" w:styleId="1604">
    <w:name w:val="No Spacing"/>
    <w:uiPriority w:val="1"/>
    <w:qFormat/>
    <w:pPr>
      <w:spacing w:after="0" w:line="240" w:lineRule="auto"/>
    </w:pPr>
  </w:style>
  <w:style w:type="paragraph" w:styleId="1605">
    <w:name w:val="Title"/>
    <w:basedOn w:val="1581"/>
    <w:next w:val="1581"/>
    <w:link w:val="160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1606" w:customStyle="1">
    <w:name w:val="Заголовок Знак"/>
    <w:basedOn w:val="1591"/>
    <w:link w:val="1605"/>
    <w:uiPriority w:val="10"/>
    <w:rPr>
      <w:sz w:val="48"/>
      <w:szCs w:val="48"/>
    </w:rPr>
  </w:style>
  <w:style w:type="paragraph" w:styleId="1607">
    <w:name w:val="Subtitle"/>
    <w:basedOn w:val="1581"/>
    <w:next w:val="1581"/>
    <w:link w:val="1608"/>
    <w:uiPriority w:val="11"/>
    <w:qFormat/>
    <w:pPr>
      <w:spacing w:before="200" w:after="200"/>
    </w:pPr>
    <w:rPr>
      <w:sz w:val="24"/>
      <w:szCs w:val="24"/>
    </w:rPr>
  </w:style>
  <w:style w:type="character" w:styleId="1608" w:customStyle="1">
    <w:name w:val="Подзаголовок Знак"/>
    <w:basedOn w:val="1591"/>
    <w:link w:val="1607"/>
    <w:uiPriority w:val="11"/>
    <w:rPr>
      <w:sz w:val="24"/>
      <w:szCs w:val="24"/>
    </w:rPr>
  </w:style>
  <w:style w:type="paragraph" w:styleId="1609">
    <w:name w:val="Quote"/>
    <w:basedOn w:val="1581"/>
    <w:next w:val="1581"/>
    <w:link w:val="1610"/>
    <w:uiPriority w:val="29"/>
    <w:qFormat/>
    <w:pPr>
      <w:ind w:left="720" w:right="720"/>
    </w:pPr>
    <w:rPr>
      <w:i/>
    </w:rPr>
  </w:style>
  <w:style w:type="character" w:styleId="1610" w:customStyle="1">
    <w:name w:val="Цитата 2 Знак"/>
    <w:link w:val="1609"/>
    <w:uiPriority w:val="29"/>
    <w:rPr>
      <w:i/>
    </w:rPr>
  </w:style>
  <w:style w:type="paragraph" w:styleId="1611">
    <w:name w:val="Intense Quote"/>
    <w:basedOn w:val="1581"/>
    <w:next w:val="1581"/>
    <w:link w:val="1612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1612" w:customStyle="1">
    <w:name w:val="Выделенная цитата Знак"/>
    <w:link w:val="1611"/>
    <w:uiPriority w:val="30"/>
    <w:rPr>
      <w:i/>
    </w:rPr>
  </w:style>
  <w:style w:type="paragraph" w:styleId="1613">
    <w:name w:val="Header"/>
    <w:basedOn w:val="1581"/>
    <w:link w:val="161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1614" w:customStyle="1">
    <w:name w:val="Верхний колонтитул Знак"/>
    <w:basedOn w:val="1591"/>
    <w:link w:val="1613"/>
    <w:uiPriority w:val="99"/>
  </w:style>
  <w:style w:type="paragraph" w:styleId="1615">
    <w:name w:val="Footer"/>
    <w:basedOn w:val="1581"/>
    <w:link w:val="161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1616" w:customStyle="1">
    <w:name w:val="Нижний колонтитул Знак"/>
    <w:basedOn w:val="1591"/>
    <w:link w:val="1615"/>
    <w:uiPriority w:val="99"/>
  </w:style>
  <w:style w:type="paragraph" w:styleId="1617">
    <w:name w:val="Caption"/>
    <w:basedOn w:val="1581"/>
    <w:next w:val="1581"/>
    <w:link w:val="1618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styleId="1618" w:customStyle="1">
    <w:name w:val="Название объекта Знак"/>
    <w:basedOn w:val="1591"/>
    <w:link w:val="1617"/>
    <w:uiPriority w:val="35"/>
    <w:rPr>
      <w:b/>
      <w:bCs/>
      <w:color w:val="5b9bd5" w:themeColor="accent1"/>
      <w:sz w:val="18"/>
      <w:szCs w:val="18"/>
    </w:rPr>
  </w:style>
  <w:style w:type="table" w:styleId="1619">
    <w:name w:val="Table Grid"/>
    <w:basedOn w:val="1592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1620" w:customStyle="1">
    <w:name w:val="Table Grid Light"/>
    <w:basedOn w:val="1592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621">
    <w:name w:val="Plain Table 1"/>
    <w:basedOn w:val="1592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1622">
    <w:name w:val="Plain Table 2"/>
    <w:basedOn w:val="1592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1623">
    <w:name w:val="Plain Table 3"/>
    <w:basedOn w:val="159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1624">
    <w:name w:val="Plain Table 4"/>
    <w:basedOn w:val="159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625">
    <w:name w:val="Plain Table 5"/>
    <w:basedOn w:val="159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1626">
    <w:name w:val="Grid Table 1 Light"/>
    <w:basedOn w:val="1592"/>
    <w:uiPriority w:val="99"/>
    <w:pPr>
      <w:spacing w:after="0" w:line="240" w:lineRule="auto"/>
    </w:pPr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627" w:customStyle="1">
    <w:name w:val="Grid Table 1 Light - Accent 1"/>
    <w:basedOn w:val="1592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EC4E6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628" w:customStyle="1">
    <w:name w:val="Grid Table 1 Light - Accent 2"/>
    <w:basedOn w:val="159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4B28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629" w:customStyle="1">
    <w:name w:val="Grid Table 1 Light - Accent 3"/>
    <w:basedOn w:val="1592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ACACA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630" w:customStyle="1">
    <w:name w:val="Grid Table 1 Light - Accent 4"/>
    <w:basedOn w:val="159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FDA6A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631" w:customStyle="1">
    <w:name w:val="Grid Table 1 Light - Accent 5"/>
    <w:basedOn w:val="1592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1ACDC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632" w:customStyle="1">
    <w:name w:val="Grid Table 1 Light - Accent 6"/>
    <w:basedOn w:val="1592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AAD19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633">
    <w:name w:val="Grid Table 2"/>
    <w:basedOn w:val="159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634" w:customStyle="1">
    <w:name w:val="Grid Table 2 - Accent 1"/>
    <w:basedOn w:val="159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8A2D8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8A2D8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635" w:customStyle="1">
    <w:name w:val="Grid Table 2 - Accent 2"/>
    <w:basedOn w:val="159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4B184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636" w:customStyle="1">
    <w:name w:val="Grid Table 2 - Accent 3"/>
    <w:basedOn w:val="159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A5A5A5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637" w:customStyle="1">
    <w:name w:val="Grid Table 2 - Accent 4"/>
    <w:basedOn w:val="159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FD865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638" w:customStyle="1">
    <w:name w:val="Grid Table 2 - Accent 5"/>
    <w:basedOn w:val="159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639" w:customStyle="1">
    <w:name w:val="Grid Table 2 - Accent 6"/>
    <w:basedOn w:val="159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640">
    <w:name w:val="Grid Table 3"/>
    <w:basedOn w:val="159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641" w:customStyle="1">
    <w:name w:val="Grid Table 3 - Accent 1"/>
    <w:basedOn w:val="159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642" w:customStyle="1">
    <w:name w:val="Grid Table 3 - Accent 2"/>
    <w:basedOn w:val="159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643" w:customStyle="1">
    <w:name w:val="Grid Table 3 - Accent 3"/>
    <w:basedOn w:val="159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644" w:customStyle="1">
    <w:name w:val="Grid Table 3 - Accent 4"/>
    <w:basedOn w:val="159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645" w:customStyle="1">
    <w:name w:val="Grid Table 3 - Accent 5"/>
    <w:basedOn w:val="159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646" w:customStyle="1">
    <w:name w:val="Grid Table 3 - Accent 6"/>
    <w:basedOn w:val="159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647">
    <w:name w:val="Grid Table 4"/>
    <w:basedOn w:val="1592"/>
    <w:uiPriority w:val="5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1648" w:customStyle="1">
    <w:name w:val="Grid Table 4 - Accent 1"/>
    <w:basedOn w:val="1592"/>
    <w:uiPriority w:val="5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68a2d8" w:themeColor="accent1" w:themeTint="EA" w:fill="68a2d8" w:themeFill="accent1" w:themeFillTint="EA"/>
        <w:tcBorders>
          <w:top w:val="single" w:color="68A2D8" w:themeColor="accent1" w:themeTint="EA" w:sz="4" w:space="0"/>
          <w:left w:val="single" w:color="68A2D8" w:themeColor="accent1" w:themeTint="EA" w:sz="4" w:space="0"/>
          <w:bottom w:val="single" w:color="68A2D8" w:themeColor="accent1" w:themeTint="EA" w:sz="4" w:space="0"/>
          <w:right w:val="single" w:color="68A2D8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68A2D8" w:themeColor="accent1" w:themeTint="EA" w:sz="4" w:space="0"/>
        </w:tcBorders>
      </w:tcPr>
    </w:tblStylePr>
  </w:style>
  <w:style w:type="table" w:styleId="1649" w:customStyle="1">
    <w:name w:val="Grid Table 4 - Accent 2"/>
    <w:basedOn w:val="1592"/>
    <w:uiPriority w:val="5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4" w:space="0"/>
          <w:left w:val="single" w:color="F4B184" w:themeColor="accent2" w:themeTint="97" w:sz="4" w:space="0"/>
          <w:bottom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4B184" w:themeColor="accent2" w:themeTint="97" w:sz="4" w:space="0"/>
        </w:tcBorders>
      </w:tcPr>
    </w:tblStylePr>
  </w:style>
  <w:style w:type="table" w:styleId="1650" w:customStyle="1">
    <w:name w:val="Grid Table 4 - Accent 3"/>
    <w:basedOn w:val="1592"/>
    <w:uiPriority w:val="5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themeTint="FE" w:fill="a5a5a5" w:themeFill="accent3" w:themeFillTint="FE"/>
        <w:tcBorders>
          <w:top w:val="single" w:color="A5A5A5" w:themeColor="accent3" w:themeTint="FE" w:sz="4" w:space="0"/>
          <w:left w:val="single" w:color="A5A5A5" w:themeColor="accent3" w:themeTint="FE" w:sz="4" w:space="0"/>
          <w:bottom w:val="single" w:color="A5A5A5" w:themeColor="accent3" w:themeTint="FE" w:sz="4" w:space="0"/>
          <w:right w:val="single" w:color="A5A5A5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themeTint="FE" w:sz="4" w:space="0"/>
        </w:tcBorders>
      </w:tcPr>
    </w:tblStylePr>
  </w:style>
  <w:style w:type="table" w:styleId="1651" w:customStyle="1">
    <w:name w:val="Grid Table 4 - Accent 4"/>
    <w:basedOn w:val="1592"/>
    <w:uiPriority w:val="5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4" w:space="0"/>
          <w:left w:val="single" w:color="FFD865" w:themeColor="accent4" w:themeTint="9A" w:sz="4" w:space="0"/>
          <w:bottom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D865" w:themeColor="accent4" w:themeTint="9A" w:sz="4" w:space="0"/>
        </w:tcBorders>
      </w:tcPr>
    </w:tblStylePr>
  </w:style>
  <w:style w:type="table" w:styleId="1652" w:customStyle="1">
    <w:name w:val="Grid Table 4 - Accent 5"/>
    <w:basedOn w:val="1592"/>
    <w:uiPriority w:val="5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</w:tcBorders>
      </w:tcPr>
    </w:tblStylePr>
  </w:style>
  <w:style w:type="table" w:styleId="1653" w:customStyle="1">
    <w:name w:val="Grid Table 4 - Accent 6"/>
    <w:basedOn w:val="1592"/>
    <w:uiPriority w:val="5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</w:tcBorders>
      </w:tcPr>
    </w:tblStylePr>
  </w:style>
  <w:style w:type="table" w:styleId="1654">
    <w:name w:val="Grid Table 5 Dark"/>
    <w:basedOn w:val="159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1655" w:customStyle="1">
    <w:name w:val="Grid Table 5 Dark- Accent 1"/>
    <w:basedOn w:val="159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deaf6" w:themeColor="accent1" w:themeTint="34" w:fill="ddeaf6" w:themeFill="accent1" w:themeFillTint="34"/>
    </w:tblPr>
    <w:tblStylePr w:type="band1Horz">
      <w:tcPr>
        <w:shd w:val="clear" w:color="b3d0eb" w:themeColor="accent1" w:themeTint="75" w:fill="b3d0eb" w:themeFill="accent1" w:themeFillTint="75"/>
      </w:tcPr>
    </w:tblStylePr>
    <w:tblStylePr w:type="band1Vert">
      <w:tcPr>
        <w:shd w:val="clear" w:color="b3d0eb" w:themeColor="accent1" w:themeTint="75" w:fill="b3d0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  <w:tcBorders>
          <w:top w:val="single" w:color="FFFFFF" w:themeColor="light1" w:sz="4" w:space="0"/>
        </w:tcBorders>
      </w:tcPr>
    </w:tblStylePr>
  </w:style>
  <w:style w:type="table" w:styleId="1656" w:customStyle="1">
    <w:name w:val="Grid Table 5 Dark - Accent 2"/>
    <w:basedOn w:val="159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be5d6" w:themeColor="accent2" w:themeTint="32" w:fill="fbe5d6" w:themeFill="accent2" w:themeFillTint="32"/>
    </w:tblPr>
    <w:tblStylePr w:type="band1Horz">
      <w:tcPr>
        <w:shd w:val="clear" w:color="f6c3a0" w:themeColor="accent2" w:themeTint="75" w:fill="f6c3a0" w:themeFill="accent2" w:themeFillTint="75"/>
      </w:tcPr>
    </w:tblStylePr>
    <w:tblStylePr w:type="band1Vert">
      <w:tcPr>
        <w:shd w:val="clear" w:color="f6c3a0" w:themeColor="accent2" w:themeTint="75" w:fill="f6c3a0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  <w:tcBorders>
          <w:top w:val="single" w:color="FFFFFF" w:themeColor="light1" w:sz="4" w:space="0"/>
        </w:tcBorders>
      </w:tcPr>
    </w:tblStylePr>
  </w:style>
  <w:style w:type="table" w:styleId="1657" w:customStyle="1">
    <w:name w:val="Grid Table 5 Dark - Accent 3"/>
    <w:basedOn w:val="159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cecec" w:themeColor="accent3" w:themeTint="34" w:fill="ececec" w:themeFill="accent3" w:themeFillTint="34"/>
    </w:tblPr>
    <w:tblStylePr w:type="band1Horz">
      <w:tcPr>
        <w:shd w:val="clear" w:color="d5d5d5" w:themeColor="accent3" w:themeTint="75" w:fill="d5d5d5" w:themeFill="accent3" w:themeFillTint="75"/>
      </w:tcPr>
    </w:tblStylePr>
    <w:tblStylePr w:type="band1Vert">
      <w:tcPr>
        <w:shd w:val="clear" w:color="d5d5d5" w:themeColor="accent3" w:themeTint="75" w:fill="d5d5d5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  <w:tcBorders>
          <w:top w:val="single" w:color="FFFFFF" w:themeColor="light1" w:sz="4" w:space="0"/>
        </w:tcBorders>
      </w:tcPr>
    </w:tblStylePr>
  </w:style>
  <w:style w:type="table" w:styleId="1658" w:customStyle="1">
    <w:name w:val="Grid Table 5 Dark- Accent 4"/>
    <w:basedOn w:val="159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ff2cb" w:themeColor="accent4" w:themeTint="34" w:fill="fff2cb" w:themeFill="accent4" w:themeFillTint="34"/>
    </w:tblPr>
    <w:tblStylePr w:type="band1Horz">
      <w:tcPr>
        <w:shd w:val="clear" w:color="ffe28a" w:themeColor="accent4" w:themeTint="75" w:fill="ffe28a" w:themeFill="accent4" w:themeFillTint="75"/>
      </w:tcPr>
    </w:tblStylePr>
    <w:tblStylePr w:type="band1Vert">
      <w:tcPr>
        <w:shd w:val="clear" w:color="ffe28a" w:themeColor="accent4" w:themeTint="75" w:fill="ffe28a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  <w:tcBorders>
          <w:top w:val="single" w:color="FFFFFF" w:themeColor="light1" w:sz="4" w:space="0"/>
        </w:tcBorders>
      </w:tcPr>
    </w:tblStylePr>
  </w:style>
  <w:style w:type="table" w:styleId="1659" w:customStyle="1">
    <w:name w:val="Grid Table 5 Dark - Accent 5"/>
    <w:basedOn w:val="159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8e2f3" w:themeColor="accent5" w:themeTint="34" w:fill="d8e2f3" w:themeFill="accent5" w:themeFillTint="34"/>
    </w:tblPr>
    <w:tblStylePr w:type="band1Horz">
      <w:tcPr>
        <w:shd w:val="clear" w:color="a9bee4" w:themeColor="accent5" w:themeTint="75" w:fill="a9bee4" w:themeFill="accent5" w:themeFillTint="75"/>
      </w:tcPr>
    </w:tblStylePr>
    <w:tblStylePr w:type="band1Vert">
      <w:tcPr>
        <w:shd w:val="clear" w:color="a9bee4" w:themeColor="accent5" w:themeTint="75" w:fill="a9be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FFFFFF" w:themeColor="light1" w:sz="4" w:space="0"/>
        </w:tcBorders>
      </w:tcPr>
    </w:tblStylePr>
  </w:style>
  <w:style w:type="table" w:styleId="1660" w:customStyle="1">
    <w:name w:val="Grid Table 5 Dark - Accent 6"/>
    <w:basedOn w:val="159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1efd8" w:themeColor="accent6" w:themeTint="34" w:fill="e1efd8" w:themeFill="accent6" w:themeFillTint="34"/>
    </w:tblPr>
    <w:tblStylePr w:type="band1Horz">
      <w:tcPr>
        <w:shd w:val="clear" w:color="bcdba8" w:themeColor="accent6" w:themeTint="75" w:fill="bcdba8" w:themeFill="accent6" w:themeFillTint="75"/>
      </w:tcPr>
    </w:tblStylePr>
    <w:tblStylePr w:type="band1Vert">
      <w:tcPr>
        <w:shd w:val="clear" w:color="bcdba8" w:themeColor="accent6" w:themeTint="75" w:fill="bc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FFFFFF" w:themeColor="light1" w:sz="4" w:space="0"/>
        </w:tcBorders>
      </w:tcPr>
    </w:tblStylePr>
  </w:style>
  <w:style w:type="table" w:styleId="1661">
    <w:name w:val="Grid Table 6 Colorful"/>
    <w:basedOn w:val="1592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1662" w:customStyle="1">
    <w:name w:val="Grid Table 6 Colorful - Accent 1"/>
    <w:basedOn w:val="1592"/>
    <w:uiPriority w:val="99"/>
    <w:pPr>
      <w:spacing w:after="0" w:line="240" w:lineRule="auto"/>
    </w:pPr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b/>
        <w:color w:val="acccea" w:themeColor="accent1" w:themeTint="80" w:themeShade="95"/>
      </w:rPr>
    </w:tblStylePr>
    <w:tblStylePr w:type="firstRow">
      <w:rPr>
        <w:b/>
        <w:color w:val="acccea" w:themeColor="accent1" w:themeTint="80" w:themeShade="95"/>
      </w:rPr>
      <w:tcPr>
        <w:tcBorders>
          <w:bottom w:val="single" w:color="ACCCEA" w:themeColor="accent1" w:themeTint="80" w:sz="12" w:space="0"/>
        </w:tcBorders>
      </w:tcPr>
    </w:tblStylePr>
    <w:tblStylePr w:type="lastCol">
      <w:rPr>
        <w:b/>
        <w:color w:val="acccea" w:themeColor="accent1" w:themeTint="80" w:themeShade="95"/>
      </w:rPr>
    </w:tblStylePr>
    <w:tblStylePr w:type="lastRow">
      <w:rPr>
        <w:b/>
        <w:color w:val="acccea" w:themeColor="accent1" w:themeTint="80" w:themeShade="95"/>
      </w:rPr>
    </w:tblStylePr>
  </w:style>
  <w:style w:type="table" w:styleId="1663" w:customStyle="1">
    <w:name w:val="Grid Table 6 Colorful - Accent 2"/>
    <w:basedOn w:val="159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</w:tblStylePr>
  </w:style>
  <w:style w:type="table" w:styleId="1664" w:customStyle="1">
    <w:name w:val="Grid Table 6 Colorful - Accent 3"/>
    <w:basedOn w:val="1592"/>
    <w:uiPriority w:val="99"/>
    <w:pPr>
      <w:spacing w:after="0" w:line="240" w:lineRule="auto"/>
    </w:pPr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b/>
        <w:color w:val="a5a5a5" w:themeColor="accent3" w:themeTint="FE" w:themeShade="95"/>
      </w:rPr>
    </w:tblStylePr>
    <w:tblStylePr w:type="firstRow">
      <w:rPr>
        <w:b/>
        <w:color w:val="a5a5a5" w:themeColor="accent3" w:themeTint="FE" w:themeShade="95"/>
      </w:rPr>
      <w:tcPr>
        <w:tcBorders>
          <w:bottom w:val="single" w:color="A5A5A5" w:themeColor="accent3" w:themeTint="FE" w:sz="12" w:space="0"/>
        </w:tcBorders>
      </w:tcPr>
    </w:tblStylePr>
    <w:tblStylePr w:type="lastCol">
      <w:rPr>
        <w:b/>
        <w:color w:val="a5a5a5" w:themeColor="accent3" w:themeTint="FE" w:themeShade="95"/>
      </w:rPr>
    </w:tblStylePr>
    <w:tblStylePr w:type="lastRow">
      <w:rPr>
        <w:b/>
        <w:color w:val="a5a5a5" w:themeColor="accent3" w:themeTint="FE" w:themeShade="95"/>
      </w:rPr>
    </w:tblStylePr>
  </w:style>
  <w:style w:type="table" w:styleId="1665" w:customStyle="1">
    <w:name w:val="Grid Table 6 Colorful - Accent 4"/>
    <w:basedOn w:val="159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</w:tblStylePr>
  </w:style>
  <w:style w:type="table" w:styleId="1666" w:customStyle="1">
    <w:name w:val="Grid Table 6 Colorful - Accent 5"/>
    <w:basedOn w:val="1592"/>
    <w:uiPriority w:val="99"/>
    <w:pPr>
      <w:spacing w:after="0" w:line="240" w:lineRule="auto"/>
    </w:pPr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4472C4" w:themeColor="accent5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1667" w:customStyle="1">
    <w:name w:val="Grid Table 6 Colorful - Accent 6"/>
    <w:basedOn w:val="1592"/>
    <w:uiPriority w:val="99"/>
    <w:pPr>
      <w:spacing w:after="0" w:line="240" w:lineRule="auto"/>
    </w:pPr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70AD47" w:themeColor="accent6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1668">
    <w:name w:val="Grid Table 7 Colorful"/>
    <w:basedOn w:val="159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669" w:customStyle="1">
    <w:name w:val="Grid Table 7 Colorful - Accent 1"/>
    <w:basedOn w:val="159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rFonts w:ascii="Arial" w:hAnsi="Arial"/>
        <w:i/>
        <w:color w:val="acccea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CCCEA" w:themeColor="accent1" w:themeTint="80" w:sz="4" w:space="0"/>
        </w:tcBorders>
      </w:tcPr>
    </w:tblStylePr>
    <w:tblStylePr w:type="firstRow">
      <w:rPr>
        <w:rFonts w:ascii="Arial" w:hAnsi="Arial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CCCEA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ACCCEA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CCCEA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670" w:customStyle="1">
    <w:name w:val="Grid Table 7 Colorful - Accent 2"/>
    <w:basedOn w:val="159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671" w:customStyle="1">
    <w:name w:val="Grid Table 7 Colorful - Accent 3"/>
    <w:basedOn w:val="159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rFonts w:ascii="Arial" w:hAnsi="Arial"/>
        <w:i/>
        <w:color w:val="a5a5a5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themeTint="FE" w:sz="4" w:space="0"/>
        </w:tcBorders>
      </w:tcPr>
    </w:tblStylePr>
    <w:tblStylePr w:type="fir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5A5A5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cPr>
        <w:shd w:val="clear" w:color="ffffff" w:fill="auto"/>
        <w:tcBorders>
          <w:top w:val="none" w:color="000000" w:sz="4" w:space="0"/>
          <w:left w:val="single" w:color="A5A5A5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672" w:customStyle="1">
    <w:name w:val="Grid Table 7 Colorful - Accent 4"/>
    <w:basedOn w:val="159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673" w:customStyle="1">
    <w:name w:val="Grid Table 7 Colorful - Accent 5"/>
    <w:basedOn w:val="159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rFonts w:ascii="Arial" w:hAnsi="Arial"/>
        <w:i/>
        <w:color w:val="254175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5AFDD" w:themeColor="accent5" w:themeTint="90" w:sz="4" w:space="0"/>
        </w:tcBorders>
      </w:tcPr>
    </w:tblStylePr>
    <w:tblStylePr w:type="firstRow">
      <w:rPr>
        <w:rFonts w:ascii="Arial" w:hAnsi="Arial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cPr>
        <w:shd w:val="clear" w:color="ffffff" w:fill="auto"/>
        <w:tcBorders>
          <w:top w:val="none" w:color="000000" w:sz="4" w:space="0"/>
          <w:left w:val="single" w:color="95AFDD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single" w:color="95AFDD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674" w:customStyle="1">
    <w:name w:val="Grid Table 7 Colorful - Accent 6"/>
    <w:basedOn w:val="159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16429" w:themeColor="accent6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  <w:tblStylePr w:type="firstCol">
      <w:rPr>
        <w:rFonts w:ascii="Arial" w:hAnsi="Arial"/>
        <w:i/>
        <w:color w:val="416429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DD394" w:themeColor="accent6" w:themeTint="90" w:sz="4" w:space="0"/>
        </w:tcBorders>
      </w:tcPr>
    </w:tblStylePr>
    <w:tblStylePr w:type="fir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cPr>
        <w:shd w:val="clear" w:color="ffffff" w:fill="auto"/>
        <w:tcBorders>
          <w:top w:val="none" w:color="000000" w:sz="4" w:space="0"/>
          <w:left w:val="single" w:color="ADD394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single" w:color="ADD394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675">
    <w:name w:val="List Table 1 Light"/>
    <w:basedOn w:val="159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676" w:customStyle="1">
    <w:name w:val="List Table 1 Light - Accent 1"/>
    <w:basedOn w:val="159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677" w:customStyle="1">
    <w:name w:val="List Table 1 Light - Accent 2"/>
    <w:basedOn w:val="159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678" w:customStyle="1">
    <w:name w:val="List Table 1 Light - Accent 3"/>
    <w:basedOn w:val="159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679" w:customStyle="1">
    <w:name w:val="List Table 1 Light - Accent 4"/>
    <w:basedOn w:val="159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680" w:customStyle="1">
    <w:name w:val="List Table 1 Light - Accent 5"/>
    <w:basedOn w:val="159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681" w:customStyle="1">
    <w:name w:val="List Table 1 Light - Accent 6"/>
    <w:basedOn w:val="159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682">
    <w:name w:val="List Table 2"/>
    <w:basedOn w:val="1592"/>
    <w:uiPriority w:val="9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1683" w:customStyle="1">
    <w:name w:val="List Table 2 - Accent 1"/>
    <w:basedOn w:val="1592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</w:style>
  <w:style w:type="table" w:styleId="1684" w:customStyle="1">
    <w:name w:val="List Table 2 - Accent 2"/>
    <w:basedOn w:val="159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</w:style>
  <w:style w:type="table" w:styleId="1685" w:customStyle="1">
    <w:name w:val="List Table 2 - Accent 3"/>
    <w:basedOn w:val="1592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</w:style>
  <w:style w:type="table" w:styleId="1686" w:customStyle="1">
    <w:name w:val="List Table 2 - Accent 4"/>
    <w:basedOn w:val="159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</w:style>
  <w:style w:type="table" w:styleId="1687" w:customStyle="1">
    <w:name w:val="List Table 2 - Accent 5"/>
    <w:basedOn w:val="1592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</w:style>
  <w:style w:type="table" w:styleId="1688" w:customStyle="1">
    <w:name w:val="List Table 2 - Accent 6"/>
    <w:basedOn w:val="1592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</w:style>
  <w:style w:type="table" w:styleId="1689">
    <w:name w:val="List Table 3"/>
    <w:basedOn w:val="159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690" w:customStyle="1">
    <w:name w:val="List Table 3 - Accent 1"/>
    <w:basedOn w:val="1592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691" w:customStyle="1">
    <w:name w:val="List Table 3 - Accent 2"/>
    <w:basedOn w:val="159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4B184" w:themeColor="accent2" w:themeTint="97" w:sz="4" w:space="0"/>
          <w:bottom w:val="single" w:color="F4B184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692" w:customStyle="1">
    <w:name w:val="List Table 3 - Accent 3"/>
    <w:basedOn w:val="1592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9C9C9" w:themeColor="accent3" w:themeTint="98" w:sz="4" w:space="0"/>
          <w:bottom w:val="single" w:color="C9C9C9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9C9C9" w:themeColor="accent3" w:themeTint="98" w:sz="4" w:space="0"/>
          <w:right w:val="single" w:color="C9C9C9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9c9c9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693" w:customStyle="1">
    <w:name w:val="List Table 3 - Accent 4"/>
    <w:basedOn w:val="159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D865" w:themeColor="accent4" w:themeTint="9A" w:sz="4" w:space="0"/>
          <w:bottom w:val="single" w:color="FFD865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694" w:customStyle="1">
    <w:name w:val="List Table 3 - Accent 5"/>
    <w:basedOn w:val="1592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8DA9DB" w:themeColor="accent5" w:themeTint="9A" w:sz="4" w:space="0"/>
          <w:bottom w:val="single" w:color="8DA9DB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8DA9DB" w:themeColor="accent5" w:themeTint="9A" w:sz="4" w:space="0"/>
          <w:right w:val="single" w:color="8DA9DB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da9db" w:themeColor="accent5" w:themeTint="9A" w:fill="8da9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695" w:customStyle="1">
    <w:name w:val="List Table 3 - Accent 6"/>
    <w:basedOn w:val="1592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A9D08E" w:themeColor="accent6" w:themeTint="98" w:sz="4" w:space="0"/>
          <w:bottom w:val="single" w:color="A9D08E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A9D08E" w:themeColor="accent6" w:themeTint="98" w:sz="4" w:space="0"/>
          <w:right w:val="single" w:color="A9D08E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9d08e" w:themeColor="accent6" w:themeTint="98" w:fill="a9d08e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696">
    <w:name w:val="List Table 4"/>
    <w:basedOn w:val="159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697" w:customStyle="1">
    <w:name w:val="List Table 4 - Accent 1"/>
    <w:basedOn w:val="1592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698" w:customStyle="1">
    <w:name w:val="List Table 4 - Accent 2"/>
    <w:basedOn w:val="159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699" w:customStyle="1">
    <w:name w:val="List Table 4 - Accent 3"/>
    <w:basedOn w:val="1592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700" w:customStyle="1">
    <w:name w:val="List Table 4 - Accent 4"/>
    <w:basedOn w:val="159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701" w:customStyle="1">
    <w:name w:val="List Table 4 - Accent 5"/>
    <w:basedOn w:val="1592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702" w:customStyle="1">
    <w:name w:val="List Table 4 - Accent 6"/>
    <w:basedOn w:val="1592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703">
    <w:name w:val="List Table 5 Dark"/>
    <w:basedOn w:val="1592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1704" w:customStyle="1">
    <w:name w:val="List Table 5 Dark - Accent 1"/>
    <w:basedOn w:val="1592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  <w:shd w:val="clear" w:color="5b9bd5" w:themeColor="accent1" w:fill="5b9bd5" w:themeFill="accent1"/>
    </w:tblPr>
    <w:tblStylePr w:type="band1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5b9bd5" w:themeColor="accent1" w:fill="5b9bd5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5b9bd5" w:themeColor="accent1" w:fill="5b9bd5" w:themeFill="accent1"/>
        <w:tcBorders>
          <w:top w:val="single" w:color="5B9BD5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1705" w:customStyle="1">
    <w:name w:val="List Table 5 Dark - Accent 2"/>
    <w:basedOn w:val="159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  <w:shd w:val="clear" w:color="f4b184" w:themeColor="accent2" w:themeTint="97" w:fill="f4b184" w:themeFill="accent2" w:themeFillTint="97"/>
    </w:tblPr>
    <w:tblStylePr w:type="band1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4b184" w:themeColor="accent2" w:themeTint="97" w:fill="f4b184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4B184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4B184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1706" w:customStyle="1">
    <w:name w:val="List Table 5 Dark - Accent 3"/>
    <w:basedOn w:val="1592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  <w:shd w:val="clear" w:color="c9c9c9" w:themeColor="accent3" w:themeTint="98" w:fill="c9c9c9" w:themeFill="accent3" w:themeFillTint="98"/>
    </w:tblPr>
    <w:tblStylePr w:type="band1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9c9c9" w:themeColor="accent3" w:themeTint="98" w:fill="c9c9c9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9C9C9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9c9c9" w:themeColor="accent3" w:themeTint="98" w:fill="c9c9c9" w:themeFill="accent3" w:themeFillTint="98"/>
        <w:tcBorders>
          <w:top w:val="single" w:color="C9C9C9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9C9C9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1707" w:customStyle="1">
    <w:name w:val="List Table 5 Dark - Accent 4"/>
    <w:basedOn w:val="159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  <w:shd w:val="clear" w:color="ffd865" w:themeColor="accent4" w:themeTint="9A" w:fill="ffd865" w:themeFill="accent4" w:themeFillTint="9A"/>
    </w:tblPr>
    <w:tblStylePr w:type="band1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d865" w:themeColor="accent4" w:themeTint="9A" w:fill="ffd865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FD865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FD865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1708" w:customStyle="1">
    <w:name w:val="List Table 5 Dark - Accent 5"/>
    <w:basedOn w:val="1592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  <w:shd w:val="clear" w:color="8da9db" w:themeColor="accent5" w:themeTint="9A" w:fill="8da9db" w:themeFill="accent5" w:themeFillTint="9A"/>
    </w:tblPr>
    <w:tblStylePr w:type="band1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8da9db" w:themeColor="accent5" w:themeTint="9A" w:fill="8da9db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8DA9DB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8da9db" w:themeColor="accent5" w:themeTint="9A" w:fill="8da9db" w:themeFill="accent5" w:themeFillTint="9A"/>
        <w:tcBorders>
          <w:top w:val="single" w:color="8DA9DB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8DA9DB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1709" w:customStyle="1">
    <w:name w:val="List Table 5 Dark - Accent 6"/>
    <w:basedOn w:val="1592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  <w:shd w:val="clear" w:color="a9d08e" w:themeColor="accent6" w:themeTint="98" w:fill="a9d08e" w:themeFill="accent6" w:themeFillTint="98"/>
    </w:tblPr>
    <w:tblStylePr w:type="band1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a9d08e" w:themeColor="accent6" w:themeTint="98" w:fill="a9d08e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A9D08E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9d08e" w:themeColor="accent6" w:themeTint="98" w:fill="a9d08e" w:themeFill="accent6" w:themeFillTint="98"/>
        <w:tcBorders>
          <w:top w:val="single" w:color="A9D08E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A9D08E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1710">
    <w:name w:val="List Table 6 Colorful"/>
    <w:basedOn w:val="1592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1711" w:customStyle="1">
    <w:name w:val="List Table 6 Colorful - Accent 1"/>
    <w:basedOn w:val="1592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b/>
        <w:color w:val="245a8d" w:themeColor="accent1" w:themeShade="95"/>
      </w:rPr>
    </w:tblStylePr>
    <w:tblStylePr w:type="firstRow">
      <w:rPr>
        <w:b/>
        <w:color w:val="245a8d" w:themeColor="accent1" w:themeShade="95"/>
      </w:rPr>
      <w:tcPr>
        <w:tcBorders>
          <w:bottom w:val="single" w:color="5B9BD5" w:themeColor="accent1" w:sz="4" w:space="0"/>
        </w:tcBorders>
      </w:tcPr>
    </w:tblStylePr>
    <w:tblStylePr w:type="lastCol">
      <w:rPr>
        <w:b/>
        <w:color w:val="245a8d" w:themeColor="accent1" w:themeShade="95"/>
      </w:rPr>
    </w:tblStylePr>
    <w:tblStylePr w:type="lastRow">
      <w:rPr>
        <w:b/>
        <w:color w:val="245a8d" w:themeColor="accent1" w:themeShade="95"/>
      </w:rPr>
      <w:tcPr>
        <w:tcBorders>
          <w:top w:val="single" w:color="5B9BD5" w:themeColor="accent1" w:sz="4" w:space="0"/>
        </w:tcBorders>
      </w:tcPr>
    </w:tblStylePr>
  </w:style>
  <w:style w:type="table" w:styleId="1712" w:customStyle="1">
    <w:name w:val="List Table 6 Colorful - Accent 2"/>
    <w:basedOn w:val="159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4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  <w:tcPr>
        <w:tcBorders>
          <w:top w:val="single" w:color="F4B184" w:themeColor="accent2" w:themeTint="97" w:sz="4" w:space="0"/>
        </w:tcBorders>
      </w:tcPr>
    </w:tblStylePr>
  </w:style>
  <w:style w:type="table" w:styleId="1713" w:customStyle="1">
    <w:name w:val="List Table 6 Colorful - Accent 3"/>
    <w:basedOn w:val="1592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b/>
        <w:color w:val="c9c9c9" w:themeColor="accent3" w:themeTint="98" w:themeShade="95"/>
      </w:rPr>
    </w:tblStylePr>
    <w:tblStylePr w:type="firstRow">
      <w:rPr>
        <w:b/>
        <w:color w:val="c9c9c9" w:themeColor="accent3" w:themeTint="98" w:themeShade="95"/>
      </w:rPr>
      <w:tcPr>
        <w:tcBorders>
          <w:bottom w:val="single" w:color="C9C9C9" w:themeColor="accent3" w:themeTint="98" w:sz="4" w:space="0"/>
        </w:tcBorders>
      </w:tcPr>
    </w:tblStylePr>
    <w:tblStylePr w:type="lastCol">
      <w:rPr>
        <w:b/>
        <w:color w:val="c9c9c9" w:themeColor="accent3" w:themeTint="98" w:themeShade="95"/>
      </w:rPr>
    </w:tblStylePr>
    <w:tblStylePr w:type="lastRow">
      <w:rPr>
        <w:b/>
        <w:color w:val="c9c9c9" w:themeColor="accent3" w:themeTint="98" w:themeShade="95"/>
      </w:rPr>
      <w:tcPr>
        <w:tcBorders>
          <w:top w:val="single" w:color="C9C9C9" w:themeColor="accent3" w:themeTint="98" w:sz="4" w:space="0"/>
        </w:tcBorders>
      </w:tcPr>
    </w:tblStylePr>
  </w:style>
  <w:style w:type="table" w:styleId="1714" w:customStyle="1">
    <w:name w:val="List Table 6 Colorful - Accent 4"/>
    <w:basedOn w:val="159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4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  <w:tcPr>
        <w:tcBorders>
          <w:top w:val="single" w:color="FFD865" w:themeColor="accent4" w:themeTint="9A" w:sz="4" w:space="0"/>
        </w:tcBorders>
      </w:tcPr>
    </w:tblStylePr>
  </w:style>
  <w:style w:type="table" w:styleId="1715" w:customStyle="1">
    <w:name w:val="List Table 6 Colorful - Accent 5"/>
    <w:basedOn w:val="1592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b/>
        <w:color w:val="8da9db" w:themeColor="accent5" w:themeTint="9A" w:themeShade="95"/>
      </w:rPr>
    </w:tblStylePr>
    <w:tblStylePr w:type="firstRow">
      <w:rPr>
        <w:b/>
        <w:color w:val="8da9db" w:themeColor="accent5" w:themeTint="9A" w:themeShade="95"/>
      </w:rPr>
      <w:tcPr>
        <w:tcBorders>
          <w:bottom w:val="single" w:color="8DA9DB" w:themeColor="accent5" w:themeTint="9A" w:sz="4" w:space="0"/>
        </w:tcBorders>
      </w:tcPr>
    </w:tblStylePr>
    <w:tblStylePr w:type="lastCol">
      <w:rPr>
        <w:b/>
        <w:color w:val="8da9db" w:themeColor="accent5" w:themeTint="9A" w:themeShade="95"/>
      </w:rPr>
    </w:tblStylePr>
    <w:tblStylePr w:type="lastRow">
      <w:rPr>
        <w:b/>
        <w:color w:val="8da9db" w:themeColor="accent5" w:themeTint="9A" w:themeShade="95"/>
      </w:rPr>
      <w:tcPr>
        <w:tcBorders>
          <w:top w:val="single" w:color="8DA9DB" w:themeColor="accent5" w:themeTint="9A" w:sz="4" w:space="0"/>
        </w:tcBorders>
      </w:tcPr>
    </w:tblStylePr>
  </w:style>
  <w:style w:type="table" w:styleId="1716" w:customStyle="1">
    <w:name w:val="List Table 6 Colorful - Accent 6"/>
    <w:basedOn w:val="1592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b/>
        <w:color w:val="a9d08e" w:themeColor="accent6" w:themeTint="98" w:themeShade="95"/>
      </w:rPr>
    </w:tblStylePr>
    <w:tblStylePr w:type="firstRow">
      <w:rPr>
        <w:b/>
        <w:color w:val="a9d08e" w:themeColor="accent6" w:themeTint="98" w:themeShade="95"/>
      </w:rPr>
      <w:tcPr>
        <w:tcBorders>
          <w:bottom w:val="single" w:color="A9D08E" w:themeColor="accent6" w:themeTint="98" w:sz="4" w:space="0"/>
        </w:tcBorders>
      </w:tcPr>
    </w:tblStylePr>
    <w:tblStylePr w:type="lastCol">
      <w:rPr>
        <w:b/>
        <w:color w:val="a9d08e" w:themeColor="accent6" w:themeTint="98" w:themeShade="95"/>
      </w:rPr>
    </w:tblStylePr>
    <w:tblStylePr w:type="lastRow">
      <w:rPr>
        <w:b/>
        <w:color w:val="a9d08e" w:themeColor="accent6" w:themeTint="98" w:themeShade="95"/>
      </w:rPr>
      <w:tcPr>
        <w:tcBorders>
          <w:top w:val="single" w:color="A9D08E" w:themeColor="accent6" w:themeTint="98" w:sz="4" w:space="0"/>
        </w:tcBorders>
      </w:tcPr>
    </w:tblStylePr>
  </w:style>
  <w:style w:type="table" w:styleId="1717">
    <w:name w:val="List Table 7 Colorful"/>
    <w:basedOn w:val="1592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718" w:customStyle="1">
    <w:name w:val="List Table 7 Colorful - Accent 1"/>
    <w:basedOn w:val="1592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5B9BD5" w:themeColor="accent1" w:sz="4" w:space="0"/>
      </w:tblBorders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rFonts w:ascii="Arial" w:hAnsi="Arial"/>
        <w:i/>
        <w:color w:val="245a8d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</w:tcPr>
    </w:tblStylePr>
    <w:tblStylePr w:type="firstRow">
      <w:rPr>
        <w:rFonts w:ascii="Arial" w:hAnsi="Arial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cPr>
        <w:shd w:val="clear" w:color="ffffff" w:fill="auto"/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719" w:customStyle="1">
    <w:name w:val="List Table 7 Colorful - Accent 2"/>
    <w:basedOn w:val="1592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720" w:customStyle="1">
    <w:name w:val="List Table 7 Colorful - Accent 3"/>
    <w:basedOn w:val="1592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rFonts w:ascii="Arial" w:hAnsi="Arial"/>
        <w:i/>
        <w:color w:val="c9c9c9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9C9C9" w:themeColor="accent3" w:themeTint="98" w:sz="4" w:space="0"/>
        </w:tcBorders>
      </w:tcPr>
    </w:tblStylePr>
    <w:tblStylePr w:type="fir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C9C9C9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C9C9C9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9C9C9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721" w:customStyle="1">
    <w:name w:val="List Table 7 Colorful - Accent 4"/>
    <w:basedOn w:val="1592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722" w:customStyle="1">
    <w:name w:val="List Table 7 Colorful - Accent 5"/>
    <w:basedOn w:val="1592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rFonts w:ascii="Arial" w:hAnsi="Arial"/>
        <w:i/>
        <w:color w:val="8da9db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8DA9DB" w:themeColor="accent5" w:themeTint="9A" w:sz="4" w:space="0"/>
        </w:tcBorders>
      </w:tcPr>
    </w:tblStylePr>
    <w:tblStylePr w:type="firstRow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8DA9DB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8DA9DB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8DA9DB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723" w:customStyle="1">
    <w:name w:val="List Table 7 Colorful - Accent 6"/>
    <w:basedOn w:val="1592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rFonts w:ascii="Arial" w:hAnsi="Arial"/>
        <w:i/>
        <w:color w:val="a9d08e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9D08E" w:themeColor="accent6" w:themeTint="98" w:sz="4" w:space="0"/>
        </w:tcBorders>
      </w:tcPr>
    </w:tblStylePr>
    <w:tblStylePr w:type="fir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9D08E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A9D08E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A9D08E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724" w:customStyle="1">
    <w:name w:val="Lined - Accent"/>
    <w:basedOn w:val="1592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1725" w:customStyle="1">
    <w:name w:val="Lined - Accent 1"/>
    <w:basedOn w:val="1592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1726" w:customStyle="1">
    <w:name w:val="Lined - Accent 2"/>
    <w:basedOn w:val="1592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1727" w:customStyle="1">
    <w:name w:val="Lined - Accent 3"/>
    <w:basedOn w:val="1592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1728" w:customStyle="1">
    <w:name w:val="Lined - Accent 4"/>
    <w:basedOn w:val="1592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1729" w:customStyle="1">
    <w:name w:val="Lined - Accent 5"/>
    <w:basedOn w:val="1592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1730" w:customStyle="1">
    <w:name w:val="Lined - Accent 6"/>
    <w:basedOn w:val="1592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1731" w:customStyle="1">
    <w:name w:val="Bordered &amp; Lined - Accent"/>
    <w:basedOn w:val="1592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1732" w:customStyle="1">
    <w:name w:val="Bordered &amp; Lined - Accent 1"/>
    <w:basedOn w:val="1592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color="245A8D" w:themeColor="accent1" w:themeShade="95" w:sz="4" w:space="0"/>
        <w:left w:val="single" w:color="245A8D" w:themeColor="accent1" w:themeShade="95" w:sz="4" w:space="0"/>
        <w:bottom w:val="single" w:color="245A8D" w:themeColor="accent1" w:themeShade="95" w:sz="4" w:space="0"/>
        <w:right w:val="single" w:color="245A8D" w:themeColor="accent1" w:themeShade="95" w:sz="4" w:space="0"/>
        <w:insideH w:val="single" w:color="245A8D" w:themeColor="accent1" w:themeShade="95" w:sz="4" w:space="0"/>
        <w:insideV w:val="single" w:color="245A8D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1733" w:customStyle="1">
    <w:name w:val="Bordered &amp; Lined - Accent 2"/>
    <w:basedOn w:val="1592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1734" w:customStyle="1">
    <w:name w:val="Bordered &amp; Lined - Accent 3"/>
    <w:basedOn w:val="1592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1735" w:customStyle="1">
    <w:name w:val="Bordered &amp; Lined - Accent 4"/>
    <w:basedOn w:val="1592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color="957000" w:themeColor="accent4" w:themeShade="95" w:sz="4" w:space="0"/>
        <w:left w:val="single" w:color="957000" w:themeColor="accent4" w:themeShade="95" w:sz="4" w:space="0"/>
        <w:bottom w:val="single" w:color="957000" w:themeColor="accent4" w:themeShade="95" w:sz="4" w:space="0"/>
        <w:right w:val="single" w:color="957000" w:themeColor="accent4" w:themeShade="95" w:sz="4" w:space="0"/>
        <w:insideH w:val="single" w:color="957000" w:themeColor="accent4" w:themeShade="95" w:sz="4" w:space="0"/>
        <w:insideV w:val="single" w:color="957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1736" w:customStyle="1">
    <w:name w:val="Bordered &amp; Lined - Accent 5"/>
    <w:basedOn w:val="1592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color="254175" w:themeColor="accent5" w:themeShade="95" w:sz="4" w:space="0"/>
        <w:left w:val="single" w:color="254175" w:themeColor="accent5" w:themeShade="95" w:sz="4" w:space="0"/>
        <w:bottom w:val="single" w:color="254175" w:themeColor="accent5" w:themeShade="95" w:sz="4" w:space="0"/>
        <w:right w:val="single" w:color="254175" w:themeColor="accent5" w:themeShade="95" w:sz="4" w:space="0"/>
        <w:insideH w:val="single" w:color="254175" w:themeColor="accent5" w:themeShade="95" w:sz="4" w:space="0"/>
        <w:insideV w:val="single" w:color="254175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1737" w:customStyle="1">
    <w:name w:val="Bordered &amp; Lined - Accent 6"/>
    <w:basedOn w:val="1592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color="416429" w:themeColor="accent6" w:themeShade="95" w:sz="4" w:space="0"/>
        <w:left w:val="single" w:color="416429" w:themeColor="accent6" w:themeShade="95" w:sz="4" w:space="0"/>
        <w:bottom w:val="single" w:color="416429" w:themeColor="accent6" w:themeShade="95" w:sz="4" w:space="0"/>
        <w:right w:val="single" w:color="416429" w:themeColor="accent6" w:themeShade="95" w:sz="4" w:space="0"/>
        <w:insideH w:val="single" w:color="416429" w:themeColor="accent6" w:themeShade="95" w:sz="4" w:space="0"/>
        <w:insideV w:val="single" w:color="416429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1738" w:customStyle="1">
    <w:name w:val="Bordered"/>
    <w:basedOn w:val="1592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1739" w:customStyle="1">
    <w:name w:val="Bordered - Accent 1"/>
    <w:basedOn w:val="1592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5B9BD5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5B9BD5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5B9BD5" w:themeColor="accent1" w:sz="12" w:space="0"/>
        </w:tcBorders>
      </w:tcPr>
    </w:tblStylePr>
  </w:style>
  <w:style w:type="table" w:styleId="1740" w:customStyle="1">
    <w:name w:val="Bordered - Accent 2"/>
    <w:basedOn w:val="159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4B184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4B184" w:themeColor="accent2" w:themeTint="97" w:sz="12" w:space="0"/>
        </w:tcBorders>
      </w:tcPr>
    </w:tblStylePr>
  </w:style>
  <w:style w:type="table" w:styleId="1741" w:customStyle="1">
    <w:name w:val="Bordered - Accent 3"/>
    <w:basedOn w:val="1592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9C9C9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9C9C9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9C9C9" w:themeColor="accent3" w:themeTint="98" w:sz="12" w:space="0"/>
        </w:tcBorders>
      </w:tcPr>
    </w:tblStylePr>
  </w:style>
  <w:style w:type="table" w:styleId="1742" w:customStyle="1">
    <w:name w:val="Bordered - Accent 4"/>
    <w:basedOn w:val="159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FD865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FD865" w:themeColor="accent4" w:themeTint="9A" w:sz="12" w:space="0"/>
        </w:tcBorders>
      </w:tcPr>
    </w:tblStylePr>
  </w:style>
  <w:style w:type="table" w:styleId="1743" w:customStyle="1">
    <w:name w:val="Bordered - Accent 5"/>
    <w:basedOn w:val="1592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8DA9DB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8DA9DB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8DA9DB" w:themeColor="accent5" w:themeTint="9A" w:sz="12" w:space="0"/>
        </w:tcBorders>
      </w:tcPr>
    </w:tblStylePr>
  </w:style>
  <w:style w:type="table" w:styleId="1744" w:customStyle="1">
    <w:name w:val="Bordered - Accent 6"/>
    <w:basedOn w:val="1592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A9D08E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A9D08E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A9D08E" w:themeColor="accent6" w:themeTint="98" w:sz="12" w:space="0"/>
        </w:tcBorders>
      </w:tcPr>
    </w:tblStylePr>
  </w:style>
  <w:style w:type="character" w:styleId="1745">
    <w:name w:val="Hyperlink"/>
    <w:uiPriority w:val="99"/>
    <w:unhideWhenUsed/>
    <w:rPr>
      <w:color w:val="0563c1" w:themeColor="hyperlink"/>
      <w:u w:val="single"/>
    </w:rPr>
  </w:style>
  <w:style w:type="paragraph" w:styleId="1746">
    <w:name w:val="footnote text"/>
    <w:basedOn w:val="1581"/>
    <w:link w:val="1747"/>
    <w:uiPriority w:val="99"/>
    <w:semiHidden/>
    <w:unhideWhenUsed/>
    <w:pPr>
      <w:spacing w:after="40" w:line="240" w:lineRule="auto"/>
    </w:pPr>
    <w:rPr>
      <w:sz w:val="18"/>
    </w:rPr>
  </w:style>
  <w:style w:type="character" w:styleId="1747" w:customStyle="1">
    <w:name w:val="Текст сноски Знак"/>
    <w:link w:val="1746"/>
    <w:uiPriority w:val="99"/>
    <w:rPr>
      <w:sz w:val="18"/>
    </w:rPr>
  </w:style>
  <w:style w:type="character" w:styleId="1748">
    <w:name w:val="footnote reference"/>
    <w:basedOn w:val="1591"/>
    <w:uiPriority w:val="99"/>
    <w:unhideWhenUsed/>
    <w:rPr>
      <w:vertAlign w:val="superscript"/>
    </w:rPr>
  </w:style>
  <w:style w:type="paragraph" w:styleId="1749">
    <w:name w:val="endnote text"/>
    <w:basedOn w:val="1581"/>
    <w:link w:val="1750"/>
    <w:uiPriority w:val="99"/>
    <w:semiHidden/>
    <w:unhideWhenUsed/>
    <w:pPr>
      <w:spacing w:after="0" w:line="240" w:lineRule="auto"/>
    </w:pPr>
    <w:rPr>
      <w:sz w:val="20"/>
    </w:rPr>
  </w:style>
  <w:style w:type="character" w:styleId="1750" w:customStyle="1">
    <w:name w:val="Текст концевой сноски Знак"/>
    <w:link w:val="1749"/>
    <w:uiPriority w:val="99"/>
    <w:rPr>
      <w:sz w:val="20"/>
    </w:rPr>
  </w:style>
  <w:style w:type="character" w:styleId="1751">
    <w:name w:val="endnote reference"/>
    <w:basedOn w:val="1591"/>
    <w:uiPriority w:val="99"/>
    <w:semiHidden/>
    <w:unhideWhenUsed/>
    <w:rPr>
      <w:vertAlign w:val="superscript"/>
    </w:rPr>
  </w:style>
  <w:style w:type="paragraph" w:styleId="1752">
    <w:name w:val="toc 1"/>
    <w:basedOn w:val="1581"/>
    <w:next w:val="1581"/>
    <w:uiPriority w:val="39"/>
    <w:unhideWhenUsed/>
    <w:pPr>
      <w:spacing w:after="57"/>
    </w:pPr>
  </w:style>
  <w:style w:type="paragraph" w:styleId="1753">
    <w:name w:val="toc 2"/>
    <w:basedOn w:val="1581"/>
    <w:next w:val="1581"/>
    <w:uiPriority w:val="39"/>
    <w:unhideWhenUsed/>
    <w:pPr>
      <w:ind w:left="283"/>
      <w:spacing w:after="57"/>
    </w:pPr>
  </w:style>
  <w:style w:type="paragraph" w:styleId="1754">
    <w:name w:val="toc 3"/>
    <w:basedOn w:val="1581"/>
    <w:next w:val="1581"/>
    <w:uiPriority w:val="39"/>
    <w:unhideWhenUsed/>
    <w:pPr>
      <w:ind w:left="567"/>
      <w:spacing w:after="57"/>
    </w:pPr>
  </w:style>
  <w:style w:type="paragraph" w:styleId="1755">
    <w:name w:val="toc 4"/>
    <w:basedOn w:val="1581"/>
    <w:next w:val="1581"/>
    <w:uiPriority w:val="39"/>
    <w:unhideWhenUsed/>
    <w:pPr>
      <w:ind w:left="850"/>
      <w:spacing w:after="57"/>
    </w:pPr>
  </w:style>
  <w:style w:type="paragraph" w:styleId="1756">
    <w:name w:val="toc 5"/>
    <w:basedOn w:val="1581"/>
    <w:next w:val="1581"/>
    <w:uiPriority w:val="39"/>
    <w:unhideWhenUsed/>
    <w:pPr>
      <w:ind w:left="1134"/>
      <w:spacing w:after="57"/>
    </w:pPr>
  </w:style>
  <w:style w:type="paragraph" w:styleId="1757">
    <w:name w:val="toc 6"/>
    <w:basedOn w:val="1581"/>
    <w:next w:val="1581"/>
    <w:uiPriority w:val="39"/>
    <w:unhideWhenUsed/>
    <w:pPr>
      <w:ind w:left="1417"/>
      <w:spacing w:after="57"/>
    </w:pPr>
  </w:style>
  <w:style w:type="paragraph" w:styleId="1758">
    <w:name w:val="toc 7"/>
    <w:basedOn w:val="1581"/>
    <w:next w:val="1581"/>
    <w:uiPriority w:val="39"/>
    <w:unhideWhenUsed/>
    <w:pPr>
      <w:ind w:left="1701"/>
      <w:spacing w:after="57"/>
    </w:pPr>
  </w:style>
  <w:style w:type="paragraph" w:styleId="1759">
    <w:name w:val="toc 8"/>
    <w:basedOn w:val="1581"/>
    <w:next w:val="1581"/>
    <w:uiPriority w:val="39"/>
    <w:unhideWhenUsed/>
    <w:pPr>
      <w:ind w:left="1984"/>
      <w:spacing w:after="57"/>
    </w:pPr>
  </w:style>
  <w:style w:type="paragraph" w:styleId="1760">
    <w:name w:val="toc 9"/>
    <w:basedOn w:val="1581"/>
    <w:next w:val="1581"/>
    <w:uiPriority w:val="39"/>
    <w:unhideWhenUsed/>
    <w:pPr>
      <w:ind w:left="2268"/>
      <w:spacing w:after="57"/>
    </w:pPr>
  </w:style>
  <w:style w:type="paragraph" w:styleId="1761">
    <w:name w:val="TOC Heading"/>
    <w:uiPriority w:val="39"/>
    <w:unhideWhenUsed/>
  </w:style>
  <w:style w:type="paragraph" w:styleId="1762">
    <w:name w:val="table of figures"/>
    <w:basedOn w:val="1581"/>
    <w:next w:val="1581"/>
    <w:uiPriority w:val="99"/>
    <w:unhideWhenUsed/>
    <w:pPr>
      <w:spacing w:after="0"/>
    </w:pPr>
  </w:style>
  <w:style w:type="character" w:styleId="1763">
    <w:name w:val="Placeholder Text"/>
    <w:basedOn w:val="1591"/>
    <w:uiPriority w:val="99"/>
    <w:semiHidden/>
    <w:rPr>
      <w:color w:val="808080"/>
    </w:rPr>
  </w:style>
  <w:style w:type="paragraph" w:styleId="1764" w:customStyle="1">
    <w:name w:val="0900529615D84785B5E841742FCCD6FE"/>
  </w:style>
  <w:style w:type="paragraph" w:styleId="1765" w:customStyle="1">
    <w:name w:val="646E458C51434405BD103B4365C8A6A4"/>
  </w:style>
  <w:style w:type="paragraph" w:styleId="1766" w:customStyle="1">
    <w:name w:val="1D45E3D84F0C4539930ED0BEF670A342"/>
  </w:style>
  <w:style w:type="paragraph" w:styleId="1767" w:customStyle="1">
    <w:name w:val="FD3E2BEBFB5848C984D94F0BEFD2EA9A"/>
  </w:style>
  <w:style w:type="paragraph" w:styleId="1768" w:customStyle="1">
    <w:name w:val="9C0E007A1DEF4D49A492644206DB5361"/>
  </w:style>
  <w:style w:type="paragraph" w:styleId="1769" w:customStyle="1">
    <w:name w:val="E284D13D66754621861E5D6E2D6140D0"/>
  </w:style>
  <w:style w:type="paragraph" w:styleId="1770" w:customStyle="1">
    <w:name w:val="A023E787D5E74C8E96A72DEF641A4DFB"/>
  </w:style>
  <w:style w:type="paragraph" w:styleId="1771" w:customStyle="1">
    <w:name w:val="6A166513338A42A0B10ED2ADD2D27F6A"/>
  </w:style>
  <w:style w:type="paragraph" w:styleId="1772" w:customStyle="1">
    <w:name w:val="E2264CC1DCBC4761A7FBA34CDD034D16"/>
  </w:style>
  <w:style w:type="paragraph" w:styleId="1773" w:customStyle="1">
    <w:name w:val="EF59682743F94E5FA7DD546B70E06353"/>
  </w:style>
  <w:style w:type="paragraph" w:styleId="1774" w:customStyle="1">
    <w:name w:val="523A2533E18F4C5C82E6F3C67CA66466"/>
  </w:style>
  <w:style w:type="paragraph" w:styleId="1775" w:customStyle="1">
    <w:name w:val="8FB46EF385E04F2A8AF725DF18E2FA64"/>
  </w:style>
  <w:style w:type="paragraph" w:styleId="1776" w:customStyle="1">
    <w:name w:val="2DAAF0F058A8469FB70D916D0A73A1C1"/>
  </w:style>
  <w:style w:type="paragraph" w:styleId="1777" w:customStyle="1">
    <w:name w:val="1FAAD467FC82422FBB4FB812C347DC20"/>
  </w:style>
  <w:style w:type="paragraph" w:styleId="1778" w:customStyle="1">
    <w:name w:val="FC0F8982CB734A4DB1E99869FCF0184E"/>
  </w:style>
  <w:style w:type="paragraph" w:styleId="1779" w:customStyle="1">
    <w:name w:val="5606145490E445F59D8B13CB3307D0CD"/>
  </w:style>
  <w:style w:type="paragraph" w:styleId="1780" w:customStyle="1">
    <w:name w:val="AD3363EC079246AAA8D6E03B46343CCD"/>
  </w:style>
  <w:style w:type="paragraph" w:styleId="1781" w:customStyle="1">
    <w:name w:val="5C5A6427E9FB4FB3BBF13A39DAD823B5"/>
  </w:style>
  <w:style w:type="paragraph" w:styleId="1782" w:customStyle="1">
    <w:name w:val="6FC52C0E0F704ACC887C2503F3E7167A"/>
  </w:style>
  <w:style w:type="paragraph" w:styleId="1783" w:customStyle="1">
    <w:name w:val="66CA6C30E506420D8FA1ADF2FE564DB3"/>
  </w:style>
  <w:style w:type="paragraph" w:styleId="1784" w:customStyle="1">
    <w:name w:val="F2FCDAE02AA3422D8F60412428227DBC"/>
  </w:style>
  <w:style w:type="paragraph" w:styleId="1785" w:customStyle="1">
    <w:name w:val="1275BF1F06204D419DD613FC128DF062"/>
  </w:style>
  <w:style w:type="paragraph" w:styleId="1786" w:customStyle="1">
    <w:name w:val="1838918DC816437CA167517D8E7CF5DE"/>
  </w:style>
  <w:style w:type="paragraph" w:styleId="1787" w:customStyle="1">
    <w:name w:val="D75F120302F54FDAB96A9987BEB466D1"/>
  </w:style>
  <w:style w:type="paragraph" w:styleId="1788" w:customStyle="1">
    <w:name w:val="469F25EDC18C4C41AA6683908B223C9F"/>
  </w:style>
  <w:style w:type="paragraph" w:styleId="1789" w:customStyle="1">
    <w:name w:val="1C5EE7C395CB4A7DB4277552870A14AF"/>
  </w:style>
  <w:style w:type="paragraph" w:styleId="1790" w:customStyle="1">
    <w:name w:val="03B937505A8747FCB9CA47E226FA6D97"/>
  </w:style>
  <w:style w:type="paragraph" w:styleId="1791" w:customStyle="1">
    <w:name w:val="3841601EAFC84F628F304DE653B028B7"/>
  </w:style>
  <w:style w:type="paragraph" w:styleId="1792" w:customStyle="1">
    <w:name w:val="5134B839945D48CB984E8342E3B2AB08"/>
  </w:style>
  <w:style w:type="paragraph" w:styleId="1793" w:customStyle="1">
    <w:name w:val="66AD5A000763434EB2BA9A3A068EB232"/>
  </w:style>
  <w:style w:type="paragraph" w:styleId="1794" w:customStyle="1">
    <w:name w:val="3BCD60251D7C4F4A9163F4CB21384E2E"/>
  </w:style>
</w:styles>
</file>

<file path=word/glossary/webSettings.xml><?xml version="1.0" encoding="utf-8"?>
<w:webSettings xmlns:w="http://schemas.openxmlformats.org/wordprocessingml/2006/main">
  <w:optimizeForBrowser/>
</w:webSetting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E18E55-B204-42A1-80D3-6F34A23470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Р7-Офис/2024.4.2.721</Application>
  <Company>ОАО "Ростелеком"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Lyudmila.Smorodina@RT.RU</dc:creator>
  <cp:keywords/>
  <dc:description/>
  <cp:lastModifiedBy>aprihodko</cp:lastModifiedBy>
  <cp:revision>10</cp:revision>
  <dcterms:created xsi:type="dcterms:W3CDTF">2026-07-22T06:55:00Z</dcterms:created>
  <dcterms:modified xsi:type="dcterms:W3CDTF">2026-10-14T17:07:46Z</dcterms:modified>
</cp:coreProperties>
</file>