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6521" w:leader="none"/>
        </w:tabs>
        <w:spacing w:lineRule="auto" w:line="240" w:before="0" w:after="0"/>
        <w:ind w:left="5103" w:hanging="0"/>
        <w:jc w:val="right"/>
        <w:rPr/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Приложение 2</w:t>
      </w:r>
    </w:p>
    <w:p>
      <w:pPr>
        <w:pStyle w:val="Normal"/>
        <w:tabs>
          <w:tab w:val="clear" w:pos="708"/>
          <w:tab w:val="left" w:pos="6521" w:leader="none"/>
        </w:tabs>
        <w:spacing w:lineRule="auto" w:line="240" w:before="0" w:after="0"/>
        <w:ind w:left="10206" w:hanging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ТТ на ТО систем вентиляции и кондиционирования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серверных помещений </w:t>
      </w:r>
      <w:r>
        <w:rPr>
          <w:rFonts w:ascii="Times New Roman" w:hAnsi="Times New Roman"/>
          <w:sz w:val="24"/>
          <w:szCs w:val="24"/>
          <w:lang w:eastAsia="ar-SA"/>
        </w:rPr>
        <w:t xml:space="preserve">Филиала ПАО «РусГидро» -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«Волжская ГЭС им. Ф.Г. Логинова»</w:t>
      </w:r>
    </w:p>
    <w:p>
      <w:pPr>
        <w:pStyle w:val="Normal"/>
        <w:tabs>
          <w:tab w:val="clear" w:pos="708"/>
          <w:tab w:val="left" w:pos="6521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 xml:space="preserve">Перечень типовых работ по техническому обслуживанию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инженерных </w:t>
      </w:r>
      <w:r>
        <w:rPr>
          <w:rFonts w:ascii="Times New Roman" w:hAnsi="Times New Roman"/>
          <w:sz w:val="24"/>
          <w:szCs w:val="24"/>
        </w:rPr>
        <w:t>систем вентиляции и кондиционирования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серверных помещений ГЭС на 2027-2029 г. В перечне указан объем работ на один год.</w:t>
      </w:r>
      <w:bookmarkStart w:id="0" w:name="_GoBack"/>
      <w:bookmarkEnd w:id="0"/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6038" w:type="dxa"/>
        <w:jc w:val="left"/>
        <w:tblInd w:w="93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000" w:noHBand="0" w:noVBand="0" w:firstColumn="0" w:lastRow="0" w:lastColumn="0" w:firstRow="0"/>
      </w:tblPr>
      <w:tblGrid>
        <w:gridCol w:w="787"/>
        <w:gridCol w:w="1217"/>
        <w:gridCol w:w="1439"/>
        <w:gridCol w:w="2170"/>
        <w:gridCol w:w="1060"/>
        <w:gridCol w:w="2056"/>
        <w:gridCol w:w="752"/>
        <w:gridCol w:w="996"/>
        <w:gridCol w:w="993"/>
        <w:gridCol w:w="1132"/>
        <w:gridCol w:w="866"/>
        <w:gridCol w:w="1259"/>
        <w:gridCol w:w="1310"/>
      </w:tblGrid>
      <w:tr>
        <w:trPr>
          <w:tblHeader w:val="true"/>
          <w:trHeight w:val="780" w:hRule="atLeast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Код актива в ИС МАКСИМО</w:t>
            </w:r>
          </w:p>
        </w:tc>
        <w:tc>
          <w:tcPr>
            <w:tcW w:w="1217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Производственный актив/Оборудование</w:t>
            </w:r>
          </w:p>
        </w:tc>
        <w:tc>
          <w:tcPr>
            <w:tcW w:w="1439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Узел - уровень 2</w:t>
            </w:r>
          </w:p>
        </w:tc>
        <w:tc>
          <w:tcPr>
            <w:tcW w:w="217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Узел - уровень 3</w:t>
            </w:r>
          </w:p>
        </w:tc>
        <w:tc>
          <w:tcPr>
            <w:tcW w:w="106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Количество единиц оборудования/узлов</w:t>
            </w:r>
          </w:p>
        </w:tc>
        <w:tc>
          <w:tcPr>
            <w:tcW w:w="2056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Типовая работа по техническому обслуживанию</w:t>
            </w:r>
          </w:p>
        </w:tc>
        <w:tc>
          <w:tcPr>
            <w:tcW w:w="752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Примечания</w:t>
            </w:r>
          </w:p>
        </w:tc>
        <w:tc>
          <w:tcPr>
            <w:tcW w:w="996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Периодичность выполнения работ, кол-во раз в год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Длительность выполнения, ч</w:t>
            </w:r>
          </w:p>
        </w:tc>
        <w:tc>
          <w:tcPr>
            <w:tcW w:w="1132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Требуемая квалификация производственного персонала</w:t>
            </w:r>
          </w:p>
        </w:tc>
        <w:tc>
          <w:tcPr>
            <w:tcW w:w="866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Требуемая группа допуска</w:t>
            </w:r>
          </w:p>
        </w:tc>
        <w:tc>
          <w:tcPr>
            <w:tcW w:w="1259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Количество производственного персонала для выполнения работы</w:t>
            </w:r>
          </w:p>
        </w:tc>
        <w:tc>
          <w:tcPr>
            <w:tcW w:w="131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Особые условия по безопасности выполнения работы</w:t>
            </w:r>
          </w:p>
        </w:tc>
      </w:tr>
      <w:tr>
        <w:trPr>
          <w:trHeight w:val="45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Инженерные систем серверных помещений ГЭС</w:t>
            </w:r>
          </w:p>
        </w:tc>
        <w:tc>
          <w:tcPr>
            <w:tcW w:w="1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0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Система вентиляции и поддержания климата серверного помещения АСУТП здания ЦПУ:</w:t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Контроль температуры и относительной влажности воздуха серверных помещений на предмет соответствия значениям, приведенным в Приложении 3, с оформлением протокола измерений.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Сплит-система напольно-потолочного типа Kentatsu KSHE176HFAN3-KSUT176HFAN3(-40) с низкотемпературным комплектом (внешний и внутренний блоки). Включая: проводной пульт управления KWC-22, функциональный адаптер AF-X  с соединительным кабелем     W-CN10A.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осмотр составных частей систем на отсутствие механических повреждений, грязи, прочность крепления. Восстановление целостности, комплектности (по мере необходимости)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Подстройка систем для обеспечения оптимальных параметров воздуха (по мере необходимости при отклонении параметров от указанных значений)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4,8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работоспособности составных частей установки (технологической части, электротехнической части, сигнализационной части)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30,14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Удаление пыли и грязи с поверхности оборудования, прочистка (замена) фильтров, продувка внешних блоков сплит-систем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надежности контактов разъемных соединений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1,76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Протяжка клеммных соединений (при наличии)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защитного и рабочего заземления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0,32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изоляции электрических цепей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1,88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Шкаф управления системой кондиционирования (Согласователь работы для сплит-систем напольно-потолочного типа СРК-DI m, электрооборудование шкафа системы кондиционирования).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осмотр составных частей систем на отсутствие механических повреждений, грязи, прочность крепления. Восстановление целостности, комплектности (по мере необходимости)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Подстройка систем для обеспечения оптимальных параметров воздуха (по мере необходимости при отклонении параметров от указанных значений)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2,4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работоспособности составных частей установки (технологической части, электротехнической части, сигнализационной части)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Удаление пыли и грязи с поверхности оборудования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надежности контактов разъемных соединений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0,88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Протяжка клеммных соединений (при наличии)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защитного и рабочего заземления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0,16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изоляции электрических цепей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0,94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Сплит-система настенного типа наружный блок KSRI53HFAN1, внутренний блок KSGI53HFAN1.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осмотр составных частей систем на отсутствие механических повреждений, грязи, прочность крепления. Восстановление целостности, комплектности (по мере необходимости)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9,6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Подстройка систем для обеспечения оптимальных параметров воздуха (по мере необходимости при отклонении параметров от указанных значений)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2,4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работоспособности составных частей установки (технологической части, электротехнической части, сигнализационной части)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Удаление пыли и грязи с поверхности оборудования, прочистка (замена) фильтров, продувка внешних блоков сплит-систем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надежности контактов разъемных соединений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0,88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Протяжка клеммных соединений (при наличии)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защитного и рабочего заземления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0,16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изоляции электрических цепей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0,94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Датчик измерения влажности Regin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осмотр составных частей систем на отсутствие механических повреждений, грязи, прочность крепления. Восстановление целостности, комплектности (по мере необходимости)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Подстройка систем для обеспечения оптимальных параметров воздуха (по мере необходимости при отклонении параметров от указанных значений)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2,4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работоспособности составных частей установки (технологической части, электротехнической части, сигнализационной части)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Удаление пыли и грязи с поверхности оборудования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надежности контактов разъемных соединений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0,88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Протяжка клеммных соединений (при наличии)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изоляции электрических цепей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0,94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>
          <w:trHeight w:val="127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Система вентиляции и поддержания климата серверного помещения ССИТС здания ЦПУ:</w:t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Контроль температуры и относительной влажности воздуха серверных помещений на предмет соответствия значениям, приведенным в Приложении 3, с оформлением протокола измерений.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35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Кондиционер DAIKIN модель FT60FVM (внешний и внутренний блоки)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осмотр составных частей систем на отсутствие механических повреждений, грязи, прочность крепления. Восстановление целостности, комплектности (по мере необходимости)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72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Подстройка систем для обеспечения оптимальных параметров воздуха (по мере необходимости при отклонении параметров от указанных значений)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4,8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87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работоспособности составных частей установки (технологической части, электротехнической части, сигнализационной части)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30,14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Удаление пыли и грязи с поверхности оборудования, прочистка (замена) фильтров, продувка внешних блоков сплит-систем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надежности контактов разъемных соединений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1,76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Протяжка клеммных соединений (при наличии)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защитного и рабочего заземления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0,32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изоляции электрических цепей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1,88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35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Согласователь работы кондиционеров микропроцессорный СРК-М3-01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осмотр составных частей систем на отсутствие механических повреждений, грязи, прочность крепления. Восстановление целостности, комплектности (по мере необходимости)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225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Подстройка систем для обеспечения оптимальных параметров воздуха (по мере необходимости при отклонении параметров от указанных значений)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2,4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работоспособности составных частей установки (технологической части, электротехнической части, сигнализационной части)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Удаление пыли и грязи с поверхности оборудования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надежности контактов разъемных соединений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0,88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Протяжка клеммных соединений (при наличии)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защитного и рабочего заземления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0,16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изоляции электрических цепей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0,94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35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Картерный нагреватель KNX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осмотр составных частей систем на отсутствие механических повреждений, грязи, прочность крепления. Восстановление целостности, комплектности (по мере необходимости)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8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Подстройка систем для обеспечения оптимальных параметров воздуха (по мере необходимости при отклонении параметров от указанных значений)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работоспособности составных частей установки (технологической части, электротехнической части, сигнализационной части)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Удаление пыли и грязи с поверхности оборудования, прочистка (замена) фильтров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надежности контактов разъемных соединений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1,76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Протяжка клеммных соединений (при наличии)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защитного и рабочего заземления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0,32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изоляции электрических цепей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1,88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35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Компактные приточные установки SAU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осмотр составных частей систем на отсутствие механических повреждений, грязи, прочность крепления. Восстановление целостности, комплектности (по мере необходимости)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225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Подстройка систем для обеспечения оптимальных параметров воздуха (по мере необходимости при отклонении параметров от указанных значений)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работоспособности составных частей установки (технологической части, электротехнической части, сигнализационной части)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Удаление пыли и грязи с поверхности оборудования, прочистка (замена) фильтров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надежности контактов разъемных соединений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1,76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Протяжка клеммных соединений (при наличии)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защитного и рабочего заземления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0,32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изоляции электрических цепей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1,88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35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Увлажнитель PEGO-12Т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осмотр составных частей систем на отсутствие механических повреждений, грязи, прочность крепления. Восстановление целостности, комплектности (по мере необходимости)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225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Подстройка систем для обеспечения оптимальных параметров воздуха (по мере необходимости при отклонении параметров от указанных значений)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работоспособности составных частей установки (технологической части, электротехнической части, сигнализационной части)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Удаление пыли и грязи с поверхности оборудования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надежности контактов разъемных соединений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1,76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Протяжка клеммных соединений (при наличии)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защитного и рабочего заземления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0,32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изоляции электрических цепей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1,88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35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Вентиляторный парораспределитель FAN-100 / FAN-150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осмотр составных частей систем на отсутствие механических повреждений, грязи, прочность крепления. Восстановление целостности, комплектности (по мере необходимости)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работоспособности составных частей установки (технологической части, электротехнической части, сигнализационной части)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Удаление пыли и грязи с поверхности оборудования, прочистка (замена) фильтров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надежности контактов разъемных соединений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1,76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Протяжка клеммных соединений (при наличии)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защитного и рабочего заземления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0,32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изоляции электрических цепей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1,88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35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Датчик измерения влажности Regin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осмотр составных частей систем на отсутствие механических повреждений, грязи, прочность крепления. Восстановление целостности, комплектности (по мере необходимости)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225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Подстройка систем для обеспечения оптимальных параметров воздуха (по мере необходимости при отклонении параметров от указанных значений)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2,4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работоспособности составных частей установки (технологической части, электротехнической части, сигнализационной части)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Удаление пыли и грязи с поверхности оборудования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надежности контактов разъемных соединений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0,88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Протяжка клеммных соединений (при наличии)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изоляции электрических цепей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0,94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35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Радиальный переносной    вентилятор Сов Плим 1801 с асинхронным электродвигателем типа АДМЕ7102У2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осмотр составных частей систем на отсутствие механических повреждений, грязи, прочность крепления. Восстановление целостности, комплектности (по мере необходимости)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работоспособности составных частей установки (технологической части, электротехнической части, сигнализационной части)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Удаление пыли и грязи с поверхности оборудования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надежности контактов разъемных соединений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0,88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Протяжка клеммных соединений (при наличии)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изоляции электрических цепей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0,94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Система кондиционирования ЛАЗ здания ЦПУ:</w:t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Контроль температуры и относительной влажности воздуха серверных помещений на предмет соответствия значениям, приведенным в Приложении 3, с оформлением протокола измерений.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Сплит-система напольно-потолочного типа Kentatsu KSHE176HFAN3-KSUT176HFAN3(-40) с низкотемпературным комплектом (внешний и внутренний блоки). Включая: проводной пульт управления KWC-22, функциональный адаптер AF-X  с соединительным кабелем     W-CN10A.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осмотр составных частей систем на отсутствие механических повреждений, грязи, прочность крепления. Восстановление целостности, комплектности (по мере необходимости)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Подстройка систем для обеспечения оптимальных параметров воздуха (по мере необходимости при отклонении параметров от указанных значений)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работоспособности составных частей установки (технологической части, электротехнической части, сигнализационной части)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Удаление пыли и грязи с поверхности оборудования, прочистка (замена) фильтров, продувка внешних блоков сплит-систем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надежности контактов разъемных соединений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1,76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Протяжка клеммных соединений (при наличии)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защитного и рабочего заземления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0,32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изоляции электрических цепей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2,06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Шкаф управления системой кондиционирования (Согласователь работы для сплит-систем напольно-потолочного типа СРК-DI m, электрооборудование шкафа системы кондиционирования).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осмотр составных частей систем на отсутствие механических повреждений, грязи, прочность крепления. Восстановление целостности, комплектности (по мере необходимости)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Подстройка систем для обеспечения оптимальных параметров воздуха (по мере необходимости при отклонении параметров от указанных значений)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2,4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работоспособности составных частей установки (технологической части, электротехнической части, сигнализационной части)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Удаление пыли и грязи с поверхности оборудования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надежности контактов разъемных соединений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0,88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Протяжка клеммных соединений (при наличии)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защитного и рабочего заземления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0,16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изоляции электрических цепей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0,94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Система кондиционирования серверного помещения ВОХР, в том числе:</w:t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Контроль температуры и относительной влажности воздуха серверного помещения на предмет соответствия значениям, приведенным в Приложении 3, с оформлением протокола измерений.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315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Прецизионное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охлаждение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Liebert  HPM. Precision Cooling.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S17UA201V302020GX052362 (внешний и внутренний блок) - 1 шт.</w:t>
            </w:r>
          </w:p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Прецизионное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охлаждение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Liebert  HPM. Precision Cooling.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S17UA201VD02020GX052362 (внешний и внутренний блок) - 1 шт.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осмотр составных частей систем на отсутствие механических повреждений, грязи, прочность крепления. Восстановление целостности, комплектности (по мере необходимости). Проверка вентиляторов на предмет загрязнения и надежности крепления. Проверка шума подшипников. Проверка на предмет загрязнения, повреждения и коррозии воздушных фильтров, прочистка или замена при необходимости.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315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Подстройка систем для обеспечения оптимальных параметров воздуха (по мере необходимости при отклонении параметров от указанных значений). Проверка контура охлаждающей воды на предмет повреждения, утечек и надежности креплений. Проверка работы регулирующих устройств.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работоспособности составных частей установки (технологической части, электротехнической части)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32,04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27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Удаление пыли и грязи с поверхности оборудования, прочистка (замена) фильтров, продувка внешних блоков. Проверка балансировки вентиляторов, произвести их очистку. Проверка исправности регуляторов скорости вращения вентиляторов (устранение неисправности).  Проверка светодиодов системы управления, дисплея и аварийных сигналов. Проверка компрессора и испарителя на образование инея. Проверка уровня масла.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17,08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5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надежности контактов разъемных соединений. Проверка электронных, электрических и пневматических входных сигналов, предохранительных цепей, напряжение на всех фазах. Проверка нагревателя картера.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0,88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Протяжка клеммных соединений (при наличии). Проверка водяного насоса, Удаления воздуха из контура охлаждения воды.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Замена предохранителей, Проверка крышки на целостность. Замена масла. Проверка клапанов. Прочистка сливного клапана увлажнителя.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30,5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защитного и рабочего заземления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0,32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изоляции электрических цепей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1,88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>
          <w:trHeight w:val="135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Система кондиционирования серверного помещения СПК-1, ЦУС, в том числе: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Контроль температуры и относительной влажности воздуха серверных помещений на предмет соответствия значениям, приведенным в Приложении 3, с оформлением протокола измерений.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8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Кондиционер колонный (напольного типа) Mitsubishi, модель PSA-RP140GA (внешний и внутренний блоки)</w:t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осмотр составных частей систем на отсутствие механических повреждений, грязи, прочность крепления. Восстановление целостности, комплектности (по мере необходимости)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225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Подстройка систем для обеспечения оптимальных параметров воздуха (по мере необходимости при отклонении параметров от указанных значений)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2,4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работоспособности составных частей установки (технологической части, электротехнической части, сигнализационной части)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Удаление пыли и грязи с поверхности оборудования, прочистка (замена) фильтров, продувка внешнего блока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надежности контактов разъемных соединений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0,88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Протяжка клеммных соединений (при наличии)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защитного и рабочего заземления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0,16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изоляции электрических цепей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0,94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8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Кондиционер колонный (напольного типа) Mitsubishi, модель PSA-RP71GA (внешний и внутренний блоки)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осмотр составных частей систем на отсутствие механических повреждений, грязи, прочность крепления. Восстановление целостности, комплектности (по мере необходимости)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225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Подстройка систем для обеспечения оптимальных параметров воздуха (по мере необходимости при отклонении параметров от указанных значений)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2,4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работоспособности составных частей установки (технологической части, электротехнической части, сигнализационной части)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Удаление пыли и грязи с поверхности оборудования, прочистка (замена) фильтров, продувка внешнего блока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надежности контактов разъемных соединений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0,88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Протяжка клеммных соединений (при наличии)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защитного и рабочего заземления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0,16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изоляции электрических цепей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0,94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35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Кондиционер Mitsubishi, модель MSC-GA35VB (внешний и внутренний блоки)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осмотр составных частей систем на отсутствие механических повреждений, грязи, прочность крепления. Восстановление целостности, комплектности (по мере необходимости)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225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Подстройка систем для обеспечения оптимальных параметров воздуха (по мере необходимости при отклонении параметров от указанных значений)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4,8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работоспособности составных частей установки (технологической части, электротехнической части, сигнализационной части)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Удаление пыли и грязи с поверхности оборудования, прочистка (замена) фильтров, продувка внешнего блока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надежности контактов разъемных соединений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1,76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Протяжка клеммных соединений (при наличии)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защитного и рабочего заземления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0,32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изоляции электрических цепей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1,88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35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Кондиционер Daikin, модель FTXF35D5V1B/ RFX35D5V1B (внешний и внутренний блоки)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осмотр составных частей систем на отсутствие механических повреждений, грязи, прочность крепления. Восстановление целостности, комплектности (по мере необходимости)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225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Подстройка систем для обеспечения оптимальных параметров воздуха (по мере необходимости при отклонении параметров от указанных значений)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2,4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работоспособности составных частей установки (технологической части, электротехнической части, сигнализационной части)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Удаление пыли и грязи с поверхности оборудования, прочистка (замена) фильтров, продувка внешнего блока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надежности контактов разъемных соединений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0,88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Протяжка клеммных соединений (при наличии)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защитного и рабочего заземления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0,16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изоляции электрических цепей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0,94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8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Кондиционер Mitsubishi, модель MSZ-GF60VE (внешний и внутренний блоки)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осмотр составных частей систем на отсутствие механических повреждений, грязи, прочность крепления. Восстановление целостности, комплектности (по мере необходимости)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8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Подстройка систем для обеспечения оптимальных параметров воздуха (по мере необходимости при отклонении параметров от указанных значений)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4,8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8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работоспособности составных частей установки (технологической части, электротехнической части, сигнализационной части)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8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Удаление пыли и грязи с поверхности оборудования, прочистка (замена) фильтров, продувка внешних блоков сплит-систем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8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надежности контактов разъемных соединений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1,76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8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Протяжка клеммных соединений (при наличии)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8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защитного и рабочего заземления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0,32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8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изоляции электрических цепей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1,88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8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Приточно-вытяжной вентилятор с асинхронным двигателем с фильтром, модель Vortice Vario 150/6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осмотр составных частей систем на отсутствие механических повреждений, грязи, прочность крепления. Восстановление целостности, комплектности (по мере необходимости)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работоспособности составных частей установки (технологической части, электротехнической части, сигнализационной части)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Удаление пыли и грязи с поверхности оборудования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надежности контактов разъемных соединений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1,76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Протяжка клеммных соединений (при наличии)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защитного и рабочего заземления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0,32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изоляции электрических цепей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1,88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35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Регулятор оборотов скорости вентилятора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5-ти ступенчатый Vortice CR5N (12941VRT)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осмотр составных частей систем на отсутствие механических повреждений, грязи, прочность крепления. Восстановление целостности, комплектности (по мере необходимости)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работоспособности составных частей установки (технологической части, электротехнической части, сигнализационной части)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Удаление пыли и грязи с поверхности оборудования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надежности контактов разъемных соединений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1,76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Протяжка клеммных соединений (при наличии)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защитного и рабочего заземления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0,32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изоляции электрических цепей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1,88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Согласователь работы кондиционеров микропроцессорный СРК-М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осмотр составных частей систем на отсутствие механических повреждений, грязи, прочность крепления. Восстановление целостности, комплектности (по мере необходимости)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Подстройка систем для обеспечения оптимальных параметров воздуха (по мере необходимости при отклонении параметров от указанных значений)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2,4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работоспособности составных частей установки (технологической части, электротехнической части, сигнализационной части)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Удаление пыли и грязи с поверхности оборудования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надежности контактов разъемных соединений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0,88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Протяжка клеммных соединений (при наличии)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защитного и рабочего заземления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0,16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изоляции электрических цепей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0,94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Блок управления ротацией и резервированием БУРР-1М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осмотр составных частей систем на отсутствие механических повреждений, грязи, прочность крепления. Восстановление целостности, комплектности (по мере необходимости)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Подстройка систем для обеспечения оптимальных параметров воздуха (по мере необходимости при отклонении параметров от указанных значений)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2,4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работоспособности составных частей установки (технологической части, электротехнической части, сигнализационной части)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Удаление пыли и грязи с поверхности оборудования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надежности контактов разъемных соединений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0,88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Протяжка клеммных соединений (при наличии)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защитного и рабочего заземления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0,16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Roboto;Helvetica;sans-serif" w:hAnsi="Roboto;Helvetica;sans-serif"/>
                <w:color w:val="333333"/>
                <w:sz w:val="21"/>
              </w:rPr>
            </w:pPr>
            <w:r>
              <w:rPr>
                <w:rFonts w:ascii="Roboto;Helvetica;sans-serif" w:hAnsi="Roboto;Helvetica;sans-serif"/>
                <w:color w:val="333333"/>
                <w:sz w:val="21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изоляции электрических цепей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0,94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Roboto;Helvetica;sans-serif" w:hAnsi="Roboto;Helvetica;sans-serif"/>
                <w:color w:val="333333"/>
                <w:sz w:val="21"/>
                <w:szCs w:val="16"/>
              </w:rPr>
            </w:pPr>
            <w:r>
              <w:rPr>
                <w:rFonts w:ascii="Roboto;Helvetica;sans-serif" w:hAnsi="Roboto;Helvetica;sans-serif"/>
                <w:color w:val="333333"/>
                <w:sz w:val="21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Блок исполнительный специализированный БИС-1М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осмотр составных частей систем на отсутствие механических повреждений, грязи, прочность крепления. Восстановление целостности, комплектности (по мере необходимости)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работоспособности составных частей установки (технологической части, электротехнической части, сигнализационной части)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Удаление пыли и грязи с поверхности оборудования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надежности контактов, разъемных соединений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0,88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Протяжка клеммных соединений (при наличии)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изоляции электрических цепей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0,94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Электропомеще-ние связи СПК-1, цокольный этаж, ком. 1</w:t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Контроль температуры и относительной влажности воздуха серверных помещений на предмет соответствия значениям, приведенным в Приложении 3, с оформлением протокола измерений.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Сплит-система настенного типа наружный блок KSRI53HFAN1, внутренний блок KSGI53HFAN1.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осмотр составных частей систем на отсутствие механических повреждений, грязи, прочность крепления. Восстановление целостности, комплектности (по мере необходимости)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Подстройка систем для обеспечения оптимальных параметров воздуха (по мере необходимости при отклонении параметров от указанных значений)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2,4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работоспособности составных частей установки (технологической части, электротехнической части, сигнализационной части)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Удаление пыли и грязи с поверхности оборудования, прочистка (замена) фильтров, продувка внешних блоков сплит-систем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надежности контактов разъемных соединений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0,88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Протяжка клеммных соединений (при наличии)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защитного и рабочего заземления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0,16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изоляции электрических цепей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0,94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>
          <w:trHeight w:val="90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Система кондиционирования серверного помещения СПК-2</w:t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Контроль температуры и относительной влажности воздуха серверного помещения на предмет соответствия значениям, приведенным в Приложении 3, с оформлением протокола измерений.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35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Кондиционер Kentatsu KSGMA35HFAN1 (внешний и внутренний блоки)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  <w:u w:val="singl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u w:val="single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осмотр составных частей систем на отсутствие механических повреждений, грязи, прочность крепления. Восстановление целостности, комплектности (по мере необходимости)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225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Подстройка систем для обеспечения оптимальных параметров воздуха (по мере необходимости при отклонении параметров от указанных значений)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2,4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работоспособности составных частей установки (технологической части, электротехнической части, сигнализационной части)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Удаление пыли и грязи с поверхности оборудования, прочистка (замена) фильтров, продувка внешнего блока сплит-системы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надежности контактов разъемных соединений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0,88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Протяжка клеммных соединений (при наличии)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защитного и рабочего заземления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0,16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изоляции электрических цепей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0,94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Система кондиционирования серверного помещения СПК-3</w:t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Контроль температуры и относительной влажности воздуха серверного помещения на предмет соответствия значениям, приведенным в Приложении 3, с оформлением протокола измерений.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35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Кондиционер Daikin, модель FTXF35D5V1B/ RFX35D5V1B (внешний и внутренний блоки)</w:t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Внешний осмотр составных частей систем на отсутствие механических повреждений, грязи, прочность крепления. Восстановление целостности, комплектности (по мере необходимости)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2250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Подстройка систем для обеспечения оптимальных параметров воздуха (по мере необходимости при отклонении параметров от указанных значений)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2,4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работоспособности составных частей установки (технологической части, электротехнической части, сигнализационной части)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112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Удаление пыли и грязи с поверхности оборудования, прочистка (замена) фильтров, продувка внешнего блока сплит-системы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Проверка надежности контактов разъемных соединений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0,88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Протяжка клеммных соединений (при наличии)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0,2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защитного и рабочего заземления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0,16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  <w:tr>
        <w:trPr>
          <w:trHeight w:val="675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1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Измерение сопротивления изоляции электрических цепей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0,94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5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производство работ в условиях действующих электроустановок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6521" w:leader="none"/>
        </w:tabs>
        <w:spacing w:lineRule="auto" w:line="240" w:before="0" w:after="0"/>
        <w:ind w:left="5103" w:hanging="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200"/>
        <w:rPr>
          <w:sz w:val="24"/>
          <w:szCs w:val="24"/>
        </w:rPr>
      </w:pPr>
      <w:r>
        <w:rPr/>
      </w:r>
    </w:p>
    <w:sectPr>
      <w:headerReference w:type="default" r:id="rId2"/>
      <w:footerReference w:type="default" r:id="rId3"/>
      <w:type w:val="nextPage"/>
      <w:pgSz w:orient="landscape" w:w="16838" w:h="11906"/>
      <w:pgMar w:left="454" w:right="1134" w:gutter="0" w:header="720" w:top="1259" w:footer="68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Tahoma">
    <w:charset w:val="01"/>
    <w:family w:val="roman"/>
    <w:pitch w:val="variable"/>
  </w:font>
  <w:font w:name="Roboto">
    <w:altName w:val="Helvetica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1</w:t>
    </w:r>
    <w:r>
      <w:rPr>
        <w:sz w:val="24"/>
        <w:szCs w:val="24"/>
      </w:rPr>
      <w:fldChar w:fldCharType="end"/>
    </w:r>
  </w:p>
  <w:p>
    <w:pPr>
      <w:pStyle w:val="Footer"/>
      <w:rPr>
        <w:sz w:val="24"/>
        <w:szCs w:val="24"/>
      </w:rPr>
    </w:pPr>
    <w:r>
      <w:rPr>
        <w:sz w:val="24"/>
        <w:szCs w:val="24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200"/>
      <w:jc w:val="center"/>
      <w:rPr>
        <w:rFonts w:ascii="Times New Roman" w:hAnsi="Times New Roman"/>
        <w:sz w:val="20"/>
        <w:szCs w:val="20"/>
        <w:u w:val="single"/>
        <w:lang w:eastAsia="ar-SA"/>
      </w:rPr>
    </w:pPr>
    <w:r>
      <w:rPr>
        <w:rFonts w:ascii="Times New Roman" w:hAnsi="Times New Roman"/>
        <w:sz w:val="20"/>
        <w:szCs w:val="20"/>
        <w:u w:val="single"/>
        <w:lang w:eastAsia="ar-SA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40" w:before="0" w:after="0"/>
      <w:jc w:val="center"/>
      <w:outlineLvl w:val="0"/>
    </w:pPr>
    <w:rPr>
      <w:rFonts w:ascii="Times New Roman" w:hAnsi="Times New Roman" w:eastAsia="Times New Roman"/>
      <w:b/>
      <w:sz w:val="24"/>
      <w:szCs w:val="20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pacing w:lineRule="auto" w:line="240"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qFormat/>
    <w:pPr>
      <w:keepNext w:val="true"/>
      <w:widowControl w:val="false"/>
      <w:numPr>
        <w:ilvl w:val="2"/>
        <w:numId w:val="1"/>
      </w:numPr>
      <w:spacing w:lineRule="auto" w:line="240" w:before="240" w:after="60"/>
      <w:ind w:left="1440" w:hanging="720"/>
      <w:outlineLvl w:val="2"/>
    </w:pPr>
    <w:rPr>
      <w:rFonts w:ascii="Arial" w:hAnsi="Arial" w:eastAsia="Times New Roman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widowControl w:val="false"/>
      <w:numPr>
        <w:ilvl w:val="3"/>
        <w:numId w:val="1"/>
      </w:numPr>
      <w:spacing w:lineRule="auto" w:line="240" w:before="240" w:after="60"/>
      <w:ind w:left="1584" w:hanging="864"/>
      <w:outlineLvl w:val="3"/>
    </w:pPr>
    <w:rPr>
      <w:rFonts w:ascii="Times New Roman" w:hAnsi="Times New Roman" w:eastAsia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widowControl w:val="false"/>
      <w:numPr>
        <w:ilvl w:val="4"/>
        <w:numId w:val="1"/>
      </w:numPr>
      <w:spacing w:lineRule="auto" w:line="240" w:before="240" w:after="60"/>
      <w:ind w:left="720" w:hanging="0"/>
      <w:outlineLvl w:val="4"/>
    </w:pPr>
    <w:rPr>
      <w:rFonts w:ascii="Arial" w:hAnsi="Arial" w:eastAsia="Times New Roman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widowControl w:val="false"/>
      <w:numPr>
        <w:ilvl w:val="5"/>
        <w:numId w:val="1"/>
      </w:numPr>
      <w:spacing w:lineRule="auto" w:line="240" w:before="240" w:after="60"/>
      <w:ind w:left="1872" w:hanging="1152"/>
      <w:outlineLvl w:val="5"/>
    </w:pPr>
    <w:rPr>
      <w:rFonts w:ascii="Times New Roman" w:hAnsi="Times New Roman" w:eastAsia="Times New Roman"/>
      <w:b/>
      <w:bCs/>
    </w:rPr>
  </w:style>
  <w:style w:type="paragraph" w:styleId="Heading7">
    <w:name w:val="Heading 7"/>
    <w:basedOn w:val="Normal"/>
    <w:next w:val="Normal"/>
    <w:qFormat/>
    <w:pPr>
      <w:widowControl w:val="false"/>
      <w:numPr>
        <w:ilvl w:val="6"/>
        <w:numId w:val="1"/>
      </w:numPr>
      <w:spacing w:lineRule="auto" w:line="240" w:before="240" w:after="60"/>
      <w:ind w:left="2016" w:hanging="1296"/>
      <w:outlineLvl w:val="6"/>
    </w:pPr>
    <w:rPr>
      <w:rFonts w:ascii="Times New Roman" w:hAnsi="Times New Roman" w:eastAsia="Times New Roman"/>
      <w:sz w:val="24"/>
      <w:szCs w:val="24"/>
    </w:rPr>
  </w:style>
  <w:style w:type="paragraph" w:styleId="Heading8">
    <w:name w:val="Heading 8"/>
    <w:basedOn w:val="Normal"/>
    <w:next w:val="Normal"/>
    <w:qFormat/>
    <w:pPr>
      <w:widowControl w:val="false"/>
      <w:numPr>
        <w:ilvl w:val="7"/>
        <w:numId w:val="1"/>
      </w:numPr>
      <w:spacing w:lineRule="auto" w:line="240" w:before="240" w:after="60"/>
      <w:ind w:left="2160" w:hanging="1440"/>
      <w:outlineLvl w:val="7"/>
    </w:pPr>
    <w:rPr>
      <w:rFonts w:ascii="Times New Roman" w:hAnsi="Times New Roman" w:eastAsia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widowControl w:val="false"/>
      <w:numPr>
        <w:ilvl w:val="8"/>
        <w:numId w:val="1"/>
      </w:numPr>
      <w:spacing w:lineRule="auto" w:line="240" w:before="240" w:after="60"/>
      <w:ind w:left="2304" w:hanging="1584"/>
      <w:outlineLvl w:val="8"/>
    </w:pPr>
    <w:rPr>
      <w:rFonts w:ascii="Arial" w:hAnsi="Arial" w:eastAsia="Times New Roman" w:cs="Ari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2z1" w:customStyle="1">
    <w:name w:val="WW8Num2z1"/>
    <w:qFormat/>
    <w:rPr>
      <w:b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>
      <w:rFonts w:ascii="Courier New" w:hAnsi="Courier New" w:cs="Courier New"/>
    </w:rPr>
  </w:style>
  <w:style w:type="character" w:styleId="WW8Num4z2" w:customStyle="1">
    <w:name w:val="WW8Num4z2"/>
    <w:qFormat/>
    <w:rPr>
      <w:rFonts w:ascii="Wingdings" w:hAnsi="Wingdings" w:cs="Wingdings"/>
    </w:rPr>
  </w:style>
  <w:style w:type="character" w:styleId="WW8Num5z0" w:customStyle="1">
    <w:name w:val="WW8Num5z0"/>
    <w:qFormat/>
    <w:rPr/>
  </w:style>
  <w:style w:type="character" w:styleId="WW8Num7z0" w:customStyle="1">
    <w:name w:val="WW8Num7z0"/>
    <w:qFormat/>
    <w:rPr>
      <w:rFonts w:ascii="Symbol" w:hAnsi="Symbol" w:cs="Symbol"/>
    </w:rPr>
  </w:style>
  <w:style w:type="character" w:styleId="WW8Num7z1" w:customStyle="1">
    <w:name w:val="WW8Num7z1"/>
    <w:qFormat/>
    <w:rPr>
      <w:rFonts w:ascii="Courier New" w:hAnsi="Courier New" w:cs="Courier New"/>
    </w:rPr>
  </w:style>
  <w:style w:type="character" w:styleId="WW8Num7z2" w:customStyle="1">
    <w:name w:val="WW8Num7z2"/>
    <w:qFormat/>
    <w:rPr>
      <w:rFonts w:ascii="Wingdings" w:hAnsi="Wingdings" w:cs="Wingdings"/>
    </w:rPr>
  </w:style>
  <w:style w:type="character" w:styleId="WW8Num10z0" w:customStyle="1">
    <w:name w:val="WW8Num10z0"/>
    <w:qFormat/>
    <w:rPr/>
  </w:style>
  <w:style w:type="character" w:styleId="WW8Num11z1" w:customStyle="1">
    <w:name w:val="WW8Num11z1"/>
    <w:qFormat/>
    <w:rPr/>
  </w:style>
  <w:style w:type="character" w:styleId="WW8Num12z0" w:customStyle="1">
    <w:name w:val="WW8Num12z0"/>
    <w:qFormat/>
    <w:rPr>
      <w:rFonts w:ascii="Symbol" w:hAnsi="Symbol" w:cs="Symbol"/>
    </w:rPr>
  </w:style>
  <w:style w:type="character" w:styleId="WW8Num12z1" w:customStyle="1">
    <w:name w:val="WW8Num12z1"/>
    <w:qFormat/>
    <w:rPr>
      <w:rFonts w:ascii="Courier New" w:hAnsi="Courier New" w:cs="Courier New"/>
    </w:rPr>
  </w:style>
  <w:style w:type="character" w:styleId="WW8Num12z2" w:customStyle="1">
    <w:name w:val="WW8Num12z2"/>
    <w:qFormat/>
    <w:rPr>
      <w:rFonts w:ascii="Wingdings" w:hAnsi="Wingdings" w:cs="Wingdings"/>
    </w:rPr>
  </w:style>
  <w:style w:type="character" w:styleId="WW8Num13z0" w:customStyle="1">
    <w:name w:val="WW8Num13z0"/>
    <w:qFormat/>
    <w:rPr>
      <w:rFonts w:ascii="Symbol" w:hAnsi="Symbol" w:cs="Symbol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2" w:customStyle="1">
    <w:name w:val="WW8Num13z2"/>
    <w:qFormat/>
    <w:rPr>
      <w:rFonts w:ascii="Wingdings" w:hAnsi="Wingdings" w:cs="Wingdings"/>
    </w:rPr>
  </w:style>
  <w:style w:type="character" w:styleId="WW8Num14z0" w:customStyle="1">
    <w:name w:val="WW8Num14z0"/>
    <w:qFormat/>
    <w:rPr>
      <w:rFonts w:ascii="Symbol" w:hAnsi="Symbol" w:cs="Symbol"/>
    </w:rPr>
  </w:style>
  <w:style w:type="character" w:styleId="WW8Num14z1" w:customStyle="1">
    <w:name w:val="WW8Num14z1"/>
    <w:qFormat/>
    <w:rPr>
      <w:rFonts w:ascii="Courier New" w:hAnsi="Courier New" w:cs="Courier New"/>
    </w:rPr>
  </w:style>
  <w:style w:type="character" w:styleId="WW8Num14z2" w:customStyle="1">
    <w:name w:val="WW8Num14z2"/>
    <w:qFormat/>
    <w:rPr>
      <w:rFonts w:ascii="Wingdings" w:hAnsi="Wingdings" w:cs="Wingdings"/>
    </w:rPr>
  </w:style>
  <w:style w:type="character" w:styleId="WW8Num15z0" w:customStyle="1">
    <w:name w:val="WW8Num15z0"/>
    <w:qFormat/>
    <w:rPr/>
  </w:style>
  <w:style w:type="character" w:styleId="WW8Num16z0" w:customStyle="1">
    <w:name w:val="WW8Num16z0"/>
    <w:qFormat/>
    <w:rPr/>
  </w:style>
  <w:style w:type="character" w:styleId="WW8Num17z0" w:customStyle="1">
    <w:name w:val="WW8Num17z0"/>
    <w:qFormat/>
    <w:rPr>
      <w:rFonts w:ascii="Symbol" w:hAnsi="Symbol" w:cs="Symbol"/>
    </w:rPr>
  </w:style>
  <w:style w:type="character" w:styleId="WW8Num17z1" w:customStyle="1">
    <w:name w:val="WW8Num17z1"/>
    <w:qFormat/>
    <w:rPr>
      <w:rFonts w:ascii="Courier New" w:hAnsi="Courier New" w:cs="Courier New"/>
    </w:rPr>
  </w:style>
  <w:style w:type="character" w:styleId="WW8Num17z2" w:customStyle="1">
    <w:name w:val="WW8Num17z2"/>
    <w:qFormat/>
    <w:rPr>
      <w:rFonts w:ascii="Wingdings" w:hAnsi="Wingdings" w:cs="Wingdings"/>
    </w:rPr>
  </w:style>
  <w:style w:type="character" w:styleId="WW8Num19z0" w:customStyle="1">
    <w:name w:val="WW8Num19z0"/>
    <w:qFormat/>
    <w:rPr/>
  </w:style>
  <w:style w:type="character" w:styleId="WW8Num20z0" w:customStyle="1">
    <w:name w:val="WW8Num20z0"/>
    <w:qFormat/>
    <w:rPr>
      <w:rFonts w:ascii="Symbol" w:hAnsi="Symbol" w:cs="Symbol"/>
    </w:rPr>
  </w:style>
  <w:style w:type="character" w:styleId="WW8Num20z1" w:customStyle="1">
    <w:name w:val="WW8Num20z1"/>
    <w:qFormat/>
    <w:rPr>
      <w:rFonts w:ascii="Courier New" w:hAnsi="Courier New" w:cs="Courier New"/>
    </w:rPr>
  </w:style>
  <w:style w:type="character" w:styleId="WW8Num20z2" w:customStyle="1">
    <w:name w:val="WW8Num20z2"/>
    <w:qFormat/>
    <w:rPr>
      <w:rFonts w:ascii="Wingdings" w:hAnsi="Wingdings" w:cs="Wingdings"/>
    </w:rPr>
  </w:style>
  <w:style w:type="character" w:styleId="WW8Num21z0" w:customStyle="1">
    <w:name w:val="WW8Num21z0"/>
    <w:qFormat/>
    <w:rPr>
      <w:rFonts w:ascii="Symbol" w:hAnsi="Symbol" w:cs="Symbol"/>
    </w:rPr>
  </w:style>
  <w:style w:type="character" w:styleId="WW8Num21z1" w:customStyle="1">
    <w:name w:val="WW8Num21z1"/>
    <w:qFormat/>
    <w:rPr>
      <w:rFonts w:ascii="Courier New" w:hAnsi="Courier New" w:cs="Courier New"/>
    </w:rPr>
  </w:style>
  <w:style w:type="character" w:styleId="WW8Num21z2" w:customStyle="1">
    <w:name w:val="WW8Num21z2"/>
    <w:qFormat/>
    <w:rPr>
      <w:rFonts w:ascii="Wingdings" w:hAnsi="Wingdings" w:cs="Wingdings"/>
    </w:rPr>
  </w:style>
  <w:style w:type="character" w:styleId="WW8Num22z0" w:customStyle="1">
    <w:name w:val="WW8Num22z0"/>
    <w:qFormat/>
    <w:rPr/>
  </w:style>
  <w:style w:type="character" w:styleId="WW8Num23z0" w:customStyle="1">
    <w:name w:val="WW8Num23z0"/>
    <w:qFormat/>
    <w:rPr/>
  </w:style>
  <w:style w:type="character" w:styleId="WW8Num24z0" w:customStyle="1">
    <w:name w:val="WW8Num24z0"/>
    <w:qFormat/>
    <w:rPr/>
  </w:style>
  <w:style w:type="character" w:styleId="WW8Num25z0" w:customStyle="1">
    <w:name w:val="WW8Num25z0"/>
    <w:qFormat/>
    <w:rPr>
      <w:b/>
    </w:rPr>
  </w:style>
  <w:style w:type="character" w:styleId="WW8Num25z1" w:customStyle="1">
    <w:name w:val="WW8Num25z1"/>
    <w:qFormat/>
    <w:rPr>
      <w:b w:val="false"/>
    </w:rPr>
  </w:style>
  <w:style w:type="character" w:styleId="WW8Num26z0" w:customStyle="1">
    <w:name w:val="WW8Num26z0"/>
    <w:qFormat/>
    <w:rPr/>
  </w:style>
  <w:style w:type="character" w:styleId="WW8Num27z0" w:customStyle="1">
    <w:name w:val="WW8Num27z0"/>
    <w:qFormat/>
    <w:rPr>
      <w:b w:val="false"/>
    </w:rPr>
  </w:style>
  <w:style w:type="character" w:styleId="WW8Num27z1" w:customStyle="1">
    <w:name w:val="WW8Num27z1"/>
    <w:qFormat/>
    <w:rPr>
      <w:rFonts w:ascii="Times New Roman" w:hAnsi="Times New Roman" w:cs="Times New Roman"/>
    </w:rPr>
  </w:style>
  <w:style w:type="character" w:styleId="WW8Num28z0" w:customStyle="1">
    <w:name w:val="WW8Num28z0"/>
    <w:qFormat/>
    <w:rPr>
      <w:rFonts w:ascii="Symbol" w:hAnsi="Symbol" w:cs="Symbol"/>
    </w:rPr>
  </w:style>
  <w:style w:type="character" w:styleId="WW8Num28z1" w:customStyle="1">
    <w:name w:val="WW8Num28z1"/>
    <w:qFormat/>
    <w:rPr>
      <w:rFonts w:ascii="Courier New" w:hAnsi="Courier New" w:cs="Courier New"/>
    </w:rPr>
  </w:style>
  <w:style w:type="character" w:styleId="WW8Num28z2" w:customStyle="1">
    <w:name w:val="WW8Num28z2"/>
    <w:qFormat/>
    <w:rPr>
      <w:rFonts w:ascii="Wingdings" w:hAnsi="Wingdings" w:cs="Wingdings"/>
    </w:rPr>
  </w:style>
  <w:style w:type="character" w:styleId="WW8Num29z0" w:customStyle="1">
    <w:name w:val="WW8Num29z0"/>
    <w:qFormat/>
    <w:rPr/>
  </w:style>
  <w:style w:type="character" w:styleId="Style" w:customStyle="1">
    <w:name w:val="Нижний колонтитул Знак"/>
    <w:qFormat/>
    <w:rPr>
      <w:rFonts w:ascii="Times New Roman" w:hAnsi="Times New Roman" w:eastAsia="Times New Roman" w:cs="Times New Roman"/>
      <w:sz w:val="28"/>
      <w:szCs w:val="28"/>
    </w:rPr>
  </w:style>
  <w:style w:type="character" w:styleId="Pagenumber">
    <w:name w:val="page number"/>
    <w:basedOn w:val="DefaultParagraphFont"/>
    <w:qFormat/>
    <w:rPr/>
  </w:style>
  <w:style w:type="character" w:styleId="Hyperlink" w:customStyle="1">
    <w:name w:val="Hyperlink"/>
    <w:rPr>
      <w:color w:val="0000FF"/>
      <w:u w:val="single"/>
    </w:rPr>
  </w:style>
  <w:style w:type="character" w:styleId="Style1" w:customStyle="1">
    <w:name w:val="Текст Знак"/>
    <w:qFormat/>
    <w:rPr>
      <w:rFonts w:ascii="Calibri" w:hAnsi="Calibri" w:cs="Consolas"/>
      <w:szCs w:val="21"/>
    </w:rPr>
  </w:style>
  <w:style w:type="character" w:styleId="1" w:customStyle="1">
    <w:name w:val="Заголовок 1 Знак"/>
    <w:qFormat/>
    <w:rPr>
      <w:rFonts w:ascii="Times New Roman" w:hAnsi="Times New Roman" w:eastAsia="Times New Roman" w:cs="Times New Roman"/>
      <w:b/>
      <w:sz w:val="24"/>
      <w:szCs w:val="20"/>
    </w:rPr>
  </w:style>
  <w:style w:type="character" w:styleId="Style2" w:customStyle="1">
    <w:name w:val="Название Знак"/>
    <w:qFormat/>
    <w:rPr>
      <w:rFonts w:ascii="Times New Roman" w:hAnsi="Times New Roman" w:eastAsia="Times New Roman" w:cs="Times New Roman"/>
      <w:sz w:val="28"/>
      <w:szCs w:val="20"/>
    </w:rPr>
  </w:style>
  <w:style w:type="character" w:styleId="Style3" w:customStyle="1">
    <w:name w:val="Основной текст Знак"/>
    <w:qFormat/>
    <w:rPr>
      <w:rFonts w:ascii="Times New Roman" w:hAnsi="Times New Roman" w:eastAsia="Times New Roman" w:cs="Times New Roman"/>
      <w:sz w:val="28"/>
      <w:szCs w:val="28"/>
    </w:rPr>
  </w:style>
  <w:style w:type="character" w:styleId="2" w:customStyle="1">
    <w:name w:val="Заголовок 2 Знак"/>
    <w:qFormat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3" w:customStyle="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" w:customStyle="1">
    <w:name w:val="Заголовок 4 Знак"/>
    <w:qFormat/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5" w:customStyle="1">
    <w:name w:val="Заголовок 5 Знак"/>
    <w:qFormat/>
    <w:rPr>
      <w:rFonts w:ascii="Arial" w:hAnsi="Arial" w:eastAsia="Times New Roman" w:cs="Arial"/>
      <w:b/>
      <w:bCs/>
      <w:i/>
      <w:iCs/>
      <w:sz w:val="26"/>
      <w:szCs w:val="26"/>
    </w:rPr>
  </w:style>
  <w:style w:type="character" w:styleId="6" w:customStyle="1">
    <w:name w:val="Заголовок 6 Знак"/>
    <w:qFormat/>
    <w:rPr>
      <w:rFonts w:ascii="Times New Roman" w:hAnsi="Times New Roman" w:eastAsia="Times New Roman" w:cs="Times New Roman"/>
      <w:b/>
      <w:bCs/>
    </w:rPr>
  </w:style>
  <w:style w:type="character" w:styleId="7" w:customStyle="1">
    <w:name w:val="Заголовок 7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8" w:customStyle="1">
    <w:name w:val="Заголовок 8 Знак"/>
    <w:qFormat/>
    <w:rPr>
      <w:rFonts w:ascii="Times New Roman" w:hAnsi="Times New Roman" w:eastAsia="Times New Roman" w:cs="Times New Roman"/>
      <w:i/>
      <w:iCs/>
      <w:sz w:val="24"/>
      <w:szCs w:val="24"/>
    </w:rPr>
  </w:style>
  <w:style w:type="character" w:styleId="9" w:customStyle="1">
    <w:name w:val="Заголовок 9 Знак"/>
    <w:qFormat/>
    <w:rPr>
      <w:rFonts w:ascii="Arial" w:hAnsi="Arial" w:eastAsia="Times New Roman" w:cs="Arial"/>
    </w:rPr>
  </w:style>
  <w:style w:type="character" w:styleId="31" w:customStyle="1">
    <w:name w:val="Основной текст 3 Знак"/>
    <w:qFormat/>
    <w:rPr>
      <w:rFonts w:ascii="Times New Roman" w:hAnsi="Times New Roman" w:eastAsia="Times New Roman" w:cs="Times New Roman"/>
      <w:sz w:val="16"/>
      <w:szCs w:val="16"/>
    </w:rPr>
  </w:style>
  <w:style w:type="character" w:styleId="32" w:customStyle="1">
    <w:name w:val="Основной текст с отступом 3 Знак"/>
    <w:qFormat/>
    <w:rPr>
      <w:rFonts w:ascii="Times New Roman" w:hAnsi="Times New Roman" w:eastAsia="Times New Roman" w:cs="Times New Roman"/>
      <w:sz w:val="16"/>
      <w:szCs w:val="16"/>
    </w:rPr>
  </w:style>
  <w:style w:type="character" w:styleId="Style4" w:customStyle="1">
    <w:name w:val="Гипертекстовая ссылка"/>
    <w:qFormat/>
    <w:rPr>
      <w:color w:val="008000"/>
      <w:sz w:val="20"/>
      <w:szCs w:val="20"/>
      <w:u w:val="single"/>
    </w:rPr>
  </w:style>
  <w:style w:type="character" w:styleId="Style5" w:customStyle="1">
    <w:name w:val="Текст сноски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6" w:customStyle="1">
    <w:name w:val="Символ сноски"/>
    <w:qFormat/>
    <w:rPr>
      <w:vertAlign w:val="superscript"/>
    </w:rPr>
  </w:style>
  <w:style w:type="character" w:styleId="Style7" w:customStyle="1">
    <w:name w:val="Основной текст с отступом Знак"/>
    <w:qFormat/>
    <w:rPr>
      <w:rFonts w:ascii="Times New Roman" w:hAnsi="Times New Roman" w:eastAsia="Times New Roman" w:cs="Times New Roman"/>
      <w:sz w:val="24"/>
      <w:szCs w:val="20"/>
    </w:rPr>
  </w:style>
  <w:style w:type="character" w:styleId="Style8" w:customStyle="1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Strong" w:customStyle="1">
    <w:name w:val="Strong"/>
    <w:qFormat/>
    <w:rPr>
      <w:b/>
      <w:bCs/>
    </w:rPr>
  </w:style>
  <w:style w:type="character" w:styleId="Emphasis">
    <w:name w:val="Emphasis"/>
    <w:qFormat/>
    <w:rPr>
      <w:b/>
      <w:bCs/>
      <w:i w:val="false"/>
      <w:iCs w:val="false"/>
    </w:rPr>
  </w:style>
  <w:style w:type="character" w:styleId="Style9" w:customStyle="1">
    <w:name w:val="Текст концевой сноски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0" w:customStyle="1">
    <w:name w:val="Символ концевой сноски"/>
    <w:qFormat/>
    <w:rPr>
      <w:vertAlign w:val="superscript"/>
    </w:rPr>
  </w:style>
  <w:style w:type="character" w:styleId="FollowedHyperlink" w:customStyle="1">
    <w:name w:val="FollowedHyperlink"/>
    <w:rPr>
      <w:color w:val="800080"/>
      <w:u w:val="single"/>
    </w:rPr>
  </w:style>
  <w:style w:type="character" w:styleId="Style11" w:customStyle="1">
    <w:name w:val="Верхний колонтитул Знак"/>
    <w:qFormat/>
    <w:rPr>
      <w:rFonts w:ascii="Times New Roman" w:hAnsi="Times New Roman" w:eastAsia="Times New Roman" w:cs="Times New Roman"/>
      <w:sz w:val="28"/>
      <w:szCs w:val="28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yle12" w:customStyle="1">
    <w:name w:val="Текст примечания Знак"/>
    <w:qFormat/>
    <w:rPr>
      <w:sz w:val="20"/>
      <w:szCs w:val="20"/>
    </w:rPr>
  </w:style>
  <w:style w:type="character" w:styleId="Style13" w:customStyle="1">
    <w:name w:val="Тема примечания Знак"/>
    <w:qFormat/>
    <w:rPr>
      <w:b/>
      <w:bCs/>
      <w:sz w:val="20"/>
      <w:szCs w:val="20"/>
    </w:rPr>
  </w:style>
  <w:style w:type="paragraph" w:styleId="Style14" w:customStyle="1">
    <w:name w:val="Заголовок"/>
    <w:next w:val="BodyTex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2"/>
      <w:szCs w:val="22"/>
      <w:lang w:val="ru-RU" w:eastAsia="zh-CN" w:bidi="ar-SA"/>
    </w:rPr>
  </w:style>
  <w:style w:type="paragraph" w:styleId="BodyText">
    <w:name w:val="Body Text"/>
    <w:basedOn w:val="Normal"/>
    <w:pPr>
      <w:spacing w:lineRule="auto" w:line="240" w:before="0" w:after="120"/>
    </w:pPr>
    <w:rPr>
      <w:rFonts w:ascii="Times New Roman" w:hAnsi="Times New Roman" w:eastAsia="Times New Roman"/>
      <w:sz w:val="28"/>
      <w:szCs w:val="28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lang w:val="zxx" w:eastAsia="zxx" w:bidi="zxx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ListParagraph">
    <w:name w:val="List Paragraph"/>
    <w:basedOn w:val="Normal"/>
    <w:qFormat/>
    <w:pPr>
      <w:spacing w:lineRule="auto" w:line="240" w:before="0" w:after="0"/>
      <w:ind w:left="720" w:hanging="0"/>
      <w:contextualSpacing/>
    </w:pPr>
    <w:rPr>
      <w:rFonts w:ascii="Times New Roman" w:hAnsi="Times New Roman" w:eastAsia="Times New Roman"/>
      <w:sz w:val="28"/>
      <w:szCs w:val="28"/>
    </w:rPr>
  </w:style>
  <w:style w:type="paragraph" w:styleId="11" w:customStyle="1">
    <w:name w:val="Абзац списка1"/>
    <w:basedOn w:val="Normal"/>
    <w:qFormat/>
    <w:pPr>
      <w:spacing w:lineRule="auto" w:line="240" w:before="0" w:after="0"/>
      <w:ind w:left="720" w:hanging="0"/>
      <w:contextualSpacing/>
    </w:pPr>
    <w:rPr>
      <w:rFonts w:ascii="Times New Roman" w:hAnsi="Times New Roman" w:eastAsia="Times New Roman"/>
      <w:sz w:val="28"/>
      <w:szCs w:val="28"/>
    </w:rPr>
  </w:style>
  <w:style w:type="paragraph" w:styleId="Style16" w:customStyle="1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spacing w:lineRule="auto" w:line="240" w:before="0" w:after="0"/>
    </w:pPr>
    <w:rPr>
      <w:rFonts w:ascii="Times New Roman" w:hAnsi="Times New Roman" w:eastAsia="Times New Roman"/>
      <w:sz w:val="28"/>
      <w:szCs w:val="28"/>
    </w:rPr>
  </w:style>
  <w:style w:type="paragraph" w:styleId="PlainText">
    <w:name w:val="Plain Text"/>
    <w:basedOn w:val="Normal"/>
    <w:qFormat/>
    <w:pPr>
      <w:spacing w:lineRule="auto" w:line="240" w:before="0" w:after="0"/>
    </w:pPr>
    <w:rPr>
      <w:rFonts w:cs="Consolas"/>
      <w:szCs w:val="21"/>
    </w:rPr>
  </w:style>
  <w:style w:type="paragraph" w:styleId="BodyText3">
    <w:name w:val="Body Text 3"/>
    <w:basedOn w:val="Normal"/>
    <w:qFormat/>
    <w:pPr>
      <w:spacing w:lineRule="auto" w:line="240" w:before="0" w:after="120"/>
    </w:pPr>
    <w:rPr>
      <w:rFonts w:ascii="Times New Roman" w:hAnsi="Times New Roman" w:eastAsia="Times New Roman"/>
      <w:sz w:val="16"/>
      <w:szCs w:val="16"/>
    </w:rPr>
  </w:style>
  <w:style w:type="paragraph" w:styleId="BodyTextIndent3">
    <w:name w:val="Body Text Indent 3"/>
    <w:basedOn w:val="Normal"/>
    <w:qFormat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</w:rPr>
  </w:style>
  <w:style w:type="paragraph" w:styleId="Style17" w:customStyle="1">
    <w:name w:val="Подпункт"/>
    <w:basedOn w:val="Normal"/>
    <w:qFormat/>
    <w:pPr>
      <w:snapToGrid w:val="false"/>
      <w:spacing w:lineRule="auto" w:line="360" w:before="0" w:after="0"/>
      <w:ind w:left="1134" w:hanging="1134"/>
      <w:jc w:val="both"/>
    </w:pPr>
    <w:rPr>
      <w:rFonts w:ascii="Times New Roman" w:hAnsi="Times New Roman" w:eastAsia="Times New Roman"/>
      <w:sz w:val="28"/>
      <w:szCs w:val="20"/>
    </w:rPr>
  </w:style>
  <w:style w:type="paragraph" w:styleId="21" w:customStyle="1">
    <w:name w:val="Пункт2"/>
    <w:basedOn w:val="Normal"/>
    <w:qFormat/>
    <w:pPr>
      <w:keepNext w:val="true"/>
      <w:snapToGrid w:val="false"/>
      <w:spacing w:lineRule="auto" w:line="240" w:before="240" w:after="120"/>
      <w:ind w:left="1134" w:hanging="1134"/>
      <w:outlineLvl w:val="2"/>
    </w:pPr>
    <w:rPr>
      <w:rFonts w:ascii="Times New Roman" w:hAnsi="Times New Roman" w:eastAsia="Times New Roman"/>
      <w:b/>
      <w:sz w:val="28"/>
      <w:szCs w:val="20"/>
    </w:rPr>
  </w:style>
  <w:style w:type="paragraph" w:styleId="Style18" w:customStyle="1">
    <w:name w:val="Приложение к регламенту"/>
    <w:basedOn w:val="Normal"/>
    <w:qFormat/>
    <w:pPr>
      <w:spacing w:lineRule="auto" w:line="240" w:before="0" w:after="0"/>
      <w:jc w:val="right"/>
    </w:pPr>
    <w:rPr>
      <w:rFonts w:ascii="Times New Roman" w:hAnsi="Times New Roman" w:eastAsia="Times New Roman"/>
      <w:sz w:val="28"/>
      <w:szCs w:val="28"/>
    </w:rPr>
  </w:style>
  <w:style w:type="paragraph" w:styleId="NormalWeb">
    <w:name w:val="Normal (Web)"/>
    <w:basedOn w:val="Normal"/>
    <w:qFormat/>
    <w:pPr>
      <w:spacing w:lineRule="auto" w:line="240" w:before="280" w:after="280"/>
      <w:ind w:right="150" w:hanging="0"/>
    </w:pPr>
    <w:rPr>
      <w:rFonts w:ascii="Tahoma" w:hAnsi="Tahoma" w:eastAsia="Times New Roman" w:cs="Tahoma"/>
      <w:color w:val="000000"/>
      <w:sz w:val="20"/>
      <w:szCs w:val="20"/>
    </w:rPr>
  </w:style>
  <w:style w:type="paragraph" w:styleId="FootnoteText">
    <w:name w:val="Footnote Text"/>
    <w:basedOn w:val="Normal"/>
    <w:pPr>
      <w:spacing w:lineRule="auto" w:line="240" w:before="0" w:after="0"/>
    </w:pPr>
    <w:rPr>
      <w:rFonts w:ascii="Times New Roman" w:hAnsi="Times New Roman" w:eastAsia="Times New Roman"/>
      <w:sz w:val="20"/>
      <w:szCs w:val="20"/>
    </w:rPr>
  </w:style>
  <w:style w:type="paragraph" w:styleId="BodyTextIndent">
    <w:name w:val="Body Text Indent"/>
    <w:basedOn w:val="Normal"/>
    <w:pPr>
      <w:spacing w:lineRule="auto" w:line="360" w:before="0" w:after="0"/>
      <w:ind w:left="851" w:hanging="143"/>
      <w:jc w:val="both"/>
    </w:pPr>
    <w:rPr>
      <w:rFonts w:ascii="Times New Roman" w:hAnsi="Times New Roman" w:eastAsia="Times New Roman"/>
      <w:sz w:val="24"/>
      <w:szCs w:val="20"/>
    </w:rPr>
  </w:style>
  <w:style w:type="paragraph" w:styleId="12" w:customStyle="1">
    <w:name w:val="заголовок 1"/>
    <w:basedOn w:val="Normal"/>
    <w:next w:val="Normal"/>
    <w:qFormat/>
    <w:pPr>
      <w:keepNext w:val="true"/>
      <w:spacing w:lineRule="auto" w:line="360" w:before="0" w:after="0"/>
    </w:pPr>
    <w:rPr>
      <w:rFonts w:ascii="Times New Roman" w:hAnsi="Times New Roman" w:eastAsia="Times New Roman"/>
      <w:b/>
      <w:sz w:val="24"/>
      <w:szCs w:val="20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eastAsia="Times New Roman" w:cs="Tahoma"/>
      <w:sz w:val="16"/>
      <w:szCs w:val="16"/>
    </w:rPr>
  </w:style>
  <w:style w:type="paragraph" w:styleId="Snip" w:customStyle="1">
    <w:name w:val="snip"/>
    <w:basedOn w:val="Normal"/>
    <w:qFormat/>
    <w:pPr>
      <w:spacing w:lineRule="auto" w:line="240" w:before="0" w:after="320"/>
    </w:pPr>
    <w:rPr>
      <w:rFonts w:ascii="Times New Roman" w:hAnsi="Times New Roman" w:eastAsia="Times New Roman"/>
      <w:color w:val="000000"/>
      <w:sz w:val="24"/>
      <w:szCs w:val="24"/>
    </w:rPr>
  </w:style>
  <w:style w:type="paragraph" w:styleId="Textb" w:customStyle="1">
    <w:name w:val="textb"/>
    <w:basedOn w:val="Normal"/>
    <w:qFormat/>
    <w:pPr>
      <w:spacing w:lineRule="auto" w:line="240" w:before="0" w:after="0"/>
    </w:pPr>
    <w:rPr>
      <w:rFonts w:ascii="Arial" w:hAnsi="Arial" w:eastAsia="Times New Roman" w:cs="Arial"/>
      <w:b/>
      <w:bCs/>
    </w:rPr>
  </w:style>
  <w:style w:type="paragraph" w:styleId="Textp" w:customStyle="1">
    <w:name w:val="textp"/>
    <w:basedOn w:val="Normal"/>
    <w:qFormat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</w:rPr>
  </w:style>
  <w:style w:type="paragraph" w:styleId="Formattext" w:customStyle="1">
    <w:name w:val="formattext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18"/>
      <w:szCs w:val="18"/>
      <w:lang w:val="ru-RU" w:eastAsia="zh-CN" w:bidi="ar-SA"/>
    </w:rPr>
  </w:style>
  <w:style w:type="paragraph" w:styleId="Headertext" w:customStyle="1">
    <w:name w:val="headertext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2"/>
      <w:szCs w:val="22"/>
      <w:lang w:val="ru-RU" w:eastAsia="zh-CN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zh-CN" w:bidi="ar-SA"/>
    </w:rPr>
  </w:style>
  <w:style w:type="paragraph" w:styleId="EndnoteText">
    <w:name w:val="Endnote Text"/>
    <w:basedOn w:val="Normal"/>
    <w:pPr>
      <w:spacing w:lineRule="auto" w:line="240" w:before="0" w:after="0"/>
    </w:pPr>
    <w:rPr>
      <w:rFonts w:ascii="Times New Roman" w:hAnsi="Times New Roman" w:eastAsia="Times New Roman"/>
      <w:sz w:val="20"/>
      <w:szCs w:val="20"/>
    </w:rPr>
  </w:style>
  <w:style w:type="paragraph" w:styleId="Xl65" w:customStyle="1">
    <w:name w:val="xl65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16"/>
      <w:szCs w:val="16"/>
    </w:rPr>
  </w:style>
  <w:style w:type="paragraph" w:styleId="Xl66" w:customStyle="1">
    <w:name w:val="xl66"/>
    <w:basedOn w:val="Normal"/>
    <w:qFormat/>
    <w:pPr>
      <w:spacing w:lineRule="auto" w:line="240" w:before="280" w:after="280"/>
      <w:jc w:val="both"/>
      <w:textAlignment w:val="center"/>
    </w:pPr>
    <w:rPr>
      <w:rFonts w:ascii="Arial" w:hAnsi="Arial" w:eastAsia="Times New Roman" w:cs="Arial"/>
      <w:b/>
      <w:bCs/>
      <w:sz w:val="16"/>
      <w:szCs w:val="16"/>
    </w:rPr>
  </w:style>
  <w:style w:type="paragraph" w:styleId="Xl67" w:customStyle="1">
    <w:name w:val="xl6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both"/>
      <w:textAlignment w:val="center"/>
    </w:pPr>
    <w:rPr>
      <w:rFonts w:ascii="Arial" w:hAnsi="Arial" w:eastAsia="Times New Roman" w:cs="Arial"/>
      <w:sz w:val="16"/>
      <w:szCs w:val="16"/>
    </w:rPr>
  </w:style>
  <w:style w:type="paragraph" w:styleId="Xl68" w:customStyle="1">
    <w:name w:val="xl6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</w:pPr>
    <w:rPr>
      <w:rFonts w:ascii="Times New Roman" w:hAnsi="Times New Roman" w:eastAsia="Times New Roman"/>
      <w:sz w:val="16"/>
      <w:szCs w:val="16"/>
    </w:rPr>
  </w:style>
  <w:style w:type="paragraph" w:styleId="Xl69" w:customStyle="1">
    <w:name w:val="xl6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</w:pPr>
    <w:rPr>
      <w:rFonts w:ascii="Arial" w:hAnsi="Arial" w:eastAsia="Times New Roman" w:cs="Arial"/>
      <w:sz w:val="16"/>
      <w:szCs w:val="16"/>
    </w:rPr>
  </w:style>
  <w:style w:type="paragraph" w:styleId="Xl70" w:customStyle="1">
    <w:name w:val="xl7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rFonts w:ascii="Arial" w:hAnsi="Arial" w:eastAsia="Times New Roman" w:cs="Arial"/>
      <w:sz w:val="16"/>
      <w:szCs w:val="16"/>
    </w:rPr>
  </w:style>
  <w:style w:type="paragraph" w:styleId="Xl71" w:customStyle="1">
    <w:name w:val="xl71"/>
    <w:basedOn w:val="Normal"/>
    <w:qFormat/>
    <w:pPr>
      <w:spacing w:lineRule="auto" w:line="240" w:before="280" w:after="280"/>
      <w:jc w:val="center"/>
      <w:textAlignment w:val="center"/>
    </w:pPr>
    <w:rPr>
      <w:rFonts w:ascii="Times New Roman" w:hAnsi="Times New Roman" w:eastAsia="Times New Roman"/>
      <w:sz w:val="16"/>
      <w:szCs w:val="16"/>
    </w:rPr>
  </w:style>
  <w:style w:type="paragraph" w:styleId="Xl72" w:customStyle="1">
    <w:name w:val="xl72"/>
    <w:basedOn w:val="Normal"/>
    <w:qFormat/>
    <w:pPr>
      <w:spacing w:lineRule="auto" w:line="240" w:before="280" w:after="280"/>
      <w:textAlignment w:val="center"/>
    </w:pPr>
    <w:rPr>
      <w:rFonts w:ascii="Times New Roman" w:hAnsi="Times New Roman" w:eastAsia="Times New Roman"/>
      <w:sz w:val="16"/>
      <w:szCs w:val="16"/>
    </w:rPr>
  </w:style>
  <w:style w:type="paragraph" w:styleId="Xl73" w:customStyle="1">
    <w:name w:val="xl73"/>
    <w:basedOn w:val="Normal"/>
    <w:qFormat/>
    <w:pPr>
      <w:spacing w:lineRule="auto" w:line="240" w:before="280" w:after="280"/>
      <w:jc w:val="center"/>
      <w:textAlignment w:val="center"/>
    </w:pPr>
    <w:rPr>
      <w:rFonts w:ascii="Times New Roman" w:hAnsi="Times New Roman" w:eastAsia="Times New Roman"/>
      <w:sz w:val="16"/>
      <w:szCs w:val="16"/>
    </w:rPr>
  </w:style>
  <w:style w:type="paragraph" w:styleId="Xl74" w:customStyle="1">
    <w:name w:val="xl74"/>
    <w:basedOn w:val="Normal"/>
    <w:qFormat/>
    <w:pPr>
      <w:shd w:val="clear" w:color="auto" w:fill="FFFFFF"/>
      <w:spacing w:lineRule="auto" w:line="240" w:before="280" w:after="280"/>
    </w:pPr>
    <w:rPr>
      <w:rFonts w:ascii="Times New Roman" w:hAnsi="Times New Roman" w:eastAsia="Times New Roman"/>
      <w:sz w:val="16"/>
      <w:szCs w:val="16"/>
    </w:rPr>
  </w:style>
  <w:style w:type="paragraph" w:styleId="Xl75" w:customStyle="1">
    <w:name w:val="xl75"/>
    <w:basedOn w:val="Normal"/>
    <w:qFormat/>
    <w:pPr>
      <w:shd w:val="clear" w:color="auto" w:fill="FFFFFF"/>
      <w:spacing w:lineRule="auto" w:line="240" w:before="280" w:after="280"/>
    </w:pPr>
    <w:rPr>
      <w:rFonts w:ascii="Arial" w:hAnsi="Arial" w:eastAsia="Times New Roman" w:cs="Arial"/>
      <w:sz w:val="16"/>
      <w:szCs w:val="16"/>
    </w:rPr>
  </w:style>
  <w:style w:type="paragraph" w:styleId="Xl76" w:customStyle="1">
    <w:name w:val="xl76"/>
    <w:basedOn w:val="Normal"/>
    <w:qFormat/>
    <w:pPr>
      <w:shd w:val="clear" w:color="auto" w:fill="FFFFFF"/>
      <w:spacing w:lineRule="auto" w:line="240" w:before="280" w:after="280"/>
      <w:jc w:val="center"/>
    </w:pPr>
    <w:rPr>
      <w:rFonts w:ascii="Arial" w:hAnsi="Arial" w:eastAsia="Times New Roman" w:cs="Arial"/>
      <w:sz w:val="16"/>
      <w:szCs w:val="16"/>
    </w:rPr>
  </w:style>
  <w:style w:type="paragraph" w:styleId="Xl77" w:customStyle="1">
    <w:name w:val="xl77"/>
    <w:basedOn w:val="Normal"/>
    <w:qFormat/>
    <w:pPr>
      <w:shd w:val="clear" w:color="auto" w:fill="FFFFFF"/>
      <w:spacing w:lineRule="auto" w:line="240" w:before="280" w:after="280"/>
      <w:jc w:val="center"/>
    </w:pPr>
    <w:rPr>
      <w:rFonts w:ascii="Arial" w:hAnsi="Arial" w:eastAsia="Times New Roman" w:cs="Arial"/>
      <w:sz w:val="16"/>
      <w:szCs w:val="16"/>
      <w:u w:val="single"/>
    </w:rPr>
  </w:style>
  <w:style w:type="paragraph" w:styleId="Xl78" w:customStyle="1">
    <w:name w:val="xl78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="280" w:after="280"/>
    </w:pPr>
    <w:rPr>
      <w:rFonts w:ascii="Arial" w:hAnsi="Arial" w:eastAsia="Times New Roman" w:cs="Arial"/>
      <w:sz w:val="16"/>
      <w:szCs w:val="16"/>
    </w:rPr>
  </w:style>
  <w:style w:type="paragraph" w:styleId="Xl79" w:customStyle="1">
    <w:name w:val="xl7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="280" w:after="280"/>
    </w:pPr>
    <w:rPr>
      <w:rFonts w:ascii="Times New Roman" w:hAnsi="Times New Roman" w:eastAsia="Times New Roman"/>
      <w:sz w:val="16"/>
      <w:szCs w:val="16"/>
    </w:rPr>
  </w:style>
  <w:style w:type="paragraph" w:styleId="Xl80" w:customStyle="1">
    <w:name w:val="xl80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both"/>
      <w:textAlignment w:val="center"/>
    </w:pPr>
    <w:rPr>
      <w:rFonts w:ascii="Arial" w:hAnsi="Arial" w:eastAsia="Times New Roman" w:cs="Arial"/>
      <w:sz w:val="16"/>
      <w:szCs w:val="16"/>
    </w:rPr>
  </w:style>
  <w:style w:type="paragraph" w:styleId="Xl81" w:customStyle="1">
    <w:name w:val="xl81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rFonts w:ascii="Arial" w:hAnsi="Arial" w:eastAsia="Times New Roman" w:cs="Arial"/>
      <w:sz w:val="16"/>
      <w:szCs w:val="16"/>
    </w:rPr>
  </w:style>
  <w:style w:type="paragraph" w:styleId="Xl82" w:customStyle="1">
    <w:name w:val="xl82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="280" w:after="280"/>
      <w:jc w:val="both"/>
      <w:textAlignment w:val="center"/>
    </w:pPr>
    <w:rPr>
      <w:rFonts w:ascii="Arial" w:hAnsi="Arial" w:eastAsia="Times New Roman" w:cs="Arial"/>
      <w:sz w:val="16"/>
      <w:szCs w:val="16"/>
    </w:rPr>
  </w:style>
  <w:style w:type="paragraph" w:styleId="Xl83" w:customStyle="1">
    <w:name w:val="xl8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textAlignment w:val="top"/>
    </w:pPr>
    <w:rPr>
      <w:rFonts w:ascii="Times New Roman" w:hAnsi="Times New Roman" w:eastAsia="Times New Roman"/>
      <w:color w:val="000000"/>
      <w:sz w:val="16"/>
      <w:szCs w:val="16"/>
    </w:rPr>
  </w:style>
  <w:style w:type="paragraph" w:styleId="Xl84" w:customStyle="1">
    <w:name w:val="xl8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rFonts w:ascii="Times New Roman" w:hAnsi="Times New Roman" w:eastAsia="Times New Roman"/>
      <w:sz w:val="16"/>
      <w:szCs w:val="16"/>
    </w:rPr>
  </w:style>
  <w:style w:type="paragraph" w:styleId="Xl85" w:customStyle="1">
    <w:name w:val="xl8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rFonts w:ascii="Times New Roman" w:hAnsi="Times New Roman" w:eastAsia="Times New Roman"/>
      <w:sz w:val="16"/>
      <w:szCs w:val="16"/>
    </w:rPr>
  </w:style>
  <w:style w:type="paragraph" w:styleId="Xl86" w:customStyle="1">
    <w:name w:val="xl8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rFonts w:ascii="Times New Roman" w:hAnsi="Times New Roman" w:eastAsia="Times New Roman"/>
      <w:sz w:val="16"/>
      <w:szCs w:val="16"/>
    </w:rPr>
  </w:style>
  <w:style w:type="paragraph" w:styleId="Xl87" w:customStyle="1">
    <w:name w:val="xl8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textAlignment w:val="center"/>
    </w:pPr>
    <w:rPr>
      <w:rFonts w:ascii="Times New Roman" w:hAnsi="Times New Roman" w:eastAsia="Times New Roman"/>
      <w:sz w:val="16"/>
      <w:szCs w:val="16"/>
    </w:rPr>
  </w:style>
  <w:style w:type="paragraph" w:styleId="Xl88" w:customStyle="1">
    <w:name w:val="xl88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16"/>
      <w:szCs w:val="16"/>
    </w:rPr>
  </w:style>
  <w:style w:type="paragraph" w:styleId="Xl89" w:customStyle="1">
    <w:name w:val="xl89"/>
    <w:basedOn w:val="Normal"/>
    <w:qFormat/>
    <w:pPr>
      <w:shd w:val="clear" w:color="auto" w:fill="FFFFFF"/>
      <w:spacing w:lineRule="auto" w:line="240" w:before="280" w:after="280"/>
      <w:jc w:val="center"/>
      <w:textAlignment w:val="top"/>
    </w:pPr>
    <w:rPr>
      <w:rFonts w:ascii="Arial" w:hAnsi="Arial" w:eastAsia="Times New Roman" w:cs="Arial"/>
      <w:sz w:val="16"/>
      <w:szCs w:val="16"/>
    </w:rPr>
  </w:style>
  <w:style w:type="paragraph" w:styleId="Xl90" w:customStyle="1">
    <w:name w:val="xl90"/>
    <w:basedOn w:val="Normal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lineRule="auto" w:line="240" w:before="280" w:after="280"/>
      <w:jc w:val="both"/>
      <w:textAlignment w:val="center"/>
    </w:pPr>
    <w:rPr>
      <w:rFonts w:ascii="Times New Roman" w:hAnsi="Times New Roman" w:eastAsia="Times New Roman"/>
      <w:b/>
      <w:bCs/>
      <w:sz w:val="12"/>
      <w:szCs w:val="12"/>
    </w:rPr>
  </w:style>
  <w:style w:type="paragraph" w:styleId="Xl91" w:customStyle="1">
    <w:name w:val="xl91"/>
    <w:basedOn w:val="Normal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rFonts w:ascii="Times New Roman" w:hAnsi="Times New Roman" w:eastAsia="Times New Roman"/>
      <w:b/>
      <w:bCs/>
      <w:sz w:val="12"/>
      <w:szCs w:val="12"/>
    </w:rPr>
  </w:style>
  <w:style w:type="paragraph" w:styleId="Xl92" w:customStyle="1">
    <w:name w:val="xl92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lineRule="auto" w:line="240" w:before="280" w:after="280"/>
      <w:jc w:val="center"/>
      <w:textAlignment w:val="center"/>
    </w:pPr>
    <w:rPr>
      <w:rFonts w:ascii="Times New Roman" w:hAnsi="Times New Roman" w:eastAsia="Times New Roman"/>
      <w:b/>
      <w:bCs/>
      <w:sz w:val="12"/>
      <w:szCs w:val="12"/>
    </w:rPr>
  </w:style>
  <w:style w:type="paragraph" w:styleId="Xl93" w:customStyle="1">
    <w:name w:val="xl93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rFonts w:ascii="Times New Roman" w:hAnsi="Times New Roman" w:eastAsia="Times New Roman"/>
      <w:b/>
      <w:bCs/>
      <w:sz w:val="12"/>
      <w:szCs w:val="12"/>
    </w:rPr>
  </w:style>
  <w:style w:type="paragraph" w:styleId="Xl94" w:customStyle="1">
    <w:name w:val="xl94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</w:pBdr>
      <w:spacing w:lineRule="auto" w:line="240" w:before="280" w:after="280"/>
      <w:jc w:val="center"/>
      <w:textAlignment w:val="center"/>
    </w:pPr>
    <w:rPr>
      <w:rFonts w:ascii="Times New Roman" w:hAnsi="Times New Roman" w:eastAsia="Times New Roman"/>
      <w:b/>
      <w:bCs/>
      <w:sz w:val="12"/>
      <w:szCs w:val="12"/>
    </w:rPr>
  </w:style>
  <w:style w:type="paragraph" w:styleId="Header">
    <w:name w:val="Header"/>
    <w:basedOn w:val="Normal"/>
    <w:pPr>
      <w:spacing w:lineRule="auto" w:line="240" w:before="0" w:after="0"/>
    </w:pPr>
    <w:rPr>
      <w:rFonts w:ascii="Times New Roman" w:hAnsi="Times New Roman" w:eastAsia="Times New Roman"/>
      <w:sz w:val="28"/>
      <w:szCs w:val="28"/>
    </w:rPr>
  </w:style>
  <w:style w:type="paragraph" w:styleId="Xl95" w:customStyle="1">
    <w:name w:val="xl9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rFonts w:ascii="Times New Roman" w:hAnsi="Times New Roman" w:eastAsia="Times New Roman"/>
      <w:sz w:val="16"/>
      <w:szCs w:val="16"/>
    </w:rPr>
  </w:style>
  <w:style w:type="paragraph" w:styleId="Xl96" w:customStyle="1">
    <w:name w:val="xl96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16"/>
      <w:szCs w:val="16"/>
    </w:rPr>
  </w:style>
  <w:style w:type="paragraph" w:styleId="Xl97" w:customStyle="1">
    <w:name w:val="xl97"/>
    <w:basedOn w:val="Normal"/>
    <w:qFormat/>
    <w:pPr>
      <w:spacing w:lineRule="auto" w:line="240" w:before="280" w:after="280"/>
      <w:jc w:val="center"/>
      <w:textAlignment w:val="center"/>
    </w:pPr>
    <w:rPr>
      <w:rFonts w:ascii="Times New Roman" w:hAnsi="Times New Roman" w:eastAsia="Times New Roman"/>
      <w:sz w:val="16"/>
      <w:szCs w:val="16"/>
    </w:rPr>
  </w:style>
  <w:style w:type="paragraph" w:styleId="Xl98" w:customStyle="1">
    <w:name w:val="xl9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rFonts w:ascii="Times New Roman" w:hAnsi="Times New Roman" w:eastAsia="Times New Roman"/>
      <w:sz w:val="16"/>
      <w:szCs w:val="16"/>
    </w:rPr>
  </w:style>
  <w:style w:type="paragraph" w:styleId="Xl99" w:customStyle="1">
    <w:name w:val="xl99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16"/>
      <w:szCs w:val="16"/>
    </w:rPr>
  </w:style>
  <w:style w:type="paragraph" w:styleId="Xl100" w:customStyle="1">
    <w:name w:val="xl100"/>
    <w:basedOn w:val="Normal"/>
    <w:qFormat/>
    <w:pPr>
      <w:spacing w:lineRule="auto" w:line="240" w:before="280" w:after="280"/>
      <w:jc w:val="center"/>
      <w:textAlignment w:val="center"/>
    </w:pPr>
    <w:rPr>
      <w:rFonts w:ascii="Times New Roman" w:hAnsi="Times New Roman" w:eastAsia="Times New Roman"/>
      <w:sz w:val="16"/>
      <w:szCs w:val="16"/>
    </w:rPr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Style19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5" w:customStyle="1">
    <w:name w:val="WW8Num5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8" w:customStyle="1">
    <w:name w:val="WW8Num8"/>
    <w:qFormat/>
  </w:style>
  <w:style w:type="numbering" w:styleId="WW8Num9" w:customStyle="1">
    <w:name w:val="WW8Num9"/>
    <w:qFormat/>
  </w:style>
  <w:style w:type="numbering" w:styleId="WW8Num10" w:customStyle="1">
    <w:name w:val="WW8Num10"/>
    <w:qFormat/>
  </w:style>
  <w:style w:type="numbering" w:styleId="WW8Num11" w:customStyle="1">
    <w:name w:val="WW8Num11"/>
    <w:qFormat/>
  </w:style>
  <w:style w:type="numbering" w:styleId="WW8Num12" w:customStyle="1">
    <w:name w:val="WW8Num12"/>
    <w:qFormat/>
  </w:style>
  <w:style w:type="numbering" w:styleId="WW8Num13" w:customStyle="1">
    <w:name w:val="WW8Num13"/>
    <w:qFormat/>
  </w:style>
  <w:style w:type="numbering" w:styleId="WW8Num14" w:customStyle="1">
    <w:name w:val="WW8Num14"/>
    <w:qFormat/>
  </w:style>
  <w:style w:type="numbering" w:styleId="WW8Num15" w:customStyle="1">
    <w:name w:val="WW8Num15"/>
    <w:qFormat/>
  </w:style>
  <w:style w:type="numbering" w:styleId="WW8Num16" w:customStyle="1">
    <w:name w:val="WW8Num16"/>
    <w:qFormat/>
  </w:style>
  <w:style w:type="numbering" w:styleId="WW8Num17" w:customStyle="1">
    <w:name w:val="WW8Num17"/>
    <w:qFormat/>
  </w:style>
  <w:style w:type="numbering" w:styleId="WW8Num18" w:customStyle="1">
    <w:name w:val="WW8Num18"/>
    <w:qFormat/>
  </w:style>
  <w:style w:type="numbering" w:styleId="WW8Num19" w:customStyle="1">
    <w:name w:val="WW8Num19"/>
    <w:qFormat/>
  </w:style>
  <w:style w:type="numbering" w:styleId="WW8Num20" w:customStyle="1">
    <w:name w:val="WW8Num20"/>
    <w:qFormat/>
  </w:style>
  <w:style w:type="numbering" w:styleId="WW8Num21" w:customStyle="1">
    <w:name w:val="WW8Num21"/>
    <w:qFormat/>
  </w:style>
  <w:style w:type="numbering" w:styleId="WW8Num22" w:customStyle="1">
    <w:name w:val="WW8Num22"/>
    <w:qFormat/>
  </w:style>
  <w:style w:type="numbering" w:styleId="WW8Num23" w:customStyle="1">
    <w:name w:val="WW8Num23"/>
    <w:qFormat/>
  </w:style>
  <w:style w:type="numbering" w:styleId="WW8Num24" w:customStyle="1">
    <w:name w:val="WW8Num24"/>
    <w:qFormat/>
  </w:style>
  <w:style w:type="numbering" w:styleId="WW8Num25" w:customStyle="1">
    <w:name w:val="WW8Num25"/>
    <w:qFormat/>
  </w:style>
  <w:style w:type="numbering" w:styleId="WW8Num26" w:customStyle="1">
    <w:name w:val="WW8Num26"/>
    <w:qFormat/>
  </w:style>
  <w:style w:type="numbering" w:styleId="WW8Num27" w:customStyle="1">
    <w:name w:val="WW8Num27"/>
    <w:qFormat/>
  </w:style>
  <w:style w:type="numbering" w:styleId="WW8Num28" w:customStyle="1">
    <w:name w:val="WW8Num28"/>
    <w:qFormat/>
  </w:style>
  <w:style w:type="numbering" w:styleId="WW8Num29" w:customStyle="1">
    <w:name w:val="WW8Num29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Application>AlterOffice/3.4.0.9$Linux_X86_64 LibreOffice_project/b8daf9e823b1a5463a2f48435ddc2e8696e7d4fc</Application>
  <AppVersion>15.0000</AppVersion>
  <Pages>31</Pages>
  <Words>4964</Words>
  <Characters>36162</Characters>
  <CharactersWithSpaces>39785</CharactersWithSpaces>
  <Paragraphs>1391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2021-08-04T16:38:00Z</dcterms:created>
  <dc:creator>Кошевой</dc:creator>
  <dc:description/>
  <dc:language>ru-RU</dc:language>
  <cp:lastModifiedBy>sivkoaa@corp.gidroogk.com</cp:lastModifiedBy>
  <cp:lastPrinted>2018-10-25T13:07:00Z</cp:lastPrinted>
  <dcterms:modified xsi:type="dcterms:W3CDTF">2026-05-29T10:31:09Z</dcterms:modified>
  <cp:revision>39</cp:revision>
  <dc:subject/>
  <dc:title>ТТ ТО инженерных систем серверных помещений ГЭС 2016г с 01.03.2017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Id">
    <vt:lpwstr>005056BB42511EE6B7E12EB8EB4DA56D</vt:lpwstr>
  </property>
  <property fmtid="{D5CDD505-2E9C-101B-9397-08002B2CF9AE}" pid="3" name="EDOID">
    <vt:i4>0</vt:i4>
  </property>
  <property fmtid="{D5CDD505-2E9C-101B-9397-08002B2CF9AE}" pid="4" name="_dlc_DocId">
    <vt:lpwstr>EWZZHUPVRMST-1972618624-21212</vt:lpwstr>
  </property>
  <property fmtid="{D5CDD505-2E9C-101B-9397-08002B2CF9AE}" pid="5" name="_dlc_DocIdItemGuid">
    <vt:lpwstr>1b1ddf13-d8b4-4051-9d4f-fdb08c3873a8</vt:lpwstr>
  </property>
  <property fmtid="{D5CDD505-2E9C-101B-9397-08002B2CF9AE}" pid="6" name="_dlc_DocIdUrl">
    <vt:lpwstr>http://sr-dc-020/_layouts/15/DocIdRedir.aspx?ID=EWZZHUPVRMST-1972618624-21212, EWZZHUPVRMST-1972618624-21212</vt:lpwstr>
  </property>
</Properties>
</file>