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ind w:firstLine="567"/>
        <w:jc w:val="right"/>
        <w:rPr>
          <w:b w:val="false"/>
        </w:rPr>
      </w:pPr>
      <w:r>
        <w:rPr>
          <w:b/>
          <w:sz w:val="24"/>
          <w:szCs w:val="24"/>
        </w:rPr>
        <w:t xml:space="preserve">  </w:t>
      </w:r>
    </w:p>
    <w:p>
      <w:pPr>
        <w:pStyle w:val="Normal"/>
        <w:shd w:val="clear" w:color="auto" w:fill="FFFFFF"/>
        <w:tabs>
          <w:tab w:val="clear" w:pos="709"/>
          <w:tab w:val="left" w:pos="6926" w:leader="none"/>
        </w:tabs>
        <w:jc w:val="center"/>
        <w:rPr>
          <w:b/>
          <w:sz w:val="24"/>
          <w:szCs w:val="24"/>
        </w:rPr>
      </w:pPr>
      <w:r>
        <w:rPr>
          <w:b/>
          <w:bCs/>
          <w:sz w:val="24"/>
          <w:szCs w:val="24"/>
        </w:rPr>
        <w:t>Договор №     -ЭКСП-ПРОД-202</w:t>
      </w:r>
      <w:r>
        <w:rPr>
          <w:b/>
          <w:bCs/>
          <w:sz w:val="24"/>
          <w:szCs w:val="24"/>
        </w:rPr>
        <w:t>6</w:t>
      </w:r>
      <w:r>
        <w:rPr>
          <w:b/>
          <w:bCs/>
          <w:sz w:val="24"/>
          <w:szCs w:val="24"/>
        </w:rPr>
        <w:t>-ДФ</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Каспийск</w:t>
        <w:tab/>
        <w:t xml:space="preserve">   «___» _________ 202</w:t>
      </w:r>
      <w:r>
        <w:rPr>
          <w:bCs/>
          <w:sz w:val="24"/>
          <w:szCs w:val="24"/>
        </w:rPr>
        <w:t>6</w:t>
      </w:r>
      <w:r>
        <w:rPr>
          <w:bCs/>
          <w:sz w:val="24"/>
          <w:szCs w:val="24"/>
        </w:rPr>
        <w:t xml:space="preserve">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sz w:val="24"/>
          <w:szCs w:val="24"/>
        </w:rPr>
        <w:t xml:space="preserve">Публичное акционерное общество «Федеральная гидрогенерирующая </w:t>
        <w:br/>
        <w:t xml:space="preserve">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xml:space="preserve">, действующего на основании ________, с одной стороны, </w:t>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 xml:space="preserve">по результатам проведенной Покупателем конкурентной процедуры по лоту № ____________ и на основании протокола __________ от «___» _________ г. №_______, </w:t>
      </w: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true"/>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tabs>
          <w:tab w:val="clear" w:pos="709"/>
          <w:tab w:val="left" w:pos="567" w:leader="none"/>
        </w:tabs>
        <w:ind w:firstLine="708"/>
        <w:jc w:val="both"/>
        <w:rPr>
          <w:sz w:val="24"/>
          <w:szCs w:val="24"/>
          <w:highlight w:val="lightGray"/>
          <w:lang w:eastAsia="en-US"/>
        </w:rPr>
      </w:pPr>
      <w:r>
        <w:rPr>
          <w:b/>
          <w:sz w:val="24"/>
          <w:szCs w:val="24"/>
          <w:highlight w:val="lightGray"/>
          <w:lang w:eastAsia="en-US"/>
        </w:rPr>
        <w:t xml:space="preserve">«Рабочая документация» </w:t>
      </w:r>
      <w:r>
        <w:rPr>
          <w:sz w:val="24"/>
          <w:szCs w:val="24"/>
          <w:highlight w:val="lightGray"/>
          <w:lang w:eastAsia="en-US"/>
        </w:rPr>
        <w:t>–</w:t>
      </w:r>
      <w:r>
        <w:rPr>
          <w:b/>
          <w:sz w:val="24"/>
          <w:szCs w:val="24"/>
          <w:highlight w:val="lightGray"/>
          <w:lang w:eastAsia="en-US"/>
        </w:rPr>
        <w:t xml:space="preserve"> </w:t>
      </w:r>
      <w:r>
        <w:rPr>
          <w:sz w:val="24"/>
          <w:szCs w:val="24"/>
          <w:highlight w:val="lightGray"/>
          <w:lang w:eastAsia="en-US"/>
        </w:rPr>
        <w:t xml:space="preserve">совокупность текстовых и графических документов </w:t>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w:t>
      </w:r>
    </w:p>
    <w:p>
      <w:pPr>
        <w:pStyle w:val="ListParagraph"/>
        <w:numPr>
          <w:ilvl w:val="0"/>
          <w:numId w:val="10"/>
        </w:numPr>
        <w:tabs>
          <w:tab w:val="clear" w:pos="709"/>
          <w:tab w:val="left" w:pos="567" w:leader="none"/>
          <w:tab w:val="left" w:pos="1134" w:leader="none"/>
        </w:tabs>
        <w:ind w:firstLine="709" w:left="0"/>
        <w:jc w:val="both"/>
        <w:rPr>
          <w:b/>
          <w:lang w:eastAsia="en-US"/>
        </w:rPr>
      </w:pPr>
      <w:r>
        <w:rPr>
          <w:sz w:val="24"/>
          <w:szCs w:val="24"/>
          <w:highlight w:val="lightGray"/>
          <w:lang w:eastAsia="en-US"/>
        </w:rPr>
        <w:t>рабочие чертежи основного комплекта, спецификации оборудования и изделий;</w:t>
      </w:r>
    </w:p>
    <w:p>
      <w:pPr>
        <w:pStyle w:val="ListParagraph"/>
        <w:numPr>
          <w:ilvl w:val="0"/>
          <w:numId w:val="10"/>
        </w:numPr>
        <w:tabs>
          <w:tab w:val="clear" w:pos="709"/>
          <w:tab w:val="left" w:pos="567" w:leader="none"/>
          <w:tab w:val="left" w:pos="1134" w:leader="none"/>
        </w:tabs>
        <w:ind w:firstLine="709" w:left="0"/>
        <w:jc w:val="both"/>
        <w:rPr>
          <w:b/>
          <w:lang w:eastAsia="en-US"/>
        </w:rPr>
      </w:pPr>
      <w:r>
        <w:rPr>
          <w:sz w:val="24"/>
          <w:szCs w:val="24"/>
          <w:highlight w:val="lightGray"/>
          <w:lang w:eastAsia="en-US"/>
        </w:rPr>
        <w:t>документы, разработанные в дополнение к рабочим чертежам основного комплекта;</w:t>
      </w:r>
    </w:p>
    <w:p>
      <w:pPr>
        <w:pStyle w:val="ListParagraph"/>
        <w:numPr>
          <w:ilvl w:val="0"/>
          <w:numId w:val="10"/>
        </w:numPr>
        <w:tabs>
          <w:tab w:val="clear" w:pos="709"/>
          <w:tab w:val="left" w:pos="567" w:leader="none"/>
          <w:tab w:val="left" w:pos="1134" w:leader="none"/>
        </w:tabs>
        <w:ind w:firstLine="709" w:left="0"/>
        <w:jc w:val="both"/>
        <w:rPr>
          <w:b/>
          <w:lang w:eastAsia="en-US"/>
        </w:rPr>
      </w:pPr>
      <w:r>
        <w:rPr>
          <w:sz w:val="24"/>
          <w:szCs w:val="24"/>
          <w:highlight w:val="lightGray"/>
          <w:lang w:eastAsia="en-US"/>
        </w:rPr>
        <w:t>сметную документацию.</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rFonts w:eastAsia="Calibri"/>
          <w:b/>
          <w:bCs/>
          <w:sz w:val="24"/>
          <w:szCs w:val="24"/>
          <w:lang w:eastAsia="en-US"/>
        </w:rPr>
        <w:t>запорную арматуру</w:t>
      </w:r>
      <w:r>
        <w:rPr>
          <w:rFonts w:eastAsia="Calibri"/>
          <w:bCs/>
          <w:sz w:val="24"/>
          <w:szCs w:val="24"/>
          <w:lang w:eastAsia="en-US"/>
        </w:rPr>
        <w:t xml:space="preserve"> </w:t>
      </w:r>
      <w:r>
        <w:rPr>
          <w:b/>
          <w:bCs/>
          <w:sz w:val="24"/>
          <w:szCs w:val="24"/>
        </w:rPr>
        <w:t xml:space="preserve"> </w:t>
      </w:r>
      <w:bookmarkStart w:id="0" w:name="_GoBack"/>
      <w:bookmarkEnd w:id="0"/>
      <w:r>
        <w:rPr>
          <w:b/>
          <w:bCs/>
          <w:sz w:val="24"/>
          <w:szCs w:val="24"/>
        </w:rPr>
        <w:t>для нужд ДФ</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sz w:val="24"/>
          <w:szCs w:val="24"/>
          <w:highlight w:val="lightGray"/>
        </w:rPr>
        <w:t>_________________</w:t>
      </w:r>
      <w:r>
        <w:rPr>
          <w:sz w:val="24"/>
          <w:szCs w:val="24"/>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 xml:space="preserve">Срок поставки Товара: </w:t>
      </w:r>
      <w:r>
        <w:rPr>
          <w:bCs/>
          <w:sz w:val="24"/>
          <w:szCs w:val="24"/>
          <w:highlight w:val="lightGray"/>
        </w:rPr>
        <w:t>«___» ___________ 20</w:t>
      </w:r>
      <w:r>
        <w:rPr>
          <w:bCs/>
          <w:sz w:val="24"/>
          <w:szCs w:val="24"/>
          <w:highlight w:val="lightGray"/>
        </w:rPr>
        <w:t>26</w:t>
      </w:r>
      <w:r>
        <w:rPr>
          <w:bCs/>
          <w:sz w:val="24"/>
          <w:szCs w:val="24"/>
        </w:rPr>
        <w:t xml:space="preserve"> г.</w:t>
      </w:r>
    </w:p>
    <w:p>
      <w:pPr>
        <w:pStyle w:val="Normal"/>
        <w:shd w:val="clear" w:color="auto" w:fill="FFFFFF"/>
        <w:tabs>
          <w:tab w:val="clear" w:pos="709"/>
          <w:tab w:val="left" w:pos="540" w:leader="none"/>
        </w:tabs>
        <w:ind w:left="1134"/>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Российской Федерации.</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2"/>
        </w:numPr>
        <w:shd w:val="clear" w:color="auto" w:fill="FFFFFF"/>
        <w:tabs>
          <w:tab w:val="clear" w:pos="709"/>
          <w:tab w:val="left" w:pos="1418" w:leader="none"/>
        </w:tabs>
        <w:ind w:hanging="0" w:left="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Normal"/>
        <w:numPr>
          <w:ilvl w:val="1"/>
          <w:numId w:val="2"/>
        </w:numPr>
        <w:shd w:val="clear" w:color="auto" w:fill="FFFFFF"/>
        <w:tabs>
          <w:tab w:val="clear" w:pos="709"/>
          <w:tab w:val="left" w:pos="1134" w:leader="none"/>
        </w:tabs>
        <w:ind w:firstLine="567" w:left="142"/>
        <w:jc w:val="both"/>
        <w:rPr>
          <w:sz w:val="24"/>
          <w:szCs w:val="24"/>
        </w:rPr>
      </w:pPr>
      <w:r>
        <w:rPr>
          <w:sz w:val="24"/>
          <w:szCs w:val="24"/>
        </w:rPr>
        <w:t xml:space="preserve">Оплата по Договору осуществляется Покупателем в течение 7 (семи) рабочих дней с даты подписания Сторонами Накладной ТОРГ-12 на основании счета, выставленного Поставщиком, и с учетом пункта 2.4.1. Договора: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 xml:space="preserve">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 xml:space="preserve">замену Товара, содержащегося в одном </w:t>
        <w:br/>
        <w:t>из реестров, предусмотренных пунктом 2 постановления Правительства Российской Федерации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firstLine="709" w:left="0"/>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 xml:space="preserve">накладная ТОРГ-12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1" w:name="_Ref361408232"/>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bookmarkStart w:id="2"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2"/>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2"/>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bookmarkStart w:id="3" w:name="_Ref361396594"/>
      <w:r>
        <w:rPr>
          <w:sz w:val="24"/>
          <w:szCs w:val="24"/>
        </w:rPr>
        <w:t xml:space="preserve">Датой поставки Товара является дата подписания Сторонами накладной </w:t>
        <w:br/>
        <w:t>ТОРГ-12.</w:t>
      </w:r>
      <w:bookmarkEnd w:id="3"/>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4"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4"/>
      <w:r>
        <w:rPr>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firstLine="709" w:left="0"/>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5" w:name="OLE_LINK6"/>
      <w:bookmarkStart w:id="6" w:name="OLE_LINK5"/>
      <w:r>
        <w:rPr>
          <w:sz w:val="24"/>
          <w:szCs w:val="24"/>
        </w:rPr>
        <w:t>Покупателем в соответствии с пунктом 4.3 Договора</w:t>
      </w:r>
      <w:bookmarkEnd w:id="5"/>
      <w:bookmarkEnd w:id="6"/>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p>
    <w:p>
      <w:pPr>
        <w:pStyle w:val="Normal"/>
        <w:shd w:val="clear" w:color="auto" w:fill="FFFFFF"/>
        <w:tabs>
          <w:tab w:val="clear" w:pos="709"/>
          <w:tab w:val="left" w:pos="1190" w:leader="none"/>
        </w:tabs>
        <w:jc w:val="both"/>
        <w:rPr>
          <w:sz w:val="24"/>
          <w:szCs w:val="24"/>
        </w:rPr>
      </w:pPr>
      <w:r>
        <w:rPr>
          <w:sz w:val="24"/>
          <w:szCs w:val="24"/>
        </w:rPr>
      </w:r>
    </w:p>
    <w:p>
      <w:pPr>
        <w:pStyle w:val="Normal"/>
        <w:widowControl/>
        <w:shd w:val="clear" w:color="auto" w:fill="FFFFFF"/>
        <w:tabs>
          <w:tab w:val="clear" w:pos="709"/>
          <w:tab w:val="left" w:pos="0" w:leader="none"/>
          <w:tab w:val="left" w:pos="1134" w:leader="none"/>
        </w:tabs>
        <w:ind w:left="1419"/>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В случае нарушения Покупателем сроков выплаты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w:t>
        <w:br/>
        <w:t xml:space="preserve">с 31 (тридцать первого) календарного дня просрочки (неустойка с 1 по 30 день просрочки </w:t>
        <w:br/>
        <w:t>не начисляется).</w:t>
      </w:r>
    </w:p>
    <w:p>
      <w:pPr>
        <w:pStyle w:val="Normal"/>
        <w:widowControl/>
        <w:numPr>
          <w:ilvl w:val="1"/>
          <w:numId w:val="2"/>
        </w:numPr>
        <w:tabs>
          <w:tab w:val="clear" w:pos="709"/>
          <w:tab w:val="left" w:pos="1276" w:leader="none"/>
        </w:tabs>
        <w:ind w:firstLine="709" w:left="0"/>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1"/>
        </w:numPr>
        <w:tabs>
          <w:tab w:val="clear" w:pos="709"/>
          <w:tab w:val="left" w:pos="1276" w:leader="none"/>
        </w:tabs>
        <w:ind w:firstLine="709" w:left="0"/>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1"/>
        </w:numPr>
        <w:ind w:firstLine="709" w:left="0"/>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1"/>
        </w:numPr>
        <w:ind w:firstLine="709" w:left="0"/>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1"/>
        </w:numPr>
        <w:shd w:val="clear" w:color="auto" w:fill="FFFFFF"/>
        <w:tabs>
          <w:tab w:val="clear" w:pos="709"/>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firstLine="709" w:left="0"/>
        <w:jc w:val="both"/>
        <w:rPr>
          <w:bCs/>
          <w:sz w:val="24"/>
          <w:szCs w:val="24"/>
        </w:rPr>
      </w:pPr>
      <w:r>
        <w:rPr>
          <w:bCs/>
          <w:sz w:val="24"/>
          <w:szCs w:val="24"/>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1"/>
        </w:numPr>
        <w:shd w:val="clear" w:color="auto" w:fill="FFFFFF"/>
        <w:ind w:firstLine="709" w:left="0"/>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1"/>
        </w:numPr>
        <w:shd w:val="clear" w:color="auto" w:fill="FFFFFF"/>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1"/>
        </w:numPr>
        <w:shd w:val="clear" w:color="auto" w:fill="FFFFFF"/>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1"/>
        </w:numPr>
        <w:shd w:val="clear" w:color="auto" w:fill="FFFFFF"/>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1"/>
        </w:numPr>
        <w:shd w:val="clear" w:color="auto" w:fill="FFFFFF"/>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1"/>
        </w:numPr>
        <w:shd w:val="clear" w:color="auto" w:fill="FFFFFF"/>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36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7"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7"/>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8"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8"/>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9"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9"/>
    </w:p>
    <w:p>
      <w:pPr>
        <w:pStyle w:val="Normal"/>
        <w:numPr>
          <w:ilvl w:val="1"/>
          <w:numId w:val="2"/>
        </w:numPr>
        <w:shd w:val="clear" w:color="auto" w:fill="FFFFFF"/>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left="709"/>
        <w:jc w:val="both"/>
        <w:rPr>
          <w:sz w:val="24"/>
          <w:szCs w:val="24"/>
        </w:rPr>
      </w:pPr>
      <w:r>
        <w:rPr>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Республики Дагестан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lang w:val="en-US"/>
        </w:rPr>
        <w:t>13</w:t>
      </w:r>
      <w:r>
        <w:rPr>
          <w:bCs/>
          <w:sz w:val="24"/>
          <w:szCs w:val="24"/>
          <w:highlight w:val="lightGray"/>
        </w:rPr>
        <w:t>.8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firstLine="709" w:left="0"/>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709"/>
        <w:jc w:val="both"/>
        <w:rPr>
          <w:sz w:val="24"/>
          <w:szCs w:val="24"/>
        </w:rPr>
      </w:pPr>
      <w:r>
        <w:rPr>
          <w:sz w:val="24"/>
          <w:szCs w:val="24"/>
        </w:rPr>
      </w:r>
    </w:p>
    <w:p>
      <w:pPr>
        <w:pStyle w:val="ListParagraph"/>
        <w:widowControl/>
        <w:numPr>
          <w:ilvl w:val="0"/>
          <w:numId w:val="2"/>
        </w:numPr>
        <w:shd w:val="clear" w:color="auto" w:fill="FFFFFF"/>
        <w:ind w:hanging="36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6"/>
        </w:numPr>
        <w:tabs>
          <w:tab w:val="clear" w:pos="709"/>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11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left="709"/>
        <w:jc w:val="both"/>
        <w:rPr>
          <w:bCs/>
          <w:sz w:val="24"/>
          <w:szCs w:val="24"/>
        </w:rPr>
      </w:pPr>
      <w:r>
        <w:rPr>
          <w:bCs/>
          <w:sz w:val="24"/>
          <w:szCs w:val="24"/>
        </w:rPr>
      </w:r>
    </w:p>
    <w:p>
      <w:pPr>
        <w:pStyle w:val="ListParagraph"/>
        <w:widowControl/>
        <w:numPr>
          <w:ilvl w:val="0"/>
          <w:numId w:val="2"/>
        </w:numPr>
        <w:shd w:val="clear" w:color="auto" w:fill="FFFFFF"/>
        <w:ind w:hanging="36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br/>
        <w:t>с __________</w:t>
      </w:r>
      <w:r>
        <w:rPr>
          <w:sz w:val="24"/>
          <w:szCs w:val="24"/>
        </w:rPr>
        <w:t>.</w:t>
      </w:r>
    </w:p>
    <w:p>
      <w:pPr>
        <w:pStyle w:val="Normal"/>
        <w:widowControl/>
        <w:numPr>
          <w:ilvl w:val="1"/>
          <w:numId w:val="2"/>
        </w:numPr>
        <w:tabs>
          <w:tab w:val="clear" w:pos="709"/>
          <w:tab w:val="left" w:pos="142" w:leader="none"/>
          <w:tab w:val="left" w:pos="1418" w:leader="none"/>
        </w:tabs>
        <w:snapToGrid w:val="false"/>
        <w:ind w:firstLine="709" w:left="0"/>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0"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0"/>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1"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lang w:eastAsia="x-none"/>
        </w:rPr>
      </w:pPr>
      <w:bookmarkStart w:id="12" w:name="sub_1"/>
      <w:r>
        <w:rPr>
          <w:rFonts w:eastAsia="Calibri"/>
          <w:sz w:val="24"/>
          <w:szCs w:val="24"/>
          <w:lang w:eastAsia="en-US"/>
        </w:rPr>
        <w:t xml:space="preserve">Приложение № 2 – </w:t>
      </w:r>
      <w:bookmarkEnd w:id="12"/>
      <w:r>
        <w:rPr>
          <w:sz w:val="24"/>
          <w:szCs w:val="24"/>
          <w:lang w:val="en-US" w:eastAsia="x-none"/>
        </w:rPr>
        <w:t>К</w:t>
      </w:r>
      <w:r>
        <w:rPr>
          <w:sz w:val="24"/>
          <w:szCs w:val="24"/>
          <w:lang w:eastAsia="x-none"/>
        </w:rPr>
        <w:t xml:space="preserve">алендарный график. </w:t>
      </w:r>
    </w:p>
    <w:p>
      <w:pPr>
        <w:pStyle w:val="Normal"/>
        <w:widowControl/>
        <w:shd w:val="clear" w:color="auto" w:fill="FFFFFF"/>
        <w:tabs>
          <w:tab w:val="clear" w:pos="709"/>
          <w:tab w:val="left" w:pos="0" w:leader="none"/>
          <w:tab w:val="left" w:pos="2694" w:leader="none"/>
        </w:tabs>
        <w:suppressAutoHyphens w:val="true"/>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36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4"/>
        <w:gridCol w:w="144"/>
        <w:gridCol w:w="4642"/>
        <w:gridCol w:w="320"/>
      </w:tblGrid>
      <w:tr>
        <w:trPr/>
        <w:tc>
          <w:tcPr>
            <w:tcW w:w="4928" w:type="dxa"/>
            <w:gridSpan w:val="2"/>
            <w:tcBorders/>
          </w:tcPr>
          <w:p>
            <w:pPr>
              <w:pStyle w:val="Normal"/>
              <w:rPr>
                <w:sz w:val="24"/>
                <w:szCs w:val="24"/>
              </w:rPr>
            </w:pPr>
            <w:r>
              <w:rPr>
                <w:sz w:val="24"/>
                <w:szCs w:val="24"/>
              </w:rPr>
              <w:t>ПОКУПАТЕЛЬ:</w:t>
            </w:r>
          </w:p>
        </w:tc>
        <w:tc>
          <w:tcPr>
            <w:tcW w:w="4962" w:type="dxa"/>
            <w:gridSpan w:val="2"/>
            <w:tcBorders/>
          </w:tcPr>
          <w:p>
            <w:pPr>
              <w:pStyle w:val="Normal"/>
              <w:rPr>
                <w:sz w:val="24"/>
                <w:szCs w:val="24"/>
              </w:rPr>
            </w:pPr>
            <w:r>
              <w:rPr>
                <w:sz w:val="24"/>
                <w:szCs w:val="24"/>
              </w:rPr>
              <w:t>ПОСТАВЩИК:</w:t>
            </w:r>
          </w:p>
        </w:tc>
      </w:tr>
      <w:tr>
        <w:trPr/>
        <w:tc>
          <w:tcPr>
            <w:tcW w:w="4928" w:type="dxa"/>
            <w:gridSpan w:val="2"/>
            <w:tcBorders/>
            <w:shd w:color="auto" w:fill="BFBFBF" w:val="clear"/>
          </w:tcPr>
          <w:p>
            <w:pPr>
              <w:pStyle w:val="Normal"/>
              <w:rPr>
                <w:sz w:val="24"/>
                <w:szCs w:val="24"/>
              </w:rPr>
            </w:pPr>
            <w:r>
              <w:rPr>
                <w:sz w:val="24"/>
                <w:szCs w:val="24"/>
              </w:rPr>
            </w:r>
          </w:p>
          <w:p>
            <w:pPr>
              <w:pStyle w:val="Normal"/>
              <w:rPr>
                <w:b/>
                <w:sz w:val="24"/>
                <w:szCs w:val="24"/>
              </w:rPr>
            </w:pPr>
            <w:r>
              <w:rPr>
                <w:b/>
                <w:sz w:val="24"/>
                <w:szCs w:val="24"/>
              </w:rPr>
              <w:t>Публичное акционерное общество</w:t>
            </w:r>
          </w:p>
          <w:p>
            <w:pPr>
              <w:pStyle w:val="Normal"/>
              <w:rPr>
                <w:b/>
                <w:sz w:val="24"/>
                <w:szCs w:val="24"/>
              </w:rPr>
            </w:pPr>
            <w:r>
              <w:rPr>
                <w:b/>
                <w:sz w:val="24"/>
                <w:szCs w:val="24"/>
              </w:rPr>
              <w:t>«Федеральная гидрогенерирующая компания - РусГидро» (ПАО «РусГидро»)</w:t>
            </w:r>
          </w:p>
          <w:p>
            <w:pPr>
              <w:pStyle w:val="Normal"/>
              <w:rPr>
                <w:sz w:val="24"/>
                <w:szCs w:val="24"/>
              </w:rPr>
            </w:pPr>
            <w:r>
              <w:rPr>
                <w:sz w:val="24"/>
                <w:szCs w:val="24"/>
              </w:rPr>
            </w:r>
          </w:p>
          <w:p>
            <w:pPr>
              <w:pStyle w:val="Normal"/>
              <w:rPr>
                <w:sz w:val="24"/>
                <w:szCs w:val="24"/>
              </w:rPr>
            </w:pPr>
            <w:r>
              <w:rPr>
                <w:sz w:val="24"/>
                <w:szCs w:val="24"/>
              </w:rPr>
              <w:t xml:space="preserve">Место нахождения: </w:t>
            </w:r>
          </w:p>
          <w:p>
            <w:pPr>
              <w:pStyle w:val="Normal"/>
              <w:rPr>
                <w:sz w:val="24"/>
                <w:szCs w:val="24"/>
              </w:rPr>
            </w:pPr>
            <w:r>
              <w:rPr>
                <w:sz w:val="24"/>
                <w:szCs w:val="24"/>
              </w:rPr>
              <w:t xml:space="preserve">Красноярский край, г. Красноярск </w:t>
            </w:r>
          </w:p>
          <w:p>
            <w:pPr>
              <w:pStyle w:val="Normal"/>
              <w:rPr>
                <w:sz w:val="24"/>
                <w:szCs w:val="24"/>
              </w:rPr>
            </w:pPr>
            <w:r>
              <w:rPr>
                <w:sz w:val="24"/>
                <w:szCs w:val="24"/>
              </w:rPr>
              <w:t xml:space="preserve">Адрес: 660017, Красноярский край, </w:t>
            </w:r>
          </w:p>
          <w:p>
            <w:pPr>
              <w:pStyle w:val="Normal"/>
              <w:rPr>
                <w:sz w:val="24"/>
                <w:szCs w:val="24"/>
              </w:rPr>
            </w:pPr>
            <w:r>
              <w:rPr>
                <w:sz w:val="24"/>
                <w:szCs w:val="24"/>
              </w:rPr>
              <w:t xml:space="preserve">г. Красноярск, ул. Дубровинского, </w:t>
            </w:r>
          </w:p>
          <w:p>
            <w:pPr>
              <w:pStyle w:val="Normal"/>
              <w:rPr>
                <w:sz w:val="24"/>
                <w:szCs w:val="24"/>
              </w:rPr>
            </w:pPr>
            <w:r>
              <w:rPr>
                <w:sz w:val="24"/>
                <w:szCs w:val="24"/>
              </w:rPr>
              <w:t>д. 43, стр. 1</w:t>
            </w:r>
          </w:p>
          <w:p>
            <w:pPr>
              <w:pStyle w:val="Normal"/>
              <w:rPr>
                <w:sz w:val="24"/>
                <w:szCs w:val="24"/>
              </w:rPr>
            </w:pPr>
            <w:r>
              <w:rPr>
                <w:sz w:val="24"/>
                <w:szCs w:val="24"/>
              </w:rPr>
              <w:t xml:space="preserve">Почтовый адрес: </w:t>
            </w:r>
          </w:p>
          <w:p>
            <w:pPr>
              <w:pStyle w:val="Normal"/>
              <w:rPr>
                <w:sz w:val="24"/>
                <w:szCs w:val="24"/>
              </w:rPr>
            </w:pPr>
            <w:r>
              <w:rPr>
                <w:sz w:val="24"/>
                <w:szCs w:val="24"/>
              </w:rPr>
              <w:t>________________________</w:t>
            </w:r>
          </w:p>
          <w:p>
            <w:pPr>
              <w:pStyle w:val="Normal"/>
              <w:rPr>
                <w:sz w:val="24"/>
                <w:szCs w:val="24"/>
              </w:rPr>
            </w:pPr>
            <w:r>
              <w:rPr>
                <w:sz w:val="24"/>
                <w:szCs w:val="24"/>
              </w:rPr>
              <w:t xml:space="preserve">ОГРН 1042401810494, </w:t>
            </w:r>
          </w:p>
          <w:p>
            <w:pPr>
              <w:pStyle w:val="Normal"/>
              <w:rPr>
                <w:sz w:val="24"/>
                <w:szCs w:val="24"/>
              </w:rPr>
            </w:pPr>
            <w:r>
              <w:rPr>
                <w:sz w:val="24"/>
                <w:szCs w:val="24"/>
              </w:rPr>
              <w:t>ИНН 2460066195 / КПП 997650001</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c>
          <w:tcPr>
            <w:tcW w:w="4962" w:type="dxa"/>
            <w:gridSpan w:val="2"/>
            <w:tcBorders/>
            <w:shd w:color="auto" w:fill="BFBFBF" w:val="clear"/>
          </w:tcPr>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Место нахождения:</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t>_________________________________</w:t>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84" w:type="dxa"/>
            <w:tcBorders/>
          </w:tcPr>
          <w:p>
            <w:pPr>
              <w:pStyle w:val="Normal"/>
              <w:rPr>
                <w:sz w:val="24"/>
                <w:szCs w:val="24"/>
                <w:highlight w:val="lightGray"/>
              </w:rPr>
            </w:pPr>
            <w:r>
              <w:rPr>
                <w:sz w:val="24"/>
                <w:szCs w:val="24"/>
                <w:highlight w:val="lightGray"/>
              </w:rPr>
              <w:t xml:space="preserve">_______________ / _______________ </w:t>
            </w:r>
          </w:p>
          <w:p>
            <w:pPr>
              <w:pStyle w:val="Normal"/>
              <w:rPr>
                <w:sz w:val="24"/>
                <w:szCs w:val="24"/>
                <w:highlight w:val="lightGray"/>
              </w:rPr>
            </w:pPr>
            <w:r>
              <w:rPr>
                <w:sz w:val="24"/>
                <w:szCs w:val="24"/>
                <w:highlight w:val="lightGray"/>
              </w:rPr>
            </w:r>
          </w:p>
        </w:tc>
        <w:tc>
          <w:tcPr>
            <w:tcW w:w="4786" w:type="dxa"/>
            <w:gridSpan w:val="2"/>
            <w:tcBorders/>
          </w:tcPr>
          <w:p>
            <w:pPr>
              <w:pStyle w:val="Normal"/>
              <w:rPr>
                <w:sz w:val="24"/>
                <w:szCs w:val="24"/>
              </w:rPr>
            </w:pPr>
            <w:r>
              <w:rPr>
                <w:sz w:val="24"/>
                <w:szCs w:val="24"/>
                <w:highlight w:val="lightGray"/>
              </w:rPr>
              <w:t>_______________ / _______________</w:t>
            </w:r>
            <w:r>
              <w:rPr>
                <w:sz w:val="24"/>
                <w:szCs w:val="24"/>
              </w:rPr>
              <w:t xml:space="preserve"> </w:t>
            </w:r>
          </w:p>
        </w:tc>
        <w:tc>
          <w:tcPr>
            <w:tcW w:w="320" w:type="dxa"/>
            <w:tcBorders/>
          </w:tcPr>
          <w:p>
            <w:pPr>
              <w:pStyle w:val="Normal"/>
              <w:rPr/>
            </w:pPr>
            <w:r>
              <w:rPr/>
            </w:r>
          </w:p>
        </w:tc>
      </w:tr>
    </w:tbl>
    <w:p>
      <w:pPr>
        <w:pStyle w:val="Normal"/>
        <w:suppressAutoHyphens w:val="true"/>
        <w:ind w:left="5103" w:right="96"/>
        <w:rPr>
          <w:sz w:val="24"/>
          <w:szCs w:val="24"/>
          <w:lang w:val="en-US"/>
        </w:rPr>
      </w:pPr>
      <w:r>
        <w:rPr>
          <w:sz w:val="24"/>
          <w:szCs w:val="24"/>
          <w:lang w:val="en-US"/>
        </w:rPr>
      </w:r>
    </w:p>
    <w:sectPr>
      <w:headerReference w:type="default" r:id="rId5"/>
      <w:footerReference w:type="default" r:id="rId6"/>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PT Sans">
    <w:charset w:val="01"/>
    <w:family w:val="swiss"/>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16</w:t>
    </w:r>
    <w:r>
      <w:rPr>
        <w:sz w:val="24"/>
        <w:szCs w:val="24"/>
      </w:rPr>
      <w:fldChar w:fldCharType="end"/>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4118"/>
        </w:tabs>
        <w:ind w:left="4118"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1">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EndnoteReference">
    <w:name w:val="Endnote Reference"/>
    <w:rPr>
      <w:vertAlign w:val="superscript"/>
    </w:rPr>
  </w:style>
  <w:style w:type="character" w:styleId="Style18">
    <w:name w:val="Символ концевой сноски"/>
    <w:qFormat/>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bidi w:val="0"/>
      <w:spacing w:before="0" w:after="0"/>
      <w:ind w:firstLine="720" w:right="19772"/>
      <w:jc w:val="left"/>
    </w:pPr>
    <w:rPr>
      <w:rFonts w:ascii="Arial" w:hAnsi="Arial" w:eastAsia="Times New Roman" w:cs="Times New Roman"/>
      <w:color w:val="auto"/>
      <w:kern w:val="0"/>
      <w:sz w:val="32"/>
      <w:szCs w:val="20"/>
      <w:lang w:eastAsia="en-US" w:val="ru-RU" w:bidi="ar-SA"/>
    </w:rPr>
  </w:style>
  <w:style w:type="paragraph" w:styleId="BodyTextIndent">
    <w:name w:val="Body Text Indent"/>
    <w:basedOn w:val="Normal"/>
    <w:link w:val="Style11"/>
    <w:rsid w:val="00e00bca"/>
    <w:pPr>
      <w:spacing w:before="0" w:after="120"/>
      <w:ind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bidi w:val="0"/>
      <w:spacing w:before="0" w:after="0"/>
      <w:jc w:val="left"/>
    </w:pPr>
    <w:rPr>
      <w:rFonts w:ascii="Calibri" w:hAnsi="Calibri" w:cs="Calibri" w:eastAsia="Times New Roman"/>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7EDF811D-CBE0-47B1-98AB-5CD75F37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AlterOffice/2026.2.0.0$Linux_X86_64 LibreOffice_project/bc4ef1adf80b36c7a6365f8ed6cbf29021361edd</Application>
  <AppVersion>15.0000</AppVersion>
  <Pages>16</Pages>
  <Words>6573</Words>
  <Characters>47328</Characters>
  <CharactersWithSpaces>53694</CharactersWithSpaces>
  <Paragraphs>273</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2025-04-30T10:17:00Z</dcterms:created>
  <dc:creator>tsypilev_ag</dc:creator>
  <dc:description/>
  <dc:language>ru-RU</dc:language>
  <cp:lastModifiedBy/>
  <cp:lastPrinted>2018-05-22T09:46:00Z</cp:lastPrinted>
  <dcterms:modified xsi:type="dcterms:W3CDTF">2026-10-06T09:53:39Z</dcterms:modified>
  <cp:revision>3</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