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/>
          <w:sz w:val="28"/>
          <w:szCs w:val="28"/>
          <w:u w:val="single"/>
        </w:rPr>
      </w:pPr>
      <w:r>
        <w:rPr>
          <w:rFonts w:eastAsia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ТЕХНИЧЕСКОЕ ЗАДАНИЕ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Arial Unicode MS"/>
          <w:sz w:val="28"/>
          <w:szCs w:val="28"/>
        </w:rPr>
      </w:pPr>
      <w:r>
        <w:rPr>
          <w:rFonts w:eastAsia="Arial Unicode MS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На выполнение работ по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текущему </w:t>
      </w:r>
      <w:r>
        <w:rPr>
          <w:rFonts w:eastAsia="Arial Unicode MS" w:ascii="Times New Roman" w:hAnsi="Times New Roman"/>
          <w:color w:themeColor="text1" w:val="000000"/>
          <w:sz w:val="28"/>
          <w:szCs w:val="28"/>
        </w:rPr>
        <w:t xml:space="preserve">ремонту </w:t>
      </w:r>
      <w:r>
        <w:rPr>
          <w:rFonts w:eastAsia="Arial Unicode MS" w:ascii="Times New Roman" w:hAnsi="Times New Roman"/>
          <w:color w:themeColor="text1" w:val="000000"/>
          <w:sz w:val="28"/>
          <w:szCs w:val="28"/>
        </w:rPr>
        <w:t>помещений н</w:t>
      </w:r>
      <w:r>
        <w:rPr>
          <w:rFonts w:ascii="Times New Roman" w:hAnsi="Times New Roman"/>
          <w:color w:themeColor="text1" w:val="000000"/>
          <w:sz w:val="28"/>
          <w:szCs w:val="28"/>
        </w:rPr>
        <w:t>а объектах УФПС Республики Башкортостан</w:t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Уфа, 2026г.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1"/>
        </w:numPr>
        <w:spacing w:before="0" w:after="120"/>
        <w:ind w:hanging="357"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 ПРИНЯТЫХ СОКРАЩЕНИЙ</w:t>
      </w:r>
    </w:p>
    <w:tbl>
      <w:tblPr>
        <w:tblW w:w="9243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66"/>
        <w:gridCol w:w="2200"/>
        <w:gridCol w:w="6177"/>
      </w:tblGrid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№ </w:t>
            </w: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val="ru-RU" w:eastAsia="ru-RU"/>
              </w:rPr>
              <w:t>п/п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val="ru-RU" w:eastAsia="ru-RU"/>
              </w:rPr>
              <w:t>Сокращение, термин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Расшифровка сокращения, </w:t>
            </w: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термина</w:t>
            </w:r>
          </w:p>
        </w:tc>
      </w:tr>
      <w:tr>
        <w:trPr>
          <w:trHeight w:val="642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>
        <w:trPr>
          <w:trHeight w:val="642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>
        <w:trPr>
          <w:trHeight w:val="642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mmentText"/>
              <w:spacing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осуществляет выполнение работ по договору.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</w:t>
            </w: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помещений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>
        <w:trPr>
          <w:trHeight w:val="399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>
        <w:trPr>
          <w:trHeight w:val="96" w:hRule="atLeast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21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themeColor="text1" w:val="000000"/>
                <w:sz w:val="24"/>
                <w:szCs w:val="24"/>
                <w:lang w:eastAsia="ru-RU"/>
              </w:rPr>
              <w:t>СП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Arial Unicode MS" w:ascii="Times New Roman" w:hAnsi="Times New Roman"/>
                <w:color w:themeColor="text1" w:val="000000"/>
                <w:sz w:val="24"/>
                <w:szCs w:val="24"/>
                <w:lang w:eastAsia="ru-RU"/>
              </w:rPr>
              <w:t>Свод правил</w:t>
            </w:r>
          </w:p>
        </w:tc>
      </w:tr>
    </w:tbl>
    <w:p>
      <w:pPr>
        <w:pStyle w:val="ConsPlusNormal"/>
        <w:numPr>
          <w:ilvl w:val="0"/>
          <w:numId w:val="1"/>
        </w:numPr>
        <w:spacing w:before="240" w:after="120"/>
        <w:ind w:hanging="357"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НАИМЕНОВАНИЕ РАБОТ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themeColor="text1" w:val="000000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>В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ыполнение работ по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текущему </w:t>
      </w:r>
      <w:r>
        <w:rPr>
          <w:rFonts w:eastAsia="Arial Unicode MS" w:ascii="Times New Roman" w:hAnsi="Times New Roman"/>
          <w:color w:themeColor="text1" w:val="000000"/>
          <w:sz w:val="28"/>
          <w:szCs w:val="28"/>
        </w:rPr>
        <w:t xml:space="preserve">ремонту </w:t>
      </w:r>
      <w:r>
        <w:rPr>
          <w:rFonts w:eastAsia="Arial Unicode MS" w:ascii="Times New Roman" w:hAnsi="Times New Roman"/>
          <w:color w:themeColor="text1" w:val="000000"/>
          <w:sz w:val="28"/>
          <w:szCs w:val="28"/>
        </w:rPr>
        <w:t>помещений н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а объектах УФПС Республики Башкортостан. </w:t>
      </w:r>
    </w:p>
    <w:p>
      <w:pPr>
        <w:pStyle w:val="ConsPlusNormal"/>
        <w:numPr>
          <w:ilvl w:val="0"/>
          <w:numId w:val="1"/>
        </w:numPr>
        <w:spacing w:before="240" w:after="120"/>
        <w:ind w:hanging="357"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ОПИСАНИЕ РАБОТ, ЦЕЛЬ И ЗАДАЧИ</w:t>
      </w:r>
    </w:p>
    <w:p>
      <w:pPr>
        <w:pStyle w:val="Normal"/>
        <w:widowControl w:val="false"/>
        <w:tabs>
          <w:tab w:val="clear" w:pos="708"/>
          <w:tab w:val="left" w:pos="1255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>
      <w:pPr>
        <w:pStyle w:val="Normal"/>
        <w:widowControl w:val="false"/>
        <w:tabs>
          <w:tab w:val="clear" w:pos="708"/>
          <w:tab w:val="left" w:pos="1255" w:leader="none"/>
        </w:tabs>
        <w:spacing w:lineRule="auto" w:line="240" w:before="0" w:after="0"/>
        <w:ind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Работы выполняются с целью поддержания помещений ОПС в нормативном эксплуатационном режиме, оптимизации температурного режима в помещениях. </w:t>
      </w:r>
    </w:p>
    <w:p>
      <w:pPr>
        <w:pStyle w:val="ConsPlusNormal"/>
        <w:numPr>
          <w:ilvl w:val="0"/>
          <w:numId w:val="1"/>
        </w:numPr>
        <w:spacing w:before="240" w:after="120"/>
        <w:ind w:hanging="357"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ТРЕБОВАНИЯ К СРОКУ И МЕСТУ ВЫПОЛНЕНИЯ РАБОТ</w:t>
      </w:r>
    </w:p>
    <w:p>
      <w:pPr>
        <w:pStyle w:val="ConsPlusNormal"/>
        <w:widowControl w:val="false"/>
        <w:bidi w:val="0"/>
        <w:spacing w:lineRule="auto" w:line="240" w:before="240" w:after="120"/>
        <w:ind w:firstLine="680" w:left="0" w:right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4.1 </w:t>
      </w:r>
      <w:r>
        <w:rPr>
          <w:rFonts w:cs="Times New Roman" w:ascii="Times New Roman" w:hAnsi="Times New Roman"/>
          <w:sz w:val="28"/>
          <w:szCs w:val="28"/>
        </w:rPr>
        <w:t xml:space="preserve">Начало выполнения Работ: не позднее </w:t>
      </w:r>
      <w:r>
        <w:rPr>
          <w:rFonts w:cs="Times New Roman" w:ascii="Times New Roman" w:hAnsi="Times New Roman"/>
          <w:i/>
          <w:sz w:val="28"/>
          <w:szCs w:val="28"/>
        </w:rPr>
        <w:t xml:space="preserve">5 </w:t>
      </w:r>
      <w:r>
        <w:rPr>
          <w:rFonts w:cs="Times New Roman" w:ascii="Times New Roman" w:hAnsi="Times New Roman"/>
          <w:sz w:val="28"/>
          <w:szCs w:val="28"/>
        </w:rPr>
        <w:t xml:space="preserve">(Пяти) календарных дней с даты подписания договора. </w:t>
      </w:r>
    </w:p>
    <w:p>
      <w:pPr>
        <w:pStyle w:val="ConsPlusNormal"/>
        <w:widowControl w:val="false"/>
        <w:bidi w:val="0"/>
        <w:spacing w:lineRule="auto" w:line="240" w:before="0" w:after="0"/>
        <w:ind w:firstLine="624" w:left="0" w:right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Окончание выполнения Работ: не позднее </w:t>
      </w:r>
      <w:r>
        <w:rPr>
          <w:rFonts w:cs="Times New Roman" w:ascii="Times New Roman" w:hAnsi="Times New Roman"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>0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(</w:t>
      </w:r>
      <w:r>
        <w:rPr>
          <w:rFonts w:cs="Times New Roman" w:ascii="Times New Roman" w:hAnsi="Times New Roman"/>
          <w:sz w:val="28"/>
          <w:szCs w:val="28"/>
        </w:rPr>
        <w:t>Восемьдесят</w:t>
      </w:r>
      <w:r>
        <w:rPr>
          <w:rFonts w:cs="Times New Roman" w:ascii="Times New Roman" w:hAnsi="Times New Roman"/>
          <w:sz w:val="28"/>
          <w:szCs w:val="28"/>
        </w:rPr>
        <w:t xml:space="preserve">) календарных дней с даты начала выполнения Работ 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08"/>
          <w:tab w:val="left" w:pos="709" w:leader="none"/>
        </w:tabs>
        <w:bidi w:val="0"/>
        <w:spacing w:lineRule="auto" w:line="240" w:before="0" w:after="0"/>
        <w:ind w:firstLine="283" w:left="340" w:right="0"/>
        <w:contextualSpacing/>
        <w:jc w:val="both"/>
        <w:rPr/>
      </w:pPr>
      <w:r>
        <w:rPr/>
        <w:t xml:space="preserve"> </w:t>
      </w:r>
      <w:r>
        <w:rPr/>
        <w:t>Место выполнения Работ:</w:t>
      </w:r>
    </w:p>
    <w:tbl>
      <w:tblPr>
        <w:tblW w:w="9525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4"/>
        <w:gridCol w:w="8960"/>
      </w:tblGrid>
      <w:tr>
        <w:trPr>
          <w:trHeight w:val="532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shd w:fill="auto" w:val="clear"/>
                <w:lang w:eastAsia="ru-RU"/>
              </w:rPr>
              <w:t>1</w:t>
            </w:r>
          </w:p>
        </w:tc>
        <w:tc>
          <w:tcPr>
            <w:tcW w:w="8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  <w:em w:val="none"/>
              </w:rPr>
              <w:t xml:space="preserve">453334, </w:t>
            </w:r>
            <w:r>
              <w:rPr>
                <w:rFonts w:eastAsia="Calibri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  <w:em w:val="none"/>
              </w:rPr>
              <w:t xml:space="preserve">Республика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Башкортостан, Кугарчинский р-н, д Тляумбетово, ул Молодёжная, д 11а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shd w:fill="auto" w:val="clear"/>
                <w:lang w:eastAsia="ru-RU"/>
              </w:rPr>
              <w:t>2</w:t>
            </w:r>
          </w:p>
        </w:tc>
        <w:tc>
          <w:tcPr>
            <w:tcW w:w="8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shd w:fill="auto" w:val="clear"/>
                <w:lang w:eastAsia="ru-RU"/>
              </w:rPr>
              <w:t xml:space="preserve">452033, </w:t>
            </w:r>
            <w:r>
              <w:rPr>
                <w:rFonts w:eastAsia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  <w:em w:val="none"/>
                <w:lang w:eastAsia="ru-RU"/>
              </w:rPr>
              <w:t xml:space="preserve">Республика </w:t>
            </w:r>
            <w:r>
              <w:rPr>
                <w:rFonts w:eastAsia="Calibri" w:ascii="Times New Roman" w:hAnsi="Times New Roman" w:eastAsiaTheme="minorHAns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  <w:em w:val="none"/>
              </w:rPr>
              <w:t>Башкортостан, Белебеевский р-н, с Усень-Ивановское, ул. Гагарина, д. 101</w:t>
            </w:r>
          </w:p>
        </w:tc>
      </w:tr>
    </w:tbl>
    <w:p>
      <w:pPr>
        <w:pStyle w:val="ConsPlusNormal"/>
        <w:numPr>
          <w:ilvl w:val="0"/>
          <w:numId w:val="1"/>
        </w:numPr>
        <w:spacing w:before="240" w:after="120"/>
        <w:ind w:hanging="357"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ХАРАКТЕРИСТИКИ ВЫПОЛНЯЕМЫХ РАБОТ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Объем и перечень выполняемых Работ сформированы на основании дефектной ведомости по результатам обследования Объект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>
        <w:rPr>
          <w:rFonts w:ascii="Times New Roman" w:hAnsi="Times New Roman"/>
          <w:color w:val="000000"/>
          <w:sz w:val="28"/>
          <w:szCs w:val="28"/>
        </w:rPr>
        <w:t>, подлежащ</w:t>
      </w:r>
      <w:r>
        <w:rPr>
          <w:rFonts w:ascii="Times New Roman" w:hAnsi="Times New Roman"/>
          <w:color w:val="000000"/>
          <w:sz w:val="28"/>
          <w:szCs w:val="28"/>
        </w:rPr>
        <w:t>их</w:t>
      </w:r>
      <w:r>
        <w:rPr>
          <w:rFonts w:ascii="Times New Roman" w:hAnsi="Times New Roman"/>
          <w:color w:val="000000"/>
          <w:sz w:val="28"/>
          <w:szCs w:val="28"/>
        </w:rPr>
        <w:t xml:space="preserve"> ремонту, и отражены в Ведомости объемов работ (приложение № 1 к ТЗ).</w:t>
      </w:r>
    </w:p>
    <w:p>
      <w:pPr>
        <w:pStyle w:val="Normal"/>
        <w:spacing w:before="0" w:after="0"/>
        <w:ind w:firstLine="709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 Характеристики (описание) материалов.</w:t>
      </w:r>
    </w:p>
    <w:tbl>
      <w:tblPr>
        <w:tblW w:w="9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9"/>
        <w:gridCol w:w="4085"/>
        <w:gridCol w:w="4891"/>
      </w:tblGrid>
      <w:tr>
        <w:trPr>
          <w:tblHeader w:val="true"/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ascii="Times New Roman" w:hAnsi="Times New Roman" w:eastAsiaTheme="minorHAnsi"/>
                <w:b w:val="false"/>
                <w:bCs w:val="false"/>
                <w:sz w:val="24"/>
                <w:szCs w:val="24"/>
              </w:rPr>
              <w:t xml:space="preserve">№ </w:t>
            </w:r>
            <w:r>
              <w:rPr>
                <w:rFonts w:eastAsia="Calibri" w:ascii="Times New Roman" w:hAnsi="Times New Roman" w:eastAsiaTheme="minorHAnsi"/>
                <w:b w:val="false"/>
                <w:bCs w:val="false"/>
                <w:sz w:val="24"/>
                <w:szCs w:val="24"/>
              </w:rPr>
              <w:t>п/п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eastAsiaTheme="minorHAnsi"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Наименование товаров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eastAsiaTheme="minorHAnsi"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Характеристика (описание) товара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Гравий керамзитовый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 400, фракция 10-20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Смеси бетонные тяжелого бетона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на щебне из гравия, класс В15, F(1)100, W4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Раствор готовый кладочный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цементный, М75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Линолеу</w:t>
            </w: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ПВХ без подосновы повышенной влагостойкости, класс износостойкости 34/43, класс пожарной опасности КМ2 (Г1, В2, Д2, Т2, РП1), толщина 2 мм, вес 3200 г/м2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Клей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на основе сополимерной дисперсии для покрытий из ПВХ, латекса, полиуретана и вспененного винила, плотность 1,3 г/см3, расход 0,22-0,27 кг/м2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Плинтус для полов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из ПВХ, размеры 19х48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Блок оконны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из ПВХ-профиля двустворчатый, с глухой и поворотной створкой, двухкамерным стеклопакетом толщиной 32 мм, площадь от 2,51 до 3 м2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Доска подоконная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из ПВХ, ширина 500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Заглушки торцевые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двусторонние к подоконной доске из ПВХ, цвет белый, размеры 40х480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Сетка полимерная противомоскитная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цвет белый, плотностью 48 г/м2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11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Блок дверной деревянный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внутренний распашной глухой, площадь до 2,0 м2, материал комбинированный с покрытием из полимерных пленок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12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Наличник из древесины хвойных пород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тип Н-1, ширина 70-75 мм, толщина 10-18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13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Замок врезной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тип ЗВ4, усиленной конструкции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14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Смеси сухие штукатурные на полимерцементной основе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В10, F75, расход 1,3 кг/м2 при толщине слоя 1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15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Грунтовка укрепляющая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глубокого проникновения, быстросохнущая, паропроницаемая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16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Обои бумажные рифленые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 высокой устойчивостью к мытью, марка М-2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17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Панели потолочные декоративные из минерального волокна в комплекте с подвесной системой из оцинкованной стали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твердые, с прямой кромкой, класс пожарной опасности КМ1, класс звукопоглощения D-E, толщина 12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18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Короб кабельный (кабель-канал)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ПВХ с крышкой, размеры 25х25 мм</w:t>
            </w:r>
          </w:p>
        </w:tc>
      </w:tr>
      <w:tr>
        <w:trPr>
          <w:trHeight w:val="678" w:hRule="atLeast"/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19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Кабель силовой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-с медными жилами ВВГнг(A)-LS 3х2,5ок(N, PE)-660</w:t>
            </w:r>
          </w:p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-с медными жилами ВВГнг(A)-LS 3х1,5ок(N, PE)-660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Розетки открытой проводки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двухгнездные с заземлением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21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Выключатели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одноклавишные для открытой проводки, марка А16-051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22</w:t>
            </w:r>
          </w:p>
        </w:tc>
        <w:tc>
          <w:tcPr>
            <w:tcW w:w="4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Светильник светодиодный потолочный накладной для общественных зданий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-IP40, УХЛ4, рассеиватель полистирол, корпус пластиковый, кривая силы света косинусная, световой поток 5900-6500 лм, цветовая температура 3000-5000 К, размеры светильника 595х595 мм, мощность 45 Вт</w:t>
            </w:r>
          </w:p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-IP54, УХЛ4, рассеиватель полистирол, корпус пластиковый, кривая силы света косинусная, световой поток 900-1100 лм, цветовая температура 3000-5000 К, мощность 10 Вт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23</w:t>
            </w:r>
          </w:p>
        </w:tc>
        <w:tc>
          <w:tcPr>
            <w:tcW w:w="4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Щит распределительный 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навесной ЩРН-12, IP31, размеры 220х300х120 мм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</w:t>
            </w:r>
          </w:p>
        </w:tc>
        <w:tc>
          <w:tcPr>
            <w:tcW w:w="4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Счетчик учета активной электрической энергии переменного тока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статический, многотарифный, однофазный, прямого включения, номинальный ток 5 А, максимальный ток 60 А, номинальное напряжение 230 В, класс точности 1</w:t>
            </w:r>
          </w:p>
        </w:tc>
      </w:tr>
      <w:tr>
        <w:trPr>
          <w:cantSplit w:val="true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25</w:t>
            </w:r>
          </w:p>
        </w:tc>
        <w:tc>
          <w:tcPr>
            <w:tcW w:w="4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Провод установочный 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ПуГВнг(А)-LS 1х6-450/750</w:t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Все поставляемые на объект материалы, оборудование и инвентарь должны иметь сертификаты соответствия, технические паспорта и другие предусмотренные строительными нормами и правилами документы, удостоверяющие их происхождение, качество и сроки годности.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Применяемые материалы и оборудование должны иметь сертификат пожарной безопасности и сопровождаться документом о качестве.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Подрядчик обязуется в случае наличия материалов, пригодных для вторичного использования, передать их Заказчику по акту, составленному по типовой межотраслевой форме № М-35, утвержденной постановлением Госкомстата РФ от 30.10.1997 № 71а, для последующей их сдачи специализированным организациям.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eastAsia="Arial Unicode MS" w:ascii="Times New Roman" w:hAnsi="Times New Roman"/>
          <w:b/>
          <w:sz w:val="28"/>
          <w:szCs w:val="28"/>
        </w:rPr>
        <w:tab/>
        <w:t xml:space="preserve">5.2. </w:t>
      </w:r>
      <w:r>
        <w:rPr>
          <w:rFonts w:ascii="Times New Roman" w:hAnsi="Times New Roman"/>
          <w:b/>
          <w:sz w:val="28"/>
          <w:szCs w:val="28"/>
        </w:rPr>
        <w:t>Описание результата выполненных работ.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Результатом выполненных работ является приведение в нормативное состояние системы отопления.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eastAsia="Times New Roman" w:ascii="Times New Roman" w:hAnsi="Times New Roman"/>
          <w:b/>
          <w:sz w:val="28"/>
          <w:szCs w:val="28"/>
        </w:rPr>
        <w:tab/>
        <w:t>5.3. Перечень оборудования, информации, документов, необходимых для выполнения работ.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 xml:space="preserve">Перечень оборудования, необходимого для выполнения работ, Подрядчик определяет самостоятельно.  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ascii="Times New Roman" w:hAnsi="Times New Roman"/>
          <w:color w:val="000000"/>
          <w:sz w:val="28"/>
          <w:szCs w:val="28"/>
        </w:rPr>
        <w:t xml:space="preserve">При выполнении работ Подрядчик обязан руководствоваться документами, указанными в п.п. 6.1, 6.3 ТЗ.  </w:t>
      </w:r>
    </w:p>
    <w:p>
      <w:pPr>
        <w:pStyle w:val="ConsPlusNormal"/>
        <w:numPr>
          <w:ilvl w:val="0"/>
          <w:numId w:val="1"/>
        </w:numPr>
        <w:spacing w:before="240" w:after="120"/>
        <w:ind w:hanging="357" w:left="357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ТРЕБОВАНИЯ К ПОРЯДКУ ВЫПОЛНЕНИЯ РАБОТ</w:t>
      </w:r>
    </w:p>
    <w:p>
      <w:pPr>
        <w:pStyle w:val="ListParagraph"/>
        <w:numPr>
          <w:ilvl w:val="0"/>
          <w:numId w:val="2"/>
        </w:numPr>
        <w:spacing w:before="120" w:after="120"/>
        <w:ind w:firstLine="709" w:left="0"/>
        <w:contextualSpacing w:val="false"/>
        <w:jc w:val="both"/>
        <w:rPr>
          <w:sz w:val="28"/>
          <w:szCs w:val="28"/>
        </w:rPr>
      </w:pPr>
      <w:r>
        <w:rPr>
          <w:b/>
          <w:sz w:val="28"/>
          <w:szCs w:val="28"/>
        </w:rPr>
        <w:t>Требования к качеству Работ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- Градостроительный кодекс Российской Федерации от 29.12.2004 № 190-ФЗ;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Федеральный закон от 22.07.2008 № 123-ФЗ «Технический регламент о требованиях пожарной безопасности»;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Федеральный закон от 17.07.1999 № 176-ФЗ «О почтовой связи»;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Федеральный закон от 30.12.2009 № 384-ФЗ «Технический регламент о безопасности зданий и сооружений»;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ГОСТ 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>
      <w:pPr>
        <w:pStyle w:val="Normal"/>
        <w:spacing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  <w:color w:themeColor="text1" w:val="000000"/>
          <w:spacing w:val="3"/>
          <w:sz w:val="28"/>
          <w:szCs w:val="28"/>
        </w:rPr>
        <w:t xml:space="preserve">- </w:t>
      </w:r>
      <w:hyperlink r:id="rId2">
        <w:r>
          <w:rPr>
            <w:rStyle w:val="Style9"/>
            <w:rFonts w:cs="Times New Roman" w:ascii="Times New Roman" w:hAnsi="Times New Roman"/>
            <w:spacing w:val="3"/>
            <w:sz w:val="28"/>
            <w:szCs w:val="28"/>
          </w:rPr>
          <w:t>СП 59-13330-2020 «СНиП 35-01-2001 Доступность зданий и сооружений для маломобильных групп населения»</w:t>
        </w:r>
      </w:hyperlink>
      <w:r>
        <w:rPr>
          <w:rFonts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- Г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ОСТ Р 52749-2007 «Национальный стандарт Российской Федерации. Швы монтажные оконные с паропроницаемыми саморасширяющимися лентами. Технические условия»;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-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- ГОСТ 30970-2023 «Блоки дверные из поливинилхлоридных профилей»;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- ГОСТ Р 57327-2016 «Двери металлические противопожарные. Общие технические требования и методы испытаний»;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 xml:space="preserve">- </w:t>
      </w:r>
      <w:r>
        <w:rPr>
          <w:rFonts w:eastAsia="Times New Roman" w:cs="Times New Roman" w:ascii="Times New Roman" w:hAnsi="Times New Roman"/>
          <w:sz w:val="28"/>
          <w:szCs w:val="28"/>
        </w:rPr>
        <w:t>СП 45.13330.2017 «Актуализированная редакция СНиП 3.02.01-87 «Земляные сооружения, основания и фундаменты»;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СП 70.13330.2012 «Актуализированная редакция СНиП 3.03.01-87 «Несущие и ограждающие конструкции»;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СП 28.13330.2017 «Защита строительных конструкций от коррозии. Актуализированная редакция СНиП 2.03.11-85»;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СНиП 12-03-2001 «Безопасность труда в строительстве. Часть 1. Общие требования» (</w:t>
      </w:r>
      <w:r>
        <w:rPr>
          <w:rFonts w:cs="Times New Roman" w:ascii="Times New Roman" w:hAnsi="Times New Roman"/>
          <w:color w:val="2D2D2D"/>
          <w:spacing w:val="2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color w:val="2D2D2D"/>
          <w:spacing w:val="2"/>
          <w:sz w:val="28"/>
          <w:szCs w:val="28"/>
          <w:shd w:fill="FFFFFF" w:val="clear"/>
        </w:rPr>
        <w:t xml:space="preserve"> Росстандартом в качестве </w:t>
      </w:r>
      <w:r>
        <w:rPr>
          <w:rFonts w:cs="Times New Roman" w:ascii="Times New Roman" w:hAnsi="Times New Roman"/>
          <w:bCs/>
          <w:color w:val="2D2D2D"/>
          <w:spacing w:val="2"/>
          <w:sz w:val="28"/>
          <w:szCs w:val="28"/>
          <w:shd w:fill="FFFFFF" w:val="clear"/>
        </w:rPr>
        <w:t>СП 43.13330.2010)</w:t>
      </w:r>
      <w:r>
        <w:rPr>
          <w:rFonts w:eastAsia="Times New Roman" w:cs="Times New Roman" w:ascii="Times New Roman" w:hAnsi="Times New Roman"/>
          <w:sz w:val="28"/>
          <w:szCs w:val="28"/>
        </w:rPr>
        <w:t>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СНиП 12-04-2002 «Безопасность труда в строительстве. Часть 2. Строительное производство»;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themeColor="text1" w:val="000000"/>
          <w:sz w:val="28"/>
          <w:szCs w:val="28"/>
        </w:rPr>
        <w:t xml:space="preserve">-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ПУЭ «Правила устройства электроустановок» (актуальное издание разделов и глав на 2017 год);</w:t>
      </w:r>
    </w:p>
    <w:p>
      <w:pPr>
        <w:pStyle w:val="Normal"/>
        <w:spacing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themeColor="text1" w:val="000000"/>
          <w:spacing w:val="2"/>
          <w:kern w:val="2"/>
          <w:sz w:val="28"/>
          <w:szCs w:val="28"/>
          <w:lang w:val="ru-RU" w:eastAsia="ru-RU"/>
        </w:rPr>
        <w:t>- Правила по охране труда при строительстве, реконструкции и ремонте утвержденные приказом Министерства труда и социальной защиты РФ от 11.12.2020 г. № 883н.</w:t>
      </w:r>
    </w:p>
    <w:p>
      <w:pPr>
        <w:pStyle w:val="ListParagraph"/>
        <w:numPr>
          <w:ilvl w:val="0"/>
          <w:numId w:val="2"/>
        </w:numPr>
        <w:spacing w:before="120" w:after="120"/>
        <w:ind w:firstLine="709" w:left="0"/>
        <w:contextualSpacing w:val="false"/>
        <w:jc w:val="both"/>
        <w:rPr>
          <w:sz w:val="28"/>
          <w:szCs w:val="28"/>
        </w:rPr>
      </w:pPr>
      <w:r>
        <w:rPr>
          <w:b/>
          <w:sz w:val="28"/>
          <w:szCs w:val="28"/>
        </w:rPr>
        <w:t>Условия выполнения работ</w:t>
      </w:r>
    </w:p>
    <w:p>
      <w:pPr>
        <w:pStyle w:val="NoSpacing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>6.2.1. Перед началом выполнения работ Подрядчик обязан предоставить Заказчику в электронном виде фотографии объекта в количестве не менее 15 штук с фотофиксацией внутренних помещений объекта и наружных элементов здания (кровля)  на электронный адрес:</w:t>
      </w:r>
      <w:r>
        <w:rPr>
          <w:rFonts w:ascii="Times New Roman" w:hAnsi="Times New Roman"/>
          <w:color w:val="323E4F"/>
          <w:sz w:val="28"/>
          <w:szCs w:val="28"/>
          <w:lang w:eastAsia="ru-RU"/>
        </w:rPr>
        <w:t xml:space="preserve"> </w:t>
      </w:r>
      <w:hyperlink r:id="rId3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color w:val="323E4F"/>
            <w:spacing w:val="0"/>
            <w:sz w:val="28"/>
            <w:szCs w:val="28"/>
            <w:lang w:eastAsia="ru-RU"/>
          </w:rPr>
          <w:t>Bikmurzina.G@russianpost.ru</w:t>
        </w:r>
      </w:hyperlink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pacing w:val="0"/>
          <w:sz w:val="28"/>
          <w:szCs w:val="28"/>
          <w:lang w:eastAsia="ru-RU"/>
        </w:rPr>
        <w:t>.</w:t>
      </w:r>
    </w:p>
    <w:p>
      <w:pPr>
        <w:pStyle w:val="NoSpacing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Подрядчик обязан один раз в 5 (пять) календарных дней предоставлять Заказчику в электронном виде фотоотчет о выполненных работах в количестве не менее 15 шт.  на виды работ указанные в локально-сметном расчете (в обязательном порядке с приложенной рулеткой), в том числе подтверждающие выполнение скрытых работ, а также текстовый отчет в формате Word. После окончания выполнения работ Подрядчик обязан в течение 2 (двух) календарных дней предоставить Заказчику в электронном виде фотографии производимых работ на объекте в количестве не менее 15 штук на электронный адрес: </w:t>
      </w:r>
      <w:hyperlink r:id="rId4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color w:val="666666"/>
            <w:spacing w:val="0"/>
            <w:sz w:val="28"/>
            <w:szCs w:val="28"/>
            <w:lang w:eastAsia="ru-RU"/>
          </w:rPr>
          <w:t>Bikmurzina.G@russianpost.ru</w:t>
        </w:r>
      </w:hyperlink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color w:val="666666"/>
          <w:spacing w:val="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666666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 фотографиях должны быть отражены все позиции, подвергшиеся ремонту согласно смете (дефектной ведомости), минимум с трех разных ракурсов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CommentReference"/>
          <w:rFonts w:ascii="Times New Roman" w:hAnsi="Times New Roman"/>
          <w:sz w:val="28"/>
          <w:szCs w:val="28"/>
        </w:rPr>
        <w:t xml:space="preserve">6.2.2. </w:t>
      </w:r>
      <w:r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08:00 часов  </w:t>
        <w:br/>
        <w:t>до 17:00 часов в рабочие дни (понедельник, вторник, среда, четверг, пятница), кроме дней, официально объявленных праздничными.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6.2.3. Работники Подрядчика могут быть допущены к работе на Объекте только после прохождения инструктажа по охране труда и технике безопасности.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6.2.4. Для выполнения Работ Подрядчик вправе привлекать третьих лиц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(субподрядные организации). В этом </w:t>
      </w:r>
      <w:r>
        <w:rPr>
          <w:rFonts w:ascii="Times New Roman" w:hAnsi="Times New Roman"/>
          <w:sz w:val="28"/>
          <w:szCs w:val="28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eastAsia="BatangChe" w:ascii="Times New Roman" w:hAnsi="Times New Roman"/>
          <w:sz w:val="28"/>
          <w:szCs w:val="28"/>
        </w:rPr>
        <w:t>6.2.5.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>
        <w:rPr>
          <w:rFonts w:eastAsia="BatangChe" w:ascii="Times New Roman" w:hAnsi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 на обслуживание и ремонт. </w:t>
      </w:r>
      <w:r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6.2.6.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>
      <w:pPr>
        <w:pStyle w:val="ConsPlusNormal"/>
        <w:jc w:val="both"/>
        <w:rPr>
          <w:color w:val="000000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6.2.7.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themeColor="text1" w:val="000000"/>
          <w:sz w:val="28"/>
          <w:szCs w:val="28"/>
        </w:rPr>
        <w:t xml:space="preserve">В случае повреждения отделки помещений </w:t>
      </w:r>
      <w:r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6.2.8.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6.2.9. </w:t>
      </w:r>
      <w:r>
        <w:rPr>
          <w:rFonts w:cs="Times New Roman" w:ascii="Times New Roman" w:hAnsi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</w:t>
      </w:r>
      <w:r>
        <w:rPr>
          <w:rFonts w:ascii="Times New Roman" w:hAnsi="Times New Roman"/>
          <w:sz w:val="28"/>
          <w:szCs w:val="28"/>
        </w:rPr>
        <w:t xml:space="preserve"> Подрядчик обязан регулярно вывозить строительный мусор с Объекта по мере накопления</w:t>
      </w:r>
    </w:p>
    <w:p>
      <w:pPr>
        <w:pStyle w:val="ListParagraph"/>
        <w:suppressAutoHyphens w:val="true"/>
        <w:ind w:firstLine="709" w:left="0"/>
        <w:jc w:val="both"/>
        <w:rPr/>
      </w:pPr>
      <w:r>
        <w:rPr/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>
      <w:pPr>
        <w:pStyle w:val="ListParagraph"/>
        <w:suppressAutoHyphens w:val="true"/>
        <w:ind w:firstLine="709" w:left="0"/>
        <w:jc w:val="both"/>
        <w:rPr/>
      </w:pPr>
      <w:r>
        <w:rPr/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6.2.10. Подрядчик согласовывает порядок выполнения Работ с Заказчиком на всех этапах выполнения Работ в соответствии с Приложением № 2 к ТЗ.</w:t>
      </w:r>
    </w:p>
    <w:p>
      <w:pPr>
        <w:pStyle w:val="ListParagraph"/>
        <w:numPr>
          <w:ilvl w:val="0"/>
          <w:numId w:val="2"/>
        </w:numPr>
        <w:spacing w:before="120" w:after="120"/>
        <w:ind w:firstLine="709" w:left="0"/>
        <w:contextualSpacing w:val="false"/>
        <w:jc w:val="both"/>
        <w:rPr>
          <w:b/>
        </w:rPr>
      </w:pPr>
      <w:r>
        <w:rPr>
          <w:b/>
        </w:rPr>
        <w:t>Требования к безопасности</w:t>
      </w:r>
    </w:p>
    <w:p>
      <w:pPr>
        <w:pStyle w:val="ConsPlusNormal"/>
        <w:numPr>
          <w:ilvl w:val="0"/>
          <w:numId w:val="3"/>
        </w:numPr>
        <w:ind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  <w:tab/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  <w:tab/>
        <w:t>Федеральный закон от 30.12.2009 № 384-ФЗ (ред. от 02.07.2013) «Технический регламент о безопасности зданий и сооружений»;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  <w:tab/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  <w:tab/>
        <w:t>СНиП 12-04-2002 «Безопасность труда в строительстве. Часть 2. Строительное производство»;</w:t>
      </w:r>
    </w:p>
    <w:p>
      <w:pPr>
        <w:pStyle w:val="ConsPlusNormal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</w:t>
        <w:tab/>
        <w:t>ГОСТ 12.3.002-2014 «Система стандартов безопасности труда. Процессы производственные. Общие требования безопасности»;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  <w:tab/>
        <w:t>Правила по охране труда при строительстве, реконструкции и ремонте утвержденные приказом Министерства труда и социальной защиты РФ от 11.12.2020 № 883н.</w:t>
      </w:r>
    </w:p>
    <w:p>
      <w:pPr>
        <w:pStyle w:val="ConsPlusNormal"/>
        <w:numPr>
          <w:ilvl w:val="0"/>
          <w:numId w:val="3"/>
        </w:numPr>
        <w:ind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>
      <w:pPr>
        <w:pStyle w:val="HTMLPreformatte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>
        <w:rPr>
          <w:rFonts w:cs="Times New Roman" w:ascii="Times New Roman" w:hAnsi="Times New Roman"/>
          <w:bCs/>
          <w:sz w:val="28"/>
          <w:szCs w:val="28"/>
        </w:rPr>
        <w:t>истема стандартов безопасности труда. Ц</w:t>
      </w:r>
      <w:r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>
        <w:rPr>
          <w:rFonts w:cs="Times New Roman" w:ascii="Times New Roman" w:hAnsi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>
      <w:pPr>
        <w:pStyle w:val="ListParagraph"/>
        <w:numPr>
          <w:ilvl w:val="0"/>
          <w:numId w:val="2"/>
        </w:numPr>
        <w:spacing w:before="120" w:after="120"/>
        <w:ind w:firstLine="709" w:left="0"/>
        <w:contextualSpacing w:val="false"/>
        <w:jc w:val="both"/>
        <w:rPr>
          <w:b/>
        </w:rPr>
      </w:pPr>
      <w:r>
        <w:rPr>
          <w:b/>
        </w:rPr>
        <w:t>Требования к конфиденциальности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Требования установлены в проекте договора.</w:t>
      </w:r>
    </w:p>
    <w:p>
      <w:pPr>
        <w:pStyle w:val="ListParagraph"/>
        <w:numPr>
          <w:ilvl w:val="0"/>
          <w:numId w:val="2"/>
        </w:numPr>
        <w:spacing w:before="120" w:after="120"/>
        <w:ind w:firstLine="709" w:left="0"/>
        <w:contextualSpacing w:val="false"/>
        <w:jc w:val="both"/>
        <w:rPr>
          <w:b/>
        </w:rPr>
      </w:pPr>
      <w:r>
        <w:rPr>
          <w:b/>
        </w:rPr>
        <w:t>Требования к сдаче-приемке работ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При сдаче-приемке Работ Подрядчик передает Заказчику оформленные и подписанные уполномоченным лицом Подрядчика следующие отчетные документы: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акты о приемке выполненных работ по унифицированной форме КС-2;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справки о стоимости работ и затрат по унифицированной форме КС-3;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документы, удостоверяющие качество строительных материалов, изделий, применяемых при выполнении Работ (копии сертификатов качества; сертификатов пожарной безопасности; санитарно-эпидемиологические заключения);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техническая документация на монтируемое при выполнении Работ оборудование (инструкцию, гарантийный талон, паспорт, спецификацию);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акты освидетельствования Работ, которые оказывают влияние на безопасность объекта капитального строительства и в соответствии с технологией строительства, реконструкции, капитального ремонта контроль за выполнением которых не может быть проведен после выполнения других Работ (Акты на скрытые Работы);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акты освидетельствования строительных конструкций,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инженерно-технического обеспечения;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акты освидетельствования участков сетей инженерно-технического обеспечения;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исполнительные геодезические схемы. На схемах должны наноситься проектные и фактические размеры элементов конструкций и частей зданий, сооружений или отклонения от них;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акты испытания и опробования технических устройств, систем инженерно-технического обеспечения;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результаты экспертиз, обследований, лабораторных и иных испытаний выполненных Работ, проведенных в процессе строительного контроля;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документы, подтверждающие проведение контроля за качеством применяемых строительных материалов (изделий);</w:t>
      </w:r>
    </w:p>
    <w:p>
      <w:pPr>
        <w:pStyle w:val="ConsPlusNormal"/>
        <w:tabs>
          <w:tab w:val="clear" w:pos="708"/>
          <w:tab w:val="left" w:pos="1134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Акт о приеме-сдаче отремонтированных, реконструированных, модернизированных объектов основных средств по форме ОС-3;</w:t>
      </w:r>
    </w:p>
    <w:p>
      <w:pPr>
        <w:pStyle w:val="ConsPlusNormal"/>
        <w:tabs>
          <w:tab w:val="clear" w:pos="708"/>
          <w:tab w:val="left" w:pos="1134" w:leader="none"/>
        </w:tabs>
        <w:ind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</w:t>
        <w:tab/>
        <w:t>иные документы, отражающие фактическое исполнение проектных решений.</w:t>
      </w:r>
    </w:p>
    <w:p>
      <w:pPr>
        <w:pStyle w:val="ListParagraph"/>
        <w:numPr>
          <w:ilvl w:val="0"/>
          <w:numId w:val="2"/>
        </w:numPr>
        <w:spacing w:before="120" w:after="120"/>
        <w:ind w:firstLine="709" w:left="0"/>
        <w:contextualSpacing w:val="false"/>
        <w:jc w:val="both"/>
        <w:rPr>
          <w:b/>
        </w:rPr>
      </w:pPr>
      <w:r>
        <w:rPr>
          <w:b/>
        </w:rPr>
        <w:t>Требования по передаче заказчику закупки технических и иных документов (оформление результатов работ)</w:t>
      </w:r>
    </w:p>
    <w:p>
      <w:pPr>
        <w:pStyle w:val="ListParagraph"/>
        <w:spacing w:before="0" w:after="0"/>
        <w:ind w:firstLine="709" w:left="0"/>
        <w:contextualSpacing w:val="false"/>
        <w:jc w:val="both"/>
        <w:rPr/>
      </w:pPr>
      <w:r>
        <w:rPr/>
        <w:t xml:space="preserve">Подрядчик передает Заказчику отчетные документы в соответствии с п. 6.5 настоящего ТЗ на бумажном носителе в 2 (Двух) экземплярах в срок не более </w:t>
      </w:r>
      <w:r>
        <w:rPr>
          <w:i/>
        </w:rPr>
        <w:t xml:space="preserve">3 </w:t>
      </w:r>
      <w:r>
        <w:rPr/>
        <w:t xml:space="preserve">(Трех)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>
      <w:pPr>
        <w:pStyle w:val="ConsPlusNormal"/>
        <w:spacing w:before="240" w:after="120"/>
        <w:ind w:hanging="357"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7.</w:t>
        <w:tab/>
        <w:t>ТРЕБОВАНИЯ К СРОКУ И (ИЛИ) ОБЪЕМУ ПРЕДОСТАВЛЕНИЯ ГАРАНТИЙ КАЧЕСТВА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Гарантийный срок на выполненные Работы должен составлять не менее 36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(Тридцати шести) месяцев с даты подписания Сторонами Акта о приемке выполненных работ (форма КС-2) и Справки о стоимости выполненных работ и затрат 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Гарантийный срок на материалы и оборудование должен составлять не менее</w:t>
      </w:r>
      <w:r>
        <w:rPr>
          <w:rFonts w:cs="Times New Roman" w:ascii="Times New Roman" w:hAnsi="Times New Roman"/>
          <w:i/>
          <w:sz w:val="28"/>
          <w:szCs w:val="28"/>
        </w:rPr>
        <w:t xml:space="preserve"> 12 (Двенадцати</w:t>
      </w:r>
      <w:r>
        <w:rPr>
          <w:rFonts w:cs="Times New Roman" w:ascii="Times New Roman" w:hAnsi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240" w:after="120"/>
        <w:ind w:hanging="357"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8.</w:t>
        <w:tab/>
        <w:t>СПЕЦИАЛЬНЫЕ ТРЕБОВАНИЯ</w:t>
      </w:r>
    </w:p>
    <w:p>
      <w:pPr>
        <w:pStyle w:val="ConsPlusNormal"/>
        <w:spacing w:before="240" w:after="120"/>
        <w:ind w:hanging="0" w:left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установлено.</w:t>
      </w:r>
    </w:p>
    <w:p>
      <w:pPr>
        <w:pStyle w:val="Normal"/>
        <w:widowControl w:val="false"/>
        <w:spacing w:lineRule="auto" w:line="240" w:before="240" w:after="120"/>
        <w:ind w:hanging="357" w:left="357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9.</w:t>
        <w:tab/>
        <w:t>ПЕРЕЧЕНЬ ПРИЛОЖЕНИЙ</w:t>
      </w:r>
    </w:p>
    <w:tbl>
      <w:tblPr>
        <w:tblW w:w="9214" w:type="dxa"/>
        <w:jc w:val="lef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418"/>
        <w:gridCol w:w="5528"/>
        <w:gridCol w:w="2268"/>
      </w:tblGrid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567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>
        <w:trPr/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567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/>
          <w:i/>
          <w:i/>
          <w:sz w:val="28"/>
          <w:szCs w:val="28"/>
        </w:rPr>
      </w:pPr>
      <w:r>
        <w:rPr>
          <w:rFonts w:eastAsia="Times New Roman" w:ascii="Times New Roman" w:hAnsi="Times New Roman"/>
          <w:i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1 к ТЗ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Выполнение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работ по </w:t>
      </w:r>
      <w:r>
        <w:rPr>
          <w:rFonts w:eastAsia="Arial Unicode MS" w:ascii="Times New Roman" w:hAnsi="Times New Roman"/>
          <w:color w:themeColor="text1" w:val="000000"/>
          <w:sz w:val="28"/>
          <w:szCs w:val="28"/>
        </w:rPr>
        <w:t xml:space="preserve">ремонту входных групп </w:t>
      </w:r>
      <w:r>
        <w:rPr>
          <w:rFonts w:ascii="Times New Roman" w:hAnsi="Times New Roman"/>
          <w:color w:themeColor="text1" w:val="000000"/>
          <w:sz w:val="28"/>
          <w:szCs w:val="28"/>
        </w:rPr>
        <w:t>на объектах УФПС Республики Башкортостан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645" w:type="dxa"/>
        <w:jc w:val="left"/>
        <w:tblInd w:w="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5355"/>
        <w:gridCol w:w="1110"/>
        <w:gridCol w:w="1305"/>
        <w:gridCol w:w="1140"/>
      </w:tblGrid>
      <w:tr>
        <w:trPr/>
        <w:tc>
          <w:tcPr>
            <w:tcW w:w="735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5355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111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Объем Работ</w:t>
            </w:r>
          </w:p>
        </w:tc>
        <w:tc>
          <w:tcPr>
            <w:tcW w:w="1305" w:type="dxa"/>
            <w:tcBorders/>
          </w:tcPr>
          <w:p>
            <w:pPr>
              <w:pStyle w:val="Normal"/>
              <w:spacing w:lineRule="auto" w:line="240" w:before="0" w:after="0"/>
              <w:ind w:hanging="2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140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 xml:space="preserve">453334, </w:t>
            </w:r>
            <w:r>
              <w:rPr>
                <w:rFonts w:eastAsia="Calibri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 xml:space="preserve">Республика </w:t>
            </w:r>
            <w:r>
              <w:rPr>
                <w:rFonts w:eastAsia="Times New Roman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Башкортостан, Кугарчинский р-н, д Тляумбетово, ул Молодёжная, д 11а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Раздел 1. 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плинтусов: деревянных и из пластмассовых материалов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0,177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покрытий полов: из линолеума и релина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0,1844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оснований покрытия полов: простильных полов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0,1844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оснований покрытия полов: лаг из досок и брусков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0,1844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тепло- и звукоизоляции засыпной: керамзитовой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3,688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полов бетонных толщиной: 100 мм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0,1844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цементных толщиной 20 мм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0,1844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покрытий: из линолеума на клее со свариванием полотнищ в стыках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0,1844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плинтусов поливинилхлоридных: на винтах самонарезающих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0,177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55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shd w:fill="auto" w:val="clear"/>
                <w:lang w:eastAsia="ru-RU"/>
              </w:rPr>
              <w:t xml:space="preserve">452033, </w:t>
            </w:r>
            <w:r>
              <w:rPr>
                <w:rFonts w:eastAsia="Times New Roman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 xml:space="preserve">Республика </w:t>
            </w:r>
            <w:r>
              <w:rPr>
                <w:rFonts w:eastAsia="Calibri" w:ascii="Times New Roman" w:hAnsi="Times New Roman" w:eastAsiaTheme="minorHAns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  <w:lang w:eastAsia="ru-RU"/>
              </w:rPr>
              <w:t>Башкортостан, Белебеевский р-н, с Усень-Ивановское, ул. Гагарина, д. 101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548" w:hRule="atLeast"/>
        </w:trPr>
        <w:tc>
          <w:tcPr>
            <w:tcW w:w="73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Раздел 1. Полы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покрытий полов: из линолеума и релина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0,169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покрытий: из линолеума на клее со свариванием полотнищ в стыках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0,169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плинтусов поливинилхлоридных: на винтах самонарезающих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0,1545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Раздел 2. Окна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Снятие подоконных досок: деревянных в каменных зданиях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0,0225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Снятие оконных переплетов: остекленных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0,0279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Демонтаж оконных коробок: в каменных стенах с отбивкой штукатурки в откосах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в жилых и общественных зданиях оконных блоков из ПВХ профилей: поворотных (откидных, поворотно-откидных) с площадью проема более 2 м2 двухстворчатых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0,0279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подоконных досок из ПВХ: в каменных стенах толщиной свыше 0,51 м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0,048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противомоскитных сеток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Облицовка оконных и дверных откосов декоративным бумажно-слоистым пластиком или листами из синтетических материалов на клее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Облицовка: оконных проемов в наружных стенах откосной планкой из оцинкованной стали с полимерным покрытием с устройством водоотлива оконного из оцинкованной стали с полимерным покрытием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8,39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Двери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Снятие наличников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0,306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Снятие дверных полотен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0,0567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Демонтаж дверных коробок: в каменных стенах с отбивкой штукатурки в откосах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блоков в наружных и внутренних дверных проемах: в каменных стенах, площадь проема до 3 м2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0,0567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и крепление наличников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0,306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Установка: в готовые гнезда врезных дверных замков с ручками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штукатурки откосов внутри здания по камню и бетону цементно-известковым раствором: прямолинейных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Стены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Снятие обоев: простых и улучшенных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0,463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Расчистка вручную поверхностей тяг от старых покрасок с лесов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Сплошное выравнивание внутренних поверхностей (однослойное оштукатуривание) из сухих растворных смесей толщиной до 10 мм для последующей окраски или оклейки обоями: стен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0,992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Оклейка обоями стен по монолитной штукатурке и бетону: тиснеными и плотными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0,992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Потолки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потолков: плитно-ячеистых по каркасу из оцинкованного профиля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0,305</w:t>
            </w:r>
          </w:p>
        </w:tc>
        <w:tc>
          <w:tcPr>
            <w:tcW w:w="1140" w:type="dxa"/>
            <w:tcBorders/>
          </w:tcPr>
          <w:p>
            <w:pPr>
              <w:pStyle w:val="Style24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55" w:type="dxa"/>
            <w:tcBorders/>
          </w:tcPr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Электромонтажные работы</w:t>
            </w:r>
          </w:p>
        </w:tc>
        <w:tc>
          <w:tcPr>
            <w:tcW w:w="111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5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Демонтаж кабеля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Демонтаж: выключателей, розеток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Демонтаж: светильников для люминесцентных ламп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Демонтаж: электросчетчиков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ороб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пластмассовы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шириной до 40 мм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ровод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коробах, сечением: до 6 мм2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Прокладка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ровод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группов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защитной оболочке или кабель трех-пятижильный: в пустотах плит перекрытий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озетк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штепсельн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неутопленного типа при открытой проводке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ыключател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одноклавишный неутопленного типа при открытой проводке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ветильник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подвесных потолках, устанавливаемый: на подвесках, количество ламп в светильнике до 2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свс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етильник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потолочный или настенный с креплением винтами или болтами для помещений: с нормальными условиями среды, одноламповый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оробка ответвительн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стене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0" w:type="dxa"/>
            <w:tcBorders/>
          </w:tcPr>
          <w:p>
            <w:pPr>
              <w:pStyle w:val="user4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рибор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аппарат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/>
          </w:tcPr>
          <w:p>
            <w:pPr>
              <w:pStyle w:val="user4"/>
              <w:widowControl w:val="false"/>
              <w:suppressLineNumbers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управления шкафного исполнения или распределительный пункт (шкаф), устанавливаемый: на стене, высота и ширина до 600х600 мм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/>
          </w:tcPr>
          <w:p>
            <w:pPr>
              <w:pStyle w:val="user4"/>
              <w:widowControl w:val="false"/>
              <w:suppressLineNumbers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четчик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устанавливаем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готовом основании: однофазные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/>
          </w:tcPr>
          <w:p>
            <w:pPr>
              <w:pStyle w:val="user4"/>
              <w:widowControl w:val="false"/>
              <w:suppressLineNumbers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3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355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роводник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заземляющ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открыто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строительным основаниям: из круглой стали диаметром 8 мм</w:t>
            </w:r>
          </w:p>
        </w:tc>
        <w:tc>
          <w:tcPr>
            <w:tcW w:w="1110" w:type="dxa"/>
            <w:tcBorders/>
          </w:tcPr>
          <w:p>
            <w:pPr>
              <w:pStyle w:val="Style24"/>
              <w:spacing w:before="0" w:after="200"/>
              <w:ind w:hanging="0" w:left="0" w:righ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  <w:tcBorders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140" w:type="dxa"/>
            <w:tcBorders/>
          </w:tcPr>
          <w:p>
            <w:pPr>
              <w:pStyle w:val="user4"/>
              <w:widowControl w:val="false"/>
              <w:suppressLineNumbers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418" w:right="843" w:gutter="0" w:header="709" w:top="993" w:footer="0" w:bottom="709"/>
      <w:pgNumType w:start="0"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39621416"/>
    </w:sdtPr>
    <w:sdtContent>
      <w:p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ascii="Times New Roman" w:hAnsi="Times New Roman"/>
          </w:rPr>
          <w:instrText xml:space="preserve"> PAGE </w:instrText>
        </w:r>
        <w:r>
          <w:rPr>
            <w:sz w:val="24"/>
            <w:szCs w:val="24"/>
            <w:rFonts w:ascii="Times New Roman" w:hAnsi="Times New Roman"/>
          </w:rPr>
          <w:fldChar w:fldCharType="separate"/>
        </w:r>
        <w:r>
          <w:rPr>
            <w:sz w:val="24"/>
            <w:szCs w:val="24"/>
            <w:rFonts w:ascii="Times New Roman" w:hAnsi="Times New Roman"/>
          </w:rPr>
          <w:t>1</w:t>
        </w:r>
        <w:r>
          <w:rPr>
            <w:sz w:val="24"/>
            <w:szCs w:val="24"/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778" w:hanging="360"/>
      </w:pPr>
      <w:rPr>
        <w:b/>
        <w:bCs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2">
    <w:lvl w:ilvl="0">
      <w:start w:val="1"/>
      <w:numFmt w:val="decimal"/>
      <w:lvlText w:val="6.%1."/>
      <w:lvlJc w:val="left"/>
      <w:pPr>
        <w:tabs>
          <w:tab w:val="num" w:pos="0"/>
        </w:tabs>
        <w:ind w:left="45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2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594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66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738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810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88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954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10260" w:hanging="180"/>
      </w:pPr>
      <w:rPr/>
    </w:lvl>
  </w:abstractNum>
  <w:abstractNum w:abstractNumId="3">
    <w:lvl w:ilvl="0">
      <w:start w:val="1"/>
      <w:numFmt w:val="decimal"/>
      <w:lvlText w:val="6.3.%1."/>
      <w:lvlJc w:val="left"/>
      <w:pPr>
        <w:tabs>
          <w:tab w:val="num" w:pos="0"/>
        </w:tabs>
        <w:ind w:left="1429" w:hanging="360"/>
      </w:pPr>
      <w:rPr>
        <w:u w:val="none" w:color="FFFFFF" w:themeColor="ligh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4"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Calibri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  <w:rFonts w:eastAsia="Calibri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Calibri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eastAsia="Calibri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Calibri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eastAsia="Calibri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Calibri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eastAsia="Calibri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eastAsia="Calibri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71b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uiPriority w:val="99"/>
    <w:semiHidden/>
    <w:qFormat/>
    <w:rsid w:val="009c3085"/>
    <w:rPr>
      <w:rFonts w:ascii="Calibri" w:hAnsi="Calibri" w:eastAsia="Calibri" w:cs="Times New Roman"/>
      <w:sz w:val="20"/>
      <w:szCs w:val="20"/>
    </w:rPr>
  </w:style>
  <w:style w:type="character" w:styleId="Style15">
    <w:name w:val="Символ сноски"/>
    <w:uiPriority w:val="99"/>
    <w:semiHidden/>
    <w:unhideWhenUsed/>
    <w:qFormat/>
    <w:rsid w:val="009c308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af7f44"/>
    <w:rPr>
      <w:sz w:val="16"/>
      <w:szCs w:val="16"/>
    </w:rPr>
  </w:style>
  <w:style w:type="character" w:styleId="Style16" w:customStyle="1">
    <w:name w:val="Текст примечания Знак"/>
    <w:basedOn w:val="DefaultParagraphFont"/>
    <w:uiPriority w:val="99"/>
    <w:qFormat/>
    <w:rsid w:val="00af7f44"/>
    <w:rPr>
      <w:rFonts w:ascii="Calibri" w:hAnsi="Calibri" w:eastAsia="Calibri" w:cs="Times New Roman"/>
      <w:sz w:val="20"/>
      <w:szCs w:val="20"/>
    </w:rPr>
  </w:style>
  <w:style w:type="character" w:styleId="Style17" w:customStyle="1">
    <w:name w:val="Тема примечания Знак"/>
    <w:basedOn w:val="Style16"/>
    <w:link w:val="annotationsubject"/>
    <w:uiPriority w:val="99"/>
    <w:semiHidden/>
    <w:qFormat/>
    <w:rsid w:val="00af7f44"/>
    <w:rPr>
      <w:rFonts w:ascii="Calibri" w:hAnsi="Calibri" w:eastAsia="Calibri" w:cs="Times New Roman"/>
      <w:b/>
      <w:bCs/>
      <w:sz w:val="20"/>
      <w:szCs w:val="20"/>
    </w:rPr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sid w:val="00af7f44"/>
    <w:rPr>
      <w:rFonts w:ascii="Segoe UI" w:hAnsi="Segoe UI" w:eastAsia="Calibr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f6252"/>
    <w:rPr>
      <w:color w:val="0000FF"/>
      <w:u w:val="single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df6252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Style19" w:customStyle="1">
    <w:name w:val="Верхний колонтитул Знак"/>
    <w:basedOn w:val="DefaultParagraphFont"/>
    <w:uiPriority w:val="99"/>
    <w:qFormat/>
    <w:rsid w:val="0038140c"/>
    <w:rPr>
      <w:rFonts w:ascii="Calibri" w:hAnsi="Calibri" w:eastAsia="Calibri" w:cs="Times New Roman"/>
    </w:rPr>
  </w:style>
  <w:style w:type="character" w:styleId="Style20" w:customStyle="1">
    <w:name w:val="Нижний колонтитул Знак"/>
    <w:basedOn w:val="DefaultParagraphFont"/>
    <w:uiPriority w:val="99"/>
    <w:qFormat/>
    <w:rsid w:val="0038140c"/>
    <w:rPr>
      <w:rFonts w:ascii="Calibri" w:hAnsi="Calibri" w:eastAsia="Calibri" w:cs="Times New Roman"/>
    </w:rPr>
  </w:style>
  <w:style w:type="character" w:styleId="Strong">
    <w:name w:val="Strong"/>
    <w:basedOn w:val="DefaultParagraphFont"/>
    <w:uiPriority w:val="22"/>
    <w:qFormat/>
    <w:rsid w:val="00a11047"/>
    <w:rPr>
      <w:b/>
      <w:bCs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sPlusNormal" w:customStyle="1">
    <w:name w:val="ConsPlusNormal"/>
    <w:qFormat/>
    <w:rsid w:val="00933efb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933efb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933efb"/>
    <w:pPr>
      <w:spacing w:lineRule="auto" w:line="240" w:before="0" w:after="0"/>
      <w:ind w:left="720"/>
      <w:contextualSpacing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9c3085"/>
    <w:pPr>
      <w:spacing w:lineRule="auto" w:line="240" w:before="0" w:after="0"/>
    </w:pPr>
    <w:rPr>
      <w:sz w:val="20"/>
      <w:szCs w:val="20"/>
    </w:rPr>
  </w:style>
  <w:style w:type="paragraph" w:styleId="CommentText">
    <w:name w:val="annotation text"/>
    <w:basedOn w:val="Normal"/>
    <w:link w:val="Style16"/>
    <w:uiPriority w:val="99"/>
    <w:unhideWhenUsed/>
    <w:rsid w:val="00af7f4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7"/>
    <w:uiPriority w:val="99"/>
    <w:semiHidden/>
    <w:unhideWhenUsed/>
    <w:qFormat/>
    <w:rsid w:val="00af7f44"/>
    <w:pPr/>
    <w:rPr>
      <w:b/>
      <w:bCs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af7f4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df6252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user2">
    <w:name w:val="Колонтитулы (user)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link w:val="Style19"/>
    <w:uiPriority w:val="99"/>
    <w:unhideWhenUsed/>
    <w:rsid w:val="0038140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20"/>
    <w:uiPriority w:val="99"/>
    <w:unhideWhenUsed/>
    <w:rsid w:val="0038140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d75cc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instroyrf.gov.ru/docs/117294/" TargetMode="External"/><Relationship Id="rId3" Type="http://schemas.openxmlformats.org/officeDocument/2006/relationships/hyperlink" Target="mailto:Bikmurzina.G@russianpost.ru" TargetMode="External"/><Relationship Id="rId4" Type="http://schemas.openxmlformats.org/officeDocument/2006/relationships/hyperlink" Target="mailto:Bikmurzina.G@russianpost.ru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910A-E597-4F0D-BCDD-4CB37C2F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Application>LibreOffice/24.8.7.2$Linux_X86_64 LibreOffice_project/480$Build-2</Application>
  <AppVersion>15.0000</AppVersion>
  <DocSecurity>4</DocSecurity>
  <Pages>15</Pages>
  <Words>3230</Words>
  <Characters>21794</Characters>
  <CharactersWithSpaces>24607</CharactersWithSpaces>
  <Paragraphs>444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2026-07-21T08:23:00Z</dcterms:created>
  <dc:creator>Гайворонская Ирина Анатольевна</dc:creator>
  <dc:description/>
  <dc:language>ru-RU</dc:language>
  <cp:lastModifiedBy/>
  <cp:lastPrinted>2026-05-21T04:04:00Z</cp:lastPrinted>
  <dcterms:modified xsi:type="dcterms:W3CDTF">2026-07-27T09:48:00Z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