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pacing w:lineRule="auto" w:line="240"/>
        <w:ind w:hanging="0" w:left="5069" w:right="40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>
          <w:b/>
        </w:rPr>
      </w:pPr>
      <w:r>
        <w:rPr>
          <w:b/>
        </w:rPr>
        <w:t xml:space="preserve">ТЕХНИЧЕСКИЕ ТРЕБОВАНИЯ </w:t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  <w:t>ОКПД2 49.41.2 Оказание услуг по предоставлению специализированной техники с экипажем для нужд Волжского филиала АО «Гидроремонт-ВКК»</w:t>
      </w:r>
    </w:p>
    <w:p>
      <w:pPr>
        <w:pStyle w:val="19"/>
        <w:shd w:val="clear" w:fill="auto"/>
        <w:spacing w:lineRule="exact" w:line="331" w:before="0" w:after="263"/>
        <w:ind w:hanging="0" w:left="60" w:right="0"/>
        <w:jc w:val="center"/>
        <w:rPr/>
      </w:pPr>
      <w:r>
        <w:rPr/>
        <w:t>лот № 0063-РЕМ ДОХ-2026-ГРВКК-ВолФ-Стор</w:t>
      </w:r>
      <w:r>
        <w:br w:type="page"/>
      </w:r>
    </w:p>
    <w:p>
      <w:pPr>
        <w:pStyle w:val="Heading1"/>
        <w:numPr>
          <w:ilvl w:val="0"/>
          <w:numId w:val="3"/>
        </w:numPr>
        <w:ind w:hanging="360" w:left="3402" w:right="0"/>
        <w:rPr>
          <w:b/>
          <w:bCs/>
        </w:rPr>
      </w:pPr>
      <w:bookmarkStart w:id="0" w:name="_Toc54643694"/>
      <w:r>
        <w:rPr>
          <w:b/>
          <w:bCs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ind w:hanging="432" w:left="567" w:right="0"/>
        <w:rPr>
          <w:b/>
          <w:bCs/>
        </w:rPr>
      </w:pPr>
      <w:bookmarkStart w:id="1" w:name="_Toc54643695"/>
      <w:bookmarkStart w:id="2" w:name="_Toc46743505"/>
      <w:r>
        <w:rPr>
          <w:b/>
          <w:bCs/>
        </w:rPr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7379"/>
      </w:tblGrid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Волжская ГЭС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Филиала ПАО «РусГидро» – «Волжская ГЭС».</w:t>
            </w:r>
          </w:p>
        </w:tc>
      </w:tr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Волжский филиал АО «Гидроремонт-ВКК» в г. Волжский</w:t>
            </w:r>
          </w:p>
        </w:tc>
      </w:tr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9"/>
              <w:widowControl w:val="false"/>
              <w:shd w:val="clear" w:fill="auto"/>
              <w:spacing w:lineRule="auto" w:line="24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 на оказание услуг по предоставлению автотранспорта и спецтехники с экипажем для нужд Волжского филиала АО "Гидроремонт-ВКК" в г. Волжский</w:t>
            </w:r>
          </w:p>
        </w:tc>
      </w:tr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АО «Гидроремонт-ВКК»</w:t>
            </w:r>
          </w:p>
        </w:tc>
      </w:tr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Вышка АГП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Вышка автогидроподъемника</w:t>
            </w:r>
          </w:p>
        </w:tc>
      </w:tr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ТПО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Твердые производственные отходы</w:t>
            </w:r>
          </w:p>
        </w:tc>
      </w:tr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ПС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Подъемные сооружения</w:t>
            </w:r>
          </w:p>
        </w:tc>
      </w:tr>
      <w:tr>
        <w:trPr>
          <w:cantSplit w:val="true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ТС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432" w:left="567" w:right="0"/>
        <w:rPr>
          <w:rFonts w:ascii="Times New Roman" w:hAnsi="Times New Roman"/>
          <w:b/>
          <w:bCs/>
          <w:sz w:val="24"/>
          <w:szCs w:val="24"/>
        </w:rPr>
      </w:pPr>
      <w:bookmarkStart w:id="3" w:name="_Toc54643696"/>
      <w:bookmarkStart w:id="4" w:name="_Toc46743506"/>
      <w:r>
        <w:rPr>
          <w:b/>
          <w:bCs/>
          <w:sz w:val="24"/>
          <w:szCs w:val="24"/>
        </w:rPr>
        <w:t>Наименование закупаемой продукции</w:t>
      </w:r>
      <w:bookmarkEnd w:id="3"/>
      <w:bookmarkEnd w:id="4"/>
      <w:r>
        <w:rPr>
          <w:b/>
          <w:bCs/>
          <w:sz w:val="24"/>
          <w:szCs w:val="24"/>
          <w:lang w:val="ru-RU"/>
        </w:rPr>
        <w:t>.</w:t>
      </w:r>
    </w:p>
    <w:p>
      <w:pPr>
        <w:pStyle w:val="Normal"/>
        <w:widowControl w:val="false"/>
        <w:tabs>
          <w:tab w:val="clear" w:pos="708"/>
          <w:tab w:val="left" w:pos="426" w:leader="none"/>
          <w:tab w:val="left" w:pos="709" w:leader="none"/>
        </w:tabs>
        <w:spacing w:before="120" w:after="120"/>
        <w:ind w:hanging="6" w:left="0" w:right="0"/>
        <w:jc w:val="both"/>
        <w:rPr>
          <w:rFonts w:ascii="Times New Roman" w:hAnsi="Times New Roman" w:eastAsia="Calibri"/>
          <w:i w:val="false"/>
          <w:i w:val="false"/>
          <w:iCs w:val="false"/>
          <w:sz w:val="24"/>
          <w:szCs w:val="24"/>
          <w:lang w:eastAsia="x-none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  <w:t>ОКПД2 49.41.2 Оказание услуг по предоставлению специализированной техники с экипажем для нужд Волжского филиала</w:t>
      </w:r>
      <w:bookmarkStart w:id="5" w:name="_Toc46743507"/>
    </w:p>
    <w:p>
      <w:pPr>
        <w:pStyle w:val="Heading4"/>
        <w:numPr>
          <w:ilvl w:val="1"/>
          <w:numId w:val="3"/>
        </w:numPr>
        <w:ind w:hanging="432" w:left="567" w:right="0"/>
        <w:rPr>
          <w:rFonts w:ascii="Times New Roman" w:hAnsi="Times New Roman"/>
          <w:b/>
          <w:bCs/>
          <w:sz w:val="24"/>
          <w:szCs w:val="24"/>
        </w:rPr>
      </w:pPr>
      <w:bookmarkStart w:id="6" w:name="_Toc54643697"/>
      <w:r>
        <w:rPr>
          <w:b/>
          <w:bCs/>
          <w:sz w:val="24"/>
          <w:szCs w:val="24"/>
        </w:rPr>
        <w:t xml:space="preserve">Цель </w:t>
      </w:r>
      <w:bookmarkEnd w:id="5"/>
      <w:r>
        <w:rPr>
          <w:b/>
          <w:bCs/>
          <w:sz w:val="24"/>
          <w:szCs w:val="24"/>
        </w:rPr>
        <w:t>оказания услуг</w:t>
      </w:r>
      <w:r>
        <w:rPr>
          <w:b/>
          <w:bCs/>
          <w:sz w:val="24"/>
          <w:szCs w:val="24"/>
          <w:lang w:val="ru-RU"/>
        </w:rPr>
        <w:t>.</w:t>
      </w:r>
      <w:r>
        <w:rPr>
          <w:b/>
          <w:bCs/>
          <w:sz w:val="24"/>
          <w:szCs w:val="24"/>
        </w:rPr>
        <w:t xml:space="preserve"> </w:t>
      </w:r>
      <w:bookmarkEnd w:id="6"/>
    </w:p>
    <w:p>
      <w:pPr>
        <w:pStyle w:val="BodyText"/>
        <w:tabs>
          <w:tab w:val="clear" w:pos="708"/>
          <w:tab w:val="left" w:pos="142" w:leader="none"/>
          <w:tab w:val="left" w:pos="426" w:leader="none"/>
          <w:tab w:val="left" w:pos="8789" w:leader="none"/>
        </w:tabs>
        <w:spacing w:before="0" w:after="0"/>
        <w:ind w:hanging="6" w:left="0" w:right="0"/>
        <w:jc w:val="both"/>
        <w:rPr>
          <w:rFonts w:ascii="Times New Roman" w:hAnsi="Times New Roman"/>
          <w:sz w:val="24"/>
          <w:szCs w:val="24"/>
        </w:rPr>
      </w:pPr>
      <w:r>
        <w:rPr>
          <w:bCs/>
          <w:sz w:val="24"/>
          <w:szCs w:val="24"/>
        </w:rPr>
        <w:t xml:space="preserve">1.3.1. </w:t>
      </w:r>
      <w:bookmarkStart w:id="7" w:name="_Toc46743508"/>
      <w:bookmarkStart w:id="8" w:name="_Toc54643698"/>
      <w:r>
        <w:rPr>
          <w:bCs/>
          <w:sz w:val="24"/>
          <w:szCs w:val="24"/>
        </w:rPr>
        <w:t xml:space="preserve">Целью является обеспечение Волжского филиала АО «Гидроремонт-ВКК» в г. Волжский </w:t>
      </w:r>
      <w:r>
        <w:rPr>
          <w:bCs/>
          <w:color w:val="000000"/>
          <w:sz w:val="24"/>
          <w:szCs w:val="24"/>
        </w:rPr>
        <w:t xml:space="preserve">автотранспортом и </w:t>
      </w:r>
      <w:r>
        <w:rPr>
          <w:color w:val="000000"/>
          <w:sz w:val="24"/>
          <w:szCs w:val="24"/>
        </w:rPr>
        <w:t>спецтехникой с экипажем для выполнения работ на Волжской ГЭС по следующим договору №</w:t>
      </w:r>
      <w:r>
        <w:rPr>
          <w:color w:val="000000"/>
          <w:sz w:val="24"/>
          <w:szCs w:val="24"/>
          <w:shd w:fill="auto" w:val="clear"/>
        </w:rPr>
        <w:t>1050-237-2023/1-Рем-2023-ВолГЭС от 03.11.2023 «</w:t>
      </w:r>
      <w:r>
        <w:rPr>
          <w:sz w:val="24"/>
          <w:szCs w:val="24"/>
          <w:shd w:fill="auto" w:val="clear"/>
        </w:rPr>
        <w:t>Капитальный и текущий ремонт оборудования, зданий и сооружений Волжской ГЭС», заключенный между филиалом ПАО «РусГидро» - «Волжская ГЭС» и АО «Гидроремонт-ВКК»</w:t>
      </w:r>
    </w:p>
    <w:p>
      <w:pPr>
        <w:pStyle w:val="BodyText"/>
        <w:tabs>
          <w:tab w:val="clear" w:pos="708"/>
          <w:tab w:val="left" w:pos="142" w:leader="none"/>
          <w:tab w:val="left" w:pos="426" w:leader="none"/>
          <w:tab w:val="left" w:pos="8789" w:leader="none"/>
        </w:tabs>
        <w:spacing w:before="0" w:after="0"/>
        <w:ind w:hanging="6" w:left="0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32" w:left="567" w:right="0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Существующее положение</w:t>
      </w:r>
      <w:bookmarkStart w:id="9" w:name="_Toc54643699"/>
      <w:bookmarkEnd w:id="7"/>
      <w:bookmarkEnd w:id="8"/>
      <w:r>
        <w:rPr>
          <w:b/>
          <w:bCs/>
          <w:sz w:val="24"/>
          <w:szCs w:val="24"/>
          <w:lang w:val="ru-RU"/>
        </w:rPr>
        <w:t>.</w:t>
      </w:r>
    </w:p>
    <w:p>
      <w:pPr>
        <w:pStyle w:val="Heading3"/>
        <w:numPr>
          <w:ilvl w:val="2"/>
          <w:numId w:val="3"/>
        </w:numPr>
        <w:ind w:hanging="504" w:left="567" w:righ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Заказчик</w:t>
      </w:r>
      <w:r>
        <w:rPr>
          <w:sz w:val="24"/>
          <w:szCs w:val="24"/>
          <w:lang w:val="ru-RU"/>
        </w:rPr>
        <w:t>.</w:t>
      </w:r>
    </w:p>
    <w:p>
      <w:pPr>
        <w:pStyle w:val="Normal"/>
        <w:ind w:hanging="567" w:left="567"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АО «Гидроремонт-ВКК», Волжский филиал АО «Гидроремонт-ВКК» в г. Волжский.</w:t>
      </w:r>
    </w:p>
    <w:p>
      <w:pPr>
        <w:pStyle w:val="Normal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Адрес филиала: </w:t>
      </w:r>
      <w:r>
        <w:rPr>
          <w:sz w:val="24"/>
          <w:szCs w:val="24"/>
        </w:rPr>
        <w:t>404130, Волгоградская обл., г. Волжский, пр-т Ленина 1А</w:t>
      </w:r>
    </w:p>
    <w:p>
      <w:pPr>
        <w:pStyle w:val="Heading1"/>
        <w:numPr>
          <w:ilvl w:val="0"/>
          <w:numId w:val="0"/>
        </w:numPr>
        <w:ind w:hanging="0" w:left="284" w:right="0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1. Перечень объектов заказчика</w:t>
      </w:r>
      <w:bookmarkEnd w:id="9"/>
      <w:r>
        <w:rPr>
          <w:b/>
          <w:bCs/>
          <w:sz w:val="24"/>
          <w:szCs w:val="24"/>
        </w:rPr>
        <w:t>.</w:t>
      </w:r>
    </w:p>
    <w:tbl>
      <w:tblPr>
        <w:tblW w:w="963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874"/>
        <w:gridCol w:w="2837"/>
        <w:gridCol w:w="3118"/>
        <w:gridCol w:w="992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ind w:hanging="6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ind w:hanging="6" w:left="284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 w:left="284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Расположение объекта </w:t>
            </w:r>
            <w:r>
              <w:rPr>
                <w:i/>
                <w:iCs/>
                <w:color w:val="000000"/>
                <w:sz w:val="24"/>
                <w:szCs w:val="24"/>
              </w:rPr>
              <w:t>(место оказания услуг)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 w:left="284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 w:left="35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Примечания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ind w:hanging="6" w:left="284" w:right="0"/>
              <w:rPr>
                <w:rFonts w:ascii="Times New Roman" w:hAnsi="Times New Roman"/>
                <w:i/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 w:left="-73" w:right="0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Предоставление автотранспорта и спецтехники с экипажем (круглосуточно)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 w:left="0" w:right="0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Волгоградская область и территория Филиала ПАО «РусГидро» – «Волжская ГЭС». Российская Федерация, Волгоградская область, г. Волжский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 w:left="0" w:right="0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Перемещение (горизонтальное и вертикальное) материалов, оборудования и ТПО АО «Гидроремонт – ВКК» и ПАО «РусГидро»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 w:left="284" w:right="0"/>
              <w:jc w:val="center"/>
              <w:rPr>
                <w:rFonts w:ascii="Times New Roman" w:hAnsi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hanging="360" w:left="426" w:right="0"/>
        <w:rPr/>
      </w:pPr>
      <w:bookmarkStart w:id="10" w:name="_Toc54643702"/>
      <w:bookmarkStart w:id="11" w:name="_Toc51339693"/>
      <w:bookmarkStart w:id="12" w:name="_Toc50125126"/>
      <w:bookmarkEnd w:id="12"/>
      <w:r>
        <w:rPr>
          <w:b/>
          <w:bCs/>
          <w:sz w:val="24"/>
          <w:szCs w:val="24"/>
          <w:lang w:val="ru-RU"/>
        </w:rPr>
        <w:t>Требования</w:t>
      </w:r>
      <w:r>
        <w:rPr>
          <w:b/>
          <w:bCs/>
          <w:sz w:val="24"/>
          <w:szCs w:val="24"/>
        </w:rPr>
        <w:t xml:space="preserve">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ind w:hanging="432" w:left="567" w:right="0"/>
        <w:rPr>
          <w:rFonts w:ascii="Times New Roman" w:hAnsi="Times New Roman"/>
          <w:b/>
          <w:bCs/>
          <w:sz w:val="24"/>
          <w:szCs w:val="24"/>
        </w:rPr>
      </w:pPr>
      <w:bookmarkStart w:id="13" w:name="_Toc54643703"/>
      <w:r>
        <w:rPr>
          <w:b/>
          <w:bCs/>
          <w:sz w:val="24"/>
          <w:szCs w:val="24"/>
        </w:rPr>
        <w:t xml:space="preserve">Требования к объемам и срокам </w:t>
      </w:r>
      <w:r>
        <w:rPr>
          <w:b/>
          <w:bCs/>
          <w:sz w:val="24"/>
          <w:szCs w:val="24"/>
          <w:lang w:val="ru-RU"/>
        </w:rPr>
        <w:t>оказания услуг</w:t>
      </w:r>
      <w:bookmarkEnd w:id="13"/>
    </w:p>
    <w:p>
      <w:pPr>
        <w:pStyle w:val="Heading3"/>
        <w:numPr>
          <w:ilvl w:val="2"/>
          <w:numId w:val="3"/>
        </w:numPr>
        <w:ind w:hanging="504" w:left="567" w:right="0"/>
        <w:rPr>
          <w:rFonts w:ascii="Times New Roman" w:hAnsi="Times New Roman"/>
          <w:b/>
          <w:bCs/>
          <w:sz w:val="24"/>
          <w:szCs w:val="24"/>
        </w:rPr>
      </w:pPr>
      <w:bookmarkStart w:id="14" w:name="_Toc54643704"/>
      <w:r>
        <w:rPr>
          <w:b/>
          <w:bCs/>
          <w:sz w:val="24"/>
          <w:szCs w:val="24"/>
        </w:rPr>
        <w:t>Требования к перечню и объему услуг</w:t>
      </w:r>
      <w:bookmarkEnd w:id="14"/>
    </w:p>
    <w:p>
      <w:pPr>
        <w:pStyle w:val="Heading1"/>
        <w:numPr>
          <w:ilvl w:val="0"/>
          <w:numId w:val="0"/>
        </w:numPr>
        <w:ind w:hanging="0" w:left="426" w:right="0"/>
        <w:rPr>
          <w:rFonts w:ascii="Times New Roman" w:hAnsi="Times New Roman"/>
          <w:b/>
          <w:bCs/>
          <w:sz w:val="24"/>
          <w:szCs w:val="24"/>
        </w:rPr>
      </w:pPr>
      <w:bookmarkStart w:id="15" w:name="_Toc54643705"/>
      <w:bookmarkStart w:id="16" w:name="_Toc51339695"/>
      <w:r>
        <w:rPr>
          <w:b/>
          <w:bCs/>
          <w:sz w:val="24"/>
          <w:szCs w:val="24"/>
        </w:rPr>
        <w:t xml:space="preserve">Таблица 2. Перечень </w:t>
      </w:r>
      <w:bookmarkEnd w:id="16"/>
      <w:r>
        <w:rPr>
          <w:b/>
          <w:bCs/>
          <w:sz w:val="24"/>
          <w:szCs w:val="24"/>
        </w:rPr>
        <w:t>и объем оказываемых услуг</w:t>
      </w:r>
      <w:bookmarkEnd w:id="15"/>
    </w:p>
    <w:tbl>
      <w:tblPr>
        <w:tblW w:w="963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6127"/>
        <w:gridCol w:w="1417"/>
        <w:gridCol w:w="1237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ind w:hanging="360" w:left="36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Автокран, </w:t>
            </w:r>
            <w:r>
              <w:rPr>
                <w:i w:val="false"/>
                <w:iCs w:val="false"/>
                <w:color w:val="000000"/>
                <w:sz w:val="24"/>
                <w:szCs w:val="24"/>
              </w:rPr>
              <w:t>грузоподъемность не менее 20т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м/час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100*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ind w:hanging="360" w:left="36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Автогидроподъемник</w:t>
            </w:r>
            <w:r>
              <w:rPr>
                <w:i w:val="false"/>
                <w:iCs w:val="false"/>
                <w:sz w:val="24"/>
                <w:szCs w:val="24"/>
              </w:rPr>
              <w:t>, высота подъема до 18м, гп до 300кг, поворот стрелы 360°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м/час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121*</w:t>
            </w:r>
          </w:p>
        </w:tc>
      </w:tr>
      <w:tr>
        <w:trPr/>
        <w:tc>
          <w:tcPr>
            <w:tcW w:w="96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*Заказчик планирует использовать (применять) технику в соответствии с номенклатурой (согласно табл.2. настоящих Технических требований) и продолжительностью применения, указанных в подаваемых заявках Заказчика. При этом Заказчик оставляет за собой право исполнить договор не в полном объёме и не применять какую-либо единицу техники в соответствии с номенклатурой (согласно табл.2.) в случае отсутствия необходимости. </w:t>
            </w:r>
          </w:p>
        </w:tc>
      </w:tr>
    </w:tbl>
    <w:p>
      <w:pPr>
        <w:pStyle w:val="Heading3"/>
        <w:numPr>
          <w:ilvl w:val="0"/>
          <w:numId w:val="0"/>
        </w:numPr>
        <w:ind w:hanging="0" w:left="0" w:right="0"/>
        <w:rPr>
          <w:rFonts w:ascii="Times New Roman" w:hAnsi="Times New Roman"/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  <w:bookmarkStart w:id="17" w:name="_GoBack"/>
      <w:bookmarkStart w:id="18" w:name="_GoBack"/>
      <w:bookmarkEnd w:id="18"/>
    </w:p>
    <w:p>
      <w:pPr>
        <w:pStyle w:val="Heading3"/>
        <w:numPr>
          <w:ilvl w:val="2"/>
          <w:numId w:val="3"/>
        </w:numPr>
        <w:ind w:hanging="504" w:left="567" w:right="0"/>
        <w:rPr>
          <w:rFonts w:ascii="Times New Roman" w:hAnsi="Times New Roman"/>
          <w:b/>
          <w:bCs/>
          <w:sz w:val="24"/>
          <w:szCs w:val="24"/>
        </w:rPr>
      </w:pPr>
      <w:bookmarkStart w:id="19" w:name="_Toc51339696"/>
      <w:r>
        <w:rPr>
          <w:b/>
          <w:bCs/>
          <w:sz w:val="24"/>
          <w:szCs w:val="24"/>
        </w:rPr>
        <w:t xml:space="preserve">Требования </w:t>
      </w:r>
      <w:bookmarkEnd w:id="19"/>
      <w:r>
        <w:rPr>
          <w:b/>
          <w:bCs/>
          <w:sz w:val="24"/>
          <w:szCs w:val="24"/>
        </w:rPr>
        <w:t>к срокам оказания услуг</w:t>
      </w:r>
    </w:p>
    <w:p>
      <w:pPr>
        <w:pStyle w:val="Heading1"/>
        <w:numPr>
          <w:ilvl w:val="0"/>
          <w:numId w:val="0"/>
        </w:numPr>
        <w:ind w:hanging="0" w:left="426" w:right="0"/>
        <w:rPr>
          <w:rFonts w:ascii="Times New Roman" w:hAnsi="Times New Roman"/>
          <w:b/>
          <w:bCs/>
          <w:sz w:val="24"/>
          <w:szCs w:val="24"/>
        </w:rPr>
      </w:pPr>
      <w:bookmarkStart w:id="20" w:name="_Toc54643707"/>
      <w:bookmarkStart w:id="21" w:name="_Toc50125127"/>
      <w:bookmarkStart w:id="22" w:name="_Toc51339697"/>
      <w:bookmarkStart w:id="23" w:name="_Toc50125126_Копия_1"/>
      <w:bookmarkEnd w:id="23"/>
      <w:r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</w:rPr>
        <w:t xml:space="preserve">. </w:t>
      </w:r>
      <w:bookmarkStart w:id="24" w:name="_Hlk50465284"/>
      <w:r>
        <w:rPr>
          <w:b/>
          <w:bCs/>
          <w:sz w:val="24"/>
          <w:szCs w:val="24"/>
        </w:rPr>
        <w:t xml:space="preserve">Требования </w:t>
      </w:r>
      <w:r>
        <w:rPr>
          <w:b/>
          <w:bCs/>
          <w:sz w:val="24"/>
          <w:szCs w:val="24"/>
          <w:lang w:val="ru-RU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21"/>
      <w:bookmarkEnd w:id="22"/>
      <w:bookmarkEnd w:id="24"/>
      <w:r>
        <w:rPr>
          <w:b/>
          <w:bCs/>
          <w:sz w:val="24"/>
          <w:szCs w:val="24"/>
          <w:lang w:val="ru-RU"/>
        </w:rPr>
        <w:t>оказания услуг</w:t>
      </w:r>
      <w:bookmarkEnd w:id="20"/>
    </w:p>
    <w:tbl>
      <w:tblPr>
        <w:tblW w:w="9633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4679"/>
        <w:gridCol w:w="1982"/>
        <w:gridCol w:w="212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ind w:hanging="360" w:left="36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49.41.2 Оказание услуг по предоставлению специализированной техники с экипажем для нужд Волжского филиала АО «Гидроремонт-ВКК»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 заключения договора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31.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г.*</w:t>
            </w:r>
          </w:p>
        </w:tc>
      </w:tr>
      <w:tr>
        <w:trPr/>
        <w:tc>
          <w:tcPr>
            <w:tcW w:w="963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*Срок установлен в соответствии с условиями договора, указанного в п.1.3 технических требований.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849" w:gutter="0" w:header="680" w:top="1134" w:footer="737" w:bottom="794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1"/>
        <w:numPr>
          <w:ilvl w:val="0"/>
          <w:numId w:val="0"/>
        </w:numPr>
        <w:ind w:hanging="0" w:left="0" w:right="0"/>
        <w:rPr>
          <w:rFonts w:ascii="Times New Roman" w:hAnsi="Times New Roman"/>
          <w:b/>
          <w:bCs/>
          <w:sz w:val="24"/>
          <w:szCs w:val="24"/>
        </w:rPr>
      </w:pPr>
      <w:bookmarkStart w:id="25" w:name="_Toc54643709"/>
      <w:bookmarkStart w:id="26" w:name="_Toc51339698"/>
      <w:r>
        <w:rPr>
          <w:b/>
          <w:bCs/>
          <w:sz w:val="24"/>
          <w:szCs w:val="24"/>
        </w:rPr>
        <w:t>Таблица </w:t>
      </w:r>
      <w:r>
        <w:rPr>
          <w:b/>
          <w:bCs/>
          <w:sz w:val="24"/>
          <w:szCs w:val="24"/>
          <w:lang w:val="ru-RU"/>
        </w:rPr>
        <w:t>4</w:t>
      </w:r>
      <w:r>
        <w:rPr>
          <w:b/>
          <w:bCs/>
          <w:sz w:val="24"/>
          <w:szCs w:val="24"/>
        </w:rPr>
        <w:t xml:space="preserve">. Требования к </w:t>
      </w:r>
      <w:bookmarkEnd w:id="26"/>
      <w:r>
        <w:rPr>
          <w:b/>
          <w:bCs/>
          <w:sz w:val="24"/>
          <w:szCs w:val="24"/>
          <w:lang w:val="ru-RU"/>
        </w:rPr>
        <w:t>качеству услуг</w:t>
      </w:r>
      <w:bookmarkEnd w:id="25"/>
      <w:r>
        <w:rPr>
          <w:b/>
          <w:bCs/>
          <w:sz w:val="24"/>
          <w:szCs w:val="24"/>
        </w:rPr>
        <w:t xml:space="preserve"> </w:t>
      </w:r>
    </w:p>
    <w:tbl>
      <w:tblPr>
        <w:tblW w:w="1006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373"/>
        <w:gridCol w:w="6841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bookmarkStart w:id="2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7"/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ind w:hanging="360" w:left="36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hanging="1199" w:left="1224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предоставляемой спецтехнике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/>
              <w:tabs>
                <w:tab w:val="clear" w:pos="708"/>
                <w:tab w:val="left" w:pos="0" w:leader="none"/>
                <w:tab w:val="left" w:pos="426" w:leader="none"/>
                <w:tab w:val="left" w:pos="709" w:leader="none"/>
                <w:tab w:val="left" w:pos="851" w:leader="none"/>
              </w:tabs>
              <w:spacing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должен иметь спецтехнику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 на оказание услуг по предмету закупки.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Наличие у Исполнителя документации согласно экологическому законодательству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должен иметь разработанную документацию согласно экологического законодательства (Федеральный закон "Об отходах производства и потребления" от 24.06.1998 N 89-ФЗ в действующей редакции; Федеральный Закон «Об охране окружающей среды» от 10.01.2002 г. № 7-ФЗ в действующей редакции; Федеральный Закон «Об охране атмосферного воздуха» от 04.05.1999 г. №96-ФЗ в действующей редакции)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 в части оказания услуг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/>
              <w:spacing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Исполнитель несет ответственность за качество, работоспособность, функциональные свойства и технические характеристики грузоподъемной техники и средств малой механизации, используемой для оказания услуг в соответствии с настоящими техническими требованиями и действующих нормативных актов РФ, сроков исполнения, в полном объеме, с надлежащим качеством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60" w:after="60"/>
              <w:ind w:hanging="0" w:left="-117" w:right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ТС и ПС законодательству РФ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законодательство РФ при эксплуатации, обслуживании и предоставлении транспортных средств и ПС предоставляемых Заказчику.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60" w:after="60"/>
              <w:ind w:hanging="0" w:left="-117" w:right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1.4.1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квалификационных документов у персонала  Исполнителя обслуживающего подъемные сооружения (автокраны, вышка АГП, манипуляторы и т.д.).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Исполнитель, предоставляющий подъемные сооружения (автокраны, вышка АГП, манипуляторы и т.д.), должен иметь персонал (в том числе и ответственных лиц) соответствующий Приказу Ростехнадзора от 26 ноября 2020 года N 461 " 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1.4.2.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квалификационных документов у обслуживающего ТС и ПС персонала Исполнителя, при выполнении работ в электроустановках (ОРУ, освещение, охранная зона ВЛ и т.п.)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pacing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При использовании техники (автокран, вышка АГП, кран-манипулятор и т.д.) в электроустановках (ОРУ, освещение, охранная зона ВЛ и т.п.) у водителей (или машинистов и т.п.) необходимо наличие удостоверения по электробезопасности не ниже второй группы согласно Приказа Минтруда России от 15.12.2020 N 903н "Об утверждении Правил по охране труда при эксплуатации электроустановок"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1.4.3.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Cs/>
                <w:kern w:val="0"/>
                <w:sz w:val="24"/>
                <w:szCs w:val="24"/>
                <w:lang w:val="ru-RU" w:eastAsia="ru-RU" w:bidi="ar-SA"/>
              </w:rPr>
              <w:t>Лица, управляющие техникой, должны иметь действующие квалификационные удостоверения на работу с техникой в действующих электроустановках и водительское удостоверение с разрешенной категорией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ind w:hanging="360" w:left="36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ind w:hanging="1199" w:left="1224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соблюдению Исполнителя технологической, производственной и трудовой дисциплин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требования технологической, производственной и трудовой дисциплины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ind w:hanging="360" w:left="36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4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337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Соответствие ПС законодательству РФ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Подъемные сооружения (автокраны, вышка АГП, манипуляторы и т.д.), предоставляемые исполнителем должны соответствовать Приказу Ростехнадзора от 26 ноября 2020 года N 461 " 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3.2.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ТС законодательству РФ</w:t>
            </w:r>
          </w:p>
        </w:tc>
        <w:tc>
          <w:tcPr>
            <w:tcW w:w="6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соблюдать законодательство РФ при эксплуатации, обслуживании и предоставлении транспортных средств предоставляемых Заказчику.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ind w:hanging="360" w:left="36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20" w:after="0"/>
              <w:jc w:val="both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нести все расходы, связанные с эксплуатацией спецтехники, включая, но не ограничиваясь расходы на заработную плату членам экипажей, оплату топлива, горюче-смазочных материалов и эксплуатационных жидкостей, оплату ремонта и запасных частей для спецтехники, оплату стоимости налоговых пошлин, страховых сборов, оплату штрафов, и иных расходов, возникающих в связи с эксплуатацией спецтехники.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4.2.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/>
              <w:tabs>
                <w:tab w:val="clear" w:pos="708"/>
                <w:tab w:val="left" w:pos="426" w:leader="none"/>
                <w:tab w:val="left" w:pos="567" w:leader="none"/>
              </w:tabs>
              <w:spacing w:before="0" w:after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Предоставляемая техника должна находиться в технически исправном состоянии с заправкой ГСМ и необходимой документацией (в т.ч. путевым листом), укомплектованная необходимыми вспомогательными средствами: огнетушителем, аварийным знаком, аптечкой со </w:t>
            </w: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средствами первой доврачебной помощи</w:t>
            </w:r>
            <w:r>
              <w:rPr>
                <w:rFonts w:cs="Times New Roman"/>
                <w:bCs/>
                <w:kern w:val="0"/>
                <w:sz w:val="24"/>
                <w:szCs w:val="24"/>
                <w:lang w:val="ru-RU" w:eastAsia="ru-RU" w:bidi="ar-SA"/>
              </w:rPr>
              <w:t>, в соответствии с согласованными Сторонами в Заявке временем и местом подачи. Исполнитель несет ответственность за техническое состояние техники. Исполнитель должен обеспечить соблюдение водителями (машинистами) правил и инструкций по охране труда, безопасности дорожного движения, пожарной и электробезопасности во время оказания услуг. Исполнитель несет ответственность за соблюдение действующих норм и правил при работе с ГПМ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ind w:hanging="360" w:left="36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pacing w:before="60" w:after="60"/>
              <w:ind w:hanging="0" w:left="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5.1.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обязан при невозможности предоставления спецтехники, согласованной в Заявке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подменную спецтехнику с аналогичными техническими характеристиками, соответствующими условиям Договора и на условиях, согласованных в Заявках. Время простоя, по причине неисправной техники, не оплачивается.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ind w:hanging="360" w:left="360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Прочие требования к оказанию услуг 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 w:right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Планируемое к использованию количество машино-часов, указывается в подаваемых Заказчиком заявках на оказание услуг. Минимальная продолжительность заявки –  4 часа. Стоимость 1 машино-часа является фиксированной и постоянной на протяжении всего срока действия договора.</w:t>
            </w:r>
          </w:p>
        </w:tc>
      </w:tr>
    </w:tbl>
    <w:p>
      <w:pPr>
        <w:pStyle w:val="Normal"/>
        <w:rPr>
          <w:rFonts w:ascii="Times New Roman" w:hAnsi="Times New Roman" w:eastAsia="Calibri"/>
          <w:b/>
          <w:iCs/>
          <w:caps/>
          <w:sz w:val="24"/>
          <w:szCs w:val="24"/>
          <w:lang w:val="x-none" w:eastAsia="x-none"/>
        </w:rPr>
      </w:pPr>
      <w:r>
        <w:rPr>
          <w:rFonts w:eastAsia="Calibri"/>
          <w:b/>
          <w:iCs/>
          <w:caps/>
          <w:sz w:val="24"/>
          <w:szCs w:val="24"/>
          <w:lang w:val="x-none" w:eastAsia="x-none"/>
        </w:rPr>
      </w:r>
      <w:bookmarkStart w:id="28" w:name="_Toc51339699"/>
      <w:bookmarkStart w:id="29" w:name="_Toc46743519"/>
      <w:bookmarkStart w:id="30" w:name="_Toc51339699"/>
      <w:bookmarkStart w:id="31" w:name="_Toc46743519"/>
      <w:bookmarkEnd w:id="30"/>
      <w:bookmarkEnd w:id="31"/>
    </w:p>
    <w:p>
      <w:pPr>
        <w:pStyle w:val="Normal"/>
        <w:rPr/>
      </w:pPr>
      <w:r>
        <w:rPr/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w="11906" w:h="16838"/>
      <w:pgMar w:left="1134" w:right="851" w:gutter="0" w:header="680" w:top="1134" w:footer="737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1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3"/>
      </w:numPr>
      <w:tabs>
        <w:tab w:val="clear" w:pos="708"/>
        <w:tab w:val="left" w:pos="851" w:leader="none"/>
        <w:tab w:val="left" w:pos="993" w:leader="none"/>
      </w:tabs>
      <w:spacing w:before="120" w:after="60"/>
      <w:ind w:hanging="0" w:left="567" w:right="0"/>
      <w:jc w:val="both"/>
      <w:outlineLvl w:val="2"/>
    </w:pPr>
    <w:rPr>
      <w:rFonts w:eastAsia="Calibri"/>
      <w:b w:val="false"/>
      <w:bCs w:val="false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4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5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8"/>
    <w:qFormat/>
    <w:rPr>
      <w:rFonts w:eastAsia="Calibri"/>
      <w:caps/>
      <w:sz w:val="28"/>
      <w:szCs w:val="28"/>
      <w:lang w:eastAsia="en-US"/>
    </w:rPr>
  </w:style>
  <w:style w:type="character" w:styleId="Style14">
    <w:name w:val="Основной текст_"/>
    <w:link w:val="19"/>
    <w:qFormat/>
    <w:rPr>
      <w:sz w:val="28"/>
      <w:szCs w:val="28"/>
      <w:shd w:fill="FFFFFF" w:val="clear"/>
    </w:rPr>
  </w:style>
  <w:style w:type="character" w:styleId="Style15">
    <w:name w:val="Нижний колонтитул Знак"/>
    <w:basedOn w:val="DefaultParagraphFont"/>
    <w:qFormat/>
    <w:rPr>
      <w:sz w:val="28"/>
      <w:szCs w:val="28"/>
    </w:rPr>
  </w:style>
  <w:style w:type="character" w:styleId="Style16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3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link w:val="Style1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5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120" w:leader="none"/>
        <w:tab w:val="right" w:pos="9911" w:leader="none"/>
      </w:tabs>
      <w:ind w:hanging="0" w:left="560" w:right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left" w:pos="567" w:leader="none"/>
        <w:tab w:val="left" w:pos="851" w:leader="none"/>
        <w:tab w:val="left" w:pos="993" w:leader="none"/>
      </w:tabs>
      <w:suppressAutoHyphens w:val="true"/>
      <w:spacing w:before="480" w:after="240"/>
      <w:ind w:hanging="567" w:left="567" w:right="0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8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19">
    <w:name w:val="Основной текст1"/>
    <w:basedOn w:val="Normal"/>
    <w:link w:val="Style14"/>
    <w:qFormat/>
    <w:pPr>
      <w:widowControl w:val="false"/>
      <w:shd w:val="clear" w:fill="FFFFFF"/>
      <w:spacing w:lineRule="exact" w:line="302"/>
    </w:pPr>
    <w:rPr/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38">
    <w:name w:val="Заголовок таблицы"/>
    <w:basedOn w:val="Style36"/>
    <w:qFormat/>
    <w:pPr>
      <w:suppressLineNumbers/>
      <w:jc w:val="center"/>
    </w:pPr>
    <w:rPr>
      <w:b/>
      <w:bCs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AlterOffice/2026.2.0.0$Linux_X86_64 LibreOffice_project/bc4ef1adf80b36c7a6365f8ed6cbf29021361edd</Application>
  <AppVersion>15.0000</AppVersion>
  <Pages>7</Pages>
  <Words>1158</Words>
  <Characters>8191</Characters>
  <CharactersWithSpaces>9214</CharactersWithSpaces>
  <Paragraphs>142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2023-05-17T09:03:00Z</dcterms:created>
  <dc:creator>Быстров Олег Геннадьевич</dc:creator>
  <dc:description/>
  <dc:language>ru-RU</dc:language>
  <cp:lastModifiedBy>korolevkv@corp.gidroogk.com</cp:lastModifiedBy>
  <cp:lastPrinted>2023-01-19T13:07:00Z</cp:lastPrinted>
  <dcterms:modified xsi:type="dcterms:W3CDTF">2026-10-15T16:40:15Z</dcterms:modified>
  <cp:revision>34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