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before="0" w:after="0"/>
        <w:ind w:hanging="0" w:left="0"/>
        <w:jc w:val="left"/>
        <w:rPr/>
      </w:pPr>
      <w:r>
        <w:rPr>
          <w:color w:val="333333"/>
        </w:rPr>
        <w:t>...</w:t>
      </w:r>
    </w:p>
    <w:p>
      <w:pPr>
        <w:pStyle w:val="Normal"/>
        <w:spacing w:lineRule="auto" w:line="264" w:before="0" w:after="404"/>
        <w:ind w:hanging="0" w:left="0"/>
        <w:jc w:val="center"/>
        <w:rPr/>
      </w:pPr>
      <w:r>
        <w:rPr>
          <w:b/>
        </w:rPr>
        <w:t>Договор возмездного оказания услуг № _________________</w:t>
      </w:r>
    </w:p>
    <w:p>
      <w:pPr>
        <w:pStyle w:val="Normal"/>
        <w:tabs>
          <w:tab w:val="clear" w:pos="708"/>
          <w:tab w:val="right" w:pos="10924" w:leader="none"/>
        </w:tabs>
        <w:spacing w:before="0" w:after="226"/>
        <w:ind w:hanging="0" w:left="0"/>
        <w:jc w:val="left"/>
        <w:rPr/>
      </w:pPr>
      <w:r>
        <w:rPr>
          <w:sz w:val="14"/>
        </w:rPr>
        <w:t>г. Волжский</w:t>
        <w:tab/>
      </w:r>
      <w:r>
        <w:rPr>
          <w:sz w:val="14"/>
        </w:rPr>
        <w:t>__________________</w:t>
      </w:r>
      <w:r>
        <w:rPr/>
        <w:t xml:space="preserve"> г.</w:t>
      </w:r>
    </w:p>
    <w:p>
      <w:pPr>
        <w:pStyle w:val="Normal"/>
        <w:ind w:firstLine="538" w:left="29" w:right="26"/>
        <w:rPr/>
      </w:pPr>
      <w:r>
        <w:rPr>
          <w:b/>
        </w:rPr>
        <w:t>__________________________________________________</w:t>
      </w:r>
      <w:r>
        <w:rPr>
          <w:b/>
        </w:rPr>
        <w:t>,</w:t>
      </w:r>
      <w:r>
        <w:rPr/>
        <w:t xml:space="preserve"> именуемое в дальнейшем Заказчик, в лице директора </w:t>
      </w:r>
      <w:r>
        <w:rPr/>
        <w:t>___________________________</w:t>
      </w:r>
      <w:r>
        <w:rPr/>
        <w:t xml:space="preserve">, действующего на основании </w:t>
      </w:r>
      <w:r>
        <w:rPr/>
        <w:t>___________________</w:t>
      </w:r>
      <w:r>
        <w:rPr/>
        <w:t xml:space="preserve">, с одной стороны и </w:t>
      </w:r>
    </w:p>
    <w:p>
      <w:pPr>
        <w:pStyle w:val="Normal"/>
        <w:ind w:firstLine="538" w:left="29" w:right="26"/>
        <w:rPr/>
      </w:pPr>
      <w:r>
        <w:rPr>
          <w:b/>
        </w:rPr>
        <w:t>_____________________________________</w:t>
      </w:r>
      <w:r>
        <w:rPr/>
        <w:t xml:space="preserve"> (Лицензия </w:t>
      </w:r>
      <w:r>
        <w:rPr/>
        <w:t>________________</w:t>
      </w:r>
      <w:r>
        <w:rPr/>
        <w:t xml:space="preserve"> на осуществление деятельности по сбору, транспортированию, обработке, утилизации, обезвреживанию, размещению отходов I - V классов опасности), именуемое в дальнейшем Исполнитель, в лице </w:t>
      </w:r>
      <w:r>
        <w:rPr/>
        <w:t xml:space="preserve">________________ </w:t>
      </w:r>
      <w:r>
        <w:rPr/>
        <w:t xml:space="preserve">действующего на основании </w:t>
      </w:r>
      <w:r>
        <w:rPr/>
        <w:t>_________________</w:t>
      </w:r>
      <w:r>
        <w:rPr/>
        <w:t>, с другой стороны, совместно именуемые Стороны, заключили настоящий договор о нижеследующем:</w:t>
      </w:r>
    </w:p>
    <w:p>
      <w:pPr>
        <w:pStyle w:val="Normal"/>
        <w:numPr>
          <w:ilvl w:val="0"/>
          <w:numId w:val="2"/>
        </w:numPr>
        <w:spacing w:lineRule="auto" w:line="259" w:before="0" w:after="15"/>
        <w:ind w:hanging="250" w:left="284"/>
        <w:jc w:val="center"/>
        <w:rPr/>
      </w:pPr>
      <w:r>
        <w:rPr>
          <w:b/>
        </w:rPr>
        <w:t>ТЕРМИНЫ И ОПРЕДЕЛЕНИЯ, ИСПОЛЬЗУЕМЫЕ В НАСТОЯЩЕМ ДОГОВОРЕ</w:t>
      </w:r>
    </w:p>
    <w:p>
      <w:pPr>
        <w:pStyle w:val="Normal"/>
        <w:numPr>
          <w:ilvl w:val="1"/>
          <w:numId w:val="2"/>
        </w:numPr>
        <w:tabs>
          <w:tab w:val="clear" w:pos="708"/>
          <w:tab w:val="left" w:pos="851" w:leader="none"/>
        </w:tabs>
        <w:ind w:firstLine="567" w:left="0" w:right="26"/>
        <w:rPr/>
      </w:pPr>
      <w:r>
        <w:rPr/>
        <w:t>Данный договор заключен в соответствии с нормами Федерального закона от 24.06.1998 N 89-ФЗ "Об отходах производства и потребления".</w:t>
      </w:r>
    </w:p>
    <w:p>
      <w:pPr>
        <w:pStyle w:val="Normal"/>
        <w:numPr>
          <w:ilvl w:val="1"/>
          <w:numId w:val="2"/>
        </w:numPr>
        <w:tabs>
          <w:tab w:val="clear" w:pos="708"/>
          <w:tab w:val="left" w:pos="851" w:leader="none"/>
        </w:tabs>
        <w:ind w:firstLine="567" w:left="0" w:right="26"/>
        <w:rPr/>
      </w:pPr>
      <w:r>
        <w:rPr/>
        <w:t>В настоящем Договоре используются следующие термины и определения:</w:t>
      </w:r>
    </w:p>
    <w:p>
      <w:pPr>
        <w:pStyle w:val="Normal"/>
        <w:numPr>
          <w:ilvl w:val="0"/>
          <w:numId w:val="3"/>
        </w:numPr>
        <w:tabs>
          <w:tab w:val="clear" w:pos="708"/>
          <w:tab w:val="left" w:pos="851" w:leader="none"/>
        </w:tabs>
        <w:ind w:firstLine="567" w:left="0" w:right="26"/>
        <w:rPr/>
      </w:pPr>
      <w:r>
        <w:rPr/>
        <w:t>отходы производства и потребления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pPr>
        <w:pStyle w:val="Normal"/>
        <w:numPr>
          <w:ilvl w:val="0"/>
          <w:numId w:val="3"/>
        </w:numPr>
        <w:tabs>
          <w:tab w:val="clear" w:pos="708"/>
          <w:tab w:val="left" w:pos="851" w:leader="none"/>
        </w:tabs>
        <w:ind w:firstLine="567" w:left="0" w:right="26"/>
        <w:rPr/>
      </w:pPr>
      <w:r>
        <w:rPr/>
        <w:t>крупногабаритные отходы - вид отходов (мебель, бытовая техника, отходы от текущего ремонта жилых помещений и другое), размер которых не позволяет осуществить их накопление в контейнерах;</w:t>
      </w:r>
    </w:p>
    <w:p>
      <w:pPr>
        <w:pStyle w:val="Normal"/>
        <w:numPr>
          <w:ilvl w:val="0"/>
          <w:numId w:val="3"/>
        </w:numPr>
        <w:tabs>
          <w:tab w:val="clear" w:pos="708"/>
          <w:tab w:val="left" w:pos="851" w:leader="none"/>
        </w:tabs>
        <w:ind w:firstLine="567" w:left="0" w:right="26"/>
        <w:rPr/>
      </w:pPr>
      <w:r>
        <w:rPr/>
        <w:t>строительные отходы - вид отходов, образующихся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w:t>
      </w:r>
    </w:p>
    <w:p>
      <w:pPr>
        <w:pStyle w:val="Normal"/>
        <w:numPr>
          <w:ilvl w:val="0"/>
          <w:numId w:val="3"/>
        </w:numPr>
        <w:tabs>
          <w:tab w:val="clear" w:pos="708"/>
          <w:tab w:val="left" w:pos="851" w:leader="none"/>
        </w:tabs>
        <w:ind w:firstLine="567" w:left="0" w:right="26"/>
        <w:rPr/>
      </w:pPr>
      <w:r>
        <w:rPr/>
        <w:t>сбор отходов - прием или поступление отходов от физических лиц и юридических лиц в целях дальнейших обработки, утилизации, обезвреживания, транспортирования, размещения таких отходов;</w:t>
      </w:r>
    </w:p>
    <w:p>
      <w:pPr>
        <w:pStyle w:val="Normal"/>
        <w:tabs>
          <w:tab w:val="clear" w:pos="708"/>
          <w:tab w:val="left" w:pos="851" w:leader="none"/>
        </w:tabs>
        <w:ind w:firstLine="567" w:left="0" w:right="26"/>
        <w:rPr/>
      </w:pPr>
      <w:r>
        <w:rPr/>
        <w:t>-транспортирование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pPr>
        <w:pStyle w:val="Normal"/>
        <w:numPr>
          <w:ilvl w:val="0"/>
          <w:numId w:val="3"/>
        </w:numPr>
        <w:tabs>
          <w:tab w:val="clear" w:pos="708"/>
          <w:tab w:val="left" w:pos="851" w:leader="none"/>
        </w:tabs>
        <w:ind w:firstLine="567" w:left="0" w:right="26"/>
        <w:rPr/>
      </w:pPr>
      <w:r>
        <w:rPr/>
        <w:t>размещение отходов - хранение и захоронение отходов;</w:t>
      </w:r>
    </w:p>
    <w:p>
      <w:pPr>
        <w:pStyle w:val="Normal"/>
        <w:numPr>
          <w:ilvl w:val="0"/>
          <w:numId w:val="3"/>
        </w:numPr>
        <w:tabs>
          <w:tab w:val="clear" w:pos="708"/>
          <w:tab w:val="left" w:pos="851" w:leader="none"/>
        </w:tabs>
        <w:ind w:firstLine="567" w:left="0" w:right="26"/>
        <w:rPr/>
      </w:pPr>
      <w:r>
        <w:rPr/>
        <w:t>объект размещения отходов - объект размещения отходов - специально оборудованное сооружение, предназначенное для размещения отходов (полигон).</w:t>
      </w:r>
    </w:p>
    <w:p>
      <w:pPr>
        <w:pStyle w:val="Heading1"/>
        <w:numPr>
          <w:ilvl w:val="0"/>
          <w:numId w:val="9"/>
        </w:numPr>
        <w:ind w:hanging="158" w:left="186"/>
        <w:rPr/>
      </w:pPr>
      <w:r>
        <w:rPr/>
        <w:t>ПРЕДМЕТ ДОГОВОРА</w:t>
      </w:r>
    </w:p>
    <w:p>
      <w:pPr>
        <w:pStyle w:val="Normal"/>
        <w:ind w:firstLine="538" w:left="29" w:right="26"/>
        <w:jc w:val="left"/>
        <w:rPr/>
      </w:pPr>
      <w:r>
        <w:rPr/>
        <w:t>2.1. По настоящему договору Исполнитель обязуется оказывать Заказчику услуги по размещению строительных отходов, отходов производства и потребления, отнесенных к IV-V классам опасности (далее по тексту – «Отходы») не относящихся к твердым коммунальным отходам, согласно вошедших в перечень разрешенных для размещения отходов, указанных в лицензии Исполнителя, на объекте размещения Исполнителя, указанном в п. 3.1.1 настоящего Договора, а Заказчик обязуется принять и оплатить эти услуги, в порядке и сроки, предусмотренные настоящим Договором.</w:t>
      </w:r>
    </w:p>
    <w:p>
      <w:pPr>
        <w:pStyle w:val="Normal"/>
        <w:numPr>
          <w:ilvl w:val="0"/>
          <w:numId w:val="4"/>
        </w:numPr>
        <w:ind w:firstLine="538" w:left="29" w:right="9"/>
        <w:rPr/>
      </w:pPr>
      <w:r>
        <w:rPr/>
        <w:t>2. Учет доставляемых отходов на объекте размещения осуществляется Исполнителем в соответствии с требованиями действующего законодательства РФ и условиями настоящего договора.</w:t>
      </w:r>
    </w:p>
    <w:p>
      <w:pPr>
        <w:pStyle w:val="Normal"/>
        <w:numPr>
          <w:ilvl w:val="1"/>
          <w:numId w:val="5"/>
        </w:numPr>
        <w:tabs>
          <w:tab w:val="clear" w:pos="708"/>
          <w:tab w:val="left" w:pos="851" w:leader="none"/>
        </w:tabs>
        <w:spacing w:lineRule="auto" w:line="240" w:before="0" w:after="26"/>
        <w:ind w:firstLine="538" w:left="29" w:right="26"/>
        <w:rPr/>
      </w:pPr>
      <w:r>
        <w:rPr/>
        <w:t>Транспортирование Отходов на объект размещения Отходов осуществляется силами Заказчика или привлекаемыми Заказчиком третьими лицами (подрядчиками). Заказчик обязан предоставить Исполнителю сведения о транспортных средствах, осуществляющих транспортирование отходов на Объект Исполнителя по форме Приложения № 2 к настоящему Договору.</w:t>
      </w:r>
    </w:p>
    <w:p>
      <w:pPr>
        <w:pStyle w:val="Normal"/>
        <w:numPr>
          <w:ilvl w:val="1"/>
          <w:numId w:val="5"/>
        </w:numPr>
        <w:tabs>
          <w:tab w:val="clear" w:pos="708"/>
          <w:tab w:val="left" w:pos="851" w:leader="none"/>
        </w:tabs>
        <w:ind w:firstLine="538" w:left="29" w:right="26"/>
        <w:jc w:val="left"/>
        <w:rPr/>
      </w:pPr>
      <w:r>
        <w:rPr/>
        <w:t>Заказчик при осуществлении транспортирования отходов на Объект Исполнителя обязан соблюдать следующие требования:</w:t>
      </w:r>
    </w:p>
    <w:p>
      <w:pPr>
        <w:pStyle w:val="Normal"/>
        <w:ind w:firstLine="538" w:left="29" w:right="26"/>
        <w:jc w:val="left"/>
        <w:rPr/>
      </w:pPr>
      <w:r>
        <w:rPr/>
        <w:t>наличие паспорта отходов или протокол биотестирования;</w:t>
      </w:r>
    </w:p>
    <w:p>
      <w:pPr>
        <w:pStyle w:val="Normal"/>
        <w:ind w:firstLine="538" w:left="29" w:right="26"/>
        <w:jc w:val="left"/>
        <w:rPr/>
      </w:pPr>
      <w:r>
        <w:rPr/>
        <w:t>наличие специально оборудованных и снабженных специальными знаками транспортных средств;</w:t>
      </w:r>
    </w:p>
    <w:p>
      <w:pPr>
        <w:pStyle w:val="Normal"/>
        <w:ind w:firstLine="538" w:left="29" w:right="26"/>
        <w:rPr/>
      </w:pPr>
      <w:r>
        <w:rPr/>
        <w:t>наличие документов (свидетельство, сертификат) подтверждающих профессиональную подготовку (должностных и ответственных) лиц, которые допущены к обращению с опасными отходами, в том числе водители (ст. 73 ФЗ №7 от 10.01.2002г.); соблюдение требований безопасности к транспортированию отходов на транспортных средствах; наличие документации для транспортирования и передачи отходов с указанием количества транспортируемых отходов, цели и места назначения их транспортирования.</w:t>
      </w:r>
    </w:p>
    <w:p>
      <w:pPr>
        <w:pStyle w:val="Normal"/>
        <w:numPr>
          <w:ilvl w:val="1"/>
          <w:numId w:val="5"/>
        </w:numPr>
        <w:tabs>
          <w:tab w:val="clear" w:pos="708"/>
          <w:tab w:val="left" w:pos="851" w:leader="none"/>
        </w:tabs>
        <w:ind w:firstLine="538" w:left="29" w:right="26"/>
        <w:rPr/>
      </w:pPr>
      <w:r>
        <w:rPr/>
        <w:t>В рамках настоящего договора не подлежат размещению отходы в состав которых входят полезные компоненты, захоронение которых запрещается, согласно перечню, утвержденному Распоряжением Правительства РФ от 25.07.2017 №1589-р.</w:t>
      </w:r>
    </w:p>
    <w:p>
      <w:pPr>
        <w:pStyle w:val="Normal"/>
        <w:numPr>
          <w:ilvl w:val="1"/>
          <w:numId w:val="5"/>
        </w:numPr>
        <w:tabs>
          <w:tab w:val="clear" w:pos="708"/>
          <w:tab w:val="left" w:pos="851" w:leader="none"/>
        </w:tabs>
        <w:ind w:firstLine="538" w:left="29" w:right="26"/>
        <w:rPr/>
      </w:pPr>
      <w:r>
        <w:rPr/>
        <w:t>Право собственности на размещаемые Отходы к Исполнителю не переходит. Оплата за негативное воздействие на окружающую среду вносится в порядке и сроки, определенные действующим законодательством РФ.</w:t>
      </w:r>
    </w:p>
    <w:p>
      <w:pPr>
        <w:pStyle w:val="Normal"/>
        <w:numPr>
          <w:ilvl w:val="0"/>
          <w:numId w:val="4"/>
        </w:numPr>
        <w:spacing w:lineRule="auto" w:line="259" w:before="0" w:after="15"/>
        <w:ind w:hanging="175" w:left="209" w:right="875"/>
        <w:jc w:val="center"/>
        <w:rPr/>
      </w:pPr>
      <w:r>
        <w:rPr>
          <w:b/>
        </w:rPr>
        <w:t>ПРАВА И ОБЯЗАННОСТИ «ИСПОЛНИТЕЛЯ».</w:t>
      </w:r>
    </w:p>
    <w:p>
      <w:pPr>
        <w:pStyle w:val="Normal"/>
        <w:numPr>
          <w:ilvl w:val="1"/>
          <w:numId w:val="4"/>
        </w:numPr>
        <w:tabs>
          <w:tab w:val="clear" w:pos="708"/>
          <w:tab w:val="left" w:pos="993" w:leader="none"/>
        </w:tabs>
        <w:spacing w:lineRule="auto" w:line="264" w:before="0" w:after="11"/>
        <w:ind w:firstLine="567" w:left="0"/>
        <w:jc w:val="left"/>
        <w:rPr/>
      </w:pPr>
      <w:r>
        <w:rPr>
          <w:b/>
        </w:rPr>
        <w:t>Исполнитель обязан:</w:t>
      </w:r>
    </w:p>
    <w:p>
      <w:pPr>
        <w:pStyle w:val="Normal"/>
        <w:numPr>
          <w:ilvl w:val="2"/>
          <w:numId w:val="4"/>
        </w:numPr>
        <w:tabs>
          <w:tab w:val="clear" w:pos="708"/>
          <w:tab w:val="left" w:pos="993" w:leader="none"/>
        </w:tabs>
        <w:ind w:firstLine="567" w:left="0" w:right="26"/>
        <w:rPr/>
      </w:pPr>
      <w:r>
        <w:rPr/>
        <w:t xml:space="preserve">Принимать и размещать Отходы, указанные в Приложении №1 к настоящему Договору, на объекте размещения Отходов, расположенном по адресу: </w:t>
      </w:r>
      <w:r>
        <w:rPr/>
        <w:t>_______________________________________________________________</w:t>
      </w:r>
      <w:r>
        <w:rPr/>
        <w:t>.</w:t>
      </w:r>
    </w:p>
    <w:p>
      <w:pPr>
        <w:pStyle w:val="Normal"/>
        <w:numPr>
          <w:ilvl w:val="2"/>
          <w:numId w:val="4"/>
        </w:numPr>
        <w:tabs>
          <w:tab w:val="clear" w:pos="708"/>
          <w:tab w:val="left" w:pos="993" w:leader="none"/>
        </w:tabs>
        <w:ind w:firstLine="567" w:left="0" w:right="26"/>
        <w:rPr/>
      </w:pPr>
      <w:r>
        <w:rPr/>
        <w:t>Вести учет принимаемых к размещению Отходов непосредственно на объекте размещения в журнале учета поступающих отходов.</w:t>
      </w:r>
    </w:p>
    <w:p>
      <w:pPr>
        <w:pStyle w:val="Normal"/>
        <w:numPr>
          <w:ilvl w:val="2"/>
          <w:numId w:val="4"/>
        </w:numPr>
        <w:tabs>
          <w:tab w:val="clear" w:pos="708"/>
          <w:tab w:val="left" w:pos="993" w:leader="none"/>
        </w:tabs>
        <w:ind w:firstLine="567" w:left="0" w:right="26"/>
        <w:rPr/>
      </w:pPr>
      <w:r>
        <w:rPr/>
        <w:t>Предоставить Заказчику счет и универсальный передаточный документ в соответствии с действующим законодательством.</w:t>
      </w:r>
    </w:p>
    <w:p>
      <w:pPr>
        <w:pStyle w:val="Normal"/>
        <w:numPr>
          <w:ilvl w:val="2"/>
          <w:numId w:val="4"/>
        </w:numPr>
        <w:tabs>
          <w:tab w:val="clear" w:pos="708"/>
          <w:tab w:val="left" w:pos="993" w:leader="none"/>
        </w:tabs>
        <w:ind w:firstLine="567" w:left="0" w:right="26"/>
        <w:rPr/>
      </w:pPr>
      <w:r>
        <w:rPr/>
        <w:t>При отсутствии у Заказчика задолженности за размещение Отходов на объекте размещения Отходов за истекший расчетный период (месяц, год) выдавать справку о количестве размещенных Отходов на основании письменного запроса Заказчика.</w:t>
      </w:r>
    </w:p>
    <w:p>
      <w:pPr>
        <w:pStyle w:val="Normal"/>
        <w:numPr>
          <w:ilvl w:val="1"/>
          <w:numId w:val="4"/>
        </w:numPr>
        <w:tabs>
          <w:tab w:val="clear" w:pos="708"/>
          <w:tab w:val="left" w:pos="993" w:leader="none"/>
        </w:tabs>
        <w:spacing w:lineRule="auto" w:line="264" w:before="0" w:after="11"/>
        <w:ind w:firstLine="567" w:left="0"/>
        <w:jc w:val="left"/>
        <w:rPr/>
      </w:pPr>
      <w:r>
        <w:rPr>
          <w:b/>
        </w:rPr>
        <w:t>Исполнитель вправе:</w:t>
      </w:r>
    </w:p>
    <w:p>
      <w:pPr>
        <w:pStyle w:val="Normal"/>
        <w:numPr>
          <w:ilvl w:val="2"/>
          <w:numId w:val="4"/>
        </w:numPr>
        <w:tabs>
          <w:tab w:val="clear" w:pos="708"/>
          <w:tab w:val="left" w:pos="993" w:leader="none"/>
        </w:tabs>
        <w:ind w:firstLine="567" w:left="0" w:right="26"/>
        <w:rPr/>
      </w:pPr>
      <w:r>
        <w:rPr/>
        <w:t>Не принимать отходы в случае отсутствия у Заказчика паспортов на отходы    IV класса опасности или документа, подтверждающего отнесение отходов Заказчика к V классу опасности или в случае нарушения требований пункта 2.4. настоящего договора заказчиком, либо привлекаемыми им подрядчиками, либо пункта 4.1.12 договора.</w:t>
      </w:r>
    </w:p>
    <w:p>
      <w:pPr>
        <w:pStyle w:val="Normal"/>
        <w:numPr>
          <w:ilvl w:val="2"/>
          <w:numId w:val="4"/>
        </w:numPr>
        <w:tabs>
          <w:tab w:val="clear" w:pos="708"/>
          <w:tab w:val="left" w:pos="993" w:leader="none"/>
        </w:tabs>
        <w:ind w:firstLine="567" w:left="0" w:right="26"/>
        <w:rPr/>
      </w:pPr>
      <w:r>
        <w:rPr/>
        <w:t>В случае, если Заказчик является организацией, осуществляющей транспортировку отходов, осуществил выгрузку отходов с нарушениями положений п. 4.1.8., 4.1.9. настоящего Договора, и отказывается от подписания акта, фиксирующего факт нарушений указанных пунктов настоящего Договора, составить в одностороннем порядке акт, фиксирующий указанные нарушения.</w:t>
      </w:r>
    </w:p>
    <w:p>
      <w:pPr>
        <w:pStyle w:val="Normal"/>
        <w:numPr>
          <w:ilvl w:val="2"/>
          <w:numId w:val="4"/>
        </w:numPr>
        <w:tabs>
          <w:tab w:val="clear" w:pos="708"/>
          <w:tab w:val="left" w:pos="993" w:leader="none"/>
        </w:tabs>
        <w:ind w:firstLine="567" w:left="0" w:right="26"/>
        <w:rPr/>
      </w:pPr>
      <w:r>
        <w:rPr/>
        <w:t>В одностороннем порядке приостановить или прекратить оказание услуг в случае наличия задолженности Заказчика по оплате предоставленных услуг или размещения объема отходов по стоимости, превышающего сумму договора. Фактически оказанные услуги подлежат оплате независимо от превышения ориентировочной стоимости договора.</w:t>
      </w:r>
    </w:p>
    <w:p>
      <w:pPr>
        <w:pStyle w:val="Normal"/>
        <w:numPr>
          <w:ilvl w:val="2"/>
          <w:numId w:val="4"/>
        </w:numPr>
        <w:tabs>
          <w:tab w:val="clear" w:pos="708"/>
          <w:tab w:val="left" w:pos="993" w:leader="none"/>
        </w:tabs>
        <w:ind w:firstLine="567" w:left="0" w:right="26"/>
        <w:rPr/>
      </w:pPr>
      <w:r>
        <w:rPr/>
        <w:t>Приостановить прием отходов на объект размещения отходов при нарушении Заказчиком правил транспортировки и сдачи отходов, а также при обнаружении отходов, не входящих в перечень разрешенных для размещения на объекте размещения.</w:t>
      </w:r>
    </w:p>
    <w:p>
      <w:pPr>
        <w:pStyle w:val="Normal"/>
        <w:numPr>
          <w:ilvl w:val="2"/>
          <w:numId w:val="4"/>
        </w:numPr>
        <w:tabs>
          <w:tab w:val="clear" w:pos="708"/>
          <w:tab w:val="left" w:pos="993" w:leader="none"/>
        </w:tabs>
        <w:ind w:firstLine="567" w:left="0" w:right="26"/>
        <w:rPr/>
      </w:pPr>
      <w:r>
        <w:rPr/>
        <w:t>В случае нарушения Заказчиком условий настоящего Договора составлять акт, фиксирующий нарушение с уполномоченным представителем Заказчика, в случае отсутствия последнего, составлять акт в одностороннем порядке.</w:t>
      </w:r>
    </w:p>
    <w:p>
      <w:pPr>
        <w:pStyle w:val="Normal"/>
        <w:numPr>
          <w:ilvl w:val="2"/>
          <w:numId w:val="4"/>
        </w:numPr>
        <w:tabs>
          <w:tab w:val="clear" w:pos="708"/>
          <w:tab w:val="left" w:pos="993" w:leader="none"/>
        </w:tabs>
        <w:ind w:firstLine="567" w:left="0" w:right="26"/>
        <w:rPr/>
      </w:pPr>
      <w:r>
        <w:rPr/>
        <w:t>Своевременно получать оплату за оказанные услуги в соответствии с условиями настоящего Договора, указанными в п.5.1. А также, в случае отсутствия оплаты согласно п. 5.2. договора, приостановить прием отходов на объекте размещения до полного устранения нарушений, предварительно уведомив Заказчика об этом за один день. При этом Исполнитель не несет ответственность за убытки и ущерб Заказчика.</w:t>
      </w:r>
    </w:p>
    <w:p>
      <w:pPr>
        <w:pStyle w:val="Normal"/>
        <w:numPr>
          <w:ilvl w:val="0"/>
          <w:numId w:val="4"/>
        </w:numPr>
        <w:spacing w:lineRule="auto" w:line="259" w:before="0" w:after="15"/>
        <w:ind w:hanging="175" w:left="209" w:right="875"/>
        <w:jc w:val="center"/>
        <w:rPr/>
      </w:pPr>
      <w:r>
        <w:rPr>
          <w:b/>
        </w:rPr>
        <w:t>ПРАВА И ОБЯЗАННОСТИ «ЗАКАЗЧИКА».</w:t>
      </w:r>
    </w:p>
    <w:p>
      <w:pPr>
        <w:pStyle w:val="Normal"/>
        <w:numPr>
          <w:ilvl w:val="1"/>
          <w:numId w:val="4"/>
        </w:numPr>
        <w:tabs>
          <w:tab w:val="clear" w:pos="708"/>
          <w:tab w:val="left" w:pos="993" w:leader="none"/>
        </w:tabs>
        <w:spacing w:lineRule="auto" w:line="240" w:before="0" w:after="0"/>
        <w:ind w:firstLine="567" w:left="0"/>
        <w:contextualSpacing/>
        <w:jc w:val="left"/>
        <w:rPr/>
      </w:pPr>
      <w:r>
        <w:rPr>
          <w:b/>
        </w:rPr>
        <w:t>Заказчик обязан:</w:t>
      </w:r>
    </w:p>
    <w:p>
      <w:pPr>
        <w:pStyle w:val="Normal"/>
        <w:numPr>
          <w:ilvl w:val="2"/>
          <w:numId w:val="4"/>
        </w:numPr>
        <w:tabs>
          <w:tab w:val="clear" w:pos="708"/>
          <w:tab w:val="left" w:pos="993" w:leader="none"/>
        </w:tabs>
        <w:spacing w:lineRule="auto" w:line="240" w:before="0" w:after="0"/>
        <w:ind w:firstLine="567" w:left="0" w:right="26"/>
        <w:contextualSpacing/>
        <w:rPr/>
      </w:pPr>
      <w:r>
        <w:rPr/>
        <w:t>Доставлять отходы собственным или привлеченными транспортными средствами, укомплектованными и оборудованными пологом для укрытия вывозимых отходов, исключающим загрязнение проезжих дорог, на объект размещения отходов, с предоставлением Исполнителю документов, подтверждающих вид отходов и класс опасности.  Предоставить перечень транспортных средств, осуществляющих доставку отходов Заказчика с указанием государственных регистрационных номеров (Приложение №2 к настоящему Договору). Заказчик обязан незамедлительно (не более 48 часов) по требованию Исполнителя предоставить ему документы, подтверждающие сведения, указанные в Приложении № 2 к настоящему договору.</w:t>
      </w:r>
    </w:p>
    <w:p>
      <w:pPr>
        <w:pStyle w:val="Normal"/>
        <w:numPr>
          <w:ilvl w:val="2"/>
          <w:numId w:val="4"/>
        </w:numPr>
        <w:tabs>
          <w:tab w:val="clear" w:pos="708"/>
          <w:tab w:val="left" w:pos="993" w:leader="none"/>
        </w:tabs>
        <w:spacing w:lineRule="auto" w:line="240" w:before="0" w:after="0"/>
        <w:ind w:firstLine="567" w:left="0" w:right="26"/>
        <w:contextualSpacing/>
        <w:rPr/>
      </w:pPr>
      <w:r>
        <w:rPr/>
        <w:t>Принимать услуги по размещению отходов и производить их оплату в порядке и сроки, предусмотренные условиями настоящего Договора.</w:t>
      </w:r>
    </w:p>
    <w:p>
      <w:pPr>
        <w:pStyle w:val="Normal"/>
        <w:numPr>
          <w:ilvl w:val="2"/>
          <w:numId w:val="4"/>
        </w:numPr>
        <w:tabs>
          <w:tab w:val="clear" w:pos="708"/>
          <w:tab w:val="left" w:pos="993" w:leader="none"/>
        </w:tabs>
        <w:spacing w:lineRule="auto" w:line="240" w:before="0" w:after="0"/>
        <w:ind w:firstLine="567" w:left="0" w:right="26"/>
        <w:contextualSpacing/>
        <w:rPr/>
      </w:pPr>
      <w:r>
        <w:rPr/>
        <w:t>Доставлять на объект размещения отходы, параметры которых должны соответствовать нормам и требованиям действующего законодательства и не должны и превышать по ширине, длине и высоте 50 см.</w:t>
      </w:r>
    </w:p>
    <w:p>
      <w:pPr>
        <w:pStyle w:val="Normal"/>
        <w:numPr>
          <w:ilvl w:val="2"/>
          <w:numId w:val="4"/>
        </w:numPr>
        <w:tabs>
          <w:tab w:val="clear" w:pos="708"/>
          <w:tab w:val="left" w:pos="993" w:leader="none"/>
        </w:tabs>
        <w:spacing w:lineRule="auto" w:line="240" w:before="0" w:after="0"/>
        <w:ind w:firstLine="567" w:left="0" w:right="26"/>
        <w:contextualSpacing/>
        <w:rPr/>
      </w:pPr>
      <w:r>
        <w:rPr/>
        <w:t xml:space="preserve">Доставлять отходы в часы работы объекта размещения отходов ежедневно с </w:t>
      </w:r>
      <w:r>
        <w:rPr/>
        <w:t>_______________________</w:t>
      </w:r>
      <w:r>
        <w:rPr/>
        <w:t>.</w:t>
      </w:r>
    </w:p>
    <w:p>
      <w:pPr>
        <w:pStyle w:val="Normal"/>
        <w:numPr>
          <w:ilvl w:val="2"/>
          <w:numId w:val="4"/>
        </w:numPr>
        <w:tabs>
          <w:tab w:val="clear" w:pos="708"/>
          <w:tab w:val="left" w:pos="993" w:leader="none"/>
        </w:tabs>
        <w:spacing w:lineRule="auto" w:line="240" w:before="0" w:after="0"/>
        <w:ind w:firstLine="567" w:left="0" w:right="26"/>
        <w:contextualSpacing/>
        <w:rPr/>
      </w:pPr>
      <w:r>
        <w:rPr/>
        <w:t>Размещать отходы в местах, указанных ответственным лицом Исполнителя на объекте размещения отходов.</w:t>
      </w:r>
    </w:p>
    <w:p>
      <w:pPr>
        <w:pStyle w:val="Normal"/>
        <w:numPr>
          <w:ilvl w:val="2"/>
          <w:numId w:val="4"/>
        </w:numPr>
        <w:tabs>
          <w:tab w:val="clear" w:pos="708"/>
          <w:tab w:val="left" w:pos="993" w:leader="none"/>
        </w:tabs>
        <w:spacing w:lineRule="auto" w:line="240" w:before="0" w:after="0"/>
        <w:ind w:firstLine="567" w:left="0" w:right="26"/>
        <w:contextualSpacing/>
        <w:rPr/>
      </w:pPr>
      <w:r>
        <w:rPr/>
        <w:t>Не доставлять для размещения отходы горящие (тлеющие), жидкие отходы и отходы, содержащие вещества, обладающие опасными свойствами (токсичностью, взрыво- и пожароопасностью) или содержащие возбудителей инфекционных болезней, а также отходы, не указанные в лицензии Исполнителя.</w:t>
      </w:r>
    </w:p>
    <w:p>
      <w:pPr>
        <w:pStyle w:val="Normal"/>
        <w:tabs>
          <w:tab w:val="clear" w:pos="708"/>
          <w:tab w:val="left" w:pos="993" w:leader="none"/>
        </w:tabs>
        <w:spacing w:lineRule="auto" w:line="240" w:before="0" w:after="0"/>
        <w:ind w:firstLine="567" w:left="0" w:right="26"/>
        <w:contextualSpacing/>
        <w:rPr/>
      </w:pPr>
      <w:r>
        <w:rPr/>
        <w:t xml:space="preserve">При обнаружении факта размещения Заказчиком на полигоне отходов, не соответствующих «Перечню транспортируемых и передаваемых для размещения отходов на полигон </w:t>
      </w:r>
      <w:r>
        <w:rPr/>
        <w:t>__________________</w:t>
      </w:r>
      <w:r>
        <w:rPr/>
        <w:t xml:space="preserve"> (Приложение № 1), Заказчик обязан за свой счет произвести обратную погрузку и вывоз отходов с территории полигона с возмещением Исполнителю нанесенного ущерба.</w:t>
      </w:r>
    </w:p>
    <w:p>
      <w:pPr>
        <w:pStyle w:val="Normal"/>
        <w:numPr>
          <w:ilvl w:val="2"/>
          <w:numId w:val="4"/>
        </w:numPr>
        <w:tabs>
          <w:tab w:val="clear" w:pos="708"/>
          <w:tab w:val="left" w:pos="993" w:leader="none"/>
        </w:tabs>
        <w:spacing w:lineRule="auto" w:line="240" w:before="0" w:after="0"/>
        <w:ind w:firstLine="567" w:left="0" w:right="26"/>
        <w:contextualSpacing/>
        <w:rPr/>
      </w:pPr>
      <w:r>
        <w:rPr/>
        <w:t>Не позднее 7 числа месяца, следующего за расчетным получить у Исполнителя по месту его нахождения счет и универсальный передаточный документ, подписать, скрепить печатью и вернуть Исполнителю в течение 3 рабочих дней с момента получения. По истечении указанного срока, а также при отсутствии мотивированного отказа от подписания универсального передаточного документа, услуги считаются принятыми Заказчиком, выполненными надлежащим образом и подлежащими оплате.</w:t>
      </w:r>
    </w:p>
    <w:p>
      <w:pPr>
        <w:pStyle w:val="Normal"/>
        <w:numPr>
          <w:ilvl w:val="2"/>
          <w:numId w:val="4"/>
        </w:numPr>
        <w:tabs>
          <w:tab w:val="clear" w:pos="708"/>
          <w:tab w:val="left" w:pos="993" w:leader="none"/>
        </w:tabs>
        <w:spacing w:lineRule="auto" w:line="240" w:before="0" w:after="0"/>
        <w:ind w:firstLine="567" w:left="0" w:right="26"/>
        <w:contextualSpacing/>
        <w:rPr/>
      </w:pPr>
      <w:r>
        <w:rPr/>
        <w:t>При заключении Договора предоставить Исполнителю необходимую информацию и документацию (паспорта на отходы, копии регистрационных и учредительных документов, необходимые согласия на заключения договора и пр.).</w:t>
      </w:r>
    </w:p>
    <w:p>
      <w:pPr>
        <w:pStyle w:val="Normal"/>
        <w:numPr>
          <w:ilvl w:val="2"/>
          <w:numId w:val="4"/>
        </w:numPr>
        <w:tabs>
          <w:tab w:val="clear" w:pos="708"/>
          <w:tab w:val="left" w:pos="993" w:leader="none"/>
        </w:tabs>
        <w:spacing w:lineRule="auto" w:line="240" w:before="0" w:after="0"/>
        <w:ind w:firstLine="567" w:left="0" w:right="26"/>
        <w:contextualSpacing/>
        <w:rPr/>
      </w:pPr>
      <w:r>
        <w:rPr/>
        <w:t>Обеспечить беспрепятственный доступ представителя Исполнителя к транспортным средствам, осуществляющим транспортировку отходов, для осуществления контроля агрегатного состояния, фракционного, морфологического и химического составов отходов при приемке отходов на объект размещения.</w:t>
      </w:r>
    </w:p>
    <w:p>
      <w:pPr>
        <w:pStyle w:val="Normal"/>
        <w:numPr>
          <w:ilvl w:val="2"/>
          <w:numId w:val="4"/>
        </w:numPr>
        <w:tabs>
          <w:tab w:val="clear" w:pos="708"/>
          <w:tab w:val="left" w:pos="993" w:leader="none"/>
          <w:tab w:val="left" w:pos="1134" w:leader="none"/>
        </w:tabs>
        <w:spacing w:lineRule="auto" w:line="240" w:before="0" w:after="0"/>
        <w:ind w:firstLine="567" w:left="0" w:right="26"/>
        <w:contextualSpacing/>
        <w:rPr/>
      </w:pPr>
      <w:r>
        <w:rPr/>
        <w:t>Лицу, сдающему отходы, запрещается размещать отходы, не вошедшие в перечень разрешенных для размещения отходов, указанных в Лицензии Исполнителя и Приложений к ней.</w:t>
      </w:r>
    </w:p>
    <w:p>
      <w:pPr>
        <w:pStyle w:val="Normal"/>
        <w:numPr>
          <w:ilvl w:val="2"/>
          <w:numId w:val="4"/>
        </w:numPr>
        <w:tabs>
          <w:tab w:val="clear" w:pos="708"/>
          <w:tab w:val="left" w:pos="993" w:leader="none"/>
          <w:tab w:val="left" w:pos="1134" w:leader="none"/>
        </w:tabs>
        <w:spacing w:lineRule="auto" w:line="240" w:before="0" w:after="0"/>
        <w:ind w:firstLine="567" w:left="0" w:right="26"/>
        <w:contextualSpacing/>
        <w:rPr/>
      </w:pPr>
      <w:r>
        <w:rPr/>
        <w:t>Заказчик обязан возместить Исполнителю расходы, связанные с оплатой Исполнителем штрафов, выполнением предписания государственных и муниципальных органов, если такие штрафы и предписания явились следствием предоставления Заказчиком недостоверных сведений в отношении класса опасности отходов и/или наименований отходов, предназначенных к размещению.</w:t>
      </w:r>
    </w:p>
    <w:p>
      <w:pPr>
        <w:pStyle w:val="Normal"/>
        <w:numPr>
          <w:ilvl w:val="2"/>
          <w:numId w:val="4"/>
        </w:numPr>
        <w:tabs>
          <w:tab w:val="clear" w:pos="708"/>
          <w:tab w:val="left" w:pos="993" w:leader="none"/>
          <w:tab w:val="left" w:pos="1134" w:leader="none"/>
        </w:tabs>
        <w:spacing w:lineRule="auto" w:line="240" w:before="0" w:after="0"/>
        <w:ind w:firstLine="567" w:left="0" w:right="26"/>
        <w:contextualSpacing/>
        <w:rPr/>
      </w:pPr>
      <w:r>
        <w:rPr/>
        <w:t>Ежеквартально до 5 числа месяца, следующего за отчетным периодом предоставлять Исполнителю справку о количестве (массе) отходов, переданных исполнителю, с указанием кодов и наименований в соответствии с Федеральным классификационным каталогом отходов.</w:t>
      </w:r>
    </w:p>
    <w:p>
      <w:pPr>
        <w:pStyle w:val="Normal"/>
        <w:numPr>
          <w:ilvl w:val="1"/>
          <w:numId w:val="4"/>
        </w:numPr>
        <w:tabs>
          <w:tab w:val="clear" w:pos="708"/>
          <w:tab w:val="left" w:pos="993" w:leader="none"/>
        </w:tabs>
        <w:spacing w:lineRule="auto" w:line="240" w:before="0" w:after="0"/>
        <w:ind w:firstLine="567" w:left="0"/>
        <w:contextualSpacing/>
        <w:jc w:val="left"/>
        <w:rPr/>
      </w:pPr>
      <w:r>
        <w:rPr>
          <w:b/>
        </w:rPr>
        <w:t>Заказчик вправе</w:t>
      </w:r>
    </w:p>
    <w:p>
      <w:pPr>
        <w:pStyle w:val="Normal"/>
        <w:numPr>
          <w:ilvl w:val="2"/>
          <w:numId w:val="4"/>
        </w:numPr>
        <w:tabs>
          <w:tab w:val="clear" w:pos="708"/>
          <w:tab w:val="left" w:pos="993" w:leader="none"/>
        </w:tabs>
        <w:spacing w:lineRule="auto" w:line="240" w:before="0" w:after="0"/>
        <w:ind w:firstLine="567" w:left="0" w:right="26"/>
        <w:contextualSpacing/>
        <w:rPr/>
      </w:pPr>
      <w:r>
        <w:rPr/>
        <w:t>Вносить предложения по улучшению взаимодействия между Сторонами.</w:t>
      </w:r>
    </w:p>
    <w:p>
      <w:pPr>
        <w:pStyle w:val="Normal"/>
        <w:numPr>
          <w:ilvl w:val="0"/>
          <w:numId w:val="4"/>
        </w:numPr>
        <w:spacing w:lineRule="auto" w:line="259" w:before="0" w:after="15"/>
        <w:ind w:hanging="175" w:left="209" w:right="875"/>
        <w:jc w:val="center"/>
        <w:rPr/>
      </w:pPr>
      <w:r>
        <w:rPr>
          <w:b/>
        </w:rPr>
        <w:t>СТОИМОСТЬ УСЛУГ И ПОРЯДОК ОПЛАТЫ.</w:t>
      </w:r>
    </w:p>
    <w:p>
      <w:pPr>
        <w:pStyle w:val="Normal"/>
        <w:numPr>
          <w:ilvl w:val="1"/>
          <w:numId w:val="4"/>
        </w:numPr>
        <w:tabs>
          <w:tab w:val="clear" w:pos="708"/>
          <w:tab w:val="left" w:pos="851" w:leader="none"/>
        </w:tabs>
        <w:spacing w:lineRule="auto" w:line="240" w:before="0" w:after="0"/>
        <w:ind w:firstLine="567" w:left="0"/>
        <w:contextualSpacing/>
        <w:rPr/>
      </w:pPr>
      <w:r>
        <w:rPr/>
        <w:t>Стоимость услуг по настоящему договору устанавливается исходя из общего количества размещенных за расчетный период отходов и цены, указанной в пункте 5.2. настоящего договора.</w:t>
      </w:r>
    </w:p>
    <w:p>
      <w:pPr>
        <w:pStyle w:val="Normal"/>
        <w:tabs>
          <w:tab w:val="clear" w:pos="708"/>
          <w:tab w:val="left" w:pos="851" w:leader="none"/>
        </w:tabs>
        <w:spacing w:lineRule="auto" w:line="240" w:before="0" w:after="0"/>
        <w:ind w:firstLine="567" w:left="0" w:right="26"/>
        <w:contextualSpacing/>
        <w:rPr/>
      </w:pPr>
      <w:r>
        <w:rPr/>
        <w:t xml:space="preserve">Предельная стоимость договора составляет </w:t>
      </w:r>
      <w:r>
        <w:rPr/>
        <w:t>_______________________</w:t>
      </w:r>
      <w:r>
        <w:rPr/>
        <w:t xml:space="preserve"> (</w:t>
      </w:r>
      <w:r>
        <w:rPr/>
        <w:t>___________________________________</w:t>
      </w:r>
      <w:r>
        <w:rPr/>
        <w:t>) рублей 00 копеек с учетом НДС 2</w:t>
      </w:r>
      <w:r>
        <w:rPr/>
        <w:t>2</w:t>
      </w:r>
      <w:r>
        <w:rPr/>
        <w:t>%.</w:t>
      </w:r>
    </w:p>
    <w:p>
      <w:pPr>
        <w:pStyle w:val="Normal"/>
        <w:numPr>
          <w:ilvl w:val="1"/>
          <w:numId w:val="4"/>
        </w:numPr>
        <w:tabs>
          <w:tab w:val="clear" w:pos="708"/>
          <w:tab w:val="left" w:pos="851" w:leader="none"/>
        </w:tabs>
        <w:spacing w:lineRule="auto" w:line="240" w:before="0" w:after="0"/>
        <w:ind w:firstLine="567" w:left="0"/>
        <w:contextualSpacing/>
        <w:rPr/>
      </w:pPr>
      <w:r>
        <w:rPr/>
        <w:t>Цена услуги формируется исходя из удельного веса принимаемых к размещению на объекте Исполнителя отходов, по данным весового контроля транспортных средств Заказчика и данных об объеме доставляемых отходов транспортными средствами Заказчика.</w:t>
      </w:r>
    </w:p>
    <w:p>
      <w:pPr>
        <w:pStyle w:val="Normal"/>
        <w:tabs>
          <w:tab w:val="clear" w:pos="708"/>
          <w:tab w:val="left" w:pos="851" w:leader="none"/>
        </w:tabs>
        <w:spacing w:lineRule="auto" w:line="240" w:before="0" w:after="0"/>
        <w:ind w:firstLine="567" w:left="0" w:right="26"/>
        <w:contextualSpacing/>
        <w:rPr/>
      </w:pPr>
      <w:r>
        <w:rPr/>
        <w:t xml:space="preserve">Для транспортных средств с учетом степени уплотнения (в соответствии с техническими характеристиками установки указанными в паспорте) цена услуги формируется исходя из удельного веса принимаемых к размещению на объекте Исполнителя отходов, по данным весового контроля транспортных средств Заказчика и данных об объеме доставляемых отходов независимо от наполняемости емкости транспортного средства, исходя из геометрического объема кузова транспортного средства согласно Приложению № 2 к настоящему договору.    </w:t>
      </w:r>
    </w:p>
    <w:p>
      <w:pPr>
        <w:pStyle w:val="Normal"/>
        <w:ind w:firstLine="538" w:left="29" w:right="26"/>
        <w:rPr/>
      </w:pPr>
      <w:r>
        <w:rPr/>
        <w:t xml:space="preserve">Расчетным периодом по настоящему договору является 1(Один) календарный месяц. </w:t>
      </w:r>
    </w:p>
    <w:p>
      <w:pPr>
        <w:pStyle w:val="Normal"/>
        <w:ind w:firstLine="538" w:left="29" w:right="26"/>
        <w:rPr/>
      </w:pPr>
      <w:r>
        <w:rPr/>
        <w:t xml:space="preserve">Оплата услуг по настоящему договору осуществляется на условиях </w:t>
      </w:r>
      <w:r>
        <w:rPr/>
        <w:t>_________________________</w:t>
      </w:r>
      <w:r>
        <w:rPr/>
        <w:t xml:space="preserve"> стоимости размещения отходов исходя из планируемой Заказчиком для передачи на размещение массы отходов и в соответствии с действующими ценами Исполнителя, на основании выставленного Исполнителем счета, путем перечисления денежных средств на расчетный счет Исполнителя. В отсутствие оплаты Исполнитель вправе отказать в оказании услуг. </w:t>
      </w:r>
    </w:p>
    <w:p>
      <w:pPr>
        <w:pStyle w:val="Normal"/>
        <w:ind w:firstLine="538" w:left="29" w:right="26"/>
        <w:rPr/>
      </w:pPr>
      <w:r>
        <w:rPr/>
        <w:t xml:space="preserve">В случае, если по данным весового контроля в течение расчетного периода Заказчик передал отходы на размещение в фактическом количестве большем, чем было им </w:t>
      </w:r>
      <w:r>
        <w:rPr/>
        <w:t>______________</w:t>
      </w:r>
      <w:r>
        <w:rPr/>
        <w:t xml:space="preserve"> оплачено, Заказчик обязан оплатить разницу не позднее 5 (пяти) рабочих дней с даты получения соответствующего счета от Исполнителя.   В случае, если по данным весового контроля Заказчик передал отходы на размещение в фактическом количестве меньшем, чем было им предварительно оплачено, Исполнитель вправе зачесть указанную оплату в счет будущего расчетного периода либо в случае наличия задолженности (включая неустойку и пени) в счет ее погашения. </w:t>
      </w:r>
    </w:p>
    <w:p>
      <w:pPr>
        <w:pStyle w:val="Normal"/>
        <w:spacing w:before="0" w:after="194"/>
        <w:ind w:firstLine="538" w:left="29" w:right="26"/>
        <w:rPr/>
      </w:pPr>
      <w:r>
        <w:rPr/>
        <w:t>При наличии задолженности Исполнитель вправе отказать Заказчику в размещении отходов до момента ее погашения Заказчиком.</w:t>
      </w:r>
    </w:p>
    <w:p>
      <w:pPr>
        <w:pStyle w:val="Normal"/>
        <w:ind w:firstLine="538" w:left="29" w:right="26"/>
        <w:rPr/>
      </w:pPr>
      <w:r>
        <w:rPr/>
        <w:t>5.3. Исполнитель оставляет за собой право в одностороннем порядке изменить стоимость услуг, известив об этом Заказчика заказным письмом с уведомлением или электронной почтой. Вновь установленная цена применяется Исполнителям при расчете стоимости оказанных услуг по истечении 10 дней с даты уведомления Заказчика.</w:t>
      </w:r>
    </w:p>
    <w:p>
      <w:pPr>
        <w:pStyle w:val="Normal"/>
        <w:ind w:firstLine="538" w:left="29" w:right="26"/>
        <w:rPr/>
      </w:pPr>
      <w:r>
        <w:rPr/>
        <w:t>5.4. При наличии задолженности у Заказчика перед Исполнителем поступающие платежи, независимо от назначения платежа, идут в счет погашения задолженности, а уже оставшаяся сумма идет на оплату текущих платежей.</w:t>
      </w:r>
    </w:p>
    <w:p>
      <w:pPr>
        <w:pStyle w:val="Normal"/>
        <w:numPr>
          <w:ilvl w:val="0"/>
          <w:numId w:val="6"/>
        </w:numPr>
        <w:tabs>
          <w:tab w:val="clear" w:pos="708"/>
          <w:tab w:val="left" w:pos="9781" w:leader="none"/>
        </w:tabs>
        <w:spacing w:lineRule="auto" w:line="259" w:before="0" w:after="15"/>
        <w:ind w:hanging="175" w:left="209" w:right="9"/>
        <w:jc w:val="center"/>
        <w:rPr/>
      </w:pPr>
      <w:r>
        <w:rPr>
          <w:b/>
        </w:rPr>
        <w:t>ОТВЕТСТВЕННОСТЬ СТОРОН.</w:t>
      </w:r>
    </w:p>
    <w:p>
      <w:pPr>
        <w:pStyle w:val="Normal"/>
        <w:numPr>
          <w:ilvl w:val="1"/>
          <w:numId w:val="6"/>
        </w:numPr>
        <w:tabs>
          <w:tab w:val="clear" w:pos="708"/>
          <w:tab w:val="left" w:pos="851" w:leader="none"/>
        </w:tabs>
        <w:ind w:firstLine="567" w:left="0" w:right="26"/>
        <w:rPr/>
      </w:pPr>
      <w:r>
        <w:rPr/>
        <w:t>В случае несвоевременной оплаты услуг Исполнителя Заказчик уплачивает пени в размере 0,1 % от суммы задолженности за каждый календарный день просрочки исполнения обязательства по оплате. Уплата санкций не освобождает стороны от исполнения обязательств. Заказчик обязан оплатить пени перечислением на расчетный счет Исполнителя в срок не позднее 5 рабочих дней с момента получения соответствующего требования от Исполнителя.</w:t>
      </w:r>
    </w:p>
    <w:p>
      <w:pPr>
        <w:pStyle w:val="Normal"/>
        <w:numPr>
          <w:ilvl w:val="1"/>
          <w:numId w:val="6"/>
        </w:numPr>
        <w:tabs>
          <w:tab w:val="clear" w:pos="708"/>
          <w:tab w:val="left" w:pos="851" w:leader="none"/>
        </w:tabs>
        <w:ind w:firstLine="567" w:left="0" w:right="26"/>
        <w:rPr/>
      </w:pPr>
      <w:r>
        <w:rPr/>
        <w:t>Исполнитель имеет право на возмещение сумм штрафных санкций, наложенных административными органами и другими инспектирующими организациями по вине Заказчика, связанной с нарушением требований законодательства и договорных условий.</w:t>
      </w:r>
    </w:p>
    <w:p>
      <w:pPr>
        <w:pStyle w:val="Normal"/>
        <w:numPr>
          <w:ilvl w:val="1"/>
          <w:numId w:val="6"/>
        </w:numPr>
        <w:tabs>
          <w:tab w:val="clear" w:pos="708"/>
          <w:tab w:val="left" w:pos="851" w:leader="none"/>
        </w:tabs>
        <w:ind w:firstLine="567" w:left="0" w:right="26"/>
        <w:rPr/>
      </w:pPr>
      <w:r>
        <w:rPr/>
        <w:t>Ответственность сторон, не предусмотренная настоящим Договором, определяется действующим законодательством РФ.</w:t>
      </w:r>
    </w:p>
    <w:p>
      <w:pPr>
        <w:pStyle w:val="Normal"/>
        <w:numPr>
          <w:ilvl w:val="1"/>
          <w:numId w:val="6"/>
        </w:numPr>
        <w:tabs>
          <w:tab w:val="clear" w:pos="708"/>
          <w:tab w:val="left" w:pos="851" w:leader="none"/>
        </w:tabs>
        <w:ind w:firstLine="567" w:left="0" w:right="26"/>
        <w:rPr/>
      </w:pPr>
      <w:r>
        <w:rPr/>
        <w:t>Окончание срока действия договора не освобождает Стороны от ответственности за его нарушение.</w:t>
      </w:r>
    </w:p>
    <w:p>
      <w:pPr>
        <w:pStyle w:val="Normal"/>
        <w:numPr>
          <w:ilvl w:val="1"/>
          <w:numId w:val="6"/>
        </w:numPr>
        <w:tabs>
          <w:tab w:val="clear" w:pos="708"/>
          <w:tab w:val="left" w:pos="851" w:leader="none"/>
        </w:tabs>
        <w:ind w:firstLine="567" w:left="0" w:right="26"/>
        <w:rPr/>
      </w:pPr>
      <w:r>
        <w:rPr/>
        <w:t>В случае обнаружения нарушений п. 4.1.10 Договора (во время приема, выгрузки или размещения отходов), Заказчик обязуется самостоятельно и незамедлительно за свой счет устранить выявленные нарушения.</w:t>
      </w:r>
    </w:p>
    <w:p>
      <w:pPr>
        <w:pStyle w:val="Normal"/>
        <w:numPr>
          <w:ilvl w:val="0"/>
          <w:numId w:val="6"/>
        </w:numPr>
        <w:spacing w:lineRule="auto" w:line="259" w:before="0" w:after="15"/>
        <w:ind w:hanging="175" w:left="209" w:right="880"/>
        <w:jc w:val="center"/>
        <w:rPr/>
      </w:pPr>
      <w:r>
        <w:rPr>
          <w:b/>
        </w:rPr>
        <w:t>ПОРЯДОК РАЗРЕШЕНИЯ СПОРОВ.</w:t>
      </w:r>
    </w:p>
    <w:p>
      <w:pPr>
        <w:pStyle w:val="Normal"/>
        <w:numPr>
          <w:ilvl w:val="1"/>
          <w:numId w:val="6"/>
        </w:numPr>
        <w:tabs>
          <w:tab w:val="clear" w:pos="708"/>
          <w:tab w:val="left" w:pos="851" w:leader="none"/>
        </w:tabs>
        <w:ind w:firstLine="567" w:left="0" w:right="26"/>
        <w:rPr/>
      </w:pPr>
      <w:r>
        <w:rPr/>
        <w:t>Все споры и разногласия, которые могут возникнуть из настоящего Договора, Стороны будут стремиться разрешать путем переговоров. В случае если указанные споры и разногласия не могут быть разрешены путем переговоров, они подлежат разрешению в Арбитражном суде Волгоградской области с обязательным предъявлением претензии, срок рассмотрения которой составляет 10 календарных дней с момента ее получения.</w:t>
      </w:r>
    </w:p>
    <w:p>
      <w:pPr>
        <w:pStyle w:val="Normal"/>
        <w:numPr>
          <w:ilvl w:val="1"/>
          <w:numId w:val="6"/>
        </w:numPr>
        <w:tabs>
          <w:tab w:val="clear" w:pos="708"/>
          <w:tab w:val="left" w:pos="851" w:leader="none"/>
        </w:tabs>
        <w:ind w:firstLine="567" w:left="0" w:right="26"/>
        <w:rPr/>
      </w:pPr>
      <w:r>
        <w:rPr/>
        <w:t>В случае, если указанные споры и разногласия не могут быть разрешены путем переговоров, они подлежат разрешению в Арбитражном суде Волгоградской области в соответствии с действующим законодательством РФ.</w:t>
      </w:r>
    </w:p>
    <w:p>
      <w:pPr>
        <w:pStyle w:val="Normal"/>
        <w:numPr>
          <w:ilvl w:val="0"/>
          <w:numId w:val="6"/>
        </w:numPr>
        <w:spacing w:lineRule="auto" w:line="264" w:before="0" w:after="11"/>
        <w:ind w:hanging="175" w:left="209" w:right="880"/>
        <w:jc w:val="center"/>
        <w:rPr/>
      </w:pPr>
      <w:r>
        <w:rPr>
          <w:b/>
        </w:rPr>
        <w:t>СРОК ДЕЙСТВИЯ ДОГОВОРА.ПОРЯДОК ИЗМЕНЕНИЯ И РАСТОРЖЕНИЯ ДОГОВОРА.</w:t>
      </w:r>
    </w:p>
    <w:p>
      <w:pPr>
        <w:pStyle w:val="Normal"/>
        <w:numPr>
          <w:ilvl w:val="0"/>
          <w:numId w:val="7"/>
        </w:numPr>
        <w:ind w:firstLine="274" w:left="293" w:right="9"/>
        <w:rPr/>
      </w:pPr>
      <w:r>
        <w:rPr/>
        <w:t xml:space="preserve">1. Настоящий договор заключен на период с </w:t>
      </w:r>
      <w:r>
        <w:rPr/>
        <w:t>___________________</w:t>
      </w:r>
      <w:r>
        <w:rPr/>
        <w:t>, а в части взаимных расчетов – до полного исполнения обязательств.</w:t>
      </w:r>
    </w:p>
    <w:p>
      <w:pPr>
        <w:pStyle w:val="Normal"/>
        <w:ind w:firstLine="538" w:left="29" w:right="26"/>
        <w:rPr/>
      </w:pPr>
      <w:r>
        <w:rPr/>
        <w:t xml:space="preserve">8.2. Любые изменения и дополнения к настоящему договору имеют силу только в том случае, если они оформлены в письменном виде и подписаны обеими сторонами, за исключением изменений, предусмотренных п. 5.3.и 10.3 настоящего договора.                      </w:t>
      </w:r>
    </w:p>
    <w:p>
      <w:pPr>
        <w:pStyle w:val="Normal"/>
        <w:numPr>
          <w:ilvl w:val="0"/>
          <w:numId w:val="7"/>
        </w:numPr>
        <w:spacing w:lineRule="auto" w:line="259" w:before="0" w:after="15"/>
        <w:ind w:hanging="259" w:left="293" w:right="878"/>
        <w:jc w:val="center"/>
        <w:rPr/>
      </w:pPr>
      <w:r>
        <w:rPr>
          <w:b/>
        </w:rPr>
        <w:t xml:space="preserve">ФОРС-МАЖОР.  </w:t>
      </w:r>
    </w:p>
    <w:p>
      <w:pPr>
        <w:pStyle w:val="Normal"/>
        <w:numPr>
          <w:ilvl w:val="1"/>
          <w:numId w:val="7"/>
        </w:numPr>
        <w:tabs>
          <w:tab w:val="clear" w:pos="708"/>
          <w:tab w:val="left" w:pos="851" w:leader="none"/>
        </w:tabs>
        <w:ind w:firstLine="567" w:left="0" w:right="26"/>
        <w:rPr/>
      </w:pPr>
      <w:r>
        <w:rPr/>
        <w:t>Ни одна из сторон настоящего Договора не несет ответственности за полное или частичное неисполнение обязательств, если неисполнение является следствием обстоятельств: наводнение, пожар, землетрясение и другие стихийные бедствия; война или военные действия; акты или действия государственных органов; любые другие обстоятельства, находящиеся вне контроля сторон и возникшие после заключения настоящего Договора.</w:t>
      </w:r>
    </w:p>
    <w:p>
      <w:pPr>
        <w:pStyle w:val="Normal"/>
        <w:numPr>
          <w:ilvl w:val="1"/>
          <w:numId w:val="7"/>
        </w:numPr>
        <w:tabs>
          <w:tab w:val="clear" w:pos="708"/>
          <w:tab w:val="left" w:pos="851" w:leader="none"/>
        </w:tabs>
        <w:ind w:firstLine="567" w:left="0" w:right="26"/>
        <w:rPr/>
      </w:pPr>
      <w:r>
        <w:rPr/>
        <w:t>Если любое из таких обстоятельств непосредственно повлияет на исполнение обязательств в срок, установленный в договоре, то этот срок соразмерно отодвигается на время действия соответствующего обязательства, но не более 30 календарных дней, после чего Договор может быть расторгнут без взаимных претензий.</w:t>
      </w:r>
    </w:p>
    <w:p>
      <w:pPr>
        <w:pStyle w:val="Normal"/>
        <w:numPr>
          <w:ilvl w:val="0"/>
          <w:numId w:val="7"/>
        </w:numPr>
        <w:spacing w:lineRule="auto" w:line="259" w:before="0" w:after="15"/>
        <w:ind w:hanging="259" w:left="293" w:right="878"/>
        <w:jc w:val="center"/>
        <w:rPr/>
      </w:pPr>
      <w:r>
        <w:rPr>
          <w:b/>
        </w:rPr>
        <w:t>ЗАКЛЮЧИТЕЛЬНЫЕ ПОЛОЖЕНИЯ.</w:t>
      </w:r>
    </w:p>
    <w:p>
      <w:pPr>
        <w:pStyle w:val="Normal"/>
        <w:numPr>
          <w:ilvl w:val="1"/>
          <w:numId w:val="7"/>
        </w:numPr>
        <w:tabs>
          <w:tab w:val="clear" w:pos="708"/>
          <w:tab w:val="left" w:pos="993" w:leader="none"/>
        </w:tabs>
        <w:ind w:firstLine="567" w:left="0" w:right="26"/>
        <w:rPr/>
      </w:pPr>
      <w:r>
        <w:rPr/>
        <w:t>Настоящий договор составлен в 2-х экземплярах, имеющих равную юридическую силу, по одному для каждой Стороны.</w:t>
      </w:r>
    </w:p>
    <w:p>
      <w:pPr>
        <w:pStyle w:val="Normal"/>
        <w:numPr>
          <w:ilvl w:val="1"/>
          <w:numId w:val="7"/>
        </w:numPr>
        <w:tabs>
          <w:tab w:val="clear" w:pos="708"/>
          <w:tab w:val="left" w:pos="993" w:leader="none"/>
        </w:tabs>
        <w:ind w:firstLine="567" w:left="0" w:right="26"/>
        <w:rPr/>
      </w:pPr>
      <w:r>
        <w:rPr/>
        <w:t>Стороны уведомляют друг друга в письменной форме в течение 5 (Пяти) рабочих дней об изменении банковских реквизитов, адреса и сведений о государственной регистрации, других сведений, влияющих на оказание услуг, их объем, стоимость.</w:t>
      </w:r>
    </w:p>
    <w:p>
      <w:pPr>
        <w:pStyle w:val="Normal"/>
        <w:tabs>
          <w:tab w:val="clear" w:pos="708"/>
          <w:tab w:val="left" w:pos="993" w:leader="none"/>
        </w:tabs>
        <w:ind w:firstLine="567" w:left="0" w:right="26"/>
        <w:rPr/>
      </w:pPr>
      <w:r>
        <w:rPr/>
        <w:t>10.3. Договор может быть расторгнут в одностороннем порядке, при этом инициирующая сторона направляет другой стороне уведомление за 10 календарных дней до предполагаемой даты расторжения. В случае досрочного расторжения Договора стороны проводят сверку взаиморасчетов.</w:t>
      </w:r>
    </w:p>
    <w:p>
      <w:pPr>
        <w:pStyle w:val="Normal"/>
        <w:numPr>
          <w:ilvl w:val="1"/>
          <w:numId w:val="8"/>
        </w:numPr>
        <w:tabs>
          <w:tab w:val="clear" w:pos="708"/>
          <w:tab w:val="left" w:pos="993" w:leader="none"/>
        </w:tabs>
        <w:ind w:firstLine="567" w:left="0" w:right="26"/>
        <w:rPr/>
      </w:pPr>
      <w:r>
        <w:rPr/>
        <w:t>Стороны договорились, что в процессе исполнения условий настоящего Договора будут осуществлять постоянный обмен корреспонденцией (письма, уведомления, счета, универсальные передаточные документы), которая может направляться с использованием средств: почтовой связи, факсимильной связи и электронной почты с обязательным подтверждением получения ответа на электронное сообщение (с приложением копии запроса) с пометкой "Получено" и указанием даты получения. Автоматическое уведомление программными средствами о получении электронного сообщения по электронной почте, полученное любой из Сторон, считается аналогом такого подтверждения. Корреспонденция направляется по факсу -</w:t>
      </w:r>
      <w:r>
        <w:rPr/>
        <w:t>___________</w:t>
      </w:r>
      <w:r>
        <w:rPr/>
        <w:t xml:space="preserve"> и электронным адресам </w:t>
      </w:r>
      <w:r>
        <w:rPr/>
        <w:t>______________________</w:t>
      </w:r>
      <w:r>
        <w:rPr/>
        <w:t>. Все уведомления и сообщения, отправленные Сторонами друг другу по вышеуказанным адресам электронной почты и/или по телефонным номерам, признаются Сторонами официальной перепиской в рамках настоящего Договора.</w:t>
      </w:r>
    </w:p>
    <w:p>
      <w:pPr>
        <w:pStyle w:val="Normal"/>
        <w:numPr>
          <w:ilvl w:val="1"/>
          <w:numId w:val="8"/>
        </w:numPr>
        <w:tabs>
          <w:tab w:val="clear" w:pos="708"/>
          <w:tab w:val="left" w:pos="993" w:leader="none"/>
        </w:tabs>
        <w:ind w:firstLine="567" w:left="0" w:right="26"/>
        <w:rPr/>
      </w:pPr>
      <w:r>
        <w:rPr/>
        <w:t>Приложения к настоящему Договору №1 и № 2, подписанные Сторонами, являются его неотъемлемыми частями.</w:t>
      </w:r>
    </w:p>
    <w:p>
      <w:pPr>
        <w:pStyle w:val="Normal"/>
        <w:numPr>
          <w:ilvl w:val="1"/>
          <w:numId w:val="8"/>
        </w:numPr>
        <w:tabs>
          <w:tab w:val="clear" w:pos="708"/>
          <w:tab w:val="left" w:pos="993" w:leader="none"/>
        </w:tabs>
        <w:ind w:firstLine="567" w:left="0" w:right="26"/>
        <w:rPr/>
      </w:pPr>
      <w:r>
        <w:rPr/>
        <w:t>Настоящий договор не подтверждает оказание услуг по размещению отходов и не является основанием для отчета перед контролирующими органами. Оказание услуг по размещению отходов подтверждается универсальным передаточным документом (УПД), оформленными надлежащим образом.</w:t>
      </w:r>
    </w:p>
    <w:p>
      <w:pPr>
        <w:pStyle w:val="Normal"/>
        <w:numPr>
          <w:ilvl w:val="0"/>
          <w:numId w:val="8"/>
        </w:numPr>
        <w:spacing w:lineRule="auto" w:line="259" w:before="0" w:after="15"/>
        <w:ind w:hanging="252" w:left="278" w:right="459"/>
        <w:jc w:val="center"/>
        <w:rPr/>
      </w:pPr>
      <w:r>
        <w:rPr>
          <w:b/>
        </w:rPr>
        <w:t>РЕКВИЗИТЫ И ПОДПИСИ СТОРОН.</w:t>
      </w:r>
    </w:p>
    <w:tbl>
      <w:tblPr>
        <w:tblStyle w:val="TableGrid"/>
        <w:tblW w:w="10553" w:type="dxa"/>
        <w:jc w:val="left"/>
        <w:tblInd w:w="26" w:type="dxa"/>
        <w:tblLayout w:type="fixed"/>
        <w:tblCellMar>
          <w:top w:w="0" w:type="dxa"/>
          <w:left w:w="0" w:type="dxa"/>
          <w:bottom w:w="0" w:type="dxa"/>
          <w:right w:w="0" w:type="dxa"/>
        </w:tblCellMar>
        <w:tblLook w:val="04a0" w:noHBand="0" w:noVBand="1" w:firstColumn="1" w:lastRow="0" w:lastColumn="0" w:firstRow="1"/>
      </w:tblPr>
      <w:tblGrid>
        <w:gridCol w:w="5308"/>
        <w:gridCol w:w="5244"/>
      </w:tblGrid>
      <w:tr>
        <w:trPr>
          <w:trHeight w:val="233" w:hRule="atLeast"/>
        </w:trPr>
        <w:tc>
          <w:tcPr>
            <w:tcW w:w="5308" w:type="dxa"/>
            <w:tcBorders/>
          </w:tcPr>
          <w:p>
            <w:pPr>
              <w:pStyle w:val="Normal"/>
              <w:widowControl/>
              <w:spacing w:lineRule="auto" w:line="259" w:before="0" w:after="0"/>
              <w:ind w:hanging="0" w:left="2"/>
              <w:jc w:val="left"/>
              <w:rPr>
                <w:szCs w:val="15"/>
              </w:rPr>
            </w:pPr>
            <w:r>
              <w:rPr>
                <w:b/>
                <w:kern w:val="0"/>
                <w:szCs w:val="15"/>
                <w:lang w:val="ru-RU" w:eastAsia="ru-RU" w:bidi="ar-SA"/>
              </w:rPr>
              <w:t>ИСПОЛНИТЕЛЬ</w:t>
            </w:r>
          </w:p>
        </w:tc>
        <w:tc>
          <w:tcPr>
            <w:tcW w:w="5244" w:type="dxa"/>
            <w:tcBorders/>
          </w:tcPr>
          <w:p>
            <w:pPr>
              <w:pStyle w:val="Normal"/>
              <w:widowControl/>
              <w:spacing w:lineRule="auto" w:line="259" w:before="0" w:after="0"/>
              <w:ind w:hanging="0" w:left="2"/>
              <w:jc w:val="left"/>
              <w:rPr>
                <w:szCs w:val="15"/>
              </w:rPr>
            </w:pPr>
            <w:r>
              <w:rPr>
                <w:b/>
                <w:kern w:val="0"/>
                <w:szCs w:val="15"/>
                <w:lang w:val="ru-RU" w:eastAsia="ru-RU" w:bidi="ar-SA"/>
              </w:rPr>
              <w:t>ЗАКАЗЧИК</w:t>
            </w:r>
          </w:p>
        </w:tc>
      </w:tr>
      <w:tr>
        <w:trPr>
          <w:trHeight w:val="1193" w:hRule="atLeast"/>
        </w:trPr>
        <w:tc>
          <w:tcPr>
            <w:tcW w:w="5308" w:type="dxa"/>
            <w:tcBorders/>
          </w:tcPr>
          <w:p>
            <w:pPr>
              <w:pStyle w:val="Normal"/>
              <w:widowControl/>
              <w:spacing w:lineRule="auto" w:line="259" w:before="0" w:after="0"/>
              <w:ind w:hanging="0" w:left="0"/>
              <w:jc w:val="left"/>
              <w:rPr>
                <w:szCs w:val="15"/>
              </w:rPr>
            </w:pPr>
            <w:r>
              <w:rPr>
                <w:kern w:val="0"/>
                <w:lang w:val="ru-RU" w:eastAsia="ru-RU" w:bidi="ar-SA"/>
              </w:rPr>
            </w:r>
          </w:p>
        </w:tc>
        <w:tc>
          <w:tcPr>
            <w:tcW w:w="5244" w:type="dxa"/>
            <w:tcBorders/>
          </w:tcPr>
          <w:p>
            <w:pPr>
              <w:pStyle w:val="Normal"/>
              <w:widowControl/>
              <w:tabs>
                <w:tab w:val="clear" w:pos="708"/>
                <w:tab w:val="left" w:pos="2462" w:leader="none"/>
              </w:tabs>
              <w:spacing w:lineRule="auto" w:line="240" w:before="0" w:after="144"/>
              <w:ind w:hanging="0" w:left="0" w:right="-336"/>
              <w:jc w:val="left"/>
              <w:rPr>
                <w:szCs w:val="15"/>
              </w:rPr>
            </w:pPr>
            <w:r>
              <w:rPr>
                <w:kern w:val="0"/>
                <w:lang w:val="ru-RU" w:eastAsia="ru-RU" w:bidi="ar-SA"/>
              </w:rPr>
            </w:r>
          </w:p>
        </w:tc>
      </w:tr>
      <w:tr>
        <w:trPr>
          <w:trHeight w:val="537" w:hRule="atLeast"/>
        </w:trPr>
        <w:tc>
          <w:tcPr>
            <w:tcW w:w="5308" w:type="dxa"/>
            <w:tcBorders/>
            <w:vAlign w:val="bottom"/>
          </w:tcPr>
          <w:p>
            <w:pPr>
              <w:pStyle w:val="Normal"/>
              <w:widowControl/>
              <w:spacing w:lineRule="auto" w:line="259" w:before="0" w:after="0"/>
              <w:ind w:hanging="0" w:left="7"/>
              <w:jc w:val="left"/>
              <w:rPr>
                <w:szCs w:val="15"/>
              </w:rPr>
            </w:pPr>
            <w:r>
              <w:rPr>
                <w:kern w:val="0"/>
                <w:szCs w:val="15"/>
                <w:lang w:val="ru-RU" w:eastAsia="ru-RU" w:bidi="ar-SA"/>
              </w:rPr>
              <w:t xml:space="preserve">Представитель ________________ </w:t>
            </w:r>
          </w:p>
        </w:tc>
        <w:tc>
          <w:tcPr>
            <w:tcW w:w="5244" w:type="dxa"/>
            <w:tcBorders/>
          </w:tcPr>
          <w:p>
            <w:pPr>
              <w:pStyle w:val="Normal"/>
              <w:widowControl/>
              <w:spacing w:lineRule="auto" w:line="240" w:before="0" w:after="0"/>
              <w:ind w:hanging="0" w:left="7"/>
              <w:jc w:val="left"/>
              <w:rPr>
                <w:szCs w:val="15"/>
              </w:rPr>
            </w:pPr>
            <w:r>
              <w:rPr>
                <w:kern w:val="0"/>
                <w:szCs w:val="15"/>
                <w:lang w:val="ru-RU" w:eastAsia="ru-RU" w:bidi="ar-SA"/>
              </w:rPr>
            </w:r>
          </w:p>
          <w:p>
            <w:pPr>
              <w:pStyle w:val="Normal"/>
              <w:widowControl/>
              <w:spacing w:lineRule="auto" w:line="240" w:before="0" w:after="0"/>
              <w:ind w:hanging="0" w:left="7"/>
              <w:jc w:val="left"/>
              <w:rPr>
                <w:szCs w:val="15"/>
              </w:rPr>
            </w:pPr>
            <w:r>
              <w:rPr>
                <w:kern w:val="0"/>
                <w:szCs w:val="15"/>
                <w:lang w:val="ru-RU" w:eastAsia="ru-RU" w:bidi="ar-SA"/>
              </w:rPr>
            </w:r>
          </w:p>
          <w:p>
            <w:pPr>
              <w:pStyle w:val="Normal"/>
              <w:widowControl/>
              <w:spacing w:lineRule="auto" w:line="240" w:before="0" w:after="0"/>
              <w:ind w:hanging="0" w:left="7"/>
              <w:jc w:val="left"/>
              <w:rPr>
                <w:szCs w:val="15"/>
              </w:rPr>
            </w:pPr>
            <w:r>
              <w:rPr>
                <w:kern w:val="0"/>
                <w:szCs w:val="15"/>
                <w:lang w:val="ru-RU" w:eastAsia="ru-RU" w:bidi="ar-SA"/>
              </w:rPr>
              <w:t xml:space="preserve">Директор ______________ </w:t>
            </w:r>
          </w:p>
        </w:tc>
      </w:tr>
      <w:tr>
        <w:trPr>
          <w:trHeight w:val="233" w:hRule="atLeast"/>
        </w:trPr>
        <w:tc>
          <w:tcPr>
            <w:tcW w:w="5308" w:type="dxa"/>
            <w:tcBorders/>
          </w:tcPr>
          <w:p>
            <w:pPr>
              <w:pStyle w:val="Normal"/>
              <w:widowControl/>
              <w:spacing w:lineRule="auto" w:line="259" w:before="0" w:after="0"/>
              <w:ind w:hanging="0" w:left="0" w:right="362"/>
              <w:jc w:val="center"/>
              <w:rPr>
                <w:kern w:val="0"/>
                <w:szCs w:val="22"/>
                <w:lang w:val="ru-RU" w:eastAsia="ru-RU" w:bidi="ar-SA"/>
              </w:rPr>
            </w:pPr>
            <w:r>
              <w:rPr>
                <w:kern w:val="0"/>
                <w:sz w:val="12"/>
                <w:szCs w:val="22"/>
                <w:lang w:val="ru-RU" w:eastAsia="ru-RU" w:bidi="ar-SA"/>
              </w:rPr>
              <w:t>М.П.</w:t>
            </w:r>
          </w:p>
        </w:tc>
        <w:tc>
          <w:tcPr>
            <w:tcW w:w="5244" w:type="dxa"/>
            <w:tcBorders/>
          </w:tcPr>
          <w:p>
            <w:pPr>
              <w:pStyle w:val="Normal"/>
              <w:widowControl/>
              <w:spacing w:lineRule="auto" w:line="259" w:before="0" w:after="0"/>
              <w:ind w:hanging="0" w:left="718"/>
              <w:jc w:val="left"/>
              <w:rPr>
                <w:kern w:val="0"/>
                <w:szCs w:val="22"/>
                <w:lang w:val="ru-RU" w:eastAsia="ru-RU" w:bidi="ar-SA"/>
              </w:rPr>
            </w:pPr>
            <w:r>
              <w:rPr>
                <w:kern w:val="0"/>
                <w:sz w:val="12"/>
                <w:szCs w:val="22"/>
                <w:lang w:val="ru-RU" w:eastAsia="ru-RU" w:bidi="ar-SA"/>
              </w:rPr>
              <w:t>М.П.</w:t>
            </w:r>
          </w:p>
        </w:tc>
      </w:tr>
    </w:tbl>
    <w:p>
      <w:pPr>
        <w:pStyle w:val="Normal"/>
        <w:spacing w:before="0" w:after="220"/>
        <w:ind w:hanging="1580" w:left="1580" w:right="26"/>
        <w:rPr/>
      </w:pPr>
      <w:r>
        <w:rPr/>
      </w:r>
    </w:p>
    <w:p>
      <w:pPr>
        <w:pStyle w:val="Normal"/>
        <w:spacing w:before="0" w:after="220"/>
        <w:ind w:hanging="1580" w:left="1580" w:right="26"/>
        <w:rPr/>
      </w:pPr>
      <w:r>
        <w:rPr/>
      </w:r>
    </w:p>
    <w:p>
      <w:pPr>
        <w:pStyle w:val="Normal"/>
        <w:spacing w:before="0" w:after="220"/>
        <w:ind w:hanging="1580" w:left="1580" w:right="26"/>
        <w:rPr/>
      </w:pPr>
      <w:r>
        <w:rPr/>
      </w:r>
    </w:p>
    <w:p>
      <w:pPr>
        <w:pStyle w:val="Normal"/>
        <w:spacing w:before="0" w:after="220"/>
        <w:ind w:hanging="1580" w:left="1580" w:right="26"/>
        <w:rPr/>
      </w:pPr>
      <w:r>
        <w:rPr/>
      </w:r>
    </w:p>
    <w:p>
      <w:pPr>
        <w:pStyle w:val="Normal"/>
        <w:spacing w:lineRule="auto" w:line="259" w:before="0" w:after="0"/>
        <w:ind w:hanging="0" w:left="797"/>
        <w:jc w:val="lef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t>Приложение № 1</w:t>
      </w:r>
    </w:p>
    <w:p>
      <w:pPr>
        <w:pStyle w:val="Normal"/>
        <w:spacing w:lineRule="auto" w:line="259" w:before="0" w:after="14"/>
        <w:ind w:hanging="10" w:left="10" w:right="7"/>
        <w:jc w:val="right"/>
        <w:rPr/>
      </w:pPr>
      <w:r>
        <w:rPr/>
        <w:t>к Договору на оказание услуг</w:t>
      </w:r>
    </w:p>
    <w:p>
      <w:pPr>
        <w:pStyle w:val="Normal"/>
        <w:spacing w:lineRule="auto" w:line="259" w:before="0" w:after="14"/>
        <w:ind w:hanging="10" w:left="10" w:right="7"/>
        <w:jc w:val="right"/>
        <w:rPr/>
      </w:pPr>
      <w:r>
        <w:rPr/>
        <w:t xml:space="preserve">№ </w:t>
      </w:r>
      <w:r>
        <w:rPr/>
        <w:t xml:space="preserve">_________________________ от </w:t>
      </w:r>
      <w:r>
        <w:rPr/>
        <w:t>__________________</w:t>
      </w:r>
    </w:p>
    <w:tbl>
      <w:tblPr>
        <w:tblW w:w="10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50"/>
        <w:gridCol w:w="7809"/>
        <w:gridCol w:w="2564"/>
      </w:tblGrid>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center"/>
              <w:rPr>
                <w:b/>
                <w:i/>
                <w:i/>
              </w:rPr>
            </w:pPr>
            <w:r>
              <w:rPr>
                <w:b/>
                <w:i/>
              </w:rPr>
              <w:t xml:space="preserve">№ </w:t>
            </w:r>
            <w:r>
              <w:rPr>
                <w:b/>
                <w:i/>
              </w:rPr>
              <w:t>п/п</w:t>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center"/>
              <w:rPr>
                <w:b/>
                <w:i/>
                <w:i/>
              </w:rPr>
            </w:pPr>
            <w:r>
              <w:rPr>
                <w:b/>
                <w:i/>
              </w:rPr>
              <w:t>Наименование вида отходов</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center"/>
              <w:rPr>
                <w:b/>
                <w:i/>
                <w:i/>
              </w:rPr>
            </w:pPr>
            <w:r>
              <w:rPr>
                <w:b/>
                <w:i/>
              </w:rPr>
              <w:t>Код по ФККО</w:t>
            </w:r>
          </w:p>
        </w:tc>
      </w:tr>
      <w:tr>
        <w:trPr/>
        <w:tc>
          <w:tcPr>
            <w:tcW w:w="1092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center"/>
              <w:rPr>
                <w:b/>
              </w:rPr>
            </w:pPr>
            <w:r>
              <w:rPr>
                <w:b/>
              </w:rPr>
              <w:t xml:space="preserve">Отходы </w:t>
            </w:r>
            <w:r>
              <w:rPr>
                <w:b/>
                <w:lang w:val="en-US"/>
              </w:rPr>
              <w:t>IV</w:t>
            </w:r>
            <w:r>
              <w:rPr>
                <w:b/>
              </w:rPr>
              <w:t xml:space="preserve"> класса опасности:</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Обувь кожаная рабочая, утратившая потребительские свойства</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4 03 101 00 52 4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Обтирочный материал, загрязненный нефтью или нефтепродуктами (содержание нефти или нефтепродуктов менее 15%)</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9 19 204 02 60 4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Обрезь и лом гипсокартонных листов</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8 24 110 01 20 4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Отходы (мусор) от строительных и ремонтных работ</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8 90 000 01 72 4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Шлак сварочный</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9 19 100 02 20 4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Спецодежда из натуральных, синтетических, искусственных и шерстяных волокон, загрязненная нефтепродуктами (содержание нефтепродуктов менее 15%)</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4 02 312 01 62 4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Инструменты лакокрасочные (кисти, валики), загрязненные лакокрасочными материалами (в количестве менее 5%)</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8 91 110 02 52 4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Тара полиэтиленовая, загрязненная лакокрасочными материалами (содержание менее 5%)</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4 38 111 02 51 4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Тара из черных металлов, загрязненная нефтепродуктами (содержание нефтепродуктов менее 15%)</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4 68 111 02 51 4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Лом асфальтовых и асфальтобетонных покрытий</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8 30 200 01 71 4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Отходы изделий из древесины с пропиткой и покрытиями несортированные</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4 04 290 99 51 4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Отходы грунта при проведении открытых земляных работ малоопасные</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8 11 111 11 49 4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Тара из черных металлов, загрязненная лакокрасочными материалами (содержание менее 5%)</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4 68 112 02 51 4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Отходы песка от очистных и пескоструйных устройств</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3 63 110 01 49 4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Мусор от сноса и разборки зданий несортированный</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8 12 901 01 72 4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Отходы асбоцемента в кусковой форме</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3 46 420 01 42 4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Отходы щебня, загрязненного нефтепродуктами, при ремонте, замене щебеночного покрытия (содержание нефтепродуктов менее 15%)</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8 90 000 03 21 4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Отходы рубероида</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8 26 210 01 51 4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Обтирочный материал, загрязненный нефтью или нефтепродуктами (содержание нефти или нефтепродуктов менее 5%)</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8 92 110 02 60 4</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Отходы разнородных пластмасс в смеси</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3 35 792 11 20 4</w:t>
            </w:r>
          </w:p>
        </w:tc>
      </w:tr>
      <w:tr>
        <w:trPr/>
        <w:tc>
          <w:tcPr>
            <w:tcW w:w="1092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spacing w:lineRule="auto" w:line="259" w:before="0" w:after="14"/>
              <w:ind w:hanging="0" w:left="680" w:right="7"/>
              <w:contextualSpacing/>
              <w:jc w:val="left"/>
              <w:rPr>
                <w:b/>
              </w:rPr>
            </w:pPr>
            <w:r>
              <w:rPr>
                <w:b/>
              </w:rPr>
              <w:t xml:space="preserve">Отходы </w:t>
            </w:r>
            <w:r>
              <w:rPr>
                <w:b/>
                <w:lang w:val="en-US"/>
              </w:rPr>
              <w:t>V</w:t>
            </w:r>
            <w:r>
              <w:rPr>
                <w:b/>
              </w:rPr>
              <w:t xml:space="preserve"> класса опасности:</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Лом бетонных изделий, отходы бетона в кусковой форме</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8 22 201 01 21 5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Обрезь натуральной чистой древесины</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3 05 220 04 21 5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Опилки натуральной чистой древесины</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3 05 230 01 43 5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Лом строительного кирпича незагрязненный</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8 23 101 01 21 5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Отходы опалубки деревянной, загрязненной бетоном</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8 29 131 11 20 5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Тара деревянная, утратившая потребительские свойства, незагрязненная</w:t>
            </w:r>
          </w:p>
        </w:tc>
        <w:tc>
          <w:tcPr>
            <w:tcW w:w="2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9" w:before="0" w:after="14"/>
              <w:ind w:hanging="10" w:left="10" w:right="7"/>
              <w:jc w:val="left"/>
              <w:rPr/>
            </w:pPr>
            <w:r>
              <w:rPr/>
              <w:t>4 04 140 00 51 5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Отходы малоценной древесины (хворост, валежник, обломки стволов), (топляк)</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1 54 110 01 21 5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Керамические изделия прочие, утратившие потребительские свойства, незагрязненные</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4 59 110 99 51 5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Мусор с защитных решеток гидроэлектростанций</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6 21 100 01 71 5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Лом и отходы изделий из полипропилена незагрязненные (кроме тары)</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4 34 120 03 51 5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Лом и отходы изделий из полиэтилена незагрязненные (кроме тары)</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4 34 110 03 51 5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Бой керамики</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3 43 100 02 20 5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Шланги и рукава из вулканизированной резины, утратившие потребительские свойства, незагрязненные</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4 31 110 02 51 5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Силикагель, отработанный при осушке воздуха и газов, не загрязненный опасными веществами</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4 42 103 01 49 5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Бой стекла</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3 41 901 01 20 5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Шкурка шлифовальная отработанная</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4 56 200 01 29 5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Обрезь натуральной чистой древесины (листва, ветки, кустарник)</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3 05 220 04 21 5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Отходы сучьев, ветвей, вершинок от лесоразработок</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1 52 110 01 21 5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Отходы корчевания пней</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1 52 110 02 21 5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Отходы раскряжевки</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1 52 110 04 21 5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Остатки и огарки стальных свароных электродов</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9 19 10001 20 5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Абразивные круги отработанные, лом отработанных абразивных кругов</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4 56 100 01 51 5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Бой железобетонных изделий</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pPr>
            <w:r>
              <w:rPr/>
              <w:t>3 46 200 02 20 5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highlight w:val="none"/>
                <w:shd w:fill="auto" w:val="clear"/>
              </w:rPr>
            </w:pPr>
            <w:r>
              <w:rPr>
                <w:shd w:fill="auto" w:val="clear"/>
              </w:rPr>
              <w:t>Стружка черных металлов несортированная незагрязненная</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highlight w:val="none"/>
                <w:shd w:fill="auto" w:val="clear"/>
              </w:rPr>
            </w:pPr>
            <w:r>
              <w:rPr>
                <w:shd w:fill="auto" w:val="clear"/>
              </w:rPr>
              <w:t>3 61 212 03 22 5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highlight w:val="none"/>
                <w:shd w:fill="auto" w:val="clear"/>
              </w:rPr>
            </w:pPr>
            <w:r>
              <w:rPr>
                <w:shd w:fill="auto" w:val="clear"/>
              </w:rPr>
              <w:t>Каски защитные пластмассовые, утратившие потребительские свойства</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highlight w:val="none"/>
                <w:shd w:fill="auto" w:val="clear"/>
              </w:rPr>
            </w:pPr>
            <w:r>
              <w:rPr>
                <w:shd w:fill="auto" w:val="clear"/>
              </w:rPr>
              <w:t>4 91 101 01 52 5</w:t>
            </w:r>
          </w:p>
        </w:tc>
      </w:tr>
      <w:tr>
        <w:trPr/>
        <w:tc>
          <w:tcPr>
            <w:tcW w:w="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0"/>
              </w:numPr>
              <w:spacing w:lineRule="auto" w:line="259" w:before="0" w:after="14"/>
              <w:ind w:hanging="510" w:left="680" w:right="7"/>
              <w:contextualSpacing/>
              <w:jc w:val="left"/>
              <w:rPr/>
            </w:pPr>
            <w:r>
              <w:rPr/>
            </w:r>
          </w:p>
        </w:tc>
        <w:tc>
          <w:tcPr>
            <w:tcW w:w="78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highlight w:val="none"/>
                <w:shd w:fill="auto" w:val="clear"/>
              </w:rPr>
            </w:pPr>
            <w:r>
              <w:rPr>
                <w:shd w:fill="auto" w:val="clear"/>
              </w:rPr>
              <w:t>Лом фарфоровых и стеклянных изоляторов в смеси незагрязненный</w:t>
            </w:r>
          </w:p>
        </w:tc>
        <w:tc>
          <w:tcPr>
            <w:tcW w:w="256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59" w:before="0" w:after="14"/>
              <w:ind w:hanging="10" w:left="10" w:right="7"/>
              <w:jc w:val="left"/>
              <w:rPr>
                <w:highlight w:val="none"/>
                <w:shd w:fill="auto" w:val="clear"/>
              </w:rPr>
            </w:pPr>
            <w:r>
              <w:rPr>
                <w:shd w:fill="auto" w:val="clear"/>
              </w:rPr>
              <w:t>4 59 110 11 71 5</w:t>
            </w:r>
          </w:p>
        </w:tc>
      </w:tr>
    </w:tbl>
    <w:p>
      <w:pPr>
        <w:pStyle w:val="Normal"/>
        <w:spacing w:lineRule="auto" w:line="259" w:before="0" w:after="14"/>
        <w:ind w:hanging="10" w:left="10" w:right="7"/>
        <w:jc w:val="right"/>
        <w:rPr/>
      </w:pPr>
      <w:r>
        <w:rPr/>
      </w:r>
    </w:p>
    <w:p>
      <w:pPr>
        <w:pStyle w:val="Normal"/>
        <w:spacing w:before="0" w:after="230"/>
        <w:ind w:hanging="10" w:left="572" w:right="26"/>
        <w:rPr/>
      </w:pPr>
      <w:r>
        <w:rPr/>
        <w:t xml:space="preserve">Исполнитель                                                                                </w:t>
      </w:r>
    </w:p>
    <w:p>
      <w:pPr>
        <w:pStyle w:val="Normal"/>
        <w:tabs>
          <w:tab w:val="clear" w:pos="708"/>
          <w:tab w:val="center" w:pos="991" w:leader="none"/>
          <w:tab w:val="center" w:pos="6595" w:leader="none"/>
        </w:tabs>
        <w:spacing w:lineRule="auto" w:line="264" w:before="0" w:after="3"/>
        <w:ind w:hanging="0" w:left="0"/>
        <w:jc w:val="left"/>
        <w:rPr/>
      </w:pPr>
      <w:r>
        <w:rPr>
          <w:rFonts w:eastAsia="Calibri" w:cs="Calibri" w:ascii="Calibri" w:hAnsi="Calibri"/>
          <w:sz w:val="22"/>
        </w:rPr>
        <w:tab/>
      </w:r>
      <w:r>
        <w:rPr>
          <w:sz w:val="12"/>
        </w:rPr>
        <w:t xml:space="preserve">Представитель  </w:t>
        <w:tab/>
      </w:r>
    </w:p>
    <w:p>
      <w:pPr>
        <w:pStyle w:val="Normal"/>
        <w:spacing w:lineRule="auto" w:line="259" w:before="0" w:after="27"/>
        <w:ind w:hanging="0" w:left="4589"/>
        <w:jc w:val="left"/>
        <w:rPr/>
      </w:pPr>
      <w:r>
        <w:rPr/>
        <mc:AlternateContent>
          <mc:Choice Requires="wpg">
            <w:drawing>
              <wp:inline distT="0" distB="0" distL="0" distR="0" wp14:anchorId="6D59B1B6">
                <wp:extent cx="911225" cy="6985"/>
                <wp:effectExtent l="0" t="0" r="0" b="0"/>
                <wp:docPr id="1" name="Group 17619"/>
                <a:graphic xmlns:a="http://schemas.openxmlformats.org/drawingml/2006/main">
                  <a:graphicData uri="http://schemas.microsoft.com/office/word/2010/wordprocessingGroup">
                    <wpg:wgp>
                      <wpg:cNvGrpSpPr/>
                      <wpg:grpSpPr>
                        <a:xfrm>
                          <a:off x="0" y="0"/>
                          <a:ext cx="911160" cy="6840"/>
                          <a:chOff x="0" y="0"/>
                          <a:chExt cx="911160" cy="6840"/>
                        </a:xfrm>
                      </wpg:grpSpPr>
                      <wps:wsp>
                        <wps:cNvSpPr/>
                        <wps:spPr>
                          <a:xfrm>
                            <a:off x="0" y="0"/>
                            <a:ext cx="911160" cy="6840"/>
                          </a:xfrm>
                          <a:custGeom>
                            <a:avLst/>
                            <a:gdLst/>
                            <a:ahLst/>
                            <a:rect l="l" t="t" r="r" b="b"/>
                            <a:pathLst>
                              <a:path w="911352" h="0">
                                <a:moveTo>
                                  <a:pt x="0" y="0"/>
                                </a:moveTo>
                                <a:lnTo>
                                  <a:pt x="911352" y="0"/>
                                </a:lnTo>
                              </a:path>
                            </a:pathLst>
                          </a:custGeom>
                          <a:noFill/>
                          <a:ln w="6840">
                            <a:solidFill>
                              <a:srgbClr val="333333"/>
                            </a:solidFill>
                            <a:miter/>
                          </a:ln>
                        </wps:spPr>
                        <wps:style>
                          <a:lnRef idx="0"/>
                          <a:fillRef idx="0"/>
                          <a:effectRef idx="0"/>
                          <a:fontRef idx="minor"/>
                        </wps:style>
                        <wps:bodyPr/>
                      </wps:wsp>
                    </wpg:wgp>
                  </a:graphicData>
                </a:graphic>
              </wp:inline>
            </w:drawing>
          </mc:Choice>
          <mc:Fallback>
            <w:pict>
              <v:group id="shape_0" alt="Group 17619" style="position:absolute;margin-left:0pt;margin-top:-0.6pt;width:71.75pt;height:0.55pt" coordorigin="0,-12" coordsize="1435,11"/>
            </w:pict>
          </mc:Fallback>
        </mc:AlternateContent>
      </w:r>
    </w:p>
    <w:p>
      <w:pPr>
        <w:pStyle w:val="Normal"/>
        <w:spacing w:lineRule="auto" w:line="264" w:before="0" w:after="440"/>
        <w:ind w:hanging="10" w:left="3593"/>
        <w:jc w:val="left"/>
        <w:rPr/>
      </w:pPr>
      <w:r>
        <w:rPr>
          <w:sz w:val="12"/>
        </w:rPr>
        <w:t>М.П.</w:t>
      </w:r>
    </w:p>
    <w:p>
      <w:pPr>
        <w:pStyle w:val="Normal"/>
        <w:spacing w:before="0" w:after="173"/>
        <w:ind w:hanging="10" w:left="572" w:right="26"/>
        <w:rPr/>
      </w:pPr>
      <w:r>
        <w:rPr/>
        <w:t>Заказчик</w:t>
      </w:r>
    </w:p>
    <w:p>
      <w:pPr>
        <w:pStyle w:val="Normal"/>
        <w:tabs>
          <w:tab w:val="clear" w:pos="708"/>
          <w:tab w:val="center" w:pos="831" w:leader="none"/>
          <w:tab w:val="center" w:pos="6450" w:leader="none"/>
        </w:tabs>
        <w:spacing w:lineRule="auto" w:line="264" w:before="0" w:after="3"/>
        <w:ind w:hanging="0" w:left="0"/>
        <w:jc w:val="left"/>
        <w:rPr/>
      </w:pPr>
      <w:r>
        <w:rPr>
          <w:sz w:val="12"/>
        </w:rPr>
        <w:tab/>
      </w:r>
    </w:p>
    <w:p>
      <w:pPr>
        <w:pStyle w:val="Normal"/>
        <w:spacing w:lineRule="auto" w:line="259" w:before="0" w:after="47"/>
        <w:ind w:hanging="0" w:left="4589"/>
        <w:jc w:val="left"/>
        <w:rPr/>
      </w:pPr>
      <w:r>
        <w:rPr/>
        <mc:AlternateContent>
          <mc:Choice Requires="wpg">
            <w:drawing>
              <wp:inline distT="0" distB="0" distL="0" distR="0" wp14:anchorId="112F90E4">
                <wp:extent cx="911225" cy="6985"/>
                <wp:effectExtent l="0" t="0" r="0" b="0"/>
                <wp:docPr id="2" name="Group 17620"/>
                <a:graphic xmlns:a="http://schemas.openxmlformats.org/drawingml/2006/main">
                  <a:graphicData uri="http://schemas.microsoft.com/office/word/2010/wordprocessingGroup">
                    <wpg:wgp>
                      <wpg:cNvGrpSpPr/>
                      <wpg:grpSpPr>
                        <a:xfrm>
                          <a:off x="0" y="0"/>
                          <a:ext cx="911160" cy="6840"/>
                          <a:chOff x="0" y="0"/>
                          <a:chExt cx="911160" cy="6840"/>
                        </a:xfrm>
                      </wpg:grpSpPr>
                      <wps:wsp>
                        <wps:cNvSpPr/>
                        <wps:spPr>
                          <a:xfrm>
                            <a:off x="0" y="0"/>
                            <a:ext cx="911160" cy="6840"/>
                          </a:xfrm>
                          <a:custGeom>
                            <a:avLst/>
                            <a:gdLst/>
                            <a:ahLst/>
                            <a:rect l="l" t="t" r="r" b="b"/>
                            <a:pathLst>
                              <a:path w="911352" h="0">
                                <a:moveTo>
                                  <a:pt x="0" y="0"/>
                                </a:moveTo>
                                <a:lnTo>
                                  <a:pt x="911352" y="0"/>
                                </a:lnTo>
                              </a:path>
                            </a:pathLst>
                          </a:custGeom>
                          <a:noFill/>
                          <a:ln w="6840">
                            <a:solidFill>
                              <a:srgbClr val="333333"/>
                            </a:solidFill>
                            <a:miter/>
                          </a:ln>
                        </wps:spPr>
                        <wps:style>
                          <a:lnRef idx="0"/>
                          <a:fillRef idx="0"/>
                          <a:effectRef idx="0"/>
                          <a:fontRef idx="minor"/>
                        </wps:style>
                        <wps:bodyPr/>
                      </wps:wsp>
                    </wpg:wgp>
                  </a:graphicData>
                </a:graphic>
              </wp:inline>
            </w:drawing>
          </mc:Choice>
          <mc:Fallback>
            <w:pict>
              <v:group id="shape_0" alt="Group 17620" style="position:absolute;margin-left:0pt;margin-top:-0.6pt;width:71.75pt;height:0.55pt" coordorigin="0,-12" coordsize="1435,11"/>
            </w:pict>
          </mc:Fallback>
        </mc:AlternateContent>
      </w:r>
    </w:p>
    <w:p>
      <w:pPr>
        <w:pStyle w:val="Normal"/>
        <w:spacing w:lineRule="auto" w:line="264" w:before="0" w:after="3"/>
        <w:ind w:hanging="10" w:left="3593"/>
        <w:jc w:val="left"/>
        <w:rPr/>
      </w:pPr>
      <w:r>
        <w:rPr>
          <w:sz w:val="12"/>
        </w:rPr>
        <w:t>М.П.</w:t>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r>
    </w:p>
    <w:p>
      <w:pPr>
        <w:pStyle w:val="Normal"/>
        <w:spacing w:lineRule="auto" w:line="259" w:before="0" w:after="14"/>
        <w:ind w:hanging="10" w:left="10" w:right="7"/>
        <w:jc w:val="right"/>
        <w:rPr/>
      </w:pPr>
      <w:r>
        <w:rPr/>
        <w:t>Приложение № 2</w:t>
      </w:r>
    </w:p>
    <w:p>
      <w:pPr>
        <w:pStyle w:val="Normal"/>
        <w:spacing w:lineRule="auto" w:line="259" w:before="0" w:after="14"/>
        <w:ind w:hanging="10" w:left="10" w:right="7"/>
        <w:jc w:val="right"/>
        <w:rPr/>
      </w:pPr>
      <w:r>
        <w:rPr/>
        <w:t>к Договору на оказание услуг</w:t>
      </w:r>
    </w:p>
    <w:p>
      <w:pPr>
        <w:pStyle w:val="Normal"/>
        <w:spacing w:lineRule="auto" w:line="259" w:before="0" w:after="38"/>
        <w:ind w:hanging="0" w:left="1166" w:right="15"/>
        <w:jc w:val="right"/>
        <w:rPr/>
      </w:pPr>
      <w:r>
        <w:rPr/>
        <w:t xml:space="preserve">№ </w:t>
      </w:r>
      <w:r>
        <w:rPr/>
        <w:t>__________________ от ___</w:t>
      </w:r>
    </w:p>
    <w:p>
      <w:pPr>
        <w:pStyle w:val="Normal"/>
        <w:spacing w:lineRule="auto" w:line="259" w:before="0" w:after="38"/>
        <w:ind w:hanging="0" w:left="1166" w:right="15"/>
        <w:jc w:val="right"/>
        <w:rPr/>
      </w:pPr>
      <w:r>
        <w:rPr/>
      </w:r>
    </w:p>
    <w:p>
      <w:pPr>
        <w:pStyle w:val="Normal"/>
        <w:spacing w:lineRule="auto" w:line="259" w:before="0" w:after="38"/>
        <w:ind w:hanging="1166" w:left="1166" w:right="15"/>
        <w:jc w:val="center"/>
        <w:rPr>
          <w:b/>
        </w:rPr>
      </w:pPr>
      <w:r>
        <w:rPr>
          <w:b/>
        </w:rPr>
        <w:t>Перечень транспортных средств, предоставляемых сторонней организацией, осуществляющих транспортировку отходов</w:t>
      </w:r>
    </w:p>
    <w:p>
      <w:pPr>
        <w:pStyle w:val="Normal"/>
        <w:spacing w:lineRule="auto" w:line="259" w:before="0" w:after="38"/>
        <w:ind w:hanging="0" w:left="1166" w:right="15"/>
        <w:jc w:val="center"/>
        <w:rPr/>
      </w:pPr>
      <w:r>
        <w:rPr/>
      </w:r>
    </w:p>
    <w:tbl>
      <w:tblPr>
        <w:tblStyle w:val="TableGrid"/>
        <w:tblW w:w="10906" w:type="dxa"/>
        <w:jc w:val="left"/>
        <w:tblInd w:w="3" w:type="dxa"/>
        <w:tblLayout w:type="fixed"/>
        <w:tblCellMar>
          <w:top w:w="11" w:type="dxa"/>
          <w:left w:w="69" w:type="dxa"/>
          <w:bottom w:w="0" w:type="dxa"/>
          <w:right w:w="41" w:type="dxa"/>
        </w:tblCellMar>
        <w:tblLook w:val="04a0" w:noHBand="0" w:noVBand="1" w:firstColumn="1" w:lastRow="0" w:lastColumn="0" w:firstRow="1"/>
      </w:tblPr>
      <w:tblGrid>
        <w:gridCol w:w="528"/>
        <w:gridCol w:w="4064"/>
        <w:gridCol w:w="3640"/>
        <w:gridCol w:w="2673"/>
      </w:tblGrid>
      <w:tr>
        <w:trPr>
          <w:trHeight w:val="250"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108"/>
              <w:jc w:val="center"/>
              <w:rPr>
                <w:kern w:val="0"/>
                <w:szCs w:val="22"/>
                <w:lang w:val="ru-RU" w:eastAsia="ru-RU" w:bidi="ar-SA"/>
              </w:rPr>
            </w:pPr>
            <w:r>
              <w:rPr>
                <w:kern w:val="0"/>
                <w:szCs w:val="22"/>
                <w:lang w:val="ru-RU" w:eastAsia="ru-RU" w:bidi="ar-SA"/>
              </w:rPr>
              <w:t>№</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4"/>
              <w:jc w:val="center"/>
              <w:rPr>
                <w:kern w:val="0"/>
                <w:szCs w:val="22"/>
                <w:lang w:val="ru-RU" w:eastAsia="ru-RU" w:bidi="ar-SA"/>
              </w:rPr>
            </w:pPr>
            <w:r>
              <w:rPr>
                <w:kern w:val="0"/>
                <w:szCs w:val="22"/>
                <w:lang w:val="ru-RU" w:eastAsia="ru-RU" w:bidi="ar-SA"/>
              </w:rPr>
              <w:t>Наименование</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1"/>
              <w:jc w:val="center"/>
              <w:rPr>
                <w:kern w:val="0"/>
                <w:szCs w:val="22"/>
                <w:lang w:val="ru-RU" w:eastAsia="ru-RU" w:bidi="ar-SA"/>
              </w:rPr>
            </w:pPr>
            <w:r>
              <w:rPr>
                <w:kern w:val="0"/>
                <w:szCs w:val="22"/>
                <w:lang w:val="ru-RU" w:eastAsia="ru-RU" w:bidi="ar-SA"/>
              </w:rPr>
              <w:t>Государственный номер</w:t>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614" w:left="614"/>
              <w:jc w:val="center"/>
              <w:rPr>
                <w:kern w:val="0"/>
                <w:szCs w:val="22"/>
                <w:lang w:val="ru-RU" w:eastAsia="ru-RU" w:bidi="ar-SA"/>
              </w:rPr>
            </w:pPr>
            <w:r>
              <w:rPr>
                <w:kern w:val="0"/>
                <w:szCs w:val="22"/>
                <w:lang w:val="ru-RU" w:eastAsia="ru-RU" w:bidi="ar-SA"/>
              </w:rPr>
              <w:t>Геометрический объем кузова</w:t>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6"/>
              <w:jc w:val="center"/>
              <w:rPr>
                <w:kern w:val="0"/>
                <w:szCs w:val="22"/>
                <w:lang w:val="ru-RU" w:eastAsia="ru-RU" w:bidi="ar-SA"/>
              </w:rPr>
            </w:pPr>
            <w:r>
              <w:rPr>
                <w:kern w:val="0"/>
                <w:szCs w:val="22"/>
                <w:lang w:val="ru-RU" w:eastAsia="ru-RU" w:bidi="ar-SA"/>
              </w:rPr>
              <w:t>1</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8"/>
              <w:jc w:val="center"/>
              <w:rPr>
                <w:kern w:val="0"/>
                <w:szCs w:val="22"/>
                <w:lang w:val="ru-RU" w:eastAsia="ru-RU" w:bidi="ar-SA"/>
              </w:rPr>
            </w:pPr>
            <w:r>
              <w:rPr>
                <w:kern w:val="0"/>
                <w:szCs w:val="22"/>
                <w:lang w:val="ru-RU" w:eastAsia="ru-RU" w:bidi="ar-SA"/>
              </w:rPr>
              <w:t>Камаз 55111</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2"/>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6"/>
              <w:jc w:val="center"/>
              <w:rPr>
                <w:kern w:val="0"/>
                <w:szCs w:val="22"/>
                <w:lang w:val="ru-RU" w:eastAsia="ru-RU" w:bidi="ar-SA"/>
              </w:rPr>
            </w:pPr>
            <w:r>
              <w:rPr>
                <w:kern w:val="0"/>
                <w:szCs w:val="22"/>
                <w:lang w:val="ru-RU" w:eastAsia="ru-RU" w:bidi="ar-SA"/>
              </w:rPr>
              <w:t>2</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8"/>
              <w:jc w:val="center"/>
              <w:rPr>
                <w:kern w:val="0"/>
                <w:szCs w:val="22"/>
                <w:lang w:val="ru-RU" w:eastAsia="ru-RU" w:bidi="ar-SA"/>
              </w:rPr>
            </w:pPr>
            <w:r>
              <w:rPr>
                <w:kern w:val="0"/>
                <w:szCs w:val="22"/>
                <w:lang w:val="ru-RU" w:eastAsia="ru-RU" w:bidi="ar-SA"/>
              </w:rPr>
              <w:t>Камаз 55111</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2"/>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6"/>
              <w:jc w:val="center"/>
              <w:rPr>
                <w:kern w:val="0"/>
                <w:szCs w:val="22"/>
                <w:lang w:val="ru-RU" w:eastAsia="ru-RU" w:bidi="ar-SA"/>
              </w:rPr>
            </w:pPr>
            <w:r>
              <w:rPr>
                <w:kern w:val="0"/>
                <w:szCs w:val="22"/>
                <w:lang w:val="ru-RU" w:eastAsia="ru-RU" w:bidi="ar-SA"/>
              </w:rPr>
              <w:t>3</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8"/>
              <w:jc w:val="center"/>
              <w:rPr>
                <w:kern w:val="0"/>
                <w:szCs w:val="22"/>
                <w:lang w:val="ru-RU" w:eastAsia="ru-RU" w:bidi="ar-SA"/>
              </w:rPr>
            </w:pPr>
            <w:r>
              <w:rPr>
                <w:kern w:val="0"/>
                <w:szCs w:val="22"/>
                <w:lang w:val="ru-RU" w:eastAsia="ru-RU" w:bidi="ar-SA"/>
              </w:rPr>
              <w:t>Камаз 55111</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2"/>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6"/>
              <w:jc w:val="center"/>
              <w:rPr>
                <w:kern w:val="0"/>
                <w:szCs w:val="22"/>
                <w:lang w:val="ru-RU" w:eastAsia="ru-RU" w:bidi="ar-SA"/>
              </w:rPr>
            </w:pPr>
            <w:r>
              <w:rPr>
                <w:kern w:val="0"/>
                <w:szCs w:val="22"/>
                <w:lang w:val="ru-RU" w:eastAsia="ru-RU" w:bidi="ar-SA"/>
              </w:rPr>
              <w:t>4</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0"/>
              <w:jc w:val="center"/>
              <w:rPr>
                <w:kern w:val="0"/>
                <w:szCs w:val="22"/>
                <w:lang w:val="ru-RU" w:eastAsia="ru-RU" w:bidi="ar-SA"/>
              </w:rPr>
            </w:pPr>
            <w:r>
              <w:rPr>
                <w:kern w:val="0"/>
                <w:szCs w:val="22"/>
                <w:lang w:val="ru-RU" w:eastAsia="ru-RU" w:bidi="ar-SA"/>
              </w:rPr>
              <w:t>Камаз 6511</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3"/>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6"/>
              <w:jc w:val="center"/>
              <w:rPr>
                <w:kern w:val="0"/>
                <w:szCs w:val="22"/>
                <w:lang w:val="ru-RU" w:eastAsia="ru-RU" w:bidi="ar-SA"/>
              </w:rPr>
            </w:pPr>
            <w:r>
              <w:rPr>
                <w:kern w:val="0"/>
                <w:szCs w:val="22"/>
                <w:lang w:val="ru-RU" w:eastAsia="ru-RU" w:bidi="ar-SA"/>
              </w:rPr>
              <w:t>5</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8"/>
              <w:jc w:val="center"/>
              <w:rPr>
                <w:kern w:val="0"/>
                <w:szCs w:val="22"/>
                <w:lang w:val="ru-RU" w:eastAsia="ru-RU" w:bidi="ar-SA"/>
              </w:rPr>
            </w:pPr>
            <w:r>
              <w:rPr>
                <w:kern w:val="0"/>
                <w:szCs w:val="22"/>
                <w:lang w:val="ru-RU" w:eastAsia="ru-RU" w:bidi="ar-SA"/>
              </w:rPr>
              <w:t>Камаз 55111</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0"/>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6"/>
              <w:jc w:val="center"/>
              <w:rPr>
                <w:kern w:val="0"/>
                <w:szCs w:val="22"/>
                <w:lang w:val="ru-RU" w:eastAsia="ru-RU" w:bidi="ar-SA"/>
              </w:rPr>
            </w:pPr>
            <w:r>
              <w:rPr>
                <w:kern w:val="0"/>
                <w:szCs w:val="22"/>
                <w:lang w:val="ru-RU" w:eastAsia="ru-RU" w:bidi="ar-SA"/>
              </w:rPr>
              <w:t>6</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8"/>
              <w:jc w:val="center"/>
              <w:rPr>
                <w:kern w:val="0"/>
                <w:szCs w:val="22"/>
                <w:lang w:val="ru-RU" w:eastAsia="ru-RU" w:bidi="ar-SA"/>
              </w:rPr>
            </w:pPr>
            <w:r>
              <w:rPr>
                <w:kern w:val="0"/>
                <w:szCs w:val="22"/>
                <w:lang w:val="ru-RU" w:eastAsia="ru-RU" w:bidi="ar-SA"/>
              </w:rPr>
              <w:t>Камаз 55111</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1"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6"/>
              <w:jc w:val="center"/>
              <w:rPr>
                <w:kern w:val="0"/>
                <w:szCs w:val="22"/>
                <w:lang w:val="ru-RU" w:eastAsia="ru-RU" w:bidi="ar-SA"/>
              </w:rPr>
            </w:pPr>
            <w:r>
              <w:rPr>
                <w:kern w:val="0"/>
                <w:szCs w:val="22"/>
                <w:lang w:val="ru-RU" w:eastAsia="ru-RU" w:bidi="ar-SA"/>
              </w:rPr>
              <w:t>7</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8"/>
              <w:jc w:val="center"/>
              <w:rPr>
                <w:kern w:val="0"/>
                <w:szCs w:val="22"/>
                <w:lang w:val="ru-RU" w:eastAsia="ru-RU" w:bidi="ar-SA"/>
              </w:rPr>
            </w:pPr>
            <w:r>
              <w:rPr>
                <w:kern w:val="0"/>
                <w:szCs w:val="22"/>
                <w:lang w:val="ru-RU" w:eastAsia="ru-RU" w:bidi="ar-SA"/>
              </w:rPr>
              <w:t>Камаз 65115</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6"/>
              <w:jc w:val="center"/>
              <w:rPr>
                <w:kern w:val="0"/>
                <w:szCs w:val="22"/>
                <w:lang w:val="ru-RU" w:eastAsia="ru-RU" w:bidi="ar-SA"/>
              </w:rPr>
            </w:pPr>
            <w:r>
              <w:rPr>
                <w:kern w:val="0"/>
                <w:szCs w:val="22"/>
                <w:lang w:val="ru-RU" w:eastAsia="ru-RU" w:bidi="ar-SA"/>
              </w:rPr>
              <w:t>8</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0"/>
              <w:jc w:val="center"/>
              <w:rPr>
                <w:kern w:val="0"/>
                <w:szCs w:val="22"/>
                <w:lang w:val="ru-RU" w:eastAsia="ru-RU" w:bidi="ar-SA"/>
              </w:rPr>
            </w:pPr>
            <w:r>
              <w:rPr>
                <w:kern w:val="0"/>
                <w:szCs w:val="22"/>
                <w:lang w:val="ru-RU" w:eastAsia="ru-RU" w:bidi="ar-SA"/>
              </w:rPr>
              <w:t>Камаз 6520</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0"/>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6"/>
              <w:jc w:val="center"/>
              <w:rPr>
                <w:kern w:val="0"/>
                <w:szCs w:val="22"/>
                <w:lang w:val="ru-RU" w:eastAsia="ru-RU" w:bidi="ar-SA"/>
              </w:rPr>
            </w:pPr>
            <w:r>
              <w:rPr>
                <w:kern w:val="0"/>
                <w:szCs w:val="22"/>
                <w:lang w:val="ru-RU" w:eastAsia="ru-RU" w:bidi="ar-SA"/>
              </w:rPr>
              <w:t>9</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t>Камаз</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0"/>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1"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t>10</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t>Камаз</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3"/>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t>11</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t>Камаз</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4"/>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t>12</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t>Камаз</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1"/>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r>
        <w:trPr>
          <w:trHeight w:val="202" w:hRule="atLeast"/>
        </w:trPr>
        <w:tc>
          <w:tcPr>
            <w:tcW w:w="528"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t>13</w:t>
            </w:r>
          </w:p>
        </w:tc>
        <w:tc>
          <w:tcPr>
            <w:tcW w:w="4064"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39"/>
              <w:jc w:val="center"/>
              <w:rPr>
                <w:kern w:val="0"/>
                <w:szCs w:val="22"/>
                <w:lang w:val="ru-RU" w:eastAsia="ru-RU" w:bidi="ar-SA"/>
              </w:rPr>
            </w:pPr>
            <w:r>
              <w:rPr>
                <w:kern w:val="0"/>
                <w:szCs w:val="22"/>
                <w:lang w:val="ru-RU" w:eastAsia="ru-RU" w:bidi="ar-SA"/>
              </w:rPr>
              <w:t>Камаз</w:t>
            </w:r>
          </w:p>
        </w:tc>
        <w:tc>
          <w:tcPr>
            <w:tcW w:w="3640"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right="41"/>
              <w:jc w:val="center"/>
              <w:rPr>
                <w:kern w:val="0"/>
                <w:szCs w:val="22"/>
                <w:lang w:val="ru-RU" w:eastAsia="ru-RU" w:bidi="ar-SA"/>
              </w:rPr>
            </w:pPr>
            <w:r>
              <w:rPr>
                <w:kern w:val="0"/>
                <w:szCs w:val="22"/>
                <w:lang w:val="ru-RU" w:eastAsia="ru-RU" w:bidi="ar-SA"/>
              </w:rPr>
            </w:r>
          </w:p>
        </w:tc>
        <w:tc>
          <w:tcPr>
            <w:tcW w:w="2673" w:type="dxa"/>
            <w:tcBorders>
              <w:top w:val="single" w:sz="4" w:space="0" w:color="333333"/>
              <w:left w:val="single" w:sz="4" w:space="0" w:color="333333"/>
              <w:bottom w:val="single" w:sz="4" w:space="0" w:color="333333"/>
              <w:right w:val="single" w:sz="4" w:space="0" w:color="333333"/>
            </w:tcBorders>
          </w:tcPr>
          <w:p>
            <w:pPr>
              <w:pStyle w:val="Normal"/>
              <w:widowControl/>
              <w:spacing w:lineRule="auto" w:line="259" w:before="0" w:after="0"/>
              <w:ind w:hanging="0" w:left="0"/>
              <w:jc w:val="center"/>
              <w:rPr>
                <w:kern w:val="0"/>
                <w:szCs w:val="22"/>
                <w:lang w:val="ru-RU" w:eastAsia="ru-RU" w:bidi="ar-SA"/>
              </w:rPr>
            </w:pPr>
            <w:r>
              <w:rPr>
                <w:kern w:val="0"/>
                <w:szCs w:val="22"/>
                <w:lang w:val="ru-RU" w:eastAsia="ru-RU" w:bidi="ar-SA"/>
              </w:rPr>
            </w:r>
          </w:p>
        </w:tc>
      </w:tr>
    </w:tbl>
    <w:p>
      <w:pPr>
        <w:pStyle w:val="Normal"/>
        <w:spacing w:before="0" w:after="230"/>
        <w:ind w:hanging="10" w:left="572" w:right="26"/>
        <w:rPr/>
      </w:pPr>
      <w:r>
        <w:rPr/>
        <w:t xml:space="preserve">Исполнитель                                                                                </w:t>
      </w:r>
    </w:p>
    <w:p>
      <w:pPr>
        <w:pStyle w:val="Normal"/>
        <w:tabs>
          <w:tab w:val="clear" w:pos="708"/>
          <w:tab w:val="center" w:pos="991" w:leader="none"/>
          <w:tab w:val="center" w:pos="6595" w:leader="none"/>
        </w:tabs>
        <w:spacing w:lineRule="auto" w:line="264" w:before="0" w:after="3"/>
        <w:ind w:hanging="0" w:left="0"/>
        <w:jc w:val="left"/>
        <w:rPr/>
      </w:pPr>
      <w:r>
        <w:rPr>
          <w:rFonts w:eastAsia="Calibri" w:cs="Calibri" w:ascii="Calibri" w:hAnsi="Calibri"/>
          <w:sz w:val="22"/>
        </w:rPr>
        <w:tab/>
      </w:r>
      <w:r>
        <w:rPr>
          <w:sz w:val="12"/>
        </w:rPr>
        <w:t xml:space="preserve">Представитель  </w:t>
        <w:tab/>
      </w:r>
    </w:p>
    <w:p>
      <w:pPr>
        <w:pStyle w:val="Normal"/>
        <w:spacing w:lineRule="auto" w:line="259" w:before="0" w:after="28"/>
        <w:ind w:hanging="0" w:left="4589"/>
        <w:jc w:val="left"/>
        <w:rPr/>
      </w:pPr>
      <w:r>
        <w:rPr/>
        <mc:AlternateContent>
          <mc:Choice Requires="wpg">
            <w:drawing>
              <wp:inline distT="0" distB="0" distL="0" distR="0" wp14:anchorId="7EE8B368">
                <wp:extent cx="911225" cy="6985"/>
                <wp:effectExtent l="0" t="0" r="0" b="0"/>
                <wp:docPr id="3" name="Group 14585"/>
                <a:graphic xmlns:a="http://schemas.openxmlformats.org/drawingml/2006/main">
                  <a:graphicData uri="http://schemas.microsoft.com/office/word/2010/wordprocessingGroup">
                    <wpg:wgp>
                      <wpg:cNvGrpSpPr/>
                      <wpg:grpSpPr>
                        <a:xfrm>
                          <a:off x="0" y="0"/>
                          <a:ext cx="911160" cy="6840"/>
                          <a:chOff x="0" y="0"/>
                          <a:chExt cx="911160" cy="6840"/>
                        </a:xfrm>
                      </wpg:grpSpPr>
                      <wps:wsp>
                        <wps:cNvSpPr/>
                        <wps:spPr>
                          <a:xfrm>
                            <a:off x="0" y="0"/>
                            <a:ext cx="911160" cy="6840"/>
                          </a:xfrm>
                          <a:custGeom>
                            <a:avLst/>
                            <a:gdLst/>
                            <a:ahLst/>
                            <a:rect l="l" t="t" r="r" b="b"/>
                            <a:pathLst>
                              <a:path w="911352" h="0">
                                <a:moveTo>
                                  <a:pt x="0" y="0"/>
                                </a:moveTo>
                                <a:lnTo>
                                  <a:pt x="911352" y="0"/>
                                </a:lnTo>
                              </a:path>
                            </a:pathLst>
                          </a:custGeom>
                          <a:noFill/>
                          <a:ln w="6840">
                            <a:solidFill>
                              <a:srgbClr val="333333"/>
                            </a:solidFill>
                            <a:miter/>
                          </a:ln>
                        </wps:spPr>
                        <wps:style>
                          <a:lnRef idx="0"/>
                          <a:fillRef idx="0"/>
                          <a:effectRef idx="0"/>
                          <a:fontRef idx="minor"/>
                        </wps:style>
                        <wps:bodyPr/>
                      </wps:wsp>
                    </wpg:wgp>
                  </a:graphicData>
                </a:graphic>
              </wp:inline>
            </w:drawing>
          </mc:Choice>
          <mc:Fallback>
            <w:pict>
              <v:group id="shape_0" alt="Group 14585" style="position:absolute;margin-left:0pt;margin-top:-0.6pt;width:71.75pt;height:0.55pt" coordorigin="0,-12" coordsize="1435,11"/>
            </w:pict>
          </mc:Fallback>
        </mc:AlternateContent>
      </w:r>
    </w:p>
    <w:p>
      <w:pPr>
        <w:pStyle w:val="Normal"/>
        <w:spacing w:lineRule="auto" w:line="264" w:before="0" w:after="440"/>
        <w:ind w:hanging="10" w:left="3593"/>
        <w:jc w:val="left"/>
        <w:rPr/>
      </w:pPr>
      <w:r>
        <w:rPr>
          <w:sz w:val="12"/>
        </w:rPr>
        <w:t>М.П.</w:t>
      </w:r>
    </w:p>
    <w:p>
      <w:pPr>
        <w:pStyle w:val="Normal"/>
        <w:spacing w:before="0" w:after="173"/>
        <w:ind w:hanging="10" w:left="572" w:right="26"/>
        <w:rPr/>
      </w:pPr>
      <w:r>
        <w:rPr/>
        <w:t>Заказчик</w:t>
      </w:r>
    </w:p>
    <w:p>
      <w:pPr>
        <w:pStyle w:val="Normal"/>
        <w:tabs>
          <w:tab w:val="clear" w:pos="708"/>
          <w:tab w:val="center" w:pos="831" w:leader="none"/>
          <w:tab w:val="center" w:pos="6450" w:leader="none"/>
        </w:tabs>
        <w:spacing w:lineRule="auto" w:line="264" w:before="0" w:after="3"/>
        <w:ind w:hanging="0" w:left="0"/>
        <w:jc w:val="left"/>
        <w:rPr/>
      </w:pPr>
      <w:r>
        <w:rPr>
          <w:sz w:val="12"/>
        </w:rPr>
        <w:tab/>
      </w:r>
    </w:p>
    <w:p>
      <w:pPr>
        <w:pStyle w:val="Normal"/>
        <w:spacing w:lineRule="auto" w:line="259" w:before="0" w:after="47"/>
        <w:ind w:hanging="0" w:left="4589"/>
        <w:jc w:val="left"/>
        <w:rPr/>
      </w:pPr>
      <w:r>
        <w:rPr/>
        <mc:AlternateContent>
          <mc:Choice Requires="wpg">
            <w:drawing>
              <wp:inline distT="0" distB="0" distL="0" distR="0" wp14:anchorId="2E2FBC82">
                <wp:extent cx="911225" cy="6985"/>
                <wp:effectExtent l="0" t="0" r="0" b="0"/>
                <wp:docPr id="4" name="Group 14586"/>
                <a:graphic xmlns:a="http://schemas.openxmlformats.org/drawingml/2006/main">
                  <a:graphicData uri="http://schemas.microsoft.com/office/word/2010/wordprocessingGroup">
                    <wpg:wgp>
                      <wpg:cNvGrpSpPr/>
                      <wpg:grpSpPr>
                        <a:xfrm>
                          <a:off x="0" y="0"/>
                          <a:ext cx="911160" cy="6840"/>
                          <a:chOff x="0" y="0"/>
                          <a:chExt cx="911160" cy="6840"/>
                        </a:xfrm>
                      </wpg:grpSpPr>
                      <wps:wsp>
                        <wps:cNvSpPr/>
                        <wps:spPr>
                          <a:xfrm>
                            <a:off x="0" y="0"/>
                            <a:ext cx="911160" cy="6840"/>
                          </a:xfrm>
                          <a:custGeom>
                            <a:avLst/>
                            <a:gdLst/>
                            <a:ahLst/>
                            <a:rect l="l" t="t" r="r" b="b"/>
                            <a:pathLst>
                              <a:path w="911352" h="0">
                                <a:moveTo>
                                  <a:pt x="0" y="0"/>
                                </a:moveTo>
                                <a:lnTo>
                                  <a:pt x="911352" y="0"/>
                                </a:lnTo>
                              </a:path>
                            </a:pathLst>
                          </a:custGeom>
                          <a:noFill/>
                          <a:ln w="6840">
                            <a:solidFill>
                              <a:srgbClr val="333333"/>
                            </a:solidFill>
                            <a:miter/>
                          </a:ln>
                        </wps:spPr>
                        <wps:style>
                          <a:lnRef idx="0"/>
                          <a:fillRef idx="0"/>
                          <a:effectRef idx="0"/>
                          <a:fontRef idx="minor"/>
                        </wps:style>
                        <wps:bodyPr/>
                      </wps:wsp>
                    </wpg:wgp>
                  </a:graphicData>
                </a:graphic>
              </wp:inline>
            </w:drawing>
          </mc:Choice>
          <mc:Fallback>
            <w:pict>
              <v:group id="shape_0" alt="Group 14586" style="position:absolute;margin-left:0pt;margin-top:-0.6pt;width:71.75pt;height:0.55pt" coordorigin="0,-12" coordsize="1435,11"/>
            </w:pict>
          </mc:Fallback>
        </mc:AlternateContent>
      </w:r>
    </w:p>
    <w:p>
      <w:pPr>
        <w:pStyle w:val="Normal"/>
        <w:spacing w:lineRule="auto" w:line="264" w:before="0" w:after="3"/>
        <w:ind w:hanging="10" w:left="3593"/>
        <w:jc w:val="left"/>
        <w:rPr/>
      </w:pPr>
      <w:r>
        <w:rPr>
          <w:sz w:val="12"/>
        </w:rPr>
        <w:t>М.П.</w:t>
      </w:r>
    </w:p>
    <w:p>
      <w:pPr>
        <w:pStyle w:val="Normal"/>
        <w:widowControl/>
        <w:bidi w:val="0"/>
        <w:spacing w:lineRule="auto" w:line="249" w:before="0" w:after="20"/>
        <w:ind w:hanging="10" w:left="39"/>
        <w:jc w:val="both"/>
        <w:rPr/>
      </w:pPr>
      <w:r>
        <w:rPr/>
      </w:r>
      <w:bookmarkStart w:id="0" w:name="_GoBack"/>
      <w:bookmarkStart w:id="1" w:name="_GoBack"/>
      <w:bookmarkEnd w:id="1"/>
    </w:p>
    <w:sectPr>
      <w:type w:val="nextPage"/>
      <w:pgSz w:w="11906" w:h="16838"/>
      <w:pgMar w:left="566" w:right="416" w:gutter="0" w:header="0" w:top="490" w:footer="0" w:bottom="39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Arial">
    <w:charset w:val="01"/>
    <w:family w:val="roman"/>
    <w:pitch w:val="variable"/>
  </w:font>
  <w:font w:name="PT Sans">
    <w:charset w:val="01"/>
    <w:family w:val="swiss"/>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209" w:hanging="0"/>
      </w:pPr>
      <w:rPr>
        <w:dstrike w:val="false"/>
        <w:strike w:val="false"/>
        <w:vertAlign w:val="baseline"/>
        <w:position w:val="0"/>
        <w:sz w:val="15"/>
        <w:sz w:val="15"/>
        <w:i w:val="false"/>
        <w:u w:val="none" w:color="000000"/>
        <w:b/>
        <w:shd w:fill="auto" w:val="clear"/>
        <w:szCs w:val="15"/>
        <w:bCs/>
        <w:rFonts w:ascii="Arial" w:hAnsi="Arial" w:eastAsia="Arial" w:cs="Arial"/>
        <w:color w:val="000000"/>
      </w:rPr>
    </w:lvl>
    <w:lvl w:ilvl="1">
      <w:start w:val="1"/>
      <w:numFmt w:val="decimal"/>
      <w:lvlText w:val="%1.%2."/>
      <w:lvlJc w:val="left"/>
      <w:pPr>
        <w:tabs>
          <w:tab w:val="num" w:pos="0"/>
        </w:tabs>
        <w:ind w:left="1056"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2">
      <w:start w:val="1"/>
      <w:numFmt w:val="lowerRoman"/>
      <w:lvlText w:val="%3"/>
      <w:lvlJc w:val="left"/>
      <w:pPr>
        <w:tabs>
          <w:tab w:val="num" w:pos="0"/>
        </w:tabs>
        <w:ind w:left="111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3">
      <w:start w:val="1"/>
      <w:numFmt w:val="decimal"/>
      <w:lvlText w:val="%4"/>
      <w:lvlJc w:val="left"/>
      <w:pPr>
        <w:tabs>
          <w:tab w:val="num" w:pos="0"/>
        </w:tabs>
        <w:ind w:left="183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4">
      <w:start w:val="1"/>
      <w:numFmt w:val="lowerLetter"/>
      <w:lvlText w:val="%5"/>
      <w:lvlJc w:val="left"/>
      <w:pPr>
        <w:tabs>
          <w:tab w:val="num" w:pos="0"/>
        </w:tabs>
        <w:ind w:left="255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5">
      <w:start w:val="1"/>
      <w:numFmt w:val="lowerRoman"/>
      <w:lvlText w:val="%6"/>
      <w:lvlJc w:val="left"/>
      <w:pPr>
        <w:tabs>
          <w:tab w:val="num" w:pos="0"/>
        </w:tabs>
        <w:ind w:left="327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6">
      <w:start w:val="1"/>
      <w:numFmt w:val="decimal"/>
      <w:lvlText w:val="%7"/>
      <w:lvlJc w:val="left"/>
      <w:pPr>
        <w:tabs>
          <w:tab w:val="num" w:pos="0"/>
        </w:tabs>
        <w:ind w:left="399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7">
      <w:start w:val="1"/>
      <w:numFmt w:val="lowerLetter"/>
      <w:lvlText w:val="%8"/>
      <w:lvlJc w:val="left"/>
      <w:pPr>
        <w:tabs>
          <w:tab w:val="num" w:pos="0"/>
        </w:tabs>
        <w:ind w:left="471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8">
      <w:start w:val="1"/>
      <w:numFmt w:val="lowerRoman"/>
      <w:lvlText w:val="%9"/>
      <w:lvlJc w:val="left"/>
      <w:pPr>
        <w:tabs>
          <w:tab w:val="num" w:pos="0"/>
        </w:tabs>
        <w:ind w:left="543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abstractNum>
  <w:abstractNum w:abstractNumId="3">
    <w:lvl w:ilvl="0">
      <w:start w:val="1"/>
      <w:numFmt w:val="bullet"/>
      <w:lvlText w:val="-"/>
      <w:lvlJc w:val="left"/>
      <w:pPr>
        <w:tabs>
          <w:tab w:val="num" w:pos="0"/>
        </w:tabs>
        <w:ind w:left="119" w:hanging="0"/>
      </w:pPr>
      <w:rPr>
        <w:rFonts w:ascii="Arial" w:hAnsi="Arial" w:cs="Arial" w:hint="default"/>
        <w:dstrike w:val="false"/>
        <w:strike w:val="false"/>
        <w:vertAlign w:val="baseline"/>
        <w:position w:val="0"/>
        <w:sz w:val="15"/>
        <w:sz w:val="15"/>
        <w:i w:val="false"/>
        <w:u w:val="none" w:color="000000"/>
        <w:b w:val="false"/>
        <w:shd w:fill="auto" w:val="clear"/>
        <w:szCs w:val="15"/>
        <w:color w:val="000000"/>
      </w:rPr>
    </w:lvl>
    <w:lvl w:ilvl="1">
      <w:start w:val="1"/>
      <w:numFmt w:val="bullet"/>
      <w:lvlText w:val="o"/>
      <w:lvlJc w:val="left"/>
      <w:pPr>
        <w:tabs>
          <w:tab w:val="num" w:pos="0"/>
        </w:tabs>
        <w:ind w:left="1114" w:hanging="0"/>
      </w:pPr>
      <w:rPr>
        <w:rFonts w:ascii="Arial" w:hAnsi="Arial" w:cs="Arial" w:hint="default"/>
        <w:dstrike w:val="false"/>
        <w:strike w:val="false"/>
        <w:vertAlign w:val="baseline"/>
        <w:position w:val="0"/>
        <w:sz w:val="15"/>
        <w:sz w:val="15"/>
        <w:i w:val="false"/>
        <w:u w:val="none" w:color="000000"/>
        <w:b w:val="false"/>
        <w:shd w:fill="auto" w:val="clear"/>
        <w:szCs w:val="15"/>
        <w:color w:val="000000"/>
      </w:rPr>
    </w:lvl>
    <w:lvl w:ilvl="2">
      <w:start w:val="1"/>
      <w:numFmt w:val="bullet"/>
      <w:lvlText w:val="▪"/>
      <w:lvlJc w:val="left"/>
      <w:pPr>
        <w:tabs>
          <w:tab w:val="num" w:pos="0"/>
        </w:tabs>
        <w:ind w:left="1834" w:hanging="0"/>
      </w:pPr>
      <w:rPr>
        <w:rFonts w:ascii="Arial" w:hAnsi="Arial" w:cs="Arial" w:hint="default"/>
        <w:dstrike w:val="false"/>
        <w:strike w:val="false"/>
        <w:vertAlign w:val="baseline"/>
        <w:position w:val="0"/>
        <w:sz w:val="15"/>
        <w:sz w:val="15"/>
        <w:i w:val="false"/>
        <w:u w:val="none" w:color="000000"/>
        <w:b w:val="false"/>
        <w:shd w:fill="auto" w:val="clear"/>
        <w:szCs w:val="15"/>
        <w:color w:val="000000"/>
      </w:rPr>
    </w:lvl>
    <w:lvl w:ilvl="3">
      <w:start w:val="1"/>
      <w:numFmt w:val="bullet"/>
      <w:lvlText w:val="•"/>
      <w:lvlJc w:val="left"/>
      <w:pPr>
        <w:tabs>
          <w:tab w:val="num" w:pos="0"/>
        </w:tabs>
        <w:ind w:left="2554" w:hanging="0"/>
      </w:pPr>
      <w:rPr>
        <w:rFonts w:ascii="Arial" w:hAnsi="Arial" w:cs="Arial" w:hint="default"/>
        <w:dstrike w:val="false"/>
        <w:strike w:val="false"/>
        <w:vertAlign w:val="baseline"/>
        <w:position w:val="0"/>
        <w:sz w:val="15"/>
        <w:sz w:val="15"/>
        <w:i w:val="false"/>
        <w:u w:val="none" w:color="000000"/>
        <w:b w:val="false"/>
        <w:shd w:fill="auto" w:val="clear"/>
        <w:szCs w:val="15"/>
        <w:color w:val="000000"/>
      </w:rPr>
    </w:lvl>
    <w:lvl w:ilvl="4">
      <w:start w:val="1"/>
      <w:numFmt w:val="bullet"/>
      <w:lvlText w:val="o"/>
      <w:lvlJc w:val="left"/>
      <w:pPr>
        <w:tabs>
          <w:tab w:val="num" w:pos="0"/>
        </w:tabs>
        <w:ind w:left="3274" w:hanging="0"/>
      </w:pPr>
      <w:rPr>
        <w:rFonts w:ascii="Arial" w:hAnsi="Arial" w:cs="Arial" w:hint="default"/>
        <w:dstrike w:val="false"/>
        <w:strike w:val="false"/>
        <w:vertAlign w:val="baseline"/>
        <w:position w:val="0"/>
        <w:sz w:val="15"/>
        <w:sz w:val="15"/>
        <w:i w:val="false"/>
        <w:u w:val="none" w:color="000000"/>
        <w:b w:val="false"/>
        <w:shd w:fill="auto" w:val="clear"/>
        <w:szCs w:val="15"/>
        <w:color w:val="000000"/>
      </w:rPr>
    </w:lvl>
    <w:lvl w:ilvl="5">
      <w:start w:val="1"/>
      <w:numFmt w:val="bullet"/>
      <w:lvlText w:val="▪"/>
      <w:lvlJc w:val="left"/>
      <w:pPr>
        <w:tabs>
          <w:tab w:val="num" w:pos="0"/>
        </w:tabs>
        <w:ind w:left="3994" w:hanging="0"/>
      </w:pPr>
      <w:rPr>
        <w:rFonts w:ascii="Arial" w:hAnsi="Arial" w:cs="Arial" w:hint="default"/>
        <w:dstrike w:val="false"/>
        <w:strike w:val="false"/>
        <w:vertAlign w:val="baseline"/>
        <w:position w:val="0"/>
        <w:sz w:val="15"/>
        <w:sz w:val="15"/>
        <w:i w:val="false"/>
        <w:u w:val="none" w:color="000000"/>
        <w:b w:val="false"/>
        <w:shd w:fill="auto" w:val="clear"/>
        <w:szCs w:val="15"/>
        <w:color w:val="000000"/>
      </w:rPr>
    </w:lvl>
    <w:lvl w:ilvl="6">
      <w:start w:val="1"/>
      <w:numFmt w:val="bullet"/>
      <w:lvlText w:val="•"/>
      <w:lvlJc w:val="left"/>
      <w:pPr>
        <w:tabs>
          <w:tab w:val="num" w:pos="0"/>
        </w:tabs>
        <w:ind w:left="4714" w:hanging="0"/>
      </w:pPr>
      <w:rPr>
        <w:rFonts w:ascii="Arial" w:hAnsi="Arial" w:cs="Arial" w:hint="default"/>
        <w:dstrike w:val="false"/>
        <w:strike w:val="false"/>
        <w:vertAlign w:val="baseline"/>
        <w:position w:val="0"/>
        <w:sz w:val="15"/>
        <w:sz w:val="15"/>
        <w:i w:val="false"/>
        <w:u w:val="none" w:color="000000"/>
        <w:b w:val="false"/>
        <w:shd w:fill="auto" w:val="clear"/>
        <w:szCs w:val="15"/>
        <w:color w:val="000000"/>
      </w:rPr>
    </w:lvl>
    <w:lvl w:ilvl="7">
      <w:start w:val="1"/>
      <w:numFmt w:val="bullet"/>
      <w:lvlText w:val="o"/>
      <w:lvlJc w:val="left"/>
      <w:pPr>
        <w:tabs>
          <w:tab w:val="num" w:pos="0"/>
        </w:tabs>
        <w:ind w:left="5434" w:hanging="0"/>
      </w:pPr>
      <w:rPr>
        <w:rFonts w:ascii="Arial" w:hAnsi="Arial" w:cs="Arial" w:hint="default"/>
        <w:dstrike w:val="false"/>
        <w:strike w:val="false"/>
        <w:vertAlign w:val="baseline"/>
        <w:position w:val="0"/>
        <w:sz w:val="15"/>
        <w:sz w:val="15"/>
        <w:i w:val="false"/>
        <w:u w:val="none" w:color="000000"/>
        <w:b w:val="false"/>
        <w:shd w:fill="auto" w:val="clear"/>
        <w:szCs w:val="15"/>
        <w:color w:val="000000"/>
      </w:rPr>
    </w:lvl>
    <w:lvl w:ilvl="8">
      <w:start w:val="1"/>
      <w:numFmt w:val="bullet"/>
      <w:lvlText w:val="▪"/>
      <w:lvlJc w:val="left"/>
      <w:pPr>
        <w:tabs>
          <w:tab w:val="num" w:pos="0"/>
        </w:tabs>
        <w:ind w:left="6154" w:hanging="0"/>
      </w:pPr>
      <w:rPr>
        <w:rFonts w:ascii="Arial" w:hAnsi="Arial" w:cs="Arial" w:hint="default"/>
        <w:dstrike w:val="false"/>
        <w:strike w:val="false"/>
        <w:vertAlign w:val="baseline"/>
        <w:position w:val="0"/>
        <w:sz w:val="15"/>
        <w:sz w:val="15"/>
        <w:i w:val="false"/>
        <w:u w:val="none" w:color="000000"/>
        <w:b w:val="false"/>
        <w:shd w:fill="auto" w:val="clear"/>
        <w:szCs w:val="15"/>
        <w:color w:val="000000"/>
      </w:rPr>
    </w:lvl>
  </w:abstractNum>
  <w:abstractNum w:abstractNumId="4">
    <w:lvl w:ilvl="0">
      <w:start w:val="2"/>
      <w:numFmt w:val="decimal"/>
      <w:lvlText w:val="%1."/>
      <w:lvlJc w:val="left"/>
      <w:pPr>
        <w:tabs>
          <w:tab w:val="num" w:pos="0"/>
        </w:tabs>
        <w:ind w:left="209" w:hanging="0"/>
      </w:pPr>
      <w:rPr>
        <w:dstrike w:val="false"/>
        <w:strike w:val="false"/>
        <w:vertAlign w:val="baseline"/>
        <w:position w:val="0"/>
        <w:sz w:val="15"/>
        <w:sz w:val="15"/>
        <w:i w:val="false"/>
        <w:u w:val="none" w:color="000000"/>
        <w:b/>
        <w:shd w:fill="auto" w:val="clear"/>
        <w:szCs w:val="15"/>
        <w:rFonts w:ascii="Arial" w:hAnsi="Arial" w:eastAsia="Arial" w:cs="Arial"/>
        <w:color w:val="000000"/>
      </w:rPr>
    </w:lvl>
    <w:lvl w:ilvl="1">
      <w:start w:val="1"/>
      <w:numFmt w:val="decimal"/>
      <w:lvlText w:val="%1.%2."/>
      <w:lvlJc w:val="left"/>
      <w:pPr>
        <w:tabs>
          <w:tab w:val="num" w:pos="0"/>
        </w:tabs>
        <w:ind w:left="1056" w:hanging="0"/>
      </w:pPr>
      <w:rPr>
        <w:dstrike w:val="false"/>
        <w:strike w:val="false"/>
        <w:vertAlign w:val="baseline"/>
        <w:position w:val="0"/>
        <w:sz w:val="15"/>
        <w:sz w:val="15"/>
        <w:i w:val="false"/>
        <w:u w:val="none" w:color="000000"/>
        <w:b/>
        <w:shd w:fill="auto" w:val="clear"/>
        <w:szCs w:val="15"/>
        <w:bCs/>
        <w:rFonts w:ascii="Arial" w:hAnsi="Arial" w:eastAsia="Arial" w:cs="Arial"/>
        <w:color w:val="000000"/>
      </w:rPr>
    </w:lvl>
    <w:lvl w:ilvl="2">
      <w:start w:val="1"/>
      <w:numFmt w:val="decimal"/>
      <w:lvlText w:val="%1.%2.%3."/>
      <w:lvlJc w:val="left"/>
      <w:pPr>
        <w:tabs>
          <w:tab w:val="num" w:pos="0"/>
        </w:tabs>
        <w:ind w:left="1946"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3">
      <w:start w:val="1"/>
      <w:numFmt w:val="decimal"/>
      <w:lvlText w:val="%4"/>
      <w:lvlJc w:val="left"/>
      <w:pPr>
        <w:tabs>
          <w:tab w:val="num" w:pos="0"/>
        </w:tabs>
        <w:ind w:left="111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4">
      <w:start w:val="1"/>
      <w:numFmt w:val="lowerLetter"/>
      <w:lvlText w:val="%5"/>
      <w:lvlJc w:val="left"/>
      <w:pPr>
        <w:tabs>
          <w:tab w:val="num" w:pos="0"/>
        </w:tabs>
        <w:ind w:left="183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5">
      <w:start w:val="1"/>
      <w:numFmt w:val="lowerRoman"/>
      <w:lvlText w:val="%6"/>
      <w:lvlJc w:val="left"/>
      <w:pPr>
        <w:tabs>
          <w:tab w:val="num" w:pos="0"/>
        </w:tabs>
        <w:ind w:left="255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6">
      <w:start w:val="1"/>
      <w:numFmt w:val="decimal"/>
      <w:lvlText w:val="%7"/>
      <w:lvlJc w:val="left"/>
      <w:pPr>
        <w:tabs>
          <w:tab w:val="num" w:pos="0"/>
        </w:tabs>
        <w:ind w:left="327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7">
      <w:start w:val="1"/>
      <w:numFmt w:val="lowerLetter"/>
      <w:lvlText w:val="%8"/>
      <w:lvlJc w:val="left"/>
      <w:pPr>
        <w:tabs>
          <w:tab w:val="num" w:pos="0"/>
        </w:tabs>
        <w:ind w:left="399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8">
      <w:start w:val="1"/>
      <w:numFmt w:val="lowerRoman"/>
      <w:lvlText w:val="%9"/>
      <w:lvlJc w:val="left"/>
      <w:pPr>
        <w:tabs>
          <w:tab w:val="num" w:pos="0"/>
        </w:tabs>
        <w:ind w:left="471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abstractNum>
  <w:abstractNum w:abstractNumId="5">
    <w:lvl w:ilvl="0">
      <w:start w:val="2"/>
      <w:numFmt w:val="decimal"/>
      <w:lvlText w:val="%1"/>
      <w:lvlJc w:val="left"/>
      <w:pPr>
        <w:tabs>
          <w:tab w:val="num" w:pos="0"/>
        </w:tabs>
        <w:ind w:left="360"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1">
      <w:start w:val="3"/>
      <w:numFmt w:val="decimal"/>
      <w:lvlText w:val="%1.%2."/>
      <w:lvlJc w:val="left"/>
      <w:pPr>
        <w:tabs>
          <w:tab w:val="num" w:pos="0"/>
        </w:tabs>
        <w:ind w:left="321"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2">
      <w:start w:val="1"/>
      <w:numFmt w:val="lowerRoman"/>
      <w:lvlText w:val="%3"/>
      <w:lvlJc w:val="left"/>
      <w:pPr>
        <w:tabs>
          <w:tab w:val="num" w:pos="0"/>
        </w:tabs>
        <w:ind w:left="111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3">
      <w:start w:val="1"/>
      <w:numFmt w:val="decimal"/>
      <w:lvlText w:val="%4"/>
      <w:lvlJc w:val="left"/>
      <w:pPr>
        <w:tabs>
          <w:tab w:val="num" w:pos="0"/>
        </w:tabs>
        <w:ind w:left="183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4">
      <w:start w:val="1"/>
      <w:numFmt w:val="lowerLetter"/>
      <w:lvlText w:val="%5"/>
      <w:lvlJc w:val="left"/>
      <w:pPr>
        <w:tabs>
          <w:tab w:val="num" w:pos="0"/>
        </w:tabs>
        <w:ind w:left="255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5">
      <w:start w:val="1"/>
      <w:numFmt w:val="lowerRoman"/>
      <w:lvlText w:val="%6"/>
      <w:lvlJc w:val="left"/>
      <w:pPr>
        <w:tabs>
          <w:tab w:val="num" w:pos="0"/>
        </w:tabs>
        <w:ind w:left="327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6">
      <w:start w:val="1"/>
      <w:numFmt w:val="decimal"/>
      <w:lvlText w:val="%7"/>
      <w:lvlJc w:val="left"/>
      <w:pPr>
        <w:tabs>
          <w:tab w:val="num" w:pos="0"/>
        </w:tabs>
        <w:ind w:left="399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7">
      <w:start w:val="1"/>
      <w:numFmt w:val="lowerLetter"/>
      <w:lvlText w:val="%8"/>
      <w:lvlJc w:val="left"/>
      <w:pPr>
        <w:tabs>
          <w:tab w:val="num" w:pos="0"/>
        </w:tabs>
        <w:ind w:left="471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8">
      <w:start w:val="1"/>
      <w:numFmt w:val="lowerRoman"/>
      <w:lvlText w:val="%9"/>
      <w:lvlJc w:val="left"/>
      <w:pPr>
        <w:tabs>
          <w:tab w:val="num" w:pos="0"/>
        </w:tabs>
        <w:ind w:left="5434"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abstractNum>
  <w:abstractNum w:abstractNumId="6">
    <w:lvl w:ilvl="0">
      <w:start w:val="6"/>
      <w:numFmt w:val="decimal"/>
      <w:lvlText w:val="%1."/>
      <w:lvlJc w:val="left"/>
      <w:pPr>
        <w:tabs>
          <w:tab w:val="num" w:pos="0"/>
        </w:tabs>
        <w:ind w:left="209" w:hanging="0"/>
      </w:pPr>
      <w:rPr>
        <w:dstrike w:val="false"/>
        <w:strike w:val="false"/>
        <w:vertAlign w:val="baseline"/>
        <w:position w:val="0"/>
        <w:sz w:val="15"/>
        <w:sz w:val="15"/>
        <w:i w:val="false"/>
        <w:u w:val="none" w:color="000000"/>
        <w:b/>
        <w:shd w:fill="auto" w:val="clear"/>
        <w:szCs w:val="15"/>
        <w:bCs/>
        <w:rFonts w:ascii="Arial" w:hAnsi="Arial" w:eastAsia="Arial" w:cs="Arial"/>
        <w:color w:val="000000"/>
      </w:rPr>
    </w:lvl>
    <w:lvl w:ilvl="1">
      <w:start w:val="1"/>
      <w:numFmt w:val="decimal"/>
      <w:lvlText w:val="%1.%2."/>
      <w:lvlJc w:val="left"/>
      <w:pPr>
        <w:tabs>
          <w:tab w:val="num" w:pos="0"/>
        </w:tabs>
        <w:ind w:left="1056"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2">
      <w:start w:val="1"/>
      <w:numFmt w:val="lowerRoman"/>
      <w:lvlText w:val="%3"/>
      <w:lvlJc w:val="left"/>
      <w:pPr>
        <w:tabs>
          <w:tab w:val="num" w:pos="0"/>
        </w:tabs>
        <w:ind w:left="1080"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3">
      <w:start w:val="1"/>
      <w:numFmt w:val="decimal"/>
      <w:lvlText w:val="%4"/>
      <w:lvlJc w:val="left"/>
      <w:pPr>
        <w:tabs>
          <w:tab w:val="num" w:pos="0"/>
        </w:tabs>
        <w:ind w:left="1800"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4">
      <w:start w:val="1"/>
      <w:numFmt w:val="lowerLetter"/>
      <w:lvlText w:val="%5"/>
      <w:lvlJc w:val="left"/>
      <w:pPr>
        <w:tabs>
          <w:tab w:val="num" w:pos="0"/>
        </w:tabs>
        <w:ind w:left="2520"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5">
      <w:start w:val="1"/>
      <w:numFmt w:val="lowerRoman"/>
      <w:lvlText w:val="%6"/>
      <w:lvlJc w:val="left"/>
      <w:pPr>
        <w:tabs>
          <w:tab w:val="num" w:pos="0"/>
        </w:tabs>
        <w:ind w:left="3240"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6">
      <w:start w:val="1"/>
      <w:numFmt w:val="decimal"/>
      <w:lvlText w:val="%7"/>
      <w:lvlJc w:val="left"/>
      <w:pPr>
        <w:tabs>
          <w:tab w:val="num" w:pos="0"/>
        </w:tabs>
        <w:ind w:left="3960"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7">
      <w:start w:val="1"/>
      <w:numFmt w:val="lowerLetter"/>
      <w:lvlText w:val="%8"/>
      <w:lvlJc w:val="left"/>
      <w:pPr>
        <w:tabs>
          <w:tab w:val="num" w:pos="0"/>
        </w:tabs>
        <w:ind w:left="4680"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8">
      <w:start w:val="1"/>
      <w:numFmt w:val="lowerRoman"/>
      <w:lvlText w:val="%9"/>
      <w:lvlJc w:val="left"/>
      <w:pPr>
        <w:tabs>
          <w:tab w:val="num" w:pos="0"/>
        </w:tabs>
        <w:ind w:left="5400"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abstractNum>
  <w:abstractNum w:abstractNumId="7">
    <w:lvl w:ilvl="0">
      <w:start w:val="8"/>
      <w:numFmt w:val="decimal"/>
      <w:lvlText w:val="%1."/>
      <w:lvlJc w:val="left"/>
      <w:pPr>
        <w:tabs>
          <w:tab w:val="num" w:pos="0"/>
        </w:tabs>
        <w:ind w:left="293"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1">
      <w:start w:val="1"/>
      <w:numFmt w:val="decimal"/>
      <w:lvlText w:val="%1.%2."/>
      <w:lvlJc w:val="left"/>
      <w:pPr>
        <w:tabs>
          <w:tab w:val="num" w:pos="0"/>
        </w:tabs>
        <w:ind w:left="1140"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2">
      <w:start w:val="1"/>
      <w:numFmt w:val="lowerRoman"/>
      <w:lvlText w:val="%3"/>
      <w:lvlJc w:val="left"/>
      <w:pPr>
        <w:tabs>
          <w:tab w:val="num" w:pos="0"/>
        </w:tabs>
        <w:ind w:left="108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3">
      <w:start w:val="1"/>
      <w:numFmt w:val="decimal"/>
      <w:lvlText w:val="%4"/>
      <w:lvlJc w:val="left"/>
      <w:pPr>
        <w:tabs>
          <w:tab w:val="num" w:pos="0"/>
        </w:tabs>
        <w:ind w:left="180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4">
      <w:start w:val="1"/>
      <w:numFmt w:val="lowerLetter"/>
      <w:lvlText w:val="%5"/>
      <w:lvlJc w:val="left"/>
      <w:pPr>
        <w:tabs>
          <w:tab w:val="num" w:pos="0"/>
        </w:tabs>
        <w:ind w:left="252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5">
      <w:start w:val="1"/>
      <w:numFmt w:val="lowerRoman"/>
      <w:lvlText w:val="%6"/>
      <w:lvlJc w:val="left"/>
      <w:pPr>
        <w:tabs>
          <w:tab w:val="num" w:pos="0"/>
        </w:tabs>
        <w:ind w:left="324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6">
      <w:start w:val="1"/>
      <w:numFmt w:val="decimal"/>
      <w:lvlText w:val="%7"/>
      <w:lvlJc w:val="left"/>
      <w:pPr>
        <w:tabs>
          <w:tab w:val="num" w:pos="0"/>
        </w:tabs>
        <w:ind w:left="396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7">
      <w:start w:val="1"/>
      <w:numFmt w:val="lowerLetter"/>
      <w:lvlText w:val="%8"/>
      <w:lvlJc w:val="left"/>
      <w:pPr>
        <w:tabs>
          <w:tab w:val="num" w:pos="0"/>
        </w:tabs>
        <w:ind w:left="468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8">
      <w:start w:val="1"/>
      <w:numFmt w:val="lowerRoman"/>
      <w:lvlText w:val="%9"/>
      <w:lvlJc w:val="left"/>
      <w:pPr>
        <w:tabs>
          <w:tab w:val="num" w:pos="0"/>
        </w:tabs>
        <w:ind w:left="540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abstractNum>
  <w:abstractNum w:abstractNumId="8">
    <w:lvl w:ilvl="0">
      <w:start w:val="10"/>
      <w:numFmt w:val="decimal"/>
      <w:lvlText w:val="%1."/>
      <w:lvlJc w:val="left"/>
      <w:pPr>
        <w:tabs>
          <w:tab w:val="num" w:pos="0"/>
        </w:tabs>
        <w:ind w:left="278"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1">
      <w:start w:val="4"/>
      <w:numFmt w:val="decimal"/>
      <w:lvlText w:val="%1.%2."/>
      <w:lvlJc w:val="left"/>
      <w:pPr>
        <w:tabs>
          <w:tab w:val="num" w:pos="0"/>
        </w:tabs>
        <w:ind w:left="1132"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2">
      <w:start w:val="1"/>
      <w:numFmt w:val="lowerRoman"/>
      <w:lvlText w:val="%3"/>
      <w:lvlJc w:val="left"/>
      <w:pPr>
        <w:tabs>
          <w:tab w:val="num" w:pos="0"/>
        </w:tabs>
        <w:ind w:left="108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3">
      <w:start w:val="1"/>
      <w:numFmt w:val="decimal"/>
      <w:lvlText w:val="%4"/>
      <w:lvlJc w:val="left"/>
      <w:pPr>
        <w:tabs>
          <w:tab w:val="num" w:pos="0"/>
        </w:tabs>
        <w:ind w:left="180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4">
      <w:start w:val="1"/>
      <w:numFmt w:val="lowerLetter"/>
      <w:lvlText w:val="%5"/>
      <w:lvlJc w:val="left"/>
      <w:pPr>
        <w:tabs>
          <w:tab w:val="num" w:pos="0"/>
        </w:tabs>
        <w:ind w:left="252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5">
      <w:start w:val="1"/>
      <w:numFmt w:val="lowerRoman"/>
      <w:lvlText w:val="%6"/>
      <w:lvlJc w:val="left"/>
      <w:pPr>
        <w:tabs>
          <w:tab w:val="num" w:pos="0"/>
        </w:tabs>
        <w:ind w:left="324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6">
      <w:start w:val="1"/>
      <w:numFmt w:val="decimal"/>
      <w:lvlText w:val="%7"/>
      <w:lvlJc w:val="left"/>
      <w:pPr>
        <w:tabs>
          <w:tab w:val="num" w:pos="0"/>
        </w:tabs>
        <w:ind w:left="396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7">
      <w:start w:val="1"/>
      <w:numFmt w:val="lowerLetter"/>
      <w:lvlText w:val="%8"/>
      <w:lvlJc w:val="left"/>
      <w:pPr>
        <w:tabs>
          <w:tab w:val="num" w:pos="0"/>
        </w:tabs>
        <w:ind w:left="468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lvl w:ilvl="8">
      <w:start w:val="1"/>
      <w:numFmt w:val="lowerRoman"/>
      <w:lvlText w:val="%9"/>
      <w:lvlJc w:val="left"/>
      <w:pPr>
        <w:tabs>
          <w:tab w:val="num" w:pos="0"/>
        </w:tabs>
        <w:ind w:left="5407" w:hanging="0"/>
      </w:pPr>
      <w:rPr>
        <w:dstrike w:val="false"/>
        <w:strike w:val="false"/>
        <w:vertAlign w:val="baseline"/>
        <w:position w:val="0"/>
        <w:sz w:val="15"/>
        <w:sz w:val="15"/>
        <w:i w:val="false"/>
        <w:u w:val="none" w:color="000000"/>
        <w:b w:val="false"/>
        <w:shd w:fill="auto" w:val="clear"/>
        <w:szCs w:val="15"/>
        <w:rFonts w:ascii="Arial" w:hAnsi="Arial" w:eastAsia="Arial" w:cs="Arial"/>
        <w:color w:val="000000"/>
      </w:rPr>
    </w:lvl>
  </w:abstractNum>
  <w:abstractNum w:abstractNumId="9">
    <w:lvl w:ilvl="0">
      <w:start w:val="2"/>
      <w:numFmt w:val="decimal"/>
      <w:lvlText w:val="%1."/>
      <w:lvlJc w:val="left"/>
      <w:pPr>
        <w:tabs>
          <w:tab w:val="num" w:pos="0"/>
        </w:tabs>
        <w:ind w:left="0" w:hanging="0"/>
      </w:pPr>
      <w:rPr>
        <w:dstrike w:val="false"/>
        <w:strike w:val="false"/>
        <w:vertAlign w:val="baseline"/>
        <w:position w:val="0"/>
        <w:sz w:val="14"/>
        <w:sz w:val="14"/>
        <w:i w:val="false"/>
        <w:u w:val="none" w:color="000000"/>
        <w:b/>
        <w:shd w:fill="auto" w:val="clear"/>
        <w:szCs w:val="14"/>
        <w:bCs/>
        <w:rFonts w:ascii="Arial" w:hAnsi="Arial" w:eastAsia="Arial" w:cs="Arial"/>
        <w:color w:val="000000"/>
      </w:rPr>
    </w:lvl>
    <w:lvl w:ilvl="1">
      <w:start w:val="1"/>
      <w:numFmt w:val="lowerLetter"/>
      <w:lvlText w:val="%2"/>
      <w:lvlJc w:val="left"/>
      <w:pPr>
        <w:tabs>
          <w:tab w:val="num" w:pos="0"/>
        </w:tabs>
        <w:ind w:left="5734" w:hanging="0"/>
      </w:pPr>
      <w:rPr>
        <w:dstrike w:val="false"/>
        <w:strike w:val="false"/>
        <w:vertAlign w:val="baseline"/>
        <w:position w:val="0"/>
        <w:sz w:val="14"/>
        <w:sz w:val="14"/>
        <w:i w:val="false"/>
        <w:u w:val="none" w:color="000000"/>
        <w:b/>
        <w:shd w:fill="auto" w:val="clear"/>
        <w:szCs w:val="14"/>
        <w:bCs/>
        <w:rFonts w:ascii="Arial" w:hAnsi="Arial" w:eastAsia="Arial" w:cs="Arial"/>
        <w:color w:val="000000"/>
      </w:rPr>
    </w:lvl>
    <w:lvl w:ilvl="2">
      <w:start w:val="1"/>
      <w:numFmt w:val="lowerRoman"/>
      <w:lvlText w:val="%3"/>
      <w:lvlJc w:val="left"/>
      <w:pPr>
        <w:tabs>
          <w:tab w:val="num" w:pos="0"/>
        </w:tabs>
        <w:ind w:left="6454" w:hanging="0"/>
      </w:pPr>
      <w:rPr>
        <w:dstrike w:val="false"/>
        <w:strike w:val="false"/>
        <w:vertAlign w:val="baseline"/>
        <w:position w:val="0"/>
        <w:sz w:val="14"/>
        <w:sz w:val="14"/>
        <w:i w:val="false"/>
        <w:u w:val="none" w:color="000000"/>
        <w:b/>
        <w:shd w:fill="auto" w:val="clear"/>
        <w:szCs w:val="14"/>
        <w:bCs/>
        <w:rFonts w:ascii="Arial" w:hAnsi="Arial" w:eastAsia="Arial" w:cs="Arial"/>
        <w:color w:val="000000"/>
      </w:rPr>
    </w:lvl>
    <w:lvl w:ilvl="3">
      <w:start w:val="1"/>
      <w:numFmt w:val="decimal"/>
      <w:lvlText w:val="%4"/>
      <w:lvlJc w:val="left"/>
      <w:pPr>
        <w:tabs>
          <w:tab w:val="num" w:pos="0"/>
        </w:tabs>
        <w:ind w:left="7174" w:hanging="0"/>
      </w:pPr>
      <w:rPr>
        <w:dstrike w:val="false"/>
        <w:strike w:val="false"/>
        <w:vertAlign w:val="baseline"/>
        <w:position w:val="0"/>
        <w:sz w:val="14"/>
        <w:sz w:val="14"/>
        <w:i w:val="false"/>
        <w:u w:val="none" w:color="000000"/>
        <w:b/>
        <w:shd w:fill="auto" w:val="clear"/>
        <w:szCs w:val="14"/>
        <w:bCs/>
        <w:rFonts w:ascii="Arial" w:hAnsi="Arial" w:eastAsia="Arial" w:cs="Arial"/>
        <w:color w:val="000000"/>
      </w:rPr>
    </w:lvl>
    <w:lvl w:ilvl="4">
      <w:start w:val="1"/>
      <w:numFmt w:val="lowerLetter"/>
      <w:lvlText w:val="%5"/>
      <w:lvlJc w:val="left"/>
      <w:pPr>
        <w:tabs>
          <w:tab w:val="num" w:pos="0"/>
        </w:tabs>
        <w:ind w:left="7894" w:hanging="0"/>
      </w:pPr>
      <w:rPr>
        <w:dstrike w:val="false"/>
        <w:strike w:val="false"/>
        <w:vertAlign w:val="baseline"/>
        <w:position w:val="0"/>
        <w:sz w:val="14"/>
        <w:sz w:val="14"/>
        <w:i w:val="false"/>
        <w:u w:val="none" w:color="000000"/>
        <w:b/>
        <w:shd w:fill="auto" w:val="clear"/>
        <w:szCs w:val="14"/>
        <w:bCs/>
        <w:rFonts w:ascii="Arial" w:hAnsi="Arial" w:eastAsia="Arial" w:cs="Arial"/>
        <w:color w:val="000000"/>
      </w:rPr>
    </w:lvl>
    <w:lvl w:ilvl="5">
      <w:start w:val="1"/>
      <w:numFmt w:val="lowerRoman"/>
      <w:lvlText w:val="%6"/>
      <w:lvlJc w:val="left"/>
      <w:pPr>
        <w:tabs>
          <w:tab w:val="num" w:pos="0"/>
        </w:tabs>
        <w:ind w:left="8614" w:hanging="0"/>
      </w:pPr>
      <w:rPr>
        <w:dstrike w:val="false"/>
        <w:strike w:val="false"/>
        <w:vertAlign w:val="baseline"/>
        <w:position w:val="0"/>
        <w:sz w:val="14"/>
        <w:sz w:val="14"/>
        <w:i w:val="false"/>
        <w:u w:val="none" w:color="000000"/>
        <w:b/>
        <w:shd w:fill="auto" w:val="clear"/>
        <w:szCs w:val="14"/>
        <w:bCs/>
        <w:rFonts w:ascii="Arial" w:hAnsi="Arial" w:eastAsia="Arial" w:cs="Arial"/>
        <w:color w:val="000000"/>
      </w:rPr>
    </w:lvl>
    <w:lvl w:ilvl="6">
      <w:start w:val="1"/>
      <w:numFmt w:val="decimal"/>
      <w:lvlText w:val="%7"/>
      <w:lvlJc w:val="left"/>
      <w:pPr>
        <w:tabs>
          <w:tab w:val="num" w:pos="0"/>
        </w:tabs>
        <w:ind w:left="9334" w:hanging="0"/>
      </w:pPr>
      <w:rPr>
        <w:dstrike w:val="false"/>
        <w:strike w:val="false"/>
        <w:vertAlign w:val="baseline"/>
        <w:position w:val="0"/>
        <w:sz w:val="14"/>
        <w:sz w:val="14"/>
        <w:i w:val="false"/>
        <w:u w:val="none" w:color="000000"/>
        <w:b/>
        <w:shd w:fill="auto" w:val="clear"/>
        <w:szCs w:val="14"/>
        <w:bCs/>
        <w:rFonts w:ascii="Arial" w:hAnsi="Arial" w:eastAsia="Arial" w:cs="Arial"/>
        <w:color w:val="000000"/>
      </w:rPr>
    </w:lvl>
    <w:lvl w:ilvl="7">
      <w:start w:val="1"/>
      <w:numFmt w:val="lowerLetter"/>
      <w:lvlText w:val="%8"/>
      <w:lvlJc w:val="left"/>
      <w:pPr>
        <w:tabs>
          <w:tab w:val="num" w:pos="0"/>
        </w:tabs>
        <w:ind w:left="10054" w:hanging="0"/>
      </w:pPr>
      <w:rPr>
        <w:dstrike w:val="false"/>
        <w:strike w:val="false"/>
        <w:vertAlign w:val="baseline"/>
        <w:position w:val="0"/>
        <w:sz w:val="14"/>
        <w:sz w:val="14"/>
        <w:i w:val="false"/>
        <w:u w:val="none" w:color="000000"/>
        <w:b/>
        <w:shd w:fill="auto" w:val="clear"/>
        <w:szCs w:val="14"/>
        <w:bCs/>
        <w:rFonts w:ascii="Arial" w:hAnsi="Arial" w:eastAsia="Arial" w:cs="Arial"/>
        <w:color w:val="000000"/>
      </w:rPr>
    </w:lvl>
    <w:lvl w:ilvl="8">
      <w:start w:val="1"/>
      <w:numFmt w:val="lowerRoman"/>
      <w:lvlText w:val="%9"/>
      <w:lvlJc w:val="left"/>
      <w:pPr>
        <w:tabs>
          <w:tab w:val="num" w:pos="0"/>
        </w:tabs>
        <w:ind w:left="10774" w:hanging="0"/>
      </w:pPr>
      <w:rPr>
        <w:dstrike w:val="false"/>
        <w:strike w:val="false"/>
        <w:vertAlign w:val="baseline"/>
        <w:position w:val="0"/>
        <w:sz w:val="14"/>
        <w:sz w:val="14"/>
        <w:i w:val="false"/>
        <w:u w:val="none" w:color="000000"/>
        <w:b/>
        <w:shd w:fill="auto" w:val="clear"/>
        <w:szCs w:val="14"/>
        <w:bCs/>
        <w:rFonts w:ascii="Arial" w:hAnsi="Arial" w:eastAsia="Arial" w:cs="Arial"/>
        <w:color w:val="000000"/>
      </w:rPr>
    </w:lvl>
  </w:abstractNum>
  <w:abstractNum w:abstractNumId="10">
    <w:lvl w:ilvl="0">
      <w:start w:val="1"/>
      <w:numFmt w:val="decimal"/>
      <w:lvlText w:val="%1."/>
      <w:lvlJc w:val="left"/>
      <w:pPr>
        <w:tabs>
          <w:tab w:val="num" w:pos="0"/>
        </w:tabs>
        <w:ind w:left="680" w:hanging="51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49" w:before="0" w:after="20"/>
      <w:ind w:hanging="10" w:left="39"/>
      <w:jc w:val="both"/>
    </w:pPr>
    <w:rPr>
      <w:rFonts w:ascii="Arial" w:hAnsi="Arial" w:eastAsia="Arial" w:cs="Arial"/>
      <w:color w:val="000000"/>
      <w:kern w:val="0"/>
      <w:sz w:val="15"/>
      <w:szCs w:val="22"/>
      <w:lang w:val="ru-RU" w:eastAsia="ru-RU" w:bidi="ar-SA"/>
    </w:rPr>
  </w:style>
  <w:style w:type="paragraph" w:styleId="Heading1">
    <w:name w:val="Heading 1"/>
    <w:next w:val="Normal"/>
    <w:link w:val="1"/>
    <w:uiPriority w:val="9"/>
    <w:unhideWhenUsed/>
    <w:qFormat/>
    <w:pPr>
      <w:keepNext w:val="true"/>
      <w:keepLines/>
      <w:widowControl/>
      <w:numPr>
        <w:ilvl w:val="0"/>
        <w:numId w:val="9"/>
      </w:numPr>
      <w:bidi w:val="0"/>
      <w:spacing w:lineRule="auto" w:line="259" w:before="0" w:after="25"/>
      <w:ind w:left="28"/>
      <w:jc w:val="center"/>
      <w:outlineLvl w:val="0"/>
    </w:pPr>
    <w:rPr>
      <w:rFonts w:ascii="Arial" w:hAnsi="Arial" w:eastAsia="Arial" w:cs="Arial"/>
      <w:b/>
      <w:color w:val="000000"/>
      <w:kern w:val="0"/>
      <w:sz w:val="14"/>
      <w:szCs w:val="22"/>
      <w:lang w:val="ru-RU" w:eastAsia="ru-RU" w:bidi="ar-SA"/>
    </w:rPr>
  </w:style>
  <w:style w:type="character" w:styleId="DefaultParagraphFont" w:default="1">
    <w:name w:val="Default Paragraph Font"/>
    <w:uiPriority w:val="1"/>
    <w:semiHidden/>
    <w:unhideWhenUsed/>
    <w:qFormat/>
    <w:rPr/>
  </w:style>
  <w:style w:type="character" w:styleId="1" w:customStyle="1">
    <w:name w:val="Заголовок 1 Знак"/>
    <w:qFormat/>
    <w:rPr>
      <w:rFonts w:ascii="Arial" w:hAnsi="Arial" w:eastAsia="Arial" w:cs="Arial"/>
      <w:b/>
      <w:color w:val="000000"/>
      <w:sz w:val="14"/>
    </w:rPr>
  </w:style>
  <w:style w:type="paragraph" w:styleId="Style8">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Указатель"/>
    <w:basedOn w:val="Normal"/>
    <w:qFormat/>
    <w:pPr>
      <w:suppressLineNumbers/>
    </w:pPr>
    <w:rPr>
      <w:rFonts w:cs="Arial Unicode MS"/>
    </w:rPr>
  </w:style>
  <w:style w:type="paragraph" w:styleId="ListParagraph">
    <w:name w:val="List Paragraph"/>
    <w:basedOn w:val="Normal"/>
    <w:uiPriority w:val="34"/>
    <w:qFormat/>
    <w:rsid w:val="005567c5"/>
    <w:pPr>
      <w:spacing w:before="0" w:after="20"/>
      <w:ind w:left="72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Application>AlterOffice/2026.2.0.0$Linux_X86_64 LibreOffice_project/bc4ef1adf80b36c7a6365f8ed6cbf29021361edd</Application>
  <AppVersion>15.0000</AppVersion>
  <Pages>6</Pages>
  <Words>3019</Words>
  <Characters>20130</Characters>
  <CharactersWithSpaces>23008</CharactersWithSpaces>
  <Paragraphs>291</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2022-11-02T07:06:00Z</dcterms:created>
  <dc:creator/>
  <dc:description/>
  <dc:language>ru-RU</dc:language>
  <cp:lastModifiedBy>korolevkv@corp.gidroogk.com</cp:lastModifiedBy>
  <dcterms:modified xsi:type="dcterms:W3CDTF">2026-10-16T09:42:52Z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