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media/image3.jpeg" ContentType="image/jpeg"/>
  <Override PartName="/word/media/image4.png" ContentType="image/png"/>
  <Override PartName="/word/media/image5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1"/>
        <w:widowControl w:val="false"/>
        <w:numPr>
          <w:ilvl w:val="0"/>
          <w:numId w:val="0"/>
        </w:numPr>
        <w:ind w:left="851" w:hanging="0"/>
        <w:jc w:val="center"/>
        <w:rPr>
          <w:bCs/>
          <w:sz w:val="24"/>
          <w:szCs w:val="24"/>
        </w:rPr>
      </w:pPr>
      <w:bookmarkStart w:id="0" w:name="_Toc236750704"/>
      <w:r>
        <w:rPr>
          <w:bCs/>
          <w:sz w:val="24"/>
          <w:szCs w:val="24"/>
        </w:rPr>
        <w:t xml:space="preserve">ОКПД 2: </w:t>
      </w:r>
      <w:r>
        <w:rPr>
          <w:bCs/>
          <w:sz w:val="24"/>
          <w:szCs w:val="24"/>
        </w:rPr>
        <w:t>26.51.53.</w:t>
      </w:r>
      <w:r>
        <w:rPr>
          <w:bCs/>
          <w:sz w:val="24"/>
          <w:szCs w:val="24"/>
        </w:rPr>
        <w:t xml:space="preserve"> Поставка лабораторных реакторов (автоклавов) высокого давления для оснащения лаборатории глубокой переработки и утилизации золошлаковых отходов АО «ВНИИГ им.  Б.Е. Веденеева».</w:t>
      </w:r>
      <w:bookmarkEnd w:id="0"/>
    </w:p>
    <w:p>
      <w:pPr>
        <w:pStyle w:val="Normal"/>
        <w:widowControl w:val="false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i/>
          <w:i/>
          <w:strike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>
      <w:pPr>
        <w:pStyle w:val="Normal"/>
        <w:widowControl w:val="false"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widowControl w:val="false"/>
        <w:jc w:val="center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Fonts w:eastAsia="Arial"/>
            </w:rPr>
            <w:instrText> TOC \z \o "1-4" \u \h</w:instrText>
          </w:r>
          <w:r>
            <w:rPr>
              <w:webHidden/>
              <w:rFonts w:eastAsia="Arial"/>
            </w:rPr>
            <w:fldChar w:fldCharType="separate"/>
          </w:r>
          <w:hyperlink w:anchor="_Toc236750704">
            <w:r>
              <w:rPr>
                <w:webHidden/>
                <w:rFonts w:eastAsia="Arial"/>
              </w:rPr>
              <w:t>ОКПД 2: 32.50.12. Поставка лабораторных реакторов (автоклавов) высокого давления для оснащения лаборатории глубокой переработки и утилизации золошлаковых отходов АО «ВНИИГ им.  Б.Е. Веденеева».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_Toc236750704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05">
            <w:r>
              <w:rPr>
                <w:webHidden/>
                <w:rFonts w:eastAsia="Arial"/>
              </w:rPr>
              <w:t>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Fonts w:eastAsia="Arial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_Toc236750705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06">
            <w:r>
              <w:rPr>
                <w:webHidden/>
                <w:rFonts w:eastAsia="Arial"/>
                <w:i/>
                <w:iCs/>
              </w:rPr>
              <w:t>1.1.</w:t>
            </w:r>
            <w:r>
              <w:rPr>
                <w:rFonts w:eastAsia="Arial"/>
              </w:rPr>
              <w:t xml:space="preserve"> 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_Toc236750706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07">
            <w:r>
              <w:rPr>
                <w:webHidden/>
                <w:rFonts w:eastAsia="Arial"/>
              </w:rPr>
              <w:t>1.2. 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_Toc236750707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08">
            <w:r>
              <w:rPr>
                <w:webHidden/>
                <w:rFonts w:eastAsia="Arial"/>
              </w:rPr>
              <w:t>1.3. Цель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_Toc236750708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09">
            <w:r>
              <w:rPr>
                <w:webHidden/>
                <w:rFonts w:eastAsia="Arial"/>
              </w:rPr>
              <w:t>1.4. 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_Toc236750709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10">
            <w:r>
              <w:rPr>
                <w:webHidden/>
                <w:rFonts w:eastAsia="Arial"/>
              </w:rPr>
              <w:t>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Fonts w:eastAsia="Arial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11">
            <w:r>
              <w:rPr>
                <w:webHidden/>
                <w:rFonts w:eastAsia="Arial"/>
              </w:rPr>
              <w:t>2.1. 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12">
            <w:r>
              <w:rPr>
                <w:webHidden/>
                <w:rFonts w:eastAsia="Arial"/>
              </w:rPr>
              <w:t>2.1.1.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Fonts w:eastAsia="Arial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13">
            <w:r>
              <w:rPr>
                <w:webHidden/>
                <w:rFonts w:eastAsia="Arial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14">
            <w:r>
              <w:rPr>
                <w:webHidden/>
                <w:rFonts w:eastAsia="Arial"/>
              </w:rPr>
              <w:t>2.1.2.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Fonts w:eastAsia="Arial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15">
            <w:r>
              <w:rPr>
                <w:webHidden/>
                <w:rFonts w:eastAsia="Arial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36750716">
            <w:r>
              <w:rPr>
                <w:webHidden/>
                <w:rFonts w:eastAsia="Arial"/>
              </w:rPr>
              <w:t>2.2.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17">
            <w:r>
              <w:rPr>
                <w:webHidden/>
                <w:rFonts w:eastAsia="Arial"/>
              </w:rPr>
              <w:t>Таблица 3.1.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18">
            <w:r>
              <w:rPr>
                <w:webHidden/>
                <w:rFonts w:eastAsia="Arial"/>
                <w:i/>
                <w:iCs/>
              </w:rPr>
              <w:t xml:space="preserve">Наименование продукции: </w:t>
            </w:r>
            <w:r>
              <w:rPr>
                <w:rFonts w:eastAsia="Arial"/>
              </w:rPr>
              <w:t>Реактор Модель A3115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19">
            <w:r>
              <w:rPr>
                <w:webHidden/>
                <w:rFonts w:eastAsia="Arial"/>
              </w:rPr>
              <w:t>Таблица 3.2.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_Toc236750719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36750720">
            <w:r>
              <w:rPr>
                <w:webHidden/>
                <w:rFonts w:eastAsia="Arial"/>
                <w:i/>
                <w:iCs/>
              </w:rPr>
              <w:t xml:space="preserve">Наименование продукции: </w:t>
            </w:r>
            <w:r>
              <w:rPr>
                <w:rFonts w:eastAsia="Arial"/>
              </w:rPr>
              <w:t>Реактор Модель A3405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_Toc236750720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19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19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19"/>
        <w:widowControl w:val="false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2"/>
        <w:keepNext w:val="false"/>
        <w:widowControl w:val="false"/>
        <w:tabs>
          <w:tab w:val="clear" w:pos="0"/>
        </w:tabs>
        <w:ind w:left="0" w:hanging="0"/>
        <w:rPr>
          <w:b w:val="false"/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1"/>
        <w:keepNext w:val="false"/>
        <w:widowControl w:val="false"/>
        <w:ind w:left="357" w:hanging="357"/>
        <w:jc w:val="center"/>
        <w:rPr>
          <w:caps/>
        </w:rPr>
      </w:pPr>
      <w:bookmarkStart w:id="1" w:name="_Toc236750705"/>
      <w:bookmarkStart w:id="2" w:name="_Toc51339692"/>
      <w:r>
        <w:rPr/>
        <w:t>Общие сведения</w:t>
      </w:r>
      <w:bookmarkEnd w:id="1"/>
      <w:bookmarkEnd w:id="2"/>
    </w:p>
    <w:p>
      <w:pPr>
        <w:pStyle w:val="4"/>
        <w:keepNext w:val="false"/>
        <w:widowControl w:val="false"/>
        <w:numPr>
          <w:ilvl w:val="1"/>
          <w:numId w:val="13"/>
        </w:numPr>
        <w:ind w:left="0" w:firstLine="567"/>
        <w:rPr>
          <w:rStyle w:val="Style17"/>
          <w:iCs/>
          <w:sz w:val="26"/>
          <w:szCs w:val="26"/>
        </w:rPr>
      </w:pPr>
      <w:bookmarkStart w:id="3" w:name="_Toc236750706"/>
      <w:bookmarkStart w:id="4" w:name="_Toc46743505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Государственный стандарт, национальный стандарт РФ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ГОСТ 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Государственные стандарты, принимаемые только в России</w:t>
            </w:r>
          </w:p>
        </w:tc>
      </w:tr>
    </w:tbl>
    <w:p>
      <w:pPr>
        <w:pStyle w:val="Normal"/>
        <w:widowControl w:val="false"/>
        <w:ind w:firstLine="567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4"/>
        <w:keepNext w:val="false"/>
        <w:widowControl w:val="false"/>
        <w:numPr>
          <w:ilvl w:val="1"/>
          <w:numId w:val="14"/>
        </w:numPr>
        <w:ind w:left="0" w:firstLine="567"/>
        <w:rPr/>
      </w:pPr>
      <w:bookmarkStart w:id="5" w:name="_Toc236750707"/>
      <w:r>
        <w:rPr/>
        <w:t>Наименование закупаемой продукции</w:t>
      </w:r>
      <w:bookmarkEnd w:id="5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Поставка лабораторных реакторов (автоклавов) высокого давления  для оснащения лаборатории глубокой переработки и утилизации золошлаковых отходов АО «ВНИИГ им.  Б.Е. Веденеева».</w:t>
      </w:r>
    </w:p>
    <w:p>
      <w:pPr>
        <w:pStyle w:val="4"/>
        <w:keepNext w:val="false"/>
        <w:widowControl w:val="false"/>
        <w:numPr>
          <w:ilvl w:val="1"/>
          <w:numId w:val="15"/>
        </w:numPr>
        <w:ind w:left="0" w:firstLine="567"/>
        <w:rPr/>
      </w:pPr>
      <w:bookmarkStart w:id="6" w:name="_Toc236750708"/>
      <w:r>
        <w:rPr/>
        <w:t>Цель поставки</w:t>
      </w:r>
      <w:bookmarkEnd w:id="6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Использование закупаемой продукции для оснащения лаборатории</w:t>
      </w:r>
      <w:r>
        <w:rPr>
          <w:rFonts w:eastAsia="Calibri"/>
          <w:sz w:val="24"/>
          <w:szCs w:val="24"/>
        </w:rPr>
        <w:t xml:space="preserve"> глубокой переработки и утилизации золошлаковых отходов АО «ВНИИГ им.  Б.Е. Веденеева».</w:t>
      </w:r>
    </w:p>
    <w:p>
      <w:pPr>
        <w:pStyle w:val="4"/>
        <w:keepNext w:val="false"/>
        <w:widowControl w:val="false"/>
        <w:numPr>
          <w:ilvl w:val="1"/>
          <w:numId w:val="16"/>
        </w:numPr>
        <w:ind w:left="0" w:firstLine="567"/>
        <w:rPr/>
      </w:pPr>
      <w:bookmarkStart w:id="7" w:name="_Toc236750709"/>
      <w:bookmarkStart w:id="8" w:name="_Toc46743508"/>
      <w:r>
        <w:rPr/>
        <w:t>Существующее положение</w:t>
      </w:r>
      <w:bookmarkEnd w:id="7"/>
      <w:bookmarkEnd w:id="8"/>
    </w:p>
    <w:p>
      <w:pPr>
        <w:pStyle w:val="Normal"/>
        <w:widowControl w:val="false"/>
        <w:spacing w:lineRule="auto" w:line="276"/>
        <w:ind w:firstLine="567"/>
        <w:jc w:val="both"/>
        <w:rPr>
          <w:bCs/>
          <w:sz w:val="24"/>
          <w:szCs w:val="24"/>
        </w:rPr>
      </w:pPr>
      <w:bookmarkStart w:id="9" w:name="_Toc46743509"/>
      <w:bookmarkStart w:id="10" w:name="_Hlk49857604"/>
      <w:bookmarkEnd w:id="9"/>
      <w:bookmarkEnd w:id="10"/>
      <w:r>
        <w:rPr>
          <w:bCs/>
          <w:sz w:val="24"/>
          <w:szCs w:val="24"/>
        </w:rPr>
        <w:t xml:space="preserve">В настоящее время в </w:t>
      </w:r>
      <w:r>
        <w:rPr>
          <w:sz w:val="24"/>
          <w:szCs w:val="24"/>
        </w:rPr>
        <w:t xml:space="preserve">АО «ВНИИГ им. Б.Е. Веденеева» </w:t>
      </w:r>
      <w:r>
        <w:rPr>
          <w:bCs/>
          <w:sz w:val="24"/>
          <w:szCs w:val="24"/>
        </w:rPr>
        <w:t>отсутствует лабораторная база по направлению исследований</w:t>
      </w:r>
      <w:r>
        <w:rPr>
          <w:rFonts w:eastAsia="Calibri"/>
          <w:sz w:val="24"/>
          <w:szCs w:val="24"/>
        </w:rPr>
        <w:t xml:space="preserve"> глубокой переработки и утилизации золошлаковых отходов.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  <w:tab w:val="left" w:pos="1134" w:leader="none"/>
        </w:tabs>
        <w:spacing w:lineRule="auto" w:line="276"/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Поставка закупаемой продукции осуществляются для нужд </w:t>
      </w:r>
      <w:r>
        <w:rPr>
          <w:sz w:val="24"/>
          <w:szCs w:val="24"/>
        </w:rPr>
        <w:t>АО «ВНИИГ им. Б.Е. Веденеева», 195220, г. Санкт-Петербург, ул. Гжатская, д.21.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  <w:tab w:val="left" w:pos="1134" w:leader="none"/>
        </w:tabs>
        <w:spacing w:lineRule="auto" w:line="276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1"/>
        <w:keepNext w:val="false"/>
        <w:widowControl w:val="false"/>
        <w:ind w:left="0" w:firstLine="567"/>
        <w:jc w:val="center"/>
        <w:rPr>
          <w:iCs/>
          <w:caps/>
        </w:rPr>
      </w:pPr>
      <w:bookmarkStart w:id="11" w:name="_Toc50125126"/>
      <w:bookmarkStart w:id="12" w:name="_Toc236750710"/>
      <w:bookmarkStart w:id="13" w:name="_Toc51339693"/>
      <w:bookmarkStart w:id="14" w:name="_Toc46743510"/>
      <w:bookmarkStart w:id="15" w:name="_Toc46743509_Копия_1"/>
      <w:bookmarkStart w:id="16" w:name="_Hlk49857604_Копия_1"/>
      <w:bookmarkEnd w:id="14"/>
      <w:bookmarkEnd w:id="15"/>
      <w:bookmarkEnd w:id="16"/>
      <w:r>
        <w:rPr>
          <w:iCs/>
        </w:rPr>
        <w:t>Требования к продукции</w:t>
      </w:r>
      <w:bookmarkEnd w:id="12"/>
      <w:bookmarkEnd w:id="13"/>
    </w:p>
    <w:p>
      <w:pPr>
        <w:pStyle w:val="4"/>
        <w:keepNext w:val="false"/>
        <w:widowControl w:val="false"/>
        <w:numPr>
          <w:ilvl w:val="1"/>
          <w:numId w:val="17"/>
        </w:numPr>
        <w:ind w:left="0" w:firstLine="567"/>
        <w:rPr/>
      </w:pPr>
      <w:bookmarkStart w:id="17" w:name="_Toc236750711"/>
      <w:r>
        <w:rPr/>
        <w:t>Требования к объемам и срокам поставки</w:t>
      </w:r>
      <w:bookmarkEnd w:id="17"/>
    </w:p>
    <w:p>
      <w:pPr>
        <w:pStyle w:val="3"/>
        <w:keepNext w:val="false"/>
        <w:widowControl w:val="false"/>
        <w:numPr>
          <w:ilvl w:val="2"/>
          <w:numId w:val="18"/>
        </w:numPr>
        <w:ind w:left="0" w:firstLine="567"/>
        <w:rPr/>
      </w:pPr>
      <w:bookmarkStart w:id="18" w:name="_Toc236750712"/>
      <w:r>
        <w:rPr/>
        <w:t>Перечень и объем закупаемой продукции</w:t>
      </w:r>
      <w:bookmarkEnd w:id="18"/>
    </w:p>
    <w:p>
      <w:pPr>
        <w:pStyle w:val="1"/>
        <w:keepNext w:val="false"/>
        <w:widowControl w:val="false"/>
        <w:numPr>
          <w:ilvl w:val="0"/>
          <w:numId w:val="0"/>
        </w:numPr>
        <w:spacing w:before="240" w:after="60"/>
        <w:ind w:left="0" w:firstLine="567"/>
        <w:rPr>
          <w:bCs/>
          <w:i/>
          <w:i/>
          <w:sz w:val="24"/>
          <w:szCs w:val="24"/>
          <w:shd w:fill="FFFF99" w:val="clear"/>
        </w:rPr>
      </w:pPr>
      <w:bookmarkStart w:id="19" w:name="_Toc236750713"/>
      <w:bookmarkStart w:id="20" w:name="_Toc51339695"/>
      <w:r>
        <w:rPr>
          <w:sz w:val="24"/>
          <w:szCs w:val="24"/>
        </w:rPr>
        <w:t xml:space="preserve">Таблица 1.1 Перечень </w:t>
      </w:r>
      <w:bookmarkEnd w:id="20"/>
      <w:r>
        <w:rPr>
          <w:sz w:val="24"/>
          <w:szCs w:val="24"/>
        </w:rPr>
        <w:t>и объем закупаемой продукции</w:t>
      </w:r>
      <w:bookmarkEnd w:id="19"/>
    </w:p>
    <w:tbl>
      <w:tblPr>
        <w:tblW w:w="981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3"/>
        <w:gridCol w:w="6135"/>
        <w:gridCol w:w="1420"/>
        <w:gridCol w:w="1413"/>
      </w:tblGrid>
      <w:tr>
        <w:trPr>
          <w:tblHeader w:val="true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реактор Модель A3115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реактор Модель A3405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Доставка по адресу: г. Санкт-Петербург, ул. Гжатская, д. 21.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Усл.ед.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3"/>
        <w:keepNext w:val="false"/>
        <w:widowControl w:val="false"/>
        <w:numPr>
          <w:ilvl w:val="2"/>
          <w:numId w:val="19"/>
        </w:numPr>
        <w:rPr/>
      </w:pPr>
      <w:bookmarkStart w:id="21" w:name="_Toc236750714"/>
      <w:bookmarkStart w:id="22" w:name="_Toc51339696"/>
      <w:r>
        <w:rPr/>
        <w:t xml:space="preserve">Требования </w:t>
      </w:r>
      <w:bookmarkEnd w:id="22"/>
      <w:r>
        <w:rPr/>
        <w:t>к срокам поставки продукции и оказания сопутствующих услуг</w:t>
      </w:r>
      <w:bookmarkStart w:id="23" w:name="_Toc50125127"/>
      <w:bookmarkStart w:id="24" w:name="_Toc51339697"/>
      <w:bookmarkEnd w:id="11"/>
      <w:bookmarkEnd w:id="21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bookmarkStart w:id="25" w:name="_Toc236750715"/>
      <w:r>
        <w:rPr>
          <w:sz w:val="24"/>
          <w:szCs w:val="24"/>
        </w:rPr>
        <w:t xml:space="preserve">Таблица 2.1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</w:rPr>
        <w:t>поставки продукции</w:t>
      </w:r>
      <w:bookmarkEnd w:id="25"/>
      <w:r>
        <w:rPr>
          <w:sz w:val="24"/>
          <w:szCs w:val="24"/>
        </w:rPr>
        <w:t xml:space="preserve"> </w:t>
      </w:r>
    </w:p>
    <w:p>
      <w:pPr>
        <w:pStyle w:val="Normal"/>
        <w:widowControl w:val="false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text" w:leftFromText="180" w:rightFromText="180" w:tblpX="0" w:tblpY="1" w:topFromText="0" w:vertAnchor="text"/>
        <w:tblW w:w="1003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2"/>
        <w:gridCol w:w="2805"/>
        <w:gridCol w:w="2979"/>
        <w:gridCol w:w="3114"/>
      </w:tblGrid>
      <w:tr>
        <w:trPr>
          <w:tblHeader w:val="true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реактор Модель A3115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течение 4 месяцев с даты заключения договора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реактор Модель A3405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течение 4 месяцев с даты заключения договора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keepNext w:val="false"/>
        <w:widowControl w:val="false"/>
        <w:numPr>
          <w:ilvl w:val="1"/>
          <w:numId w:val="20"/>
        </w:numPr>
        <w:ind w:left="432" w:hanging="0"/>
        <w:rPr/>
      </w:pPr>
      <w:bookmarkStart w:id="27" w:name="_Toc236750716"/>
      <w:bookmarkStart w:id="28" w:name="_Toc46743511"/>
      <w:r>
        <w:rPr/>
        <w:t xml:space="preserve">Требования к </w:t>
      </w:r>
      <w:bookmarkEnd w:id="28"/>
      <w:r>
        <w:rPr/>
        <w:t>качеству продукции</w:t>
      </w:r>
      <w:bookmarkEnd w:id="27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9" w:name="_Toc236750717"/>
      <w:r>
        <w:rPr>
          <w:sz w:val="24"/>
          <w:szCs w:val="24"/>
        </w:rPr>
        <w:t>Таблица 3.1. Требования к качеству продукции</w:t>
      </w:r>
      <w:bookmarkEnd w:id="29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rStyle w:val="Style17"/>
          <w:b/>
          <w:b/>
          <w:i w:val="false"/>
          <w:i w:val="false"/>
          <w:sz w:val="24"/>
          <w:szCs w:val="24"/>
        </w:rPr>
      </w:pPr>
      <w:bookmarkStart w:id="30" w:name="_Toc236750718"/>
      <w:r>
        <w:rPr>
          <w:bCs/>
          <w:i/>
          <w:iCs/>
          <w:sz w:val="24"/>
          <w:szCs w:val="24"/>
        </w:rPr>
        <w:t xml:space="preserve">Наименование продукции: </w:t>
      </w:r>
      <w:r>
        <w:rPr>
          <w:sz w:val="26"/>
          <w:szCs w:val="26"/>
        </w:rPr>
        <w:t xml:space="preserve">Реактор Модель </w:t>
      </w:r>
      <w:bookmarkEnd w:id="30"/>
      <w:r>
        <w:rPr>
          <w:sz w:val="26"/>
          <w:szCs w:val="26"/>
        </w:rPr>
        <w:t>А3115-I0-PT-R4-SS-BVP-FBV-TSP</w:t>
      </w:r>
    </w:p>
    <w:tbl>
      <w:tblPr>
        <w:tblStyle w:val="affff9"/>
        <w:tblW w:w="9945" w:type="dxa"/>
        <w:jc w:val="left"/>
        <w:tblInd w:w="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1"/>
        <w:gridCol w:w="2883"/>
        <w:gridCol w:w="6321"/>
      </w:tblGrid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3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Объем, л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10 л чистая вместимость</w:t>
            </w:r>
          </w:p>
        </w:tc>
      </w:tr>
      <w:tr>
        <w:trPr>
          <w:trHeight w:val="413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Расчетное давление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100 бар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Расчетная температура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500 °C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Материал конструкции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I0 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 xml:space="preserve">  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Inconel 600)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Максимальная рабочая температура не менее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450 °C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Внутренний диаметр сосуда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185 мм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Внутренняя высота сосуда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420 мм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Минимальный перемешиваемый объем не менее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 л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крепления крышки: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PT (Неподвижная крышка с пневматическим механизмом подъема, опускания и наклона), смотреть рисунок 1.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нагрева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Электрический ленточный керамический нагреватель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Электродвигатель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R4 (Коробка передач с частотой вращения до 440 об/мин)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Мешалка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SS (Спиральный (без охлаждающего змеевика  катушки, максимальная скорость вращения 100 об/мин) смотреть рисунок 2.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Клапаны и фитинги: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BVP (Порошковый клапан с шаровым затвором (¼ дюйма) и воронкой), смотреть рисунок 3.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Шифр производителя 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FBV (Нижний сливной клапан (10 мм))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Панель управления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Шифр производителя 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TSP (10-дюймовая HMI ПУ,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которая имеет сенсорный экран с расширенным функционалом и информативностью.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охлаждения магнитного привода, датчика давления и др. адаптеров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Водяной бак 10 л, насос и трубки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Электропитание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3-ф., 380 В AC, 50 Гц, 25 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Ориентировочные габариты не более (Ш x Д x В)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1310x 585x 1550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Fontstyle01"/>
                <w:rFonts w:eastAsia="Times New Roman" w:cs="Times New Roman"/>
                <w:bCs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12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5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транспортировке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Транспортировка силами и средствами поставщика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гарантийного обслуживания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 с момента поставки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документам, передаваемым вместе с оборудованием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 либо декларация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Паспорт изделия;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либо УПД.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pacing w:val="-1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Документация на оборудование для передачи Покупателю должна быть оформлена в соответствии с требованиями по ГОСТ Р 2.105-2019 «ЕСКД Общие требования к текстовым документам» </w:t>
            </w:r>
            <w:hyperlink r:id="rId4" w:tgtFrame="https://docs.cntd.ru/document/120016412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https://docs.cntd.ru/document/1200164120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2705100" cy="5657850"/>
            <wp:effectExtent l="0" t="0" r="0" b="0"/>
            <wp:docPr id="1" name="Рисунок 1" descr="C:\Users\govorushchenkoia\Desktop\ЭТАП 5\ЗАКУПКА модули2-5\автоклавы\автоклаы (реакторы)\10\ри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govorushchenkoia\Desktop\ЭТАП 5\ЗАКУПКА модули2-5\автоклавы\автоклаы (реакторы)\10\рис 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tbl>
      <w:tblPr>
        <w:tblStyle w:val="affff9"/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5"/>
        <w:gridCol w:w="8894"/>
      </w:tblGrid>
      <w:tr>
        <w:trPr/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Рисунок 1</w:t>
            </w:r>
          </w:p>
        </w:tc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крепления крышки: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Шифр производителя - PT (Неподвижная крышка с пневматическим механизмом подъема, опускания и наклона).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1752600" cy="3362325"/>
            <wp:effectExtent l="0" t="0" r="0" b="0"/>
            <wp:docPr id="2" name="Рисунок 2" descr="C:\Users\govorushchenkoia\Desktop\ЭТАП 5\ЗАКУПКА модули2-5\автоклавы\автоклаы (реакторы)\10\ри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govorushchenkoia\Desktop\ЭТАП 5\ЗАКУПКА модули2-5\автоклавы\автоклаы (реакторы)\10\рис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tbl>
      <w:tblPr>
        <w:tblStyle w:val="affff9"/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5"/>
        <w:gridCol w:w="8894"/>
      </w:tblGrid>
      <w:tr>
        <w:trPr/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Рисунок 2</w:t>
            </w:r>
          </w:p>
        </w:tc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Тип мешалки : 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SS (Спиральный (без охлаждающей катушки, максимальная скорость вращения 100 об/мин)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3604895" cy="3359785"/>
            <wp:effectExtent l="0" t="0" r="0" b="0"/>
            <wp:docPr id="3" name="Рисунок 3" descr="C:\Users\govorushchenkoia\Desktop\ЭТАП 5\ЗАКУПКА модули2-5\автоклавы\автоклаы (реакторы)\10\ри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govorushchenkoia\Desktop\ЭТАП 5\ЗАКУПКА модули2-5\автоклавы\автоклаы (реакторы)\10\рис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895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ff9"/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5"/>
        <w:gridCol w:w="8894"/>
      </w:tblGrid>
      <w:tr>
        <w:trPr/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Рисунок 3</w:t>
            </w:r>
          </w:p>
        </w:tc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Фитинг : 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BVP (Порошковый клапан с шаровым затвором (¼ дюйма) и воронкой)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2508885" cy="3016250"/>
            <wp:effectExtent l="0" t="0" r="0" b="0"/>
            <wp:docPr id="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ff9"/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5"/>
        <w:gridCol w:w="8894"/>
      </w:tblGrid>
      <w:tr>
        <w:trPr/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Рисунок 4</w:t>
            </w:r>
          </w:p>
        </w:tc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Панель управления: Шифр производителя -TSP (10-дюймовая HMI ПУ), которая имеет сенсорный экран с расширенным функционалом и информативностью.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i/>
          <w:i/>
          <w:sz w:val="24"/>
          <w:szCs w:val="24"/>
        </w:rPr>
      </w:pPr>
      <w:bookmarkStart w:id="31" w:name="_Toc236750719"/>
      <w:r>
        <w:rPr>
          <w:sz w:val="24"/>
          <w:szCs w:val="24"/>
        </w:rPr>
        <w:t>Таблица 3.2. Требования к качеству продукции</w:t>
      </w:r>
      <w:bookmarkEnd w:id="31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rStyle w:val="Style17"/>
          <w:b/>
          <w:b/>
          <w:i w:val="false"/>
          <w:i w:val="false"/>
          <w:sz w:val="24"/>
          <w:szCs w:val="24"/>
        </w:rPr>
      </w:pPr>
      <w:bookmarkStart w:id="32" w:name="_Toc236750720"/>
      <w:r>
        <w:rPr>
          <w:bCs/>
          <w:i/>
          <w:iCs/>
          <w:sz w:val="24"/>
          <w:szCs w:val="24"/>
        </w:rPr>
        <w:t xml:space="preserve">Наименование продукции: </w:t>
      </w:r>
      <w:r>
        <w:rPr>
          <w:sz w:val="26"/>
          <w:szCs w:val="26"/>
        </w:rPr>
        <w:t xml:space="preserve">Реактор Модель </w:t>
      </w:r>
      <w:bookmarkEnd w:id="32"/>
      <w:r>
        <w:rPr>
          <w:sz w:val="26"/>
          <w:szCs w:val="26"/>
        </w:rPr>
        <w:t>A3405-H6-HT-R4- SS- BVP- FBV-TSP</w:t>
      </w:r>
    </w:p>
    <w:tbl>
      <w:tblPr>
        <w:tblStyle w:val="affff9"/>
        <w:tblW w:w="9945" w:type="dxa"/>
        <w:jc w:val="left"/>
        <w:tblInd w:w="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1"/>
        <w:gridCol w:w="2883"/>
        <w:gridCol w:w="6321"/>
      </w:tblGrid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3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Объем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50 л чистая вместимость</w:t>
            </w:r>
          </w:p>
        </w:tc>
      </w:tr>
      <w:tr>
        <w:trPr>
          <w:trHeight w:val="413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Расчетное давление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50 бар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Расчетная температура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500 °C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Максимальная рабочая температура не менее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450 °C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Материал конструкции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Шифр производителя -H6 (Hastelloy C276)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крепления крышки: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HT (Неподвижная крышка с гидравлическим механизмом подъема, опускания и наклона), смотреть рисунок 5.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нагрева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Электрический ленточный керамический нагреватель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Электродвигатель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R4 (Коробка передач с частотой вращения до 440 об/мин)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Мешалка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SS (Спиральный (без охлаждающего змеевика  катушки, максимальная скорость вращения 100 об/мин) смотреть рисунок 2.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Клапаны и фитинги: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BVP (Порошковый клапан с шаровым затвором (¼ дюйма) и воронкой), смотреть рисунок 3.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Шифр производителя 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FBV (Нижний сливной клапан (10 мм))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Панель управления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Шифр производителя 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TSP (10-дюймовая HMI ПУ,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которая имеет сенсорный экран с расширенным функционалом и информативностью), смотреть рисунок 4.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Внутренний диаметр сосуда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355 мм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Внутренняя высота сосуда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558 мм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Минимальный перемешиваемый объем не менее</w:t>
            </w:r>
            <w:bookmarkStart w:id="33" w:name="_GoBack"/>
            <w:bookmarkEnd w:id="33"/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6 л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охлаждения магнитного привода, датчика давления и др. адаптеров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Водяной бак 10 л, насос и трубки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Электропитание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3-ф., 380 В AC, 50 Гц, 25 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Ориентировочные габариты не более  (Ш x Д x В)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center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1500 x 675 x 3500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Fontstyle01"/>
                <w:rFonts w:eastAsia="Times New Roman" w:cs="Times New Roman"/>
                <w:bCs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12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5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транспортировке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Транспортировка силами и средствами поставщика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гарантийного обслуживания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 с момента поставки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документам, передаваемым вместе с оборудованием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 либо декларация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Паспорт изделия;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либо УПД.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Документация на оборудование для передачи Покупателю должна быть оформлена в соответствии с требованиями по ГОСТ Р 2.105-2019 «ЕСКД Общие требования к текстовым документам» </w:t>
            </w:r>
            <w:hyperlink r:id="rId9" w:tgtFrame="https://docs.cntd.ru/document/120016412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https://docs.cntd.ru/document/1200164120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2817495" cy="5247640"/>
            <wp:effectExtent l="0" t="0" r="0" b="0"/>
            <wp:docPr id="5" name="Рисунок 5" descr="C:\Users\govorushchenkoia\Desktop\ЭТАП 5\ЗАКУПКА модули2-5\автоклавы\автоклаы (реакторы)\50\рис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govorushchenkoia\Desktop\ЭТАП 5\ЗАКУПКА модули2-5\автоклавы\автоклаы (реакторы)\50\рис 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ff9"/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5"/>
        <w:gridCol w:w="8894"/>
      </w:tblGrid>
      <w:tr>
        <w:trPr/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Рисунок 5</w:t>
            </w:r>
          </w:p>
        </w:tc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Тип крышки: Шифр производителя -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HT (Неподвижная крышка с гидравлическим механизмом подъема, опускания и наклона),</w:t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headerReference w:type="default" r:id="rId11"/>
      <w:headerReference w:type="first" r:id="rId12"/>
      <w:type w:val="nextPage"/>
      <w:pgSz w:w="11906" w:h="16838"/>
      <w:pgMar w:left="851" w:right="851" w:header="680" w:top="992" w:footer="0" w:bottom="567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4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5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6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pPr>
      <w:outlineLvl w:val="1"/>
    </w:pPr>
    <w:rPr/>
  </w:style>
  <w:style w:type="paragraph" w:styleId="3">
    <w:name w:val="Heading 3"/>
    <w:basedOn w:val="Normal"/>
    <w:next w:val="Normal"/>
    <w:link w:val="31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next w:val="Normal"/>
    <w:link w:val="40"/>
    <w:qFormat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5">
    <w:name w:val="Heading 5"/>
    <w:basedOn w:val="Normal"/>
    <w:next w:val="Normal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next w:val="Normal"/>
    <w:link w:val="70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next w:val="Normal"/>
    <w:link w:val="80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next w:val="Normal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CaptionChar" w:customStyle="1">
    <w:name w:val="Caption Char"/>
    <w:uiPriority w:val="99"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Название Знак1"/>
    <w:basedOn w:val="DefaultParagraphFont"/>
    <w:link w:val="a3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5" w:customStyle="1">
    <w:name w:val="Нижний колонтитул Знак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Style7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Style8">
    <w:name w:val="Интернет-ссылка"/>
    <w:basedOn w:val="DefaultParagraphFont"/>
    <w:uiPriority w:val="99"/>
    <w:unhideWhenUsed/>
    <w:rsid w:val="00714b9a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1" w:customStyle="1">
    <w:name w:val="Заголовок 6 Знак"/>
    <w:link w:val="6"/>
    <w:uiPriority w:val="9"/>
    <w:qFormat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Pr>
      <w:rFonts w:ascii="Cambria" w:hAnsi="Cambria"/>
      <w:color w:val="4F81BD"/>
    </w:rPr>
  </w:style>
  <w:style w:type="character" w:styleId="12" w:customStyle="1">
    <w:name w:val="Заголовок 1 Знак"/>
    <w:link w:val="aa"/>
    <w:qFormat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Pr>
      <w:rFonts w:ascii="Arial" w:hAnsi="Arial" w:cs="Arial"/>
      <w:sz w:val="22"/>
      <w:szCs w:val="22"/>
    </w:rPr>
  </w:style>
  <w:style w:type="character" w:styleId="Style9" w:customStyle="1">
    <w:name w:val="Название Знак"/>
    <w:link w:val="11"/>
    <w:uiPriority w:val="10"/>
    <w:qFormat/>
    <w:rPr>
      <w:sz w:val="28"/>
    </w:rPr>
  </w:style>
  <w:style w:type="character" w:styleId="Style10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11">
    <w:name w:val="Выделение"/>
    <w:uiPriority w:val="20"/>
    <w:qFormat/>
    <w:rPr>
      <w:i/>
      <w:iCs/>
    </w:rPr>
  </w:style>
  <w:style w:type="character" w:styleId="22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12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3" w:customStyle="1">
    <w:name w:val="Подпункт Знак1"/>
    <w:link w:val="af4"/>
    <w:qFormat/>
    <w:rPr>
      <w:sz w:val="28"/>
    </w:rPr>
  </w:style>
  <w:style w:type="character" w:styleId="Style14" w:customStyle="1">
    <w:name w:val="Текст сноски Знак"/>
    <w:uiPriority w:val="99"/>
    <w:qFormat/>
    <w:rPr/>
  </w:style>
  <w:style w:type="character" w:styleId="Style15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16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17" w:customStyle="1">
    <w:name w:val="комментарий"/>
    <w:qFormat/>
    <w:rPr>
      <w:b/>
      <w:i/>
      <w:shd w:fill="FFFF99" w:val="clear"/>
    </w:rPr>
  </w:style>
  <w:style w:type="character" w:styleId="Style18" w:customStyle="1">
    <w:name w:val="Подподпункт Знак"/>
    <w:qFormat/>
    <w:rPr>
      <w:sz w:val="26"/>
      <w:szCs w:val="26"/>
    </w:rPr>
  </w:style>
  <w:style w:type="character" w:styleId="311" w:customStyle="1">
    <w:name w:val="Заголовок 3 Знак1"/>
    <w:link w:val="3"/>
    <w:qFormat/>
    <w:rPr>
      <w:rFonts w:eastAsia="Calibri"/>
      <w:sz w:val="26"/>
      <w:szCs w:val="28"/>
      <w:lang w:eastAsia="en-US"/>
    </w:rPr>
  </w:style>
  <w:style w:type="character" w:styleId="Style19" w:customStyle="1">
    <w:name w:val="Верхний колонтитул Знак"/>
    <w:uiPriority w:val="99"/>
    <w:qFormat/>
    <w:rPr>
      <w:sz w:val="24"/>
      <w:szCs w:val="24"/>
    </w:rPr>
  </w:style>
  <w:style w:type="character" w:styleId="Style20" w:customStyle="1">
    <w:name w:val="Текст примечания Знак"/>
    <w:semiHidden/>
    <w:qFormat/>
    <w:rPr/>
  </w:style>
  <w:style w:type="character" w:styleId="Style21" w:customStyle="1">
    <w:name w:val="Текст концевой сноски Знак"/>
    <w:basedOn w:val="DefaultParagraphFont"/>
    <w:qFormat/>
    <w:rPr/>
  </w:style>
  <w:style w:type="character" w:styleId="Style22" w:customStyle="1">
    <w:name w:val="Символ концевой сноски"/>
    <w:qFormat/>
    <w:rPr>
      <w:vertAlign w:val="superscript"/>
    </w:rPr>
  </w:style>
  <w:style w:type="character" w:styleId="Style23" w:customStyle="1">
    <w:name w:val="Привязка концевой сноски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3" w:customStyle="1">
    <w:name w:val="Пункт2 Знак"/>
    <w:link w:val="23"/>
    <w:qFormat/>
    <w:rPr>
      <w:b/>
      <w:sz w:val="28"/>
    </w:rPr>
  </w:style>
  <w:style w:type="character" w:styleId="14" w:customStyle="1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styleId="15" w:customStyle="1">
    <w:name w:val="Неразрешенное упоминание1"/>
    <w:basedOn w:val="DefaultParagraphFont"/>
    <w:link w:val="13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главление 3 Знак"/>
    <w:link w:val="33"/>
    <w:qFormat/>
    <w:rPr>
      <w:sz w:val="16"/>
      <w:szCs w:val="16"/>
    </w:rPr>
  </w:style>
  <w:style w:type="character" w:styleId="Fontstyle01" w:customStyle="1">
    <w:name w:val="fontstyle0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24" w:customStyle="1">
    <w:name w:val="Посещённая гиперссылка"/>
    <w:basedOn w:val="DefaultParagraphFont"/>
    <w:semiHidden/>
    <w:unhideWhenUsed/>
    <w:rPr>
      <w:color w:val="954F72" w:themeColor="followedHyperlink"/>
      <w:u w:val="single"/>
    </w:rPr>
  </w:style>
  <w:style w:type="character" w:styleId="Style25" w:customStyle="1">
    <w:name w:val="Ссылка указателя"/>
    <w:qFormat/>
    <w:rPr/>
  </w:style>
  <w:style w:type="character" w:styleId="Style26" w:customStyle="1">
    <w:name w:val="Без интервала Знак"/>
    <w:link w:val="afff6"/>
    <w:uiPriority w:val="1"/>
    <w:qFormat/>
    <w:locked/>
    <w:rsid w:val="002219a6"/>
    <w:rPr>
      <w:rFonts w:eastAsia="Calibri"/>
      <w:sz w:val="24"/>
      <w:szCs w:val="24"/>
    </w:rPr>
  </w:style>
  <w:style w:type="paragraph" w:styleId="Style27" w:customStyle="1">
    <w:name w:val="Заголовок"/>
    <w:basedOn w:val="Normal"/>
    <w:next w:val="Style28"/>
    <w:qFormat/>
    <w:pPr>
      <w:keepNext w:val="true"/>
      <w:spacing w:before="240" w:after="120"/>
    </w:pPr>
    <w:rPr>
      <w:rFonts w:ascii="Liberation Sans" w:hAnsi="Liberation Sans" w:eastAsia="Noto Sans CJK SC" w:cs="Lohit Devanagari"/>
    </w:rPr>
  </w:style>
  <w:style w:type="paragraph" w:styleId="Style28">
    <w:name w:val="Body Text"/>
    <w:basedOn w:val="Normal"/>
    <w:pPr>
      <w:spacing w:before="0" w:after="120"/>
    </w:pPr>
    <w:rPr/>
  </w:style>
  <w:style w:type="paragraph" w:styleId="Style29">
    <w:name w:val="List"/>
    <w:basedOn w:val="Style28"/>
    <w:pPr/>
    <w:rPr>
      <w:rFonts w:cs="Lohit Devanagari"/>
    </w:rPr>
  </w:style>
  <w:style w:type="paragraph" w:styleId="Style3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16"/>
    <w:qFormat/>
    <w:pPr/>
    <w:rPr/>
  </w:style>
  <w:style w:type="paragraph" w:styleId="16" w:customStyle="1">
    <w:name w:val="Заголовок1"/>
    <w:basedOn w:val="Normal"/>
    <w:next w:val="Style28"/>
    <w:qFormat/>
    <w:pPr>
      <w:keepNext w:val="true"/>
      <w:spacing w:before="240" w:after="120"/>
    </w:pPr>
    <w:rPr>
      <w:rFonts w:eastAsia="WenQuanYi Zen Hei Sharp"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 w:customStyle="1">
    <w:name w:val="index heading1"/>
    <w:basedOn w:val="16"/>
    <w:qFormat/>
    <w:pPr/>
    <w:rPr/>
  </w:style>
  <w:style w:type="paragraph" w:styleId="Style32">
    <w:name w:val="Title"/>
    <w:basedOn w:val="Normal"/>
    <w:next w:val="Normal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33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34" w:customStyle="1">
    <w:name w:val="Раздел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35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Style36">
    <w:name w:val="Footnote Text"/>
    <w:basedOn w:val="Normal"/>
    <w:uiPriority w:val="99"/>
    <w:pPr/>
    <w:rPr>
      <w:sz w:val="20"/>
      <w:szCs w:val="20"/>
    </w:rPr>
  </w:style>
  <w:style w:type="paragraph" w:styleId="17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Цитата 2 Знак1"/>
    <w:basedOn w:val="Normal"/>
    <w:link w:val="24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Основной текст с отступом 3 Знак"/>
    <w:basedOn w:val="Normal"/>
    <w:link w:val="35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8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37" w:customStyle="1">
    <w:name w:val="Колонтитул"/>
    <w:basedOn w:val="Normal"/>
    <w:qFormat/>
    <w:pPr/>
    <w:rPr/>
  </w:style>
  <w:style w:type="paragraph" w:styleId="Style3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9">
    <w:name w:val="Body Text Indent"/>
    <w:basedOn w:val="Normal"/>
    <w:pPr>
      <w:ind w:left="360" w:hanging="0"/>
    </w:pPr>
    <w:rPr>
      <w:sz w:val="24"/>
      <w:szCs w:val="24"/>
    </w:rPr>
  </w:style>
  <w:style w:type="paragraph" w:styleId="Style40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4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41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Оглавление 2 Знак"/>
    <w:basedOn w:val="Normal"/>
    <w:link w:val="28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link w:val="32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42" w:customStyle="1">
    <w:name w:val="Раздел регламента"/>
    <w:basedOn w:val="Normal"/>
    <w:qFormat/>
    <w:pPr/>
    <w:rPr/>
  </w:style>
  <w:style w:type="paragraph" w:styleId="Style43" w:customStyle="1">
    <w:name w:val="Приложение к регламенту"/>
    <w:basedOn w:val="Normal"/>
    <w:qFormat/>
    <w:pPr>
      <w:jc w:val="right"/>
    </w:pPr>
    <w:rPr/>
  </w:style>
  <w:style w:type="paragraph" w:styleId="25">
    <w:name w:val="TOC 2"/>
    <w:basedOn w:val="Normal"/>
    <w:next w:val="Normal"/>
    <w:link w:val="27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10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link w:val="22"/>
    <w:qFormat/>
    <w:pPr>
      <w:pageBreakBefore/>
      <w:jc w:val="both"/>
      <w:outlineLvl w:val="0"/>
    </w:pPr>
    <w:rPr>
      <w:b/>
    </w:rPr>
  </w:style>
  <w:style w:type="paragraph" w:styleId="Style4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link w:val="afff7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45">
    <w:name w:val="Subtitle"/>
    <w:basedOn w:val="Normal"/>
    <w:next w:val="Normal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0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next w:val="Normal"/>
    <w:uiPriority w:val="39"/>
    <w:qFormat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pPr/>
    <w:rPr>
      <w:rFonts w:eastAsia="Calibri"/>
      <w:sz w:val="24"/>
      <w:szCs w:val="24"/>
    </w:rPr>
  </w:style>
  <w:style w:type="paragraph" w:styleId="Style4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pPr>
      <w:tabs>
        <w:tab w:val="clear" w:pos="708"/>
        <w:tab w:val="left" w:pos="0" w:leader="none"/>
      </w:tabs>
      <w:ind w:left="-207" w:hanging="360"/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1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9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50" w:customStyle="1">
    <w:name w:val="Подподпункт"/>
    <w:basedOn w:val="Style41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51" w:customStyle="1">
    <w:name w:val="УРОВЕНЬ_(а)"/>
    <w:basedOn w:val="ListParagraph"/>
    <w:qFormat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52" w:customStyle="1">
    <w:name w:val="УРОВЕНЬ_-"/>
    <w:basedOn w:val="ListParagraph"/>
    <w:qFormat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Style53" w:customStyle="1">
    <w:name w:val="УРОВЕНЬ_Подпись"/>
    <w:basedOn w:val="ListParagraph"/>
    <w:qFormat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2" w:customStyle="1">
    <w:name w:val="Стиль Заголовок 1 + по ширине"/>
    <w:basedOn w:val="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4">
    <w:name w:val="Endnote Text"/>
    <w:basedOn w:val="Normal"/>
    <w:pPr/>
    <w:rPr>
      <w:sz w:val="20"/>
      <w:szCs w:val="20"/>
    </w:rPr>
  </w:style>
  <w:style w:type="paragraph" w:styleId="29" w:customStyle="1">
    <w:name w:val="Заголовок 2 КВВ"/>
    <w:basedOn w:val="Normal"/>
    <w:qFormat/>
    <w:pPr>
      <w:keepNext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55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3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6" w:customStyle="1">
    <w:name w:val="Содержимое врезки"/>
    <w:basedOn w:val="Normal"/>
    <w:qFormat/>
    <w:pPr/>
    <w:rPr/>
  </w:style>
  <w:style w:type="paragraph" w:styleId="Default" w:customStyle="1">
    <w:name w:val="Default"/>
    <w:qFormat/>
    <w:rsid w:val="000d45d1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Стиль1"/>
    <w:uiPriority w:val="99"/>
    <w:qFormat/>
  </w:style>
  <w:style w:type="numbering" w:styleId="210" w:customStyle="1">
    <w:name w:val="Стиль2"/>
    <w:uiPriority w:val="99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5B9BD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5B9BD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affff9">
    <w:name w:val="Table Grid"/>
    <w:basedOn w:val="a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Сетка таблицы1"/>
    <w:basedOn w:val="a1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yperlink" Target="https://docs.cntd.ru/document/1200164120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yperlink" Target="https://docs.cntd.ru/document/1200164120" TargetMode="External"/><Relationship Id="rId10" Type="http://schemas.openxmlformats.org/officeDocument/2006/relationships/image" Target="media/image5.jpeg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1989</TotalTime>
  <Application>LibreOffice/7.1.8.1$Linux_X86_64 LibreOffice_project/10$Build-1</Application>
  <AppVersion>15.0000</AppVersion>
  <Pages>10</Pages>
  <Words>1282</Words>
  <Characters>8198</Characters>
  <CharactersWithSpaces>9197</CharactersWithSpaces>
  <Paragraphs>288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2025-09-26T13:22:00Z</dcterms:created>
  <dc:creator>Быстров Олег Геннадьевич</dc:creator>
  <dc:description/>
  <dc:language>ru-RU</dc:language>
  <cp:lastModifiedBy/>
  <dcterms:modified xsi:type="dcterms:W3CDTF">2026-10-19T09:46:17Z</dcterms:modified>
  <cp:revision>40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