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w:t>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708"/>
          <w:tab w:val="left" w:pos="426" w:leader="none"/>
        </w:tabs>
        <w:spacing w:before="120" w:after="120"/>
        <w:jc w:val="center"/>
        <w:rPr>
          <w:b w:val="false"/>
          <w:bCs w:val="false"/>
          <w:i w:val="false"/>
          <w:i w:val="false"/>
          <w:iCs w:val="false"/>
        </w:rPr>
      </w:pPr>
      <w:r>
        <w:rPr>
          <w:rFonts w:eastAsia="Calibri"/>
          <w:b w:val="false"/>
          <w:bCs w:val="false"/>
          <w:i w:val="false"/>
          <w:iCs w:val="false"/>
          <w:sz w:val="26"/>
          <w:szCs w:val="26"/>
        </w:rPr>
        <w:t>ОКПД2 25.11.10.000 Поставка охранной будки модульного типа для нужд Волжского филиала АО «Гидроремонт-ВКК»</w:t>
      </w:r>
    </w:p>
    <w:p>
      <w:pPr>
        <w:pStyle w:val="Normal"/>
        <w:keepNext w:val="true"/>
        <w:keepLines/>
        <w:jc w:val="center"/>
        <w:rPr>
          <w:b w:val="false"/>
          <w:bCs w:val="false"/>
          <w:i w:val="false"/>
          <w:i w:val="false"/>
          <w:iCs w:val="false"/>
        </w:rPr>
      </w:pPr>
      <w:r>
        <w:rPr>
          <w:rFonts w:eastAsia="Calibri"/>
          <w:b w:val="false"/>
          <w:bCs w:val="false"/>
          <w:i w:val="false"/>
          <w:iCs w:val="false"/>
          <w:sz w:val="26"/>
          <w:szCs w:val="26"/>
        </w:rPr>
        <w:t>Лот № 0001-ТПиР БЕЗОП ДОХ-2026-ГРВКК-ВолФ</w:t>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Heading1"/>
        <w:keepLines/>
        <w:numPr>
          <w:ilvl w:val="0"/>
          <w:numId w:val="3"/>
        </w:numPr>
        <w:ind w:hanging="357" w:left="357"/>
        <w:jc w:val="center"/>
        <w:rPr>
          <w:lang w:val="ru-RU"/>
        </w:rPr>
      </w:pPr>
      <w:bookmarkStart w:id="0" w:name="__RefHeading___Toc4468_2211158986"/>
      <w:bookmarkStart w:id="1" w:name="_Toc51339692"/>
      <w:bookmarkStart w:id="2" w:name="_Toc127778163"/>
      <w:bookmarkEnd w:id="0"/>
      <w:r>
        <w:rPr>
          <w:lang w:val="ru-RU"/>
        </w:rPr>
        <w:t>Общие сведения</w:t>
      </w:r>
      <w:bookmarkEnd w:id="1"/>
      <w:bookmarkEnd w:id="2"/>
    </w:p>
    <w:p>
      <w:pPr>
        <w:pStyle w:val="Normal"/>
        <w:keepNext w:val="true"/>
        <w:keepLines/>
        <w:rPr>
          <w:sz w:val="24"/>
          <w:szCs w:val="24"/>
        </w:rPr>
      </w:pPr>
      <w:r>
        <w:rPr>
          <w:sz w:val="24"/>
          <w:szCs w:val="24"/>
        </w:rPr>
      </w:r>
    </w:p>
    <w:p>
      <w:pPr>
        <w:pStyle w:val="Heading4"/>
        <w:numPr>
          <w:ilvl w:val="1"/>
          <w:numId w:val="3"/>
        </w:numPr>
        <w:rPr/>
      </w:pPr>
      <w:bookmarkStart w:id="3" w:name="__RefHeading___Toc4470_2211158986"/>
      <w:bookmarkStart w:id="4" w:name="_Toc127778164"/>
      <w:bookmarkStart w:id="5" w:name="_Toc46743506"/>
      <w:bookmarkEnd w:id="3"/>
      <w:r>
        <w:rPr/>
        <w:t>Наименование закупаемой продукции</w:t>
      </w:r>
      <w:bookmarkEnd w:id="4"/>
      <w:bookmarkEnd w:id="5"/>
    </w:p>
    <w:p>
      <w:pPr>
        <w:pStyle w:val="Normal"/>
        <w:widowControl w:val="false"/>
        <w:tabs>
          <w:tab w:val="clear" w:pos="708"/>
          <w:tab w:val="left" w:pos="426" w:leader="none"/>
        </w:tabs>
        <w:spacing w:before="120" w:after="120"/>
        <w:rPr>
          <w:i w:val="false"/>
          <w:i w:val="false"/>
          <w:iCs w:val="false"/>
        </w:rPr>
      </w:pPr>
      <w:r>
        <w:rPr>
          <w:rFonts w:eastAsia="Calibri"/>
          <w:i w:val="false"/>
          <w:iCs w:val="false"/>
          <w:sz w:val="24"/>
          <w:szCs w:val="24"/>
          <w:lang w:eastAsia="x-none"/>
        </w:rPr>
        <w:t>ОКПД2 25.11.10.000 Поставка охранной будки модульного типа для нужд Волжского филиала АО «Гидроремонт-ВКК» (далее - Продукция)</w:t>
      </w:r>
      <w:r>
        <w:rPr>
          <w:rFonts w:eastAsia="Calibri"/>
          <w:i w:val="false"/>
          <w:iCs w:val="false"/>
          <w:lang w:eastAsia="x-none"/>
        </w:rPr>
        <w:br/>
      </w:r>
    </w:p>
    <w:p>
      <w:pPr>
        <w:pStyle w:val="Heading4"/>
        <w:numPr>
          <w:ilvl w:val="1"/>
          <w:numId w:val="3"/>
        </w:numPr>
        <w:spacing w:before="240" w:after="60"/>
        <w:ind w:hanging="431" w:left="431"/>
        <w:rPr>
          <w:i w:val="false"/>
          <w:i w:val="false"/>
          <w:iCs w:val="false"/>
        </w:rPr>
      </w:pPr>
      <w:bookmarkStart w:id="6" w:name="__RefHeading___Toc4472_2211158986"/>
      <w:bookmarkStart w:id="7" w:name="_Toc127778165"/>
      <w:bookmarkStart w:id="8" w:name="_Toc46743507"/>
      <w:bookmarkEnd w:id="6"/>
      <w:r>
        <w:rPr>
          <w:i w:val="false"/>
          <w:iCs w:val="false"/>
        </w:rPr>
        <w:t xml:space="preserve">Цель </w:t>
      </w:r>
      <w:bookmarkEnd w:id="8"/>
      <w:r>
        <w:rPr>
          <w:i w:val="false"/>
          <w:iCs w:val="false"/>
          <w:lang w:val="ru-RU"/>
        </w:rPr>
        <w:t>использования закупаемой продукции</w:t>
      </w:r>
      <w:bookmarkEnd w:id="7"/>
      <w:r>
        <w:rPr>
          <w:i w:val="false"/>
          <w:iCs w:val="false"/>
          <w:lang w:val="ru-RU"/>
        </w:rPr>
        <w:t xml:space="preserve"> </w:t>
      </w:r>
      <w:r>
        <w:rPr>
          <w:i w:val="false"/>
          <w:iCs w:val="false"/>
        </w:rPr>
        <w:t xml:space="preserve"> </w:t>
      </w:r>
    </w:p>
    <w:p>
      <w:pPr>
        <w:pStyle w:val="Normal"/>
        <w:rPr/>
      </w:pPr>
      <w:r>
        <w:rPr>
          <w:rStyle w:val="Style8"/>
          <w:b w:val="false"/>
          <w:i w:val="false"/>
          <w:iCs w:val="false"/>
          <w:sz w:val="24"/>
          <w:shd w:fill="auto" w:val="clear"/>
        </w:rPr>
        <w:t>Продукция предназначена для размещения дежурного постового охраны территории КРУЭ-500 кВ Волжской ГЭС.</w:t>
      </w:r>
    </w:p>
    <w:p>
      <w:pPr>
        <w:pStyle w:val="Normal"/>
        <w:rPr>
          <w:b w:val="false"/>
          <w:i w:val="false"/>
          <w:i w:val="false"/>
          <w:iCs w:val="false"/>
          <w:sz w:val="24"/>
          <w:shd w:fill="auto" w:val="clear"/>
        </w:rPr>
      </w:pPr>
      <w:r>
        <w:rPr>
          <w:b w:val="false"/>
          <w:i w:val="false"/>
          <w:iCs w:val="false"/>
          <w:sz w:val="24"/>
          <w:shd w:fill="auto" w:val="clear"/>
        </w:rPr>
      </w:r>
    </w:p>
    <w:p>
      <w:pPr>
        <w:pStyle w:val="Normal"/>
        <w:rPr/>
      </w:pPr>
      <w:r>
        <w:rPr>
          <w:rStyle w:val="Style8"/>
          <w:b/>
          <w:bCs/>
          <w:i w:val="false"/>
          <w:iCs w:val="false"/>
          <w:sz w:val="24"/>
          <w:shd w:fill="auto" w:val="clear"/>
        </w:rPr>
        <w:t>1.3. Обоснование закупки</w:t>
      </w:r>
    </w:p>
    <w:p>
      <w:pPr>
        <w:pStyle w:val="Normal"/>
        <w:rPr/>
      </w:pPr>
      <w:r>
        <w:rPr>
          <w:rStyle w:val="Style8"/>
          <w:b w:val="false"/>
          <w:bCs w:val="false"/>
          <w:i w:val="false"/>
          <w:iCs w:val="false"/>
          <w:sz w:val="24"/>
          <w:shd w:fill="auto" w:val="clear"/>
        </w:rPr>
        <w:t>Договор подряда № 1050-71-2024/9-ТпиР-БЕЗ-2024 от 22.08.2024г. «Разработка рабочей</w:t>
      </w:r>
    </w:p>
    <w:p>
      <w:pPr>
        <w:pStyle w:val="Normal"/>
        <w:rPr/>
      </w:pPr>
      <w:r>
        <w:rPr>
          <w:rStyle w:val="Style8"/>
          <w:b w:val="false"/>
          <w:bCs w:val="false"/>
          <w:i w:val="false"/>
          <w:iCs w:val="false"/>
          <w:sz w:val="24"/>
          <w:shd w:fill="auto" w:val="clear"/>
        </w:rPr>
        <w:t>документации по созданию комплекса инженерно-технических средств защиты КРУЭ-</w:t>
      </w:r>
    </w:p>
    <w:p>
      <w:pPr>
        <w:pStyle w:val="Normal"/>
        <w:rPr/>
      </w:pPr>
      <w:r>
        <w:rPr>
          <w:rStyle w:val="Style8"/>
          <w:b w:val="false"/>
          <w:bCs w:val="false"/>
          <w:i w:val="false"/>
          <w:iCs w:val="false"/>
          <w:sz w:val="24"/>
          <w:shd w:fill="auto" w:val="clear"/>
        </w:rPr>
        <w:t>500 кВ, монтаж и наладка систем безопасности КРУЭ-500 кВ Волжской ГЭС», заключенный между ПАО «РусГидро» и АО «Гидроремонт-ВКК».</w:t>
      </w:r>
    </w:p>
    <w:p>
      <w:pPr>
        <w:pStyle w:val="Normal"/>
        <w:rPr>
          <w:rStyle w:val="Style8"/>
          <w:b w:val="false"/>
          <w:iCs/>
          <w:sz w:val="24"/>
          <w:shd w:fill="auto" w:val="clear"/>
        </w:rPr>
      </w:pPr>
      <w:r>
        <w:rPr>
          <w:b w:val="false"/>
          <w:iCs/>
          <w:sz w:val="24"/>
          <w:shd w:fill="auto" w:val="clear"/>
        </w:rPr>
      </w:r>
    </w:p>
    <w:p>
      <w:pPr>
        <w:pStyle w:val="Heading1"/>
        <w:keepLines/>
        <w:numPr>
          <w:ilvl w:val="0"/>
          <w:numId w:val="3"/>
        </w:numPr>
        <w:ind w:hanging="357" w:left="357"/>
        <w:jc w:val="center"/>
        <w:rPr>
          <w:iCs/>
        </w:rPr>
      </w:pPr>
      <w:bookmarkStart w:id="9" w:name="__RefHeading___Toc4474_2211158986"/>
      <w:bookmarkStart w:id="10" w:name="_Toc51339693"/>
      <w:bookmarkStart w:id="11" w:name="_Toc127778166"/>
      <w:bookmarkStart w:id="12" w:name="_Toc46743510"/>
      <w:bookmarkStart w:id="13" w:name="_Toc50125126"/>
      <w:bookmarkEnd w:id="9"/>
      <w:bookmarkEnd w:id="12"/>
      <w:bookmarkEnd w:id="13"/>
      <w:r>
        <w:rPr>
          <w:iCs/>
        </w:rPr>
        <w:t xml:space="preserve">Требования </w:t>
      </w:r>
      <w:bookmarkStart w:id="14" w:name="_GoBack"/>
      <w:bookmarkEnd w:id="14"/>
      <w:r>
        <w:rPr>
          <w:iCs/>
        </w:rPr>
        <w:t>к продукции</w:t>
      </w:r>
      <w:bookmarkEnd w:id="10"/>
      <w:bookmarkEnd w:id="11"/>
    </w:p>
    <w:p>
      <w:pPr>
        <w:pStyle w:val="Heading4"/>
        <w:numPr>
          <w:ilvl w:val="1"/>
          <w:numId w:val="3"/>
        </w:numPr>
        <w:rPr/>
      </w:pPr>
      <w:bookmarkStart w:id="15" w:name="__RefHeading___Toc4476_2211158986"/>
      <w:bookmarkStart w:id="16" w:name="_Toc127778167"/>
      <w:bookmarkEnd w:id="15"/>
      <w:r>
        <w:rPr/>
        <w:t xml:space="preserve">Требования к объемам и срокам </w:t>
      </w:r>
      <w:r>
        <w:rPr>
          <w:lang w:val="ru-RU"/>
        </w:rPr>
        <w:t>поставки</w:t>
      </w:r>
      <w:bookmarkEnd w:id="16"/>
    </w:p>
    <w:p>
      <w:pPr>
        <w:pStyle w:val="Heading3"/>
        <w:numPr>
          <w:ilvl w:val="2"/>
          <w:numId w:val="3"/>
        </w:numPr>
        <w:rPr>
          <w:b w:val="false"/>
          <w:lang w:val="ru-RU"/>
        </w:rPr>
      </w:pPr>
      <w:bookmarkStart w:id="17" w:name="__RefHeading___Toc4478_2211158986"/>
      <w:bookmarkStart w:id="18" w:name="_Toc127778168"/>
      <w:bookmarkEnd w:id="17"/>
      <w:r>
        <w:rPr>
          <w:b w:val="false"/>
          <w:lang w:val="ru-RU"/>
        </w:rPr>
        <w:t>Перечень и объем закупаемой продукции</w:t>
      </w:r>
      <w:bookmarkEnd w:id="18"/>
    </w:p>
    <w:p>
      <w:pPr>
        <w:pStyle w:val="Heading1"/>
        <w:keepLines/>
        <w:tabs>
          <w:tab w:val="clear" w:pos="0"/>
        </w:tabs>
        <w:spacing w:before="240" w:after="60"/>
        <w:ind w:hanging="0" w:left="0"/>
        <w:rPr/>
      </w:pPr>
      <w:bookmarkStart w:id="19" w:name="__RefHeading___Toc4480_2211158986"/>
      <w:bookmarkStart w:id="20" w:name="_Toc127778169"/>
      <w:bookmarkStart w:id="21" w:name="_Toc51339695"/>
      <w:bookmarkEnd w:id="19"/>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1"/>
      <w:r>
        <w:rPr>
          <w:sz w:val="24"/>
          <w:szCs w:val="24"/>
          <w:lang w:val="ru-RU"/>
        </w:rPr>
        <w:t>и объем закупаемой продукции</w:t>
      </w:r>
      <w:bookmarkEnd w:id="20"/>
    </w:p>
    <w:tbl>
      <w:tblPr>
        <w:tblW w:w="981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96"/>
        <w:gridCol w:w="5506"/>
        <w:gridCol w:w="1697"/>
        <w:gridCol w:w="1713"/>
      </w:tblGrid>
      <w:tr>
        <w:trPr/>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i w:val="false"/>
                <w:i w:val="false"/>
                <w:iCs w:val="false"/>
              </w:rPr>
            </w:pPr>
            <w:r>
              <w:rPr>
                <w:b/>
                <w:bCs/>
                <w:i w:val="false"/>
                <w:iCs w:val="false"/>
                <w:sz w:val="24"/>
                <w:szCs w:val="24"/>
              </w:rPr>
              <w:t>№</w:t>
            </w:r>
          </w:p>
          <w:p>
            <w:pPr>
              <w:pStyle w:val="Normal"/>
              <w:keepNext w:val="true"/>
              <w:widowControl w:val="false"/>
              <w:jc w:val="center"/>
              <w:rPr>
                <w:i w:val="false"/>
                <w:i w:val="false"/>
                <w:iCs w:val="false"/>
              </w:rPr>
            </w:pPr>
            <w:r>
              <w:rPr>
                <w:b/>
                <w:bCs/>
                <w:i w:val="false"/>
                <w:iCs w:val="false"/>
                <w:sz w:val="24"/>
                <w:szCs w:val="24"/>
              </w:rPr>
              <w:t>п/п</w:t>
            </w:r>
          </w:p>
        </w:tc>
        <w:tc>
          <w:tcPr>
            <w:tcW w:w="5506" w:type="dxa"/>
            <w:tcBorders>
              <w:top w:val="single" w:sz="4" w:space="0" w:color="000000"/>
              <w:left w:val="single" w:sz="4" w:space="0" w:color="000000"/>
              <w:bottom w:val="single" w:sz="4" w:space="0" w:color="000000"/>
            </w:tcBorders>
            <w:vAlign w:val="center"/>
          </w:tcPr>
          <w:p>
            <w:pPr>
              <w:pStyle w:val="Normal"/>
              <w:keepNext w:val="true"/>
              <w:widowControl w:val="false"/>
              <w:jc w:val="center"/>
              <w:rPr>
                <w:i w:val="false"/>
                <w:i w:val="false"/>
                <w:iCs w:val="false"/>
              </w:rPr>
            </w:pPr>
            <w:r>
              <w:rPr>
                <w:b/>
                <w:bCs/>
                <w:i w:val="false"/>
                <w:iCs w:val="false"/>
                <w:sz w:val="24"/>
                <w:szCs w:val="24"/>
              </w:rPr>
              <w:t>Наименование продукции</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i w:val="false"/>
                <w:i w:val="false"/>
                <w:iCs w:val="false"/>
              </w:rPr>
            </w:pPr>
            <w:r>
              <w:rPr>
                <w:b/>
                <w:bCs/>
                <w:i w:val="false"/>
                <w:iCs w:val="false"/>
                <w:sz w:val="24"/>
                <w:szCs w:val="24"/>
              </w:rPr>
              <w:t>Ед. изм.</w:t>
            </w:r>
          </w:p>
        </w:tc>
        <w:tc>
          <w:tcPr>
            <w:tcW w:w="171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i w:val="false"/>
                <w:i w:val="false"/>
                <w:iCs w:val="false"/>
              </w:rPr>
            </w:pPr>
            <w:r>
              <w:rPr>
                <w:b/>
                <w:bCs/>
                <w:i w:val="false"/>
                <w:iCs w:val="false"/>
                <w:sz w:val="24"/>
                <w:szCs w:val="24"/>
              </w:rPr>
              <w:t>Кол-во</w:t>
            </w:r>
          </w:p>
        </w:tc>
      </w:tr>
      <w:tr>
        <w:trPr>
          <w:trHeight w:val="403" w:hRule="exact"/>
        </w:trPr>
        <w:tc>
          <w:tcPr>
            <w:tcW w:w="896" w:type="dxa"/>
            <w:tcBorders>
              <w:left w:val="single" w:sz="4" w:space="0" w:color="000000"/>
              <w:bottom w:val="single" w:sz="4" w:space="0" w:color="000000"/>
              <w:right w:val="single" w:sz="4" w:space="0" w:color="000000"/>
            </w:tcBorders>
            <w:vAlign w:val="center"/>
          </w:tcPr>
          <w:p>
            <w:pPr>
              <w:pStyle w:val="ListParagraph"/>
              <w:widowControl w:val="false"/>
              <w:numPr>
                <w:ilvl w:val="0"/>
                <w:numId w:val="6"/>
              </w:numPr>
              <w:jc w:val="left"/>
              <w:rPr>
                <w:i w:val="false"/>
                <w:i w:val="false"/>
                <w:iCs w:val="false"/>
                <w:sz w:val="24"/>
                <w:szCs w:val="24"/>
              </w:rPr>
            </w:pPr>
            <w:r>
              <w:rPr>
                <w:i w:val="false"/>
                <w:iCs w:val="false"/>
                <w:sz w:val="24"/>
                <w:szCs w:val="24"/>
              </w:rPr>
            </w:r>
          </w:p>
        </w:tc>
        <w:tc>
          <w:tcPr>
            <w:tcW w:w="5506" w:type="dxa"/>
            <w:tcBorders>
              <w:left w:val="single" w:sz="4" w:space="0" w:color="000000"/>
              <w:bottom w:val="single" w:sz="4" w:space="0" w:color="000000"/>
            </w:tcBorders>
            <w:vAlign w:val="center"/>
          </w:tcPr>
          <w:p>
            <w:pPr>
              <w:pStyle w:val="Normal"/>
              <w:widowControl w:val="false"/>
              <w:tabs>
                <w:tab w:val="clear" w:pos="708"/>
                <w:tab w:val="left" w:pos="426" w:leader="none"/>
              </w:tabs>
              <w:spacing w:before="120" w:after="120"/>
              <w:rPr>
                <w:i w:val="false"/>
                <w:i w:val="false"/>
                <w:iCs w:val="false"/>
              </w:rPr>
            </w:pPr>
            <w:r>
              <w:rPr>
                <w:rFonts w:eastAsia="Calibri"/>
                <w:i w:val="false"/>
                <w:iCs w:val="false"/>
                <w:sz w:val="26"/>
                <w:szCs w:val="26"/>
                <w:lang w:eastAsia="x-none"/>
              </w:rPr>
              <w:t>Будка постового модульного типа</w:t>
            </w:r>
          </w:p>
        </w:tc>
        <w:tc>
          <w:tcPr>
            <w:tcW w:w="1697" w:type="dxa"/>
            <w:tcBorders>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rPr>
            </w:pPr>
            <w:r>
              <w:rPr>
                <w:i w:val="false"/>
                <w:iCs w:val="false"/>
                <w:sz w:val="24"/>
                <w:szCs w:val="24"/>
              </w:rPr>
              <w:t>шт.</w:t>
            </w:r>
          </w:p>
        </w:tc>
        <w:tc>
          <w:tcPr>
            <w:tcW w:w="1713" w:type="dxa"/>
            <w:tcBorders>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rPr>
            </w:pPr>
            <w:r>
              <w:rPr>
                <w:i w:val="false"/>
                <w:iCs w:val="false"/>
                <w:sz w:val="24"/>
                <w:szCs w:val="24"/>
              </w:rPr>
              <w:t>1</w:t>
            </w:r>
          </w:p>
        </w:tc>
      </w:tr>
    </w:tbl>
    <w:p>
      <w:pPr>
        <w:pStyle w:val="Normal"/>
        <w:widowControl w:val="false"/>
        <w:tabs>
          <w:tab w:val="clear" w:pos="708"/>
          <w:tab w:val="left" w:pos="426" w:leader="none"/>
        </w:tabs>
        <w:spacing w:before="120" w:after="120"/>
        <w:ind w:firstLine="142"/>
        <w:rPr>
          <w:bCs/>
          <w:i/>
          <w:i/>
          <w:sz w:val="24"/>
          <w:szCs w:val="24"/>
          <w:shd w:fill="FFFF99" w:val="clear"/>
        </w:rPr>
      </w:pPr>
      <w:r>
        <w:rPr>
          <w:bCs/>
          <w:i/>
          <w:sz w:val="24"/>
          <w:szCs w:val="24"/>
          <w:shd w:fill="FFFF99" w:val="clear"/>
        </w:rPr>
      </w:r>
    </w:p>
    <w:p>
      <w:pPr>
        <w:pStyle w:val="Heading3"/>
        <w:numPr>
          <w:ilvl w:val="2"/>
          <w:numId w:val="3"/>
        </w:numPr>
        <w:rPr/>
      </w:pPr>
      <w:bookmarkStart w:id="22" w:name="__RefHeading___Toc4482_2211158986"/>
      <w:bookmarkStart w:id="23" w:name="_Toc127778170"/>
      <w:bookmarkStart w:id="24" w:name="_Toc51339696"/>
      <w:bookmarkEnd w:id="22"/>
      <w:r>
        <w:rPr>
          <w:lang w:val="ru-RU"/>
        </w:rPr>
        <w:t xml:space="preserve">Требования </w:t>
      </w:r>
      <w:bookmarkEnd w:id="24"/>
      <w:r>
        <w:rPr>
          <w:lang w:val="ru-RU"/>
        </w:rPr>
        <w:t>к срокам поставки продукции и оказания сопутствующих услуг</w:t>
      </w:r>
      <w:bookmarkEnd w:id="23"/>
    </w:p>
    <w:p>
      <w:pPr>
        <w:pStyle w:val="Heading1"/>
        <w:tabs>
          <w:tab w:val="clear" w:pos="0"/>
        </w:tabs>
        <w:spacing w:before="240" w:after="60"/>
        <w:ind w:hanging="0" w:left="0"/>
        <w:rPr/>
      </w:pPr>
      <w:bookmarkStart w:id="25" w:name="__RefHeading___Toc4486_2211158986"/>
      <w:bookmarkStart w:id="26" w:name="_Toc127778171"/>
      <w:bookmarkStart w:id="27" w:name="_Toc50125127"/>
      <w:bookmarkStart w:id="28" w:name="_Toc51339697"/>
      <w:bookmarkStart w:id="29" w:name="_Toc501251261"/>
      <w:bookmarkEnd w:id="25"/>
      <w:bookmarkEnd w:id="29"/>
      <w:r>
        <w:rPr>
          <w:sz w:val="24"/>
          <w:szCs w:val="24"/>
        </w:rPr>
        <w:t xml:space="preserve">Таблица </w:t>
      </w:r>
      <w:r>
        <w:rPr>
          <w:sz w:val="24"/>
          <w:szCs w:val="24"/>
          <w:lang w:val="ru-RU"/>
        </w:rPr>
        <w:t>2</w:t>
      </w:r>
      <w:r>
        <w:rPr>
          <w:sz w:val="24"/>
          <w:szCs w:val="24"/>
        </w:rPr>
        <w:t>.</w:t>
      </w:r>
      <w:r>
        <w:rPr>
          <w:sz w:val="24"/>
          <w:szCs w:val="24"/>
          <w:lang w:val="ru-RU"/>
        </w:rPr>
        <w:t>2</w:t>
      </w:r>
      <w:r>
        <w:rPr>
          <w:sz w:val="24"/>
          <w:szCs w:val="24"/>
        </w:rPr>
        <w:t xml:space="preserve"> </w:t>
      </w:r>
      <w:bookmarkStart w:id="30" w:name="_Hlk50465284"/>
      <w:r>
        <w:rPr>
          <w:sz w:val="24"/>
          <w:szCs w:val="24"/>
        </w:rPr>
        <w:t xml:space="preserve">Требования по срокам </w:t>
      </w:r>
      <w:bookmarkEnd w:id="27"/>
      <w:bookmarkEnd w:id="28"/>
      <w:bookmarkEnd w:id="30"/>
      <w:r>
        <w:rPr>
          <w:sz w:val="24"/>
          <w:szCs w:val="24"/>
          <w:lang w:val="ru-RU"/>
        </w:rPr>
        <w:t>поставки продукции</w:t>
      </w:r>
      <w:bookmarkEnd w:id="26"/>
      <w:r>
        <w:rPr>
          <w:sz w:val="24"/>
          <w:szCs w:val="24"/>
          <w:lang w:val="ru-RU"/>
        </w:rPr>
        <w:t xml:space="preserve"> </w:t>
      </w:r>
    </w:p>
    <w:tbl>
      <w:tblPr>
        <w:tblW w:w="991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4984"/>
        <w:gridCol w:w="2550"/>
        <w:gridCol w:w="2376"/>
      </w:tblGrid>
      <w:tr>
        <w:trPr/>
        <w:tc>
          <w:tcPr>
            <w:tcW w:w="4984" w:type="dxa"/>
            <w:tcBorders>
              <w:top w:val="single" w:sz="4" w:space="0" w:color="000000"/>
              <w:left w:val="single" w:sz="4" w:space="0" w:color="000000"/>
              <w:bottom w:val="single" w:sz="4" w:space="0" w:color="000000"/>
            </w:tcBorders>
          </w:tcPr>
          <w:p>
            <w:pPr>
              <w:pStyle w:val="Normal"/>
              <w:widowControl w:val="false"/>
              <w:jc w:val="center"/>
              <w:rPr>
                <w:i w:val="false"/>
                <w:i w:val="false"/>
                <w:iCs w:val="false"/>
              </w:rPr>
            </w:pPr>
            <w:r>
              <w:rPr>
                <w:b/>
                <w:bCs/>
                <w:i w:val="false"/>
                <w:iCs w:val="false"/>
                <w:sz w:val="24"/>
                <w:szCs w:val="24"/>
              </w:rPr>
              <w:t>Наименование</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i w:val="false"/>
                <w:i w:val="false"/>
                <w:iCs w:val="false"/>
                <w:sz w:val="24"/>
                <w:szCs w:val="24"/>
              </w:rPr>
            </w:pPr>
            <w:r>
              <w:rPr>
                <w:b/>
                <w:bCs/>
                <w:i w:val="false"/>
                <w:iCs w:val="false"/>
                <w:sz w:val="24"/>
                <w:szCs w:val="24"/>
              </w:rPr>
              <w:t>Требования к началу срока поставки продукции</w:t>
            </w:r>
          </w:p>
        </w:tc>
        <w:tc>
          <w:tcPr>
            <w:tcW w:w="23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rPr>
            </w:pPr>
            <w:r>
              <w:rPr>
                <w:b/>
                <w:bCs/>
                <w:i w:val="false"/>
                <w:iCs w:val="false"/>
                <w:sz w:val="24"/>
                <w:szCs w:val="24"/>
              </w:rPr>
              <w:t>Требования к окончанию срока поставки продукции</w:t>
            </w:r>
          </w:p>
        </w:tc>
      </w:tr>
      <w:tr>
        <w:trPr/>
        <w:tc>
          <w:tcPr>
            <w:tcW w:w="4984" w:type="dxa"/>
            <w:tcBorders>
              <w:top w:val="single" w:sz="4" w:space="0" w:color="000000"/>
              <w:left w:val="single" w:sz="4" w:space="0" w:color="000000"/>
              <w:bottom w:val="single" w:sz="4" w:space="0" w:color="000000"/>
            </w:tcBorders>
          </w:tcPr>
          <w:p>
            <w:pPr>
              <w:pStyle w:val="Style28"/>
              <w:keepNext w:val="false"/>
              <w:widowControl w:val="false"/>
              <w:spacing w:before="40" w:after="40"/>
              <w:jc w:val="center"/>
              <w:rPr>
                <w:i w:val="false"/>
                <w:i w:val="false"/>
                <w:iCs w:val="false"/>
              </w:rPr>
            </w:pPr>
            <w:r>
              <w:rPr>
                <w:b/>
                <w:i w:val="false"/>
                <w:iCs w:val="false"/>
                <w:sz w:val="24"/>
                <w:szCs w:val="24"/>
              </w:rPr>
              <w:t>1</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Style28"/>
              <w:keepNext w:val="false"/>
              <w:widowControl w:val="false"/>
              <w:spacing w:before="40" w:after="40"/>
              <w:jc w:val="center"/>
              <w:rPr>
                <w:i w:val="false"/>
                <w:i w:val="false"/>
                <w:iCs w:val="false"/>
                <w:sz w:val="24"/>
                <w:szCs w:val="24"/>
              </w:rPr>
            </w:pPr>
            <w:r>
              <w:rPr>
                <w:i w:val="false"/>
                <w:iCs w:val="false"/>
                <w:sz w:val="24"/>
                <w:szCs w:val="24"/>
              </w:rPr>
              <w:t>2</w:t>
            </w:r>
          </w:p>
        </w:tc>
        <w:tc>
          <w:tcPr>
            <w:tcW w:w="2376" w:type="dxa"/>
            <w:tcBorders>
              <w:top w:val="single" w:sz="4" w:space="0" w:color="000000"/>
              <w:left w:val="single" w:sz="4" w:space="0" w:color="000000"/>
              <w:bottom w:val="single" w:sz="4" w:space="0" w:color="000000"/>
              <w:right w:val="single" w:sz="4" w:space="0" w:color="000000"/>
            </w:tcBorders>
            <w:vAlign w:val="center"/>
          </w:tcPr>
          <w:p>
            <w:pPr>
              <w:pStyle w:val="Style28"/>
              <w:keepNext w:val="false"/>
              <w:widowControl w:val="false"/>
              <w:spacing w:before="40" w:after="40"/>
              <w:jc w:val="center"/>
              <w:rPr>
                <w:i w:val="false"/>
                <w:i w:val="false"/>
                <w:iCs w:val="false"/>
              </w:rPr>
            </w:pPr>
            <w:r>
              <w:rPr>
                <w:b/>
                <w:i w:val="false"/>
                <w:iCs w:val="false"/>
                <w:sz w:val="24"/>
                <w:szCs w:val="24"/>
              </w:rPr>
              <w:t>3</w:t>
            </w:r>
          </w:p>
        </w:tc>
      </w:tr>
      <w:tr>
        <w:trPr/>
        <w:tc>
          <w:tcPr>
            <w:tcW w:w="4984" w:type="dxa"/>
            <w:tcBorders>
              <w:top w:val="single" w:sz="4" w:space="0" w:color="000000"/>
              <w:left w:val="single" w:sz="4" w:space="0" w:color="000000"/>
              <w:bottom w:val="single" w:sz="4" w:space="0" w:color="000000"/>
            </w:tcBorders>
          </w:tcPr>
          <w:p>
            <w:pPr>
              <w:pStyle w:val="Normal"/>
              <w:widowControl w:val="false"/>
              <w:rPr>
                <w:i w:val="false"/>
                <w:i w:val="false"/>
                <w:iCs w:val="false"/>
              </w:rPr>
            </w:pPr>
            <w:r>
              <w:rPr>
                <w:i w:val="false"/>
                <w:iCs w:val="false"/>
              </w:rPr>
              <w:t>ОКПД2 25.11.10.000 Поставка охранной будки модульного типа для нужд Волжского филиала АО «Гидроремонт-ВКК»</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sz w:val="24"/>
                <w:szCs w:val="24"/>
              </w:rPr>
            </w:pPr>
            <w:r>
              <w:rPr>
                <w:i w:val="false"/>
                <w:iCs w:val="false"/>
                <w:sz w:val="24"/>
                <w:szCs w:val="24"/>
              </w:rPr>
              <w:t>с даты подписания договора</w:t>
            </w:r>
          </w:p>
        </w:tc>
        <w:tc>
          <w:tcPr>
            <w:tcW w:w="23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rPr>
            </w:pPr>
            <w:r>
              <w:rPr>
                <w:i w:val="false"/>
                <w:iCs w:val="false"/>
                <w:sz w:val="24"/>
                <w:szCs w:val="24"/>
              </w:rPr>
              <w:t>в течение 30 календарных дней с даты подписания договора.</w:t>
            </w:r>
          </w:p>
        </w:tc>
      </w:tr>
    </w:tbl>
    <w:p>
      <w:pPr>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tabs>
          <w:tab w:val="clear" w:pos="0"/>
        </w:tabs>
        <w:ind w:hanging="0" w:left="0"/>
        <w:rPr>
          <w:lang w:val="ru-RU"/>
        </w:rPr>
      </w:pPr>
      <w:bookmarkStart w:id="31" w:name="__RefHeading___Toc4488_2211158986"/>
      <w:bookmarkEnd w:id="31"/>
      <w:r>
        <w:rPr>
          <w:lang w:val="ru-RU"/>
        </w:rPr>
        <w:t>2.2. Требования к качеству продукции</w:t>
      </w:r>
    </w:p>
    <w:p>
      <w:pPr>
        <w:pStyle w:val="Normal"/>
        <w:keepLines/>
        <w:spacing w:before="240" w:after="60"/>
        <w:rPr>
          <w:b/>
          <w:bCs/>
        </w:rPr>
      </w:pPr>
      <w:bookmarkStart w:id="32" w:name="_Toc75446582"/>
      <w:r>
        <w:rPr>
          <w:b/>
          <w:bCs/>
          <w:sz w:val="24"/>
          <w:szCs w:val="24"/>
        </w:rPr>
        <w:t>Таблица 3. Требования к продукции</w:t>
      </w:r>
      <w:bookmarkEnd w:id="32"/>
      <w:r>
        <w:rPr>
          <w:b/>
          <w:bCs/>
          <w:sz w:val="24"/>
          <w:szCs w:val="24"/>
        </w:rPr>
        <w:t xml:space="preserve"> </w:t>
      </w:r>
    </w:p>
    <w:p>
      <w:pPr>
        <w:pStyle w:val="Normal"/>
        <w:jc w:val="both"/>
        <w:rPr/>
      </w:pPr>
      <w:r>
        <w:rPr>
          <w:rFonts w:eastAsia="Calibri"/>
          <w:b/>
          <w:bCs/>
          <w:i w:val="false"/>
          <w:iCs w:val="false"/>
          <w:sz w:val="24"/>
          <w:szCs w:val="24"/>
          <w:lang w:eastAsia="x-none"/>
        </w:rPr>
        <w:t xml:space="preserve">Наименование продукции: </w:t>
      </w:r>
      <w:r>
        <w:rPr>
          <w:rStyle w:val="Style8"/>
          <w:rFonts w:eastAsia="Calibri"/>
          <w:b w:val="false"/>
          <w:bCs/>
          <w:i w:val="false"/>
          <w:iCs w:val="false"/>
          <w:sz w:val="24"/>
          <w:szCs w:val="24"/>
          <w:shd w:fill="auto" w:val="clear"/>
          <w:lang w:eastAsia="x-none"/>
        </w:rPr>
        <w:t xml:space="preserve"> ОКПД2 25.11.10.000 Поставка охранной будки модульного типа для нужд Волжского филиала АО «Гидроремонт-ВКК»</w:t>
      </w:r>
    </w:p>
    <w:p>
      <w:pPr>
        <w:pStyle w:val="Normal"/>
        <w:jc w:val="both"/>
        <w:rPr>
          <w:rStyle w:val="Style8"/>
          <w:b w:val="false"/>
          <w:iCs/>
          <w:sz w:val="24"/>
          <w:szCs w:val="24"/>
        </w:rPr>
      </w:pPr>
      <w:r>
        <w:rPr>
          <w:b w:val="false"/>
          <w:iCs/>
          <w:sz w:val="24"/>
          <w:szCs w:val="24"/>
        </w:rPr>
      </w:r>
    </w:p>
    <w:tbl>
      <w:tblPr>
        <w:tblW w:w="15139" w:type="dxa"/>
        <w:jc w:val="left"/>
        <w:tblInd w:w="103" w:type="dxa"/>
        <w:tblLayout w:type="fixed"/>
        <w:tblCellMar>
          <w:top w:w="55" w:type="dxa"/>
          <w:left w:w="108" w:type="dxa"/>
          <w:bottom w:w="55" w:type="dxa"/>
          <w:right w:w="108" w:type="dxa"/>
        </w:tblCellMar>
        <w:tblLook w:val="04a0" w:noHBand="0" w:noVBand="1" w:firstColumn="1" w:lastRow="0" w:lastColumn="0" w:firstRow="1"/>
      </w:tblPr>
      <w:tblGrid>
        <w:gridCol w:w="899"/>
        <w:gridCol w:w="5115"/>
        <w:gridCol w:w="9125"/>
      </w:tblGrid>
      <w:tr>
        <w:trPr/>
        <w:tc>
          <w:tcPr>
            <w:tcW w:w="899" w:type="dxa"/>
            <w:tcBorders>
              <w:top w:val="single" w:sz="4" w:space="0" w:color="000000"/>
              <w:left w:val="single" w:sz="4" w:space="0" w:color="000000"/>
              <w:bottom w:val="single" w:sz="4" w:space="0" w:color="000000"/>
            </w:tcBorders>
            <w:vAlign w:val="center"/>
          </w:tcPr>
          <w:p>
            <w:pPr>
              <w:pStyle w:val="Normal"/>
              <w:widowControl w:val="false"/>
              <w:jc w:val="center"/>
              <w:rPr>
                <w:i w:val="false"/>
                <w:i w:val="false"/>
                <w:iCs w:val="false"/>
              </w:rPr>
            </w:pPr>
            <w:r>
              <w:rPr>
                <w:b/>
                <w:bCs/>
                <w:i w:val="false"/>
                <w:iCs w:val="false"/>
                <w:sz w:val="24"/>
                <w:szCs w:val="24"/>
              </w:rPr>
              <w:t xml:space="preserve">№ </w:t>
            </w:r>
            <w:r>
              <w:rPr>
                <w:b/>
                <w:bCs/>
                <w:i w:val="false"/>
                <w:iCs w:val="false"/>
                <w:sz w:val="24"/>
                <w:szCs w:val="24"/>
              </w:rPr>
              <w:t>п/п</w:t>
            </w:r>
          </w:p>
        </w:tc>
        <w:tc>
          <w:tcPr>
            <w:tcW w:w="5115" w:type="dxa"/>
            <w:tcBorders>
              <w:top w:val="single" w:sz="4" w:space="0" w:color="000000"/>
              <w:left w:val="single" w:sz="4" w:space="0" w:color="000000"/>
              <w:bottom w:val="single" w:sz="4" w:space="0" w:color="000000"/>
            </w:tcBorders>
            <w:vAlign w:val="center"/>
          </w:tcPr>
          <w:p>
            <w:pPr>
              <w:pStyle w:val="Normal"/>
              <w:widowControl w:val="false"/>
              <w:jc w:val="center"/>
              <w:rPr>
                <w:i w:val="false"/>
                <w:i w:val="false"/>
                <w:iCs w:val="false"/>
              </w:rPr>
            </w:pPr>
            <w:r>
              <w:rPr>
                <w:b/>
                <w:bCs/>
                <w:i w:val="false"/>
                <w:iCs w:val="false"/>
                <w:sz w:val="24"/>
                <w:szCs w:val="24"/>
              </w:rPr>
              <w:t>Наименование параметра</w:t>
            </w:r>
          </w:p>
        </w:tc>
        <w:tc>
          <w:tcPr>
            <w:tcW w:w="91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rPr>
            </w:pPr>
            <w:r>
              <w:rPr>
                <w:b/>
                <w:bCs/>
                <w:i w:val="false"/>
                <w:iCs w:val="false"/>
                <w:sz w:val="24"/>
                <w:szCs w:val="24"/>
              </w:rPr>
              <w:t>Требование заказчика</w:t>
            </w:r>
          </w:p>
        </w:tc>
      </w:tr>
      <w:tr>
        <w:trPr/>
        <w:tc>
          <w:tcPr>
            <w:tcW w:w="899" w:type="dxa"/>
            <w:tcBorders>
              <w:left w:val="single" w:sz="4" w:space="0" w:color="000000"/>
              <w:bottom w:val="single" w:sz="4" w:space="0" w:color="000000"/>
            </w:tcBorders>
            <w:vAlign w:val="center"/>
          </w:tcPr>
          <w:p>
            <w:pPr>
              <w:pStyle w:val="Normal"/>
              <w:widowControl w:val="false"/>
              <w:spacing w:before="60" w:after="60"/>
              <w:jc w:val="center"/>
              <w:rPr>
                <w:i w:val="false"/>
                <w:i w:val="false"/>
                <w:iCs w:val="false"/>
              </w:rPr>
            </w:pPr>
            <w:r>
              <w:rPr>
                <w:b/>
                <w:i w:val="false"/>
                <w:iCs w:val="false"/>
                <w:sz w:val="24"/>
                <w:szCs w:val="24"/>
              </w:rPr>
              <w:t>1</w:t>
            </w:r>
          </w:p>
        </w:tc>
        <w:tc>
          <w:tcPr>
            <w:tcW w:w="5115" w:type="dxa"/>
            <w:tcBorders>
              <w:left w:val="single" w:sz="4" w:space="0" w:color="000000"/>
              <w:bottom w:val="single" w:sz="4" w:space="0" w:color="000000"/>
            </w:tcBorders>
            <w:vAlign w:val="center"/>
          </w:tcPr>
          <w:p>
            <w:pPr>
              <w:pStyle w:val="Normal"/>
              <w:widowControl w:val="false"/>
              <w:jc w:val="center"/>
              <w:rPr>
                <w:i w:val="false"/>
                <w:i w:val="false"/>
                <w:iCs w:val="false"/>
              </w:rPr>
            </w:pPr>
            <w:r>
              <w:rPr>
                <w:b/>
                <w:i w:val="false"/>
                <w:iCs w:val="false"/>
                <w:sz w:val="24"/>
                <w:szCs w:val="24"/>
              </w:rPr>
              <w:t>2</w:t>
            </w:r>
          </w:p>
        </w:tc>
        <w:tc>
          <w:tcPr>
            <w:tcW w:w="9125" w:type="dxa"/>
            <w:tcBorders>
              <w:left w:val="single" w:sz="4" w:space="0" w:color="000000"/>
              <w:bottom w:val="single" w:sz="4" w:space="0" w:color="000000"/>
              <w:right w:val="single" w:sz="4" w:space="0" w:color="000000"/>
            </w:tcBorders>
            <w:vAlign w:val="center"/>
          </w:tcPr>
          <w:p>
            <w:pPr>
              <w:pStyle w:val="Normal"/>
              <w:widowControl w:val="false"/>
              <w:jc w:val="center"/>
              <w:rPr>
                <w:i w:val="false"/>
                <w:i w:val="false"/>
                <w:iCs w:val="false"/>
              </w:rPr>
            </w:pPr>
            <w:r>
              <w:rPr>
                <w:b/>
                <w:i w:val="false"/>
                <w:iCs w:val="false"/>
                <w:sz w:val="24"/>
                <w:szCs w:val="24"/>
              </w:rPr>
              <w:t>3</w:t>
            </w:r>
          </w:p>
        </w:tc>
      </w:tr>
      <w:tr>
        <w:trPr/>
        <w:tc>
          <w:tcPr>
            <w:tcW w:w="899" w:type="dxa"/>
            <w:tcBorders>
              <w:left w:val="single" w:sz="4" w:space="0" w:color="000000"/>
              <w:bottom w:val="single" w:sz="4" w:space="0" w:color="000000"/>
            </w:tcBorders>
            <w:vAlign w:val="center"/>
          </w:tcPr>
          <w:p>
            <w:pPr>
              <w:pStyle w:val="ListParagraph"/>
              <w:widowControl w:val="false"/>
              <w:spacing w:before="60" w:after="60"/>
              <w:ind w:hanging="0" w:left="720" w:right="340"/>
              <w:contextualSpacing/>
              <w:jc w:val="center"/>
              <w:rPr>
                <w:b/>
                <w:bCs/>
                <w:i w:val="false"/>
                <w:i w:val="false"/>
                <w:iCs w:val="false"/>
              </w:rPr>
            </w:pPr>
            <w:r>
              <w:rPr>
                <w:b/>
                <w:bCs/>
                <w:i w:val="false"/>
                <w:iCs w:val="false"/>
              </w:rPr>
              <w:t>1</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rPr>
                <w:i w:val="false"/>
                <w:i w:val="false"/>
                <w:iCs w:val="false"/>
              </w:rPr>
            </w:pPr>
            <w:r>
              <w:rPr>
                <w:b/>
                <w:i w:val="false"/>
                <w:iCs w:val="false"/>
                <w:sz w:val="24"/>
                <w:szCs w:val="24"/>
              </w:rPr>
              <w:t>Требования к техническим и функциональным характеристикам (включая гарантируемые показатели)</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Габариты наружные (ДхШхВ)</w:t>
            </w:r>
          </w:p>
        </w:tc>
        <w:tc>
          <w:tcPr>
            <w:tcW w:w="9125" w:type="dxa"/>
            <w:tcBorders>
              <w:left w:val="single" w:sz="4" w:space="0" w:color="000000"/>
              <w:bottom w:val="single" w:sz="4" w:space="0" w:color="000000"/>
              <w:right w:val="single" w:sz="4" w:space="0" w:color="000000"/>
            </w:tcBorders>
            <w:shd w:color="auto" w:fill="auto" w:val="clear"/>
          </w:tcPr>
          <w:p>
            <w:pPr>
              <w:pStyle w:val="ListParagraph"/>
              <w:widowControl w:val="false"/>
              <w:numPr>
                <w:ilvl w:val="0"/>
              </w:numPr>
              <w:ind w:hanging="0" w:left="0" w:right="0"/>
              <w:jc w:val="center"/>
              <w:rPr>
                <w:i w:val="false"/>
                <w:i w:val="false"/>
                <w:iCs w:val="false"/>
                <w:sz w:val="24"/>
                <w:szCs w:val="24"/>
              </w:rPr>
            </w:pPr>
            <w:r>
              <w:rPr>
                <w:i w:val="false"/>
                <w:iCs w:val="false"/>
                <w:sz w:val="24"/>
                <w:szCs w:val="24"/>
              </w:rPr>
              <w:t>1500х1500х2450 мм</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1.2</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 xml:space="preserve">Требования к материалам </w:t>
            </w:r>
          </w:p>
        </w:tc>
        <w:tc>
          <w:tcPr>
            <w:tcW w:w="9125" w:type="dxa"/>
            <w:tcBorders>
              <w:left w:val="single" w:sz="4" w:space="0" w:color="000000"/>
              <w:bottom w:val="single" w:sz="4" w:space="0" w:color="000000"/>
              <w:right w:val="single" w:sz="4" w:space="0" w:color="000000"/>
            </w:tcBorders>
            <w:shd w:color="auto" w:fill="auto" w:val="clear"/>
          </w:tcPr>
          <w:p>
            <w:pPr>
              <w:pStyle w:val="ListParagraph"/>
              <w:widowControl w:val="false"/>
              <w:numPr>
                <w:ilvl w:val="0"/>
              </w:numPr>
              <w:ind w:hanging="0" w:left="0" w:right="0"/>
              <w:jc w:val="center"/>
              <w:rPr>
                <w:i w:val="false"/>
                <w:i w:val="false"/>
                <w:iCs w:val="false"/>
                <w:sz w:val="24"/>
                <w:szCs w:val="24"/>
              </w:rPr>
            </w:pPr>
            <w:r>
              <w:rPr>
                <w:i w:val="false"/>
                <w:iCs w:val="false"/>
                <w:sz w:val="24"/>
                <w:szCs w:val="24"/>
              </w:rPr>
              <w:t>Используемые материалы должны иметь сертификаты соответствующие Федеральному закону №123-ФЗ от 22.07.2008</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1.3</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Количество отсеков</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rFonts w:eastAsia="Calibri"/>
                <w:i w:val="false"/>
                <w:iCs w:val="false"/>
                <w:sz w:val="24"/>
                <w:szCs w:val="24"/>
              </w:rPr>
              <w:t>1</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1.4</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Устройства обеспечивающие</w:t>
            </w:r>
          </w:p>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безопасную и надежную перевозку, крепление на транспортных средствах и установку на основание при помощи крана</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да</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1.5</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Наружная отделка</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Профилированный оцинкованный лист толщиной не менее 0,7 мм, покраска, цвет RAL 7004 (серый)</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1.6</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Крыша</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Рубероид + профлист толщиной не менее 0,7 мм</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1.7</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Внутренняя отделка</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ПВХ-вагонка</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1.8</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Утеплитель</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URSA GEO не менее 150мм с ветро-влагоизоляционной паропроницаемой мембраной</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1.9</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Пол</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Половая доска с антисептической пропиткой, плинтус ПВХ по периметру</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1.10</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Количество дверей</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1</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1.11</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Размер двери (ШхВ)</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800х2000 мм</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1.12</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Параметры двери</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ПВХ-профиля армированного, с фурнитурой и доводчиком, заполнение -сендвич панель и остекление (от 30 до 50% от площади двери), предусмотреть запирающее устройство изнутри.</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1.13</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Количество окон</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3</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1.14</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Размеры окон</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900х900 мм (расстояние от пола до низа - 1000мм)</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1.15</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Параметры окон</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Из ПВХ-профиля с фурнитурой и отливами, заполнение - однокамерный стеклопакет</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1.16</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Электроснабжение</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Щит электроснабжения, включая автоматические выключатели. Электропитание от сети</w:t>
            </w:r>
          </w:p>
          <w:p>
            <w:pPr>
              <w:pStyle w:val="Normal"/>
              <w:widowControl w:val="false"/>
              <w:spacing w:lineRule="auto" w:line="276" w:before="0" w:after="0"/>
              <w:contextualSpacing/>
              <w:jc w:val="center"/>
              <w:rPr>
                <w:i w:val="false"/>
                <w:i w:val="false"/>
                <w:iCs w:val="false"/>
                <w:sz w:val="24"/>
                <w:szCs w:val="24"/>
              </w:rPr>
            </w:pPr>
            <w:r>
              <w:rPr>
                <w:i w:val="false"/>
                <w:iCs w:val="false"/>
                <w:sz w:val="24"/>
                <w:szCs w:val="24"/>
              </w:rPr>
              <w:t>переменного тока напряжением 220 В. Розетка двойная с з/к - 2 шт. Кабельные линии системы электроснабжения и освещения в кабель-каналах от щита</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1.17</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Освещение</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Светильник потолочный светодиодный 1шт. (норма освещенности не менее 150лк), выключатель 1 шт.</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1.18</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Температура эксплуатации</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-30 до +50 °С</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1.19</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Вентиляция</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Естественное через вытяжное отверстие</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1.20</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Микроклимат</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Сплит-система - 1шт, электрический конвектор 1кВт - 1 шт.</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1.21</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Мероприятия по пожарной безопасности</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В соответствие с ГОСТ Р 58760-2019: должна быть смонтирована автономная АПС и СОУЭ укомплектована огнетушителями</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1.22</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Мебель</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Стол 1200х400х750(h), исполнение - УХЛ3</w:t>
            </w:r>
          </w:p>
        </w:tc>
      </w:tr>
      <w:tr>
        <w:trPr>
          <w:trHeight w:val="92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1.23</w:t>
            </w:r>
          </w:p>
        </w:tc>
        <w:tc>
          <w:tcPr>
            <w:tcW w:w="5115" w:type="dxa"/>
            <w:tcBorders>
              <w:left w:val="single" w:sz="4" w:space="0" w:color="000000"/>
              <w:bottom w:val="single" w:sz="4" w:space="0" w:color="000000"/>
            </w:tcBorders>
            <w:shd w:color="auto" w:fill="auto" w:val="clear"/>
          </w:tcPr>
          <w:p>
            <w:pPr>
              <w:pStyle w:val="ListParagraph"/>
              <w:widowControl w:val="false"/>
              <w:numPr>
                <w:ilvl w:val="0"/>
                <w:numId w:val="0"/>
              </w:numPr>
              <w:ind w:hanging="0" w:left="0" w:right="0"/>
              <w:jc w:val="left"/>
              <w:rPr>
                <w:i w:val="false"/>
                <w:i w:val="false"/>
                <w:iCs w:val="false"/>
                <w:sz w:val="24"/>
                <w:szCs w:val="24"/>
              </w:rPr>
            </w:pPr>
            <w:r>
              <w:rPr>
                <w:i w:val="false"/>
                <w:iCs w:val="false"/>
                <w:sz w:val="24"/>
                <w:szCs w:val="24"/>
              </w:rPr>
              <w:t>Дополнительное оборудование</w:t>
            </w:r>
          </w:p>
        </w:tc>
        <w:tc>
          <w:tcPr>
            <w:tcW w:w="9125" w:type="dxa"/>
            <w:tcBorders>
              <w:left w:val="single" w:sz="4" w:space="0" w:color="000000"/>
              <w:bottom w:val="single" w:sz="4" w:space="0" w:color="000000"/>
              <w:right w:val="single" w:sz="4" w:space="0" w:color="000000"/>
            </w:tcBorders>
            <w:shd w:color="auto" w:fill="auto" w:val="clear"/>
          </w:tcPr>
          <w:p>
            <w:pPr>
              <w:pStyle w:val="Normal"/>
              <w:keepNext w:val="true"/>
              <w:widowControl w:val="false"/>
              <w:spacing w:lineRule="auto" w:line="276" w:before="0" w:after="0"/>
              <w:contextualSpacing/>
              <w:jc w:val="center"/>
              <w:rPr>
                <w:i w:val="false"/>
                <w:i w:val="false"/>
                <w:iCs w:val="false"/>
                <w:sz w:val="24"/>
                <w:szCs w:val="24"/>
              </w:rPr>
            </w:pPr>
            <w:r>
              <w:rPr>
                <w:i w:val="false"/>
                <w:iCs w:val="false"/>
                <w:sz w:val="24"/>
                <w:szCs w:val="24"/>
              </w:rPr>
              <w:t>Замок в двери, засов в двери изнутри, тревожная кнопка типа ИО 101-2 (КНФ-1), гофра ПВХ ф16 проложенная за обшивкой от тревожной кнопки до наружной отделки.</w:t>
            </w:r>
          </w:p>
        </w:tc>
      </w:tr>
      <w:tr>
        <w:trPr>
          <w:trHeight w:val="877"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720" w:right="567"/>
              <w:contextualSpacing/>
              <w:jc w:val="center"/>
              <w:rPr>
                <w:b/>
                <w:bCs/>
                <w:i w:val="false"/>
                <w:i w:val="false"/>
                <w:iCs w:val="false"/>
              </w:rPr>
            </w:pPr>
            <w:r>
              <w:rPr>
                <w:b/>
                <w:bCs/>
                <w:i w:val="false"/>
                <w:iCs w:val="false"/>
              </w:rPr>
              <w:t>2</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rPr>
                <w:i w:val="false"/>
                <w:i w:val="false"/>
                <w:iCs w:val="false"/>
              </w:rPr>
            </w:pPr>
            <w:r>
              <w:rPr>
                <w:b/>
                <w:bCs/>
                <w:i w:val="false"/>
                <w:iCs w:val="false"/>
                <w:sz w:val="24"/>
                <w:szCs w:val="24"/>
              </w:rPr>
              <w:t>Требования к доставке, маркировке, упаковке, транспортировке, перемещению, условиям хранения, приемке и испытаниям</w:t>
            </w:r>
          </w:p>
        </w:tc>
      </w:tr>
      <w:tr>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2.1</w:t>
            </w:r>
          </w:p>
        </w:tc>
        <w:tc>
          <w:tcPr>
            <w:tcW w:w="14240" w:type="dxa"/>
            <w:gridSpan w:val="2"/>
            <w:tcBorders>
              <w:left w:val="single" w:sz="4" w:space="0" w:color="000000"/>
              <w:bottom w:val="single" w:sz="4" w:space="0" w:color="000000"/>
              <w:right w:val="single" w:sz="4" w:space="0" w:color="000000"/>
            </w:tcBorders>
          </w:tcPr>
          <w:p>
            <w:pPr>
              <w:pStyle w:val="Normal"/>
              <w:widowControl w:val="false"/>
              <w:jc w:val="left"/>
              <w:rPr>
                <w:sz w:val="24"/>
                <w:szCs w:val="24"/>
              </w:rPr>
            </w:pPr>
            <w:r>
              <w:rPr>
                <w:i w:val="false"/>
                <w:iCs w:val="false"/>
                <w:sz w:val="24"/>
                <w:szCs w:val="24"/>
              </w:rPr>
              <w:t>Место поставки</w:t>
            </w:r>
          </w:p>
          <w:p>
            <w:pPr>
              <w:pStyle w:val="Normal"/>
              <w:widowControl w:val="false"/>
              <w:jc w:val="left"/>
              <w:rPr>
                <w:sz w:val="24"/>
                <w:szCs w:val="24"/>
              </w:rPr>
            </w:pPr>
            <w:r>
              <w:rPr>
                <w:i w:val="false"/>
                <w:iCs w:val="false"/>
                <w:sz w:val="24"/>
                <w:szCs w:val="24"/>
              </w:rPr>
              <w:t>Волжский филиал АО «Гидроремонт – ВКК», РФ, 404130, Волгоградская обл., г. Волжский, пр-т Ленина, д. 1А.</w:t>
            </w:r>
          </w:p>
        </w:tc>
      </w:tr>
      <w:tr>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2.2</w:t>
            </w:r>
          </w:p>
        </w:tc>
        <w:tc>
          <w:tcPr>
            <w:tcW w:w="14240" w:type="dxa"/>
            <w:gridSpan w:val="2"/>
            <w:tcBorders>
              <w:left w:val="single" w:sz="4" w:space="0" w:color="000000"/>
              <w:bottom w:val="single" w:sz="4" w:space="0" w:color="000000"/>
              <w:right w:val="single" w:sz="4" w:space="0" w:color="000000"/>
            </w:tcBorders>
          </w:tcPr>
          <w:p>
            <w:pPr>
              <w:pStyle w:val="Normal"/>
              <w:widowControl w:val="false"/>
              <w:jc w:val="left"/>
              <w:rPr>
                <w:i w:val="false"/>
                <w:i w:val="false"/>
                <w:iCs w:val="false"/>
              </w:rPr>
            </w:pPr>
            <w:r>
              <w:rPr>
                <w:i w:val="false"/>
                <w:iCs w:val="false"/>
                <w:sz w:val="24"/>
                <w:szCs w:val="24"/>
              </w:rPr>
              <w:t>Информация о транспорте</w:t>
            </w:r>
          </w:p>
          <w:p>
            <w:pPr>
              <w:pStyle w:val="Normal"/>
              <w:widowControl w:val="false"/>
              <w:jc w:val="left"/>
              <w:rPr>
                <w:i w:val="false"/>
                <w:i w:val="false"/>
                <w:iCs w:val="false"/>
              </w:rPr>
            </w:pPr>
            <w:r>
              <w:rPr>
                <w:i w:val="false"/>
                <w:iCs w:val="false"/>
                <w:sz w:val="24"/>
                <w:szCs w:val="24"/>
              </w:rPr>
              <w:t>Информация о транспорте, на котором осуществляется поставка Продукции, предоставляется Поставщиком не позднее предыдущего рабочего дня до прибытия транспорта.</w:t>
            </w:r>
          </w:p>
        </w:tc>
      </w:tr>
      <w:tr>
        <w:trPr>
          <w:trHeight w:val="495"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510" w:left="737" w:right="340"/>
              <w:contextualSpacing/>
              <w:jc w:val="center"/>
              <w:rPr>
                <w:b/>
                <w:bCs/>
                <w:i w:val="false"/>
                <w:i w:val="false"/>
                <w:iCs w:val="false"/>
              </w:rPr>
            </w:pPr>
            <w:r>
              <w:rPr>
                <w:b/>
                <w:bCs/>
                <w:i w:val="false"/>
                <w:iCs w:val="false"/>
              </w:rPr>
              <w:t>3</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spacing w:before="60" w:after="0"/>
              <w:rPr>
                <w:i w:val="false"/>
                <w:i w:val="false"/>
                <w:iCs w:val="false"/>
              </w:rPr>
            </w:pPr>
            <w:r>
              <w:rPr>
                <w:b/>
                <w:i w:val="false"/>
                <w:iCs w:val="false"/>
                <w:sz w:val="24"/>
                <w:szCs w:val="24"/>
              </w:rPr>
              <w:t>Требования к гарантиям, гарантийному и послегарантийному обслуживанию</w:t>
            </w:r>
          </w:p>
        </w:tc>
      </w:tr>
      <w:tr>
        <w:trPr/>
        <w:tc>
          <w:tcPr>
            <w:tcW w:w="899" w:type="dxa"/>
            <w:tcBorders>
              <w:top w:val="single" w:sz="4" w:space="0" w:color="000000"/>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3.1</w:t>
            </w:r>
          </w:p>
        </w:tc>
        <w:tc>
          <w:tcPr>
            <w:tcW w:w="1424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left"/>
              <w:rPr>
                <w:i w:val="false"/>
                <w:i w:val="false"/>
                <w:iCs w:val="false"/>
              </w:rPr>
            </w:pPr>
            <w:r>
              <w:rPr>
                <w:i w:val="false"/>
                <w:iCs w:val="false"/>
                <w:sz w:val="24"/>
                <w:szCs w:val="24"/>
              </w:rPr>
              <w:t xml:space="preserve">Поставщик обязан установить на продукцию гарантийный срок </w:t>
            </w:r>
            <w:r>
              <w:rPr>
                <w:b/>
                <w:bCs/>
                <w:i w:val="false"/>
                <w:iCs w:val="false"/>
                <w:sz w:val="24"/>
                <w:szCs w:val="24"/>
              </w:rPr>
              <w:t>36 (Тридцать шесть)</w:t>
            </w:r>
            <w:r>
              <w:rPr>
                <w:i w:val="false"/>
                <w:iCs w:val="false"/>
                <w:sz w:val="24"/>
                <w:szCs w:val="24"/>
              </w:rPr>
              <w:t xml:space="preserve"> месяцев с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pPr>
              <w:pStyle w:val="Normal"/>
              <w:widowControl w:val="false"/>
              <w:jc w:val="left"/>
              <w:rPr>
                <w:i w:val="false"/>
                <w:i w:val="false"/>
                <w:iCs w:val="false"/>
              </w:rPr>
            </w:pPr>
            <w:r>
              <w:rPr>
                <w:i w:val="false"/>
                <w:iCs w:val="false"/>
                <w:sz w:val="24"/>
                <w:szCs w:val="24"/>
              </w:rPr>
              <w:t>Установленный в отношении Продукции Гарантийный срок распространяется на все составные части и комплектующие Продукции.</w:t>
            </w:r>
          </w:p>
        </w:tc>
      </w:tr>
      <w:tr>
        <w:trPr/>
        <w:tc>
          <w:tcPr>
            <w:tcW w:w="899" w:type="dxa"/>
            <w:tcBorders>
              <w:left w:val="single" w:sz="4" w:space="0" w:color="000000"/>
              <w:bottom w:val="single" w:sz="4" w:space="0" w:color="000000"/>
            </w:tcBorders>
            <w:vAlign w:val="center"/>
          </w:tcPr>
          <w:p>
            <w:pPr>
              <w:pStyle w:val="ListParagraph"/>
              <w:widowControl w:val="false"/>
              <w:spacing w:before="60" w:after="60"/>
              <w:ind w:hanging="0" w:left="0"/>
              <w:contextualSpacing/>
              <w:jc w:val="center"/>
              <w:rPr>
                <w:b/>
                <w:bCs/>
                <w:i w:val="false"/>
                <w:i w:val="false"/>
                <w:iCs w:val="false"/>
              </w:rPr>
            </w:pPr>
            <w:r>
              <w:rPr>
                <w:b/>
                <w:bCs/>
                <w:i w:val="false"/>
                <w:iCs w:val="false"/>
              </w:rPr>
              <w:t>4</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spacing w:before="60" w:after="60"/>
              <w:rPr>
                <w:i w:val="false"/>
                <w:i w:val="false"/>
                <w:iCs w:val="false"/>
              </w:rPr>
            </w:pPr>
            <w:r>
              <w:rPr>
                <w:b/>
                <w:i w:val="false"/>
                <w:iCs w:val="false"/>
                <w:sz w:val="24"/>
                <w:szCs w:val="24"/>
              </w:rPr>
              <w:t>Требования к комплектации и документам, поставляемым вместе с продукцией</w:t>
            </w:r>
          </w:p>
        </w:tc>
      </w:tr>
      <w:tr>
        <w:trPr>
          <w:trHeight w:val="1577"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4.1</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jc w:val="left"/>
              <w:rPr>
                <w:i w:val="false"/>
                <w:i w:val="false"/>
                <w:iCs w:val="false"/>
              </w:rPr>
            </w:pPr>
            <w:r>
              <w:rPr>
                <w:i w:val="false"/>
                <w:iCs w:val="false"/>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Сертификат качества в 2 экз.;</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Технический паспорт на русском языке в 2 экз.;</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Инструкция по эксплуатации (монтажу и т.п.) на русском языке в 2 экз.;</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Упаковочный лист на Продукцию 2 экз.;</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Обязательные первичные документы:</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jc w:val="left"/>
              <w:rPr>
                <w:i w:val="false"/>
                <w:i w:val="false"/>
                <w:iCs w:val="false"/>
              </w:rPr>
            </w:pPr>
            <w:r>
              <w:rPr>
                <w:i w:val="false"/>
                <w:iCs w:val="false"/>
                <w:sz w:val="24"/>
                <w:szCs w:val="24"/>
              </w:rPr>
              <w:t xml:space="preserve">    • </w:t>
            </w:r>
            <w:r>
              <w:rPr>
                <w:i w:val="false"/>
                <w:iCs w:val="false"/>
                <w:sz w:val="24"/>
                <w:szCs w:val="24"/>
              </w:rPr>
              <w:t>Товарную накладную по форме ТОРГ-12 или Универсальный передаточный документ (УПД) в 2 экз.</w:t>
            </w:r>
          </w:p>
        </w:tc>
      </w:tr>
      <w:tr>
        <w:trPr>
          <w:trHeight w:val="512"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b/>
                <w:bCs/>
                <w:i w:val="false"/>
                <w:i w:val="false"/>
                <w:iCs w:val="false"/>
              </w:rPr>
            </w:pPr>
            <w:r>
              <w:rPr>
                <w:b/>
                <w:bCs/>
                <w:i w:val="false"/>
                <w:iCs w:val="false"/>
              </w:rPr>
              <w:t>5</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rPr>
                <w:i w:val="false"/>
                <w:i w:val="false"/>
                <w:iCs w:val="false"/>
              </w:rPr>
            </w:pPr>
            <w:r>
              <w:rPr>
                <w:b/>
                <w:i w:val="false"/>
                <w:iCs w:val="false"/>
                <w:sz w:val="24"/>
                <w:szCs w:val="24"/>
              </w:rPr>
              <w:t>Прочие (дополнительные) требования к продукции</w:t>
            </w:r>
          </w:p>
        </w:tc>
      </w:tr>
      <w:tr>
        <w:trPr>
          <w:trHeight w:val="738" w:hRule="atLeast"/>
        </w:trPr>
        <w:tc>
          <w:tcPr>
            <w:tcW w:w="899" w:type="dxa"/>
            <w:tcBorders>
              <w:left w:val="single" w:sz="4" w:space="0" w:color="000000"/>
              <w:bottom w:val="single" w:sz="4" w:space="0" w:color="000000"/>
            </w:tcBorders>
            <w:vAlign w:val="center"/>
          </w:tcPr>
          <w:p>
            <w:pPr>
              <w:pStyle w:val="ListParagraph"/>
              <w:widowControl w:val="false"/>
              <w:spacing w:before="60" w:after="60"/>
              <w:ind w:hanging="0" w:left="-117"/>
              <w:contextualSpacing/>
              <w:jc w:val="center"/>
              <w:rPr>
                <w:i w:val="false"/>
                <w:i w:val="false"/>
                <w:iCs w:val="false"/>
              </w:rPr>
            </w:pPr>
            <w:r>
              <w:rPr>
                <w:i w:val="false"/>
                <w:iCs w:val="false"/>
              </w:rPr>
              <w:t>5.1</w:t>
            </w:r>
          </w:p>
        </w:tc>
        <w:tc>
          <w:tcPr>
            <w:tcW w:w="14240" w:type="dxa"/>
            <w:gridSpan w:val="2"/>
            <w:tcBorders>
              <w:left w:val="single" w:sz="4" w:space="0" w:color="000000"/>
              <w:bottom w:val="single" w:sz="4" w:space="0" w:color="000000"/>
              <w:right w:val="single" w:sz="4" w:space="0" w:color="000000"/>
            </w:tcBorders>
            <w:vAlign w:val="center"/>
          </w:tcPr>
          <w:p>
            <w:pPr>
              <w:pStyle w:val="Normal"/>
              <w:widowControl w:val="false"/>
              <w:jc w:val="left"/>
              <w:rPr>
                <w:i w:val="false"/>
                <w:i w:val="false"/>
                <w:iCs w:val="false"/>
              </w:rPr>
            </w:pPr>
            <w:r>
              <w:rPr>
                <w:i w:val="false"/>
                <w:iCs w:val="false"/>
                <w:sz w:val="24"/>
                <w:szCs w:val="24"/>
              </w:rPr>
              <w:t>Продукция должны быть новой, не бывшей ранее в употреблении. Технические решения и само продукция должна соответствовать действующим на территории РФ норм, правил и безопасной эксплуатации.</w:t>
            </w:r>
          </w:p>
        </w:tc>
      </w:tr>
    </w:tbl>
    <w:p>
      <w:pPr>
        <w:pStyle w:val="Heading1"/>
        <w:keepLines/>
        <w:ind w:hanging="0" w:left="357"/>
        <w:jc w:val="center"/>
        <w:rPr>
          <w:lang w:val="ru-RU"/>
        </w:rPr>
      </w:pPr>
      <w:r>
        <w:rPr>
          <w:lang w:val="ru-RU"/>
        </w:rPr>
      </w:r>
    </w:p>
    <w:p>
      <w:pPr>
        <w:pStyle w:val="Normal"/>
        <w:ind w:hanging="426" w:left="426"/>
        <w:rPr>
          <w:i w:val="false"/>
          <w:i w:val="false"/>
          <w:iCs w:val="false"/>
        </w:rPr>
      </w:pPr>
      <w:r>
        <w:rPr>
          <w:i w:val="false"/>
          <w:iCs w:val="false"/>
        </w:rPr>
      </w:r>
    </w:p>
    <w:sectPr>
      <w:headerReference w:type="default" r:id="rId4"/>
      <w:headerReference w:type="first" r:id="rId5"/>
      <w:type w:val="nextPage"/>
      <w:pgSz w:orient="landscape" w:w="16838" w:h="11906"/>
      <w:pgMar w:left="992" w:right="567" w:gutter="0" w:header="680" w:top="851" w:footer="0" w:bottom="709"/>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b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uiPriority w:val="9"/>
    <w:qFormat/>
    <w:pPr>
      <w:outlineLvl w:val="0"/>
    </w:pPr>
    <w:rPr>
      <w:sz w:val="28"/>
      <w:szCs w:val="28"/>
    </w:rPr>
  </w:style>
  <w:style w:type="paragraph" w:styleId="Heading2">
    <w:name w:val="Heading 2"/>
    <w:basedOn w:val="Heading4"/>
    <w:next w:val="Normal"/>
    <w:link w:val="2"/>
    <w:uiPriority w:val="9"/>
    <w:unhideWhenUsed/>
    <w:qFormat/>
    <w:pPr>
      <w:outlineLvl w:val="1"/>
    </w:pPr>
    <w:rPr/>
  </w:style>
  <w:style w:type="paragraph" w:styleId="Heading3">
    <w:name w:val="Heading 3"/>
    <w:basedOn w:val="Normal"/>
    <w:next w:val="Normal"/>
    <w:link w:val="3"/>
    <w:uiPriority w:val="9"/>
    <w:unhideWhenUsed/>
    <w:qFormat/>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uiPriority w:val="9"/>
    <w:unhideWhenUsed/>
    <w:qFormat/>
    <w:pPr>
      <w:outlineLvl w:val="3"/>
    </w:pPr>
    <w:rPr>
      <w:bCs/>
    </w:rPr>
  </w:style>
  <w:style w:type="paragraph" w:styleId="Heading5">
    <w:name w:val="Heading 5"/>
    <w:basedOn w:val="Normal"/>
    <w:next w:val="Normal"/>
    <w:link w:val="5"/>
    <w:uiPriority w:val="9"/>
    <w:semiHidden/>
    <w:unhideWhenUsed/>
    <w:qFormat/>
    <w:pPr>
      <w:spacing w:before="240" w:after="60"/>
      <w:outlineLvl w:val="4"/>
    </w:pPr>
    <w:rPr>
      <w:b/>
      <w:bCs/>
      <w:i/>
      <w:iCs/>
      <w:sz w:val="26"/>
      <w:szCs w:val="26"/>
      <w:lang w:val="x-none" w:eastAsia="x-none"/>
    </w:rPr>
  </w:style>
  <w:style w:type="paragraph" w:styleId="Heading6">
    <w:name w:val="Heading 6"/>
    <w:basedOn w:val="Normal"/>
    <w:next w:val="Normal"/>
    <w:link w:val="6"/>
    <w:uiPriority w:val="9"/>
    <w:semiHidden/>
    <w:unhideWhenUsed/>
    <w:qFormat/>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
    <w:name w:val="Strong"/>
    <w:qFormat/>
    <w:rPr>
      <w:b/>
      <w:bCs/>
    </w:rPr>
  </w:style>
  <w:style w:type="character" w:styleId="6" w:customStyle="1">
    <w:name w:val="Заголовок 6 Знак"/>
    <w:qFormat/>
    <w:rPr>
      <w:rFonts w:ascii="Cambria" w:hAnsi="Cambria"/>
      <w:i/>
      <w:iCs/>
      <w:color w:val="243F60"/>
      <w:lang w:val="x-none" w:eastAsia="x-none"/>
    </w:rPr>
  </w:style>
  <w:style w:type="character" w:styleId="7" w:customStyle="1">
    <w:name w:val="Заголовок 7 Знак"/>
    <w:qFormat/>
    <w:rPr>
      <w:rFonts w:ascii="Cambria" w:hAnsi="Cambria"/>
      <w:i/>
      <w:iCs/>
      <w:color w:val="404040"/>
      <w:lang w:val="x-none" w:eastAsia="x-none"/>
    </w:rPr>
  </w:style>
  <w:style w:type="character" w:styleId="8" w:customStyle="1">
    <w:name w:val="Заголовок 8 Знак"/>
    <w:qFormat/>
    <w:rPr>
      <w:rFonts w:ascii="Cambria" w:hAnsi="Cambria"/>
      <w:color w:val="4F81BD"/>
      <w:lang w:val="x-none" w:eastAsia="x-none"/>
    </w:rPr>
  </w:style>
  <w:style w:type="character" w:styleId="1" w:customStyle="1">
    <w:name w:val="Заголовок 1 Знак"/>
    <w:qFormat/>
    <w:rPr>
      <w:rFonts w:eastAsia="Calibri"/>
      <w:b/>
      <w:sz w:val="28"/>
      <w:szCs w:val="28"/>
      <w:lang w:val="x-none" w:eastAsia="x-none"/>
    </w:rPr>
  </w:style>
  <w:style w:type="character" w:styleId="2" w:customStyle="1">
    <w:name w:val="Заголовок 2 Знак"/>
    <w:uiPriority w:val="9"/>
    <w:semiHidden/>
    <w:qFormat/>
    <w:rPr>
      <w:rFonts w:eastAsia="Calibri"/>
      <w:b/>
      <w:bCs/>
      <w:sz w:val="24"/>
      <w:szCs w:val="24"/>
      <w:lang w:val="x-none" w:eastAsia="x-none"/>
    </w:rPr>
  </w:style>
  <w:style w:type="character" w:styleId="3" w:customStyle="1">
    <w:name w:val="Заголовок 3 Знак"/>
    <w:uiPriority w:val="9"/>
    <w:semiHidden/>
    <w:qFormat/>
    <w:rPr>
      <w:rFonts w:eastAsia="Calibri"/>
      <w:b/>
      <w:sz w:val="24"/>
      <w:szCs w:val="24"/>
      <w:lang w:val="x-none" w:eastAsia="x-none"/>
    </w:rPr>
  </w:style>
  <w:style w:type="character" w:styleId="4" w:customStyle="1">
    <w:name w:val="Заголовок 4 Знак"/>
    <w:qFormat/>
    <w:rPr>
      <w:rFonts w:eastAsia="Calibri"/>
      <w:b/>
      <w:bCs/>
      <w:sz w:val="24"/>
      <w:szCs w:val="24"/>
      <w:lang w:val="x-none" w:eastAsia="x-none"/>
    </w:rPr>
  </w:style>
  <w:style w:type="character" w:styleId="5" w:customStyle="1">
    <w:name w:val="Заголовок 5 Знак"/>
    <w:qFormat/>
    <w:rPr>
      <w:b/>
      <w:bCs/>
      <w:i/>
      <w:iCs/>
      <w:sz w:val="26"/>
      <w:szCs w:val="26"/>
    </w:rPr>
  </w:style>
  <w:style w:type="character" w:styleId="9" w:customStyle="1">
    <w:name w:val="Заголовок 9 Знак"/>
    <w:qFormat/>
    <w:rPr>
      <w:rFonts w:ascii="Arial" w:hAnsi="Arial" w:cs="Arial"/>
      <w:sz w:val="22"/>
      <w:szCs w:val="22"/>
    </w:rPr>
  </w:style>
  <w:style w:type="character" w:styleId="Style1" w:customStyle="1">
    <w:name w:val="Название Знак"/>
    <w:link w:val="15"/>
    <w:qFormat/>
    <w:rPr>
      <w:sz w:val="28"/>
    </w:rPr>
  </w:style>
  <w:style w:type="character" w:styleId="Style2" w:customStyle="1">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customStyle="1">
    <w:name w:val="Цитата 2 Знак"/>
    <w:link w:val="Quote"/>
    <w:qFormat/>
    <w:rPr>
      <w:rFonts w:ascii="Calibri" w:hAnsi="Calibri" w:eastAsia="Calibri"/>
      <w:i/>
      <w:iCs/>
      <w:color w:val="000000"/>
      <w:lang w:val="x-none" w:eastAsia="x-none"/>
    </w:rPr>
  </w:style>
  <w:style w:type="character" w:styleId="Style3" w:customStyle="1">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customStyle="1">
    <w:name w:val="Электронная подпись Знак"/>
    <w:link w:val="E-mailSignature"/>
    <w:qFormat/>
    <w:rPr>
      <w:rFonts w:eastAsia="Calibri"/>
      <w:sz w:val="24"/>
      <w:szCs w:val="24"/>
    </w:rPr>
  </w:style>
  <w:style w:type="character" w:styleId="11" w:customStyle="1">
    <w:name w:val="Подпункт Знак1"/>
    <w:link w:val="Style21"/>
    <w:qFormat/>
    <w:rPr>
      <w:sz w:val="28"/>
    </w:rPr>
  </w:style>
  <w:style w:type="character" w:styleId="Style5" w:customStyle="1">
    <w:name w:val="Текст сноски Знак"/>
    <w:qFormat/>
    <w:rPr/>
  </w:style>
  <w:style w:type="character" w:styleId="Style6" w:customStyle="1">
    <w:name w:val="Основной текст Знак"/>
    <w:qFormat/>
    <w:rPr>
      <w:sz w:val="28"/>
      <w:szCs w:val="28"/>
    </w:rPr>
  </w:style>
  <w:style w:type="character" w:styleId="Blk" w:customStyle="1">
    <w:name w:val="blk"/>
    <w:qFormat/>
    <w:rPr/>
  </w:style>
  <w:style w:type="character" w:styleId="Style7" w:customStyle="1">
    <w:name w:val="Абзац списка Знак"/>
    <w:link w:val="ListParagraph"/>
    <w:qFormat/>
    <w:rPr>
      <w:rFonts w:eastAsia="Calibri"/>
      <w:sz w:val="24"/>
      <w:szCs w:val="24"/>
    </w:rPr>
  </w:style>
  <w:style w:type="character" w:styleId="Style8" w:customStyle="1">
    <w:name w:val="комментарий"/>
    <w:qFormat/>
    <w:rPr>
      <w:b/>
      <w:i/>
      <w:shd w:fill="FFFF99" w:val="clear"/>
    </w:rPr>
  </w:style>
  <w:style w:type="character" w:styleId="Style9" w:customStyle="1">
    <w:name w:val="Подподпункт Знак"/>
    <w:link w:val="Style29"/>
    <w:qFormat/>
    <w:rPr>
      <w:sz w:val="26"/>
      <w:szCs w:val="26"/>
    </w:rPr>
  </w:style>
  <w:style w:type="character" w:styleId="31" w:customStyle="1">
    <w:name w:val="УРОВЕНЬ_Абзац_тип3 Знак"/>
    <w:link w:val="36"/>
    <w:qFormat/>
    <w:rPr>
      <w:rFonts w:eastAsia="Calibri"/>
      <w:sz w:val="26"/>
      <w:szCs w:val="28"/>
      <w:lang w:eastAsia="en-US"/>
    </w:rPr>
  </w:style>
  <w:style w:type="character" w:styleId="Style10" w:customStyle="1">
    <w:name w:val="Верхний колонтитул Знак"/>
    <w:qFormat/>
    <w:rPr>
      <w:sz w:val="24"/>
      <w:szCs w:val="24"/>
    </w:rPr>
  </w:style>
  <w:style w:type="character" w:styleId="Style11" w:customStyle="1">
    <w:name w:val="Текст примечания Знак"/>
    <w:link w:val="Annotationtext"/>
    <w:qFormat/>
    <w:rPr/>
  </w:style>
  <w:style w:type="character" w:styleId="Style12" w:customStyle="1">
    <w:name w:val="Текст концевой сноски Знак"/>
    <w:basedOn w:val="DefaultParagraphFont"/>
    <w:qFormat/>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Pr>
      <w:vertAlign w:val="superscript"/>
    </w:rPr>
  </w:style>
  <w:style w:type="character" w:styleId="22" w:customStyle="1">
    <w:name w:val="Пункт2 Знак"/>
    <w:link w:val="24"/>
    <w:qFormat/>
    <w:rPr>
      <w:b/>
      <w:sz w:val="28"/>
    </w:rPr>
  </w:style>
  <w:style w:type="character" w:styleId="12" w:customStyle="1">
    <w:name w:val="УРОВЕНЬ_1. Знак"/>
    <w:link w:val="19"/>
    <w:qFormat/>
    <w:rPr>
      <w:rFonts w:eastAsia="Calibri"/>
      <w:caps/>
      <w:sz w:val="28"/>
      <w:szCs w:val="28"/>
      <w:lang w:eastAsia="en-US"/>
    </w:rPr>
  </w:style>
  <w:style w:type="character" w:styleId="13" w:customStyle="1">
    <w:name w:val="Неразрешенное упоминание1"/>
    <w:basedOn w:val="DefaultParagraphFont"/>
    <w:qFormat/>
    <w:rPr>
      <w:color w:val="605E5C"/>
      <w:shd w:fill="E1DFDD" w:val="clear"/>
    </w:rPr>
  </w:style>
  <w:style w:type="character" w:styleId="32" w:customStyle="1">
    <w:name w:val="Основной текст с отступом 3 Знак"/>
    <w:link w:val="BodyTextIndent3"/>
    <w:qFormat/>
    <w:rPr>
      <w:sz w:val="16"/>
      <w:szCs w:val="16"/>
    </w:rPr>
  </w:style>
  <w:style w:type="character" w:styleId="Style14" w:customStyle="1">
    <w:name w:val="Ссылка указателя"/>
    <w:qFormat/>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uiPriority w:val="10"/>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Style17" w:customStyle="1">
    <w:name w:val="Название раздела инструкции"/>
    <w:basedOn w:val="Normal"/>
    <w:autoRedefine/>
    <w:qFormat/>
    <w:pPr>
      <w:jc w:val="center"/>
    </w:pPr>
    <w:rPr>
      <w:b/>
    </w:rPr>
  </w:style>
  <w:style w:type="paragraph" w:styleId="Style18" w:customStyle="1">
    <w:name w:val="Раздел положения"/>
    <w:basedOn w:val="Normal"/>
    <w:autoRedefine/>
    <w:qFormat/>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4" w:customStyle="1">
    <w:name w:val="Шапка 1"/>
    <w:basedOn w:val="Normal"/>
    <w:qFormat/>
    <w:pPr>
      <w:pBdr>
        <w:bottom w:val="thickThinSmallGap" w:sz="24" w:space="1" w:color="000000"/>
      </w:pBdr>
      <w:spacing w:before="0" w:after="240"/>
      <w:jc w:val="center"/>
    </w:pPr>
    <w:rPr>
      <w:sz w:val="22"/>
      <w:szCs w:val="22"/>
    </w:rPr>
  </w:style>
  <w:style w:type="paragraph" w:styleId="23" w:customStyle="1">
    <w:name w:val="Шапка 2"/>
    <w:basedOn w:val="Normal"/>
    <w:qFormat/>
    <w:pPr>
      <w:pBdr>
        <w:bottom w:val="thickThinSmallGap" w:sz="24" w:space="1" w:color="000000"/>
      </w:pBdr>
      <w:spacing w:before="0" w:after="120"/>
      <w:jc w:val="center"/>
    </w:pPr>
    <w:rPr>
      <w:b/>
      <w:sz w:val="22"/>
      <w:szCs w:val="22"/>
    </w:rPr>
  </w:style>
  <w:style w:type="paragraph" w:styleId="33" w:customStyle="1">
    <w:name w:val="Шапка 3"/>
    <w:basedOn w:val="Normal"/>
    <w:qFormat/>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qFormat/>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hanging="0" w:left="36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hanging="0" w:left="283"/>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link w:val="32"/>
    <w:qFormat/>
    <w:pPr>
      <w:spacing w:before="0" w:after="120"/>
      <w:ind w:hanging="0" w:left="283"/>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hanging="0" w:left="-567" w:right="-766"/>
      <w:jc w:val="center"/>
    </w:pPr>
    <w:rPr>
      <w:b/>
      <w:bCs/>
      <w:sz w:val="24"/>
      <w:szCs w:val="20"/>
    </w:rPr>
  </w:style>
  <w:style w:type="paragraph" w:styleId="Style21" w:customStyle="1">
    <w:name w:val="Подпункт"/>
    <w:basedOn w:val="Normal"/>
    <w:link w:val="11"/>
    <w:qFormat/>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pPr>
      <w:spacing w:before="120" w:after="0"/>
      <w:jc w:val="right"/>
    </w:pPr>
    <w:rPr>
      <w:rFonts w:cs="Calibri Light (Заголовки)"/>
      <w:b/>
      <w:bCs/>
      <w:sz w:val="24"/>
      <w:szCs w:val="24"/>
    </w:rPr>
  </w:style>
  <w:style w:type="paragraph" w:styleId="TOC3">
    <w:name w:val="TOC 3"/>
    <w:basedOn w:val="Normal"/>
    <w:next w:val="Normal"/>
    <w:autoRedefine/>
    <w:pPr>
      <w:ind w:hanging="0" w:left="280"/>
    </w:pPr>
    <w:rPr>
      <w:rFonts w:cs="Calibri"/>
      <w:sz w:val="20"/>
      <w:szCs w:val="20"/>
    </w:rPr>
  </w:style>
  <w:style w:type="paragraph" w:styleId="Style22" w:customStyle="1">
    <w:name w:val="Раздел регламента"/>
    <w:basedOn w:val="Normal"/>
    <w:qFormat/>
    <w:pPr/>
    <w:rPr/>
  </w:style>
  <w:style w:type="paragraph" w:styleId="Style23" w:customStyle="1">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6" w:customStyle="1">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hanging="0" w:left="1960"/>
    </w:pPr>
    <w:rPr>
      <w:rFonts w:ascii="Calibri" w:hAnsi="Calibri" w:cs="Calibri"/>
      <w:sz w:val="20"/>
      <w:szCs w:val="20"/>
    </w:rPr>
  </w:style>
  <w:style w:type="paragraph" w:styleId="TOC5">
    <w:name w:val="TOC 5"/>
    <w:basedOn w:val="Normal"/>
    <w:next w:val="Normal"/>
    <w:autoRedefine/>
    <w:pPr>
      <w:ind w:hanging="0" w:left="840"/>
    </w:pPr>
    <w:rPr>
      <w:rFonts w:ascii="Calibri" w:hAnsi="Calibri" w:cs="Calibri"/>
      <w:sz w:val="20"/>
      <w:szCs w:val="20"/>
    </w:rPr>
  </w:style>
  <w:style w:type="paragraph" w:styleId="TOC4">
    <w:name w:val="TOC 4"/>
    <w:basedOn w:val="Normal"/>
    <w:next w:val="Normal"/>
    <w:autoRedefine/>
    <w:pPr>
      <w:ind w:hanging="0" w:left="560"/>
    </w:pPr>
    <w:rPr>
      <w:rFonts w:cs="Calibri"/>
      <w:sz w:val="20"/>
      <w:szCs w:val="20"/>
    </w:rPr>
  </w:style>
  <w:style w:type="paragraph" w:styleId="25" w:customStyle="1">
    <w:name w:val="Раздел положения 2"/>
    <w:basedOn w:val="Normal"/>
    <w:qFormat/>
    <w:pPr>
      <w:pageBreakBefore/>
      <w:jc w:val="both"/>
      <w:outlineLvl w:val="0"/>
    </w:pPr>
    <w:rPr>
      <w:b/>
    </w:rPr>
  </w:style>
  <w:style w:type="paragraph" w:styleId="Style24" w:customStyle="1">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111" w:customStyle="1">
    <w:name w:val="caption1111"/>
    <w:basedOn w:val="Normal"/>
    <w:next w:val="Normal"/>
    <w:qFormat/>
    <w:pPr/>
    <w:rPr>
      <w:rFonts w:eastAsia="Calibri"/>
      <w:b/>
      <w:bCs/>
      <w:color w:val="4F81BD"/>
      <w:sz w:val="18"/>
      <w:szCs w:val="18"/>
    </w:rPr>
  </w:style>
  <w:style w:type="paragraph" w:styleId="Subtitle">
    <w:name w:val="Subtitle"/>
    <w:basedOn w:val="Normal"/>
    <w:next w:val="Normal"/>
    <w:link w:val="Style2"/>
    <w:uiPriority w:val="11"/>
    <w:qFormat/>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hanging="0" w:left="72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5" w:customStyle="1">
    <w:name w:val="Знак"/>
    <w:basedOn w:val="Normal"/>
    <w:qFormat/>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pPr>
      <w:numPr>
        <w:ilvl w:val="2"/>
        <w:numId w:val="2"/>
      </w:numPr>
      <w:jc w:val="both"/>
    </w:pPr>
    <w:rPr>
      <w:rFonts w:ascii="Garamond" w:hAnsi="Garamond"/>
      <w:sz w:val="24"/>
      <w:szCs w:val="20"/>
    </w:rPr>
  </w:style>
  <w:style w:type="paragraph" w:styleId="ListBullet4">
    <w:name w:val="List Bullet 4"/>
    <w:basedOn w:val="Normal"/>
    <w:qFormat/>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7" w:customStyle="1">
    <w:name w:val="Абзац списка1"/>
    <w:basedOn w:val="Normal"/>
    <w:qFormat/>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pPr>
      <w:keepNext w:val="true"/>
      <w:spacing w:before="40" w:after="40"/>
      <w:ind w:hanging="0" w:left="57" w:right="57"/>
    </w:pPr>
    <w:rPr>
      <w:sz w:val="22"/>
      <w:szCs w:val="26"/>
    </w:rPr>
  </w:style>
  <w:style w:type="paragraph" w:styleId="Style29" w:customStyle="1">
    <w:name w:val="Подподпункт"/>
    <w:basedOn w:val="Style21"/>
    <w:link w:val="Style9"/>
    <w:qFormat/>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customStyle="1">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pPr>
      <w:spacing w:before="40" w:after="40"/>
      <w:ind w:hanging="0" w:left="57" w:right="57"/>
    </w:pPr>
    <w:rPr>
      <w:sz w:val="24"/>
      <w:szCs w:val="26"/>
    </w:rPr>
  </w:style>
  <w:style w:type="paragraph" w:styleId="NormalWeb">
    <w:name w:val="Normal (Web)"/>
    <w:basedOn w:val="Normal"/>
    <w:qFormat/>
    <w:pPr>
      <w:spacing w:before="280" w:after="280"/>
    </w:pPr>
    <w:rPr>
      <w:sz w:val="24"/>
      <w:szCs w:val="24"/>
    </w:rPr>
  </w:style>
  <w:style w:type="paragraph" w:styleId="19" w:customStyle="1">
    <w:name w:val="УРОВЕНЬ_1."/>
    <w:basedOn w:val="ListParagraph"/>
    <w:link w:val="12"/>
    <w:qFormat/>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pPr>
      <w:ind w:hanging="0" w:left="1120"/>
    </w:pPr>
    <w:rPr>
      <w:rFonts w:ascii="Calibri" w:hAnsi="Calibri" w:cs="Calibri"/>
      <w:sz w:val="20"/>
      <w:szCs w:val="20"/>
    </w:rPr>
  </w:style>
  <w:style w:type="paragraph" w:styleId="TOC7">
    <w:name w:val="TOC 7"/>
    <w:basedOn w:val="Normal"/>
    <w:next w:val="Normal"/>
    <w:autoRedefine/>
    <w:pPr>
      <w:ind w:hanging="0" w:left="1400"/>
    </w:pPr>
    <w:rPr>
      <w:rFonts w:ascii="Calibri" w:hAnsi="Calibri" w:cs="Calibri"/>
      <w:sz w:val="20"/>
      <w:szCs w:val="20"/>
    </w:rPr>
  </w:style>
  <w:style w:type="paragraph" w:styleId="TOC8">
    <w:name w:val="TOC 8"/>
    <w:basedOn w:val="Normal"/>
    <w:next w:val="Normal"/>
    <w:autoRedefine/>
    <w:pPr>
      <w:ind w:hanging="0" w:left="1680"/>
    </w:pPr>
    <w:rPr>
      <w:rFonts w:ascii="Calibri" w:hAnsi="Calibri" w:cs="Calibri"/>
      <w:sz w:val="20"/>
      <w:szCs w:val="20"/>
    </w:rPr>
  </w:style>
  <w:style w:type="paragraph" w:styleId="Style33" w:customStyle="1">
    <w:name w:val="Содержимое врезки"/>
    <w:basedOn w:val="Normal"/>
    <w:qFormat/>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0" w:customStyle="1">
    <w:name w:val="Стиль1"/>
    <w:qFormat/>
  </w:style>
  <w:style w:type="numbering" w:styleId="29" w:customStyle="1">
    <w:name w:val="Стиль2"/>
    <w:qFormat/>
  </w:style>
  <w:style w:type="table" w:default="1" w:styleId="a5">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Application>AlterOffice/2026.2.0.0$Linux_X86_64 LibreOffice_project/bc4ef1adf80b36c7a6365f8ed6cbf29021361edd</Application>
  <AppVersion>15.0000</AppVersion>
  <Pages>6</Pages>
  <Words>812</Words>
  <Characters>5446</Characters>
  <CharactersWithSpaces>6143</CharactersWithSpaces>
  <Paragraphs>148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2025-01-21T11:46:00Z</dcterms:created>
  <dc:creator>Быстров Олег Геннадьевич</dc:creator>
  <dc:description/>
  <dc:language>ru-RU</dc:language>
  <cp:lastModifiedBy>korolevkv@corp.gidroogk.com</cp:lastModifiedBy>
  <cp:lastPrinted>2024-06-07T15:14:00Z</cp:lastPrinted>
  <dcterms:modified xsi:type="dcterms:W3CDTF">2026-10-19T13:29:48Z</dcterms:modified>
  <cp:revision>33</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