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header9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i w:val="false"/>
          <w:caps w:val="false"/>
          <w:smallCaps w:val="false"/>
          <w:color w:val="272727"/>
          <w:spacing w:val="0"/>
          <w:sz w:val="28"/>
          <w:szCs w:val="28"/>
        </w:rPr>
        <w:t>Код ОКПД-2 27.11.43</w:t>
      </w:r>
      <w:r>
        <w:rPr>
          <w:rFonts w:eastAsia="Calibri"/>
          <w:b/>
          <w:sz w:val="26"/>
          <w:szCs w:val="26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b/>
          <w:i/>
        </w:rPr>
        <w:t>Поставка силового повышающего трансформатора для аварийного запаса Рыбинской ГЭС филиала ПАО «РусГидро»-«Каскад Верхневолжских ГЭС».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left"/>
        <w:rPr/>
      </w:pPr>
      <w:r>
        <w:rPr>
          <w:b/>
          <w:bCs/>
          <w:sz w:val="26"/>
          <w:szCs w:val="26"/>
        </w:rPr>
        <w:t xml:space="preserve">                                             </w:t>
      </w:r>
      <w:r>
        <w:rPr>
          <w:b/>
          <w:bCs/>
          <w:sz w:val="26"/>
          <w:szCs w:val="26"/>
        </w:rPr>
        <w:t>Лот №</w:t>
      </w:r>
    </w:p>
    <w:p>
      <w:pPr>
        <w:pStyle w:val="Heading1"/>
        <w:ind w:hanging="0" w:left="1224"/>
        <w:jc w:val="center"/>
        <w:rPr>
          <w:rFonts w:ascii="Times New Roman" w:hAnsi="Times New Roman"/>
          <w:b/>
          <w:bCs/>
          <w:i w:val="false"/>
          <w:i w:val="false"/>
          <w:caps w:val="false"/>
          <w:smallCaps w:val="false"/>
          <w:color w:val="272727"/>
          <w:spacing w:val="0"/>
          <w:sz w:val="28"/>
          <w:szCs w:val="28"/>
        </w:rPr>
      </w:pPr>
      <w:r>
        <w:rPr>
          <w:b/>
          <w:bCs/>
          <w:i w:val="false"/>
          <w:caps w:val="false"/>
          <w:smallCaps w:val="false"/>
          <w:color w:val="272727"/>
          <w:spacing w:val="0"/>
          <w:sz w:val="28"/>
          <w:szCs w:val="28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  <w:id w:val="1240212564"/>
      </w:sdtPr>
      <w:sdtContent>
        <w:p>
          <w:pPr>
            <w:pStyle w:val="TOCHeading"/>
            <w:ind w:hanging="0" w:left="0"/>
            <w:rPr/>
          </w:pPr>
          <w:r>
            <w:rPr/>
          </w:r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83831_813872284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833_813872284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835_813872284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837_813872284">
            <w:r>
              <w:rPr>
                <w:webHidden/>
                <w:rStyle w:val="Style14"/>
                <w:vanish w:val="false"/>
              </w:rPr>
              <w:t>1.3.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839_813872284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841_813872284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83843_813872284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845_813872284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83847_813872284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849_813872284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851_813872284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853_813872284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855_813872284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</w:r>
          </w:hyperlink>
          <w:r>
            <w:rPr>
              <w:vanish w:val="false"/>
            </w:rPr>
            <w:t>25</w:t>
          </w:r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859_813872284">
            <w:r>
              <w:rPr>
                <w:webHidden/>
                <w:rStyle w:val="Style14"/>
                <w:vanish w:val="false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</w:r>
          </w:hyperlink>
          <w:r>
            <w:rPr/>
            <w:t>26</w:t>
          </w:r>
          <w:r>
            <w:rPr/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widowControl/>
        <w:suppressAutoHyphens w:val="true"/>
        <w:bidi w:val="0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6" w:name="_Toc51339692"/>
      <w:bookmarkStart w:id="7" w:name="_Toc160529678"/>
      <w:r>
        <w:rPr>
          <w:lang w:val="ru-RU"/>
        </w:rPr>
        <w:t>Общие сведения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46743505"/>
      <w:r>
        <w:rPr/>
        <w:t>Обозначения и сокращения</w:t>
      </w:r>
      <w:bookmarkEnd w:id="8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Рыбинская ГЭС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ПБВ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Переключение без возбуждения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9" w:name="_Toc46743506"/>
      <w:r>
        <w:rPr/>
        <w:t>Наименование закупаемой продукции</w:t>
      </w:r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Поставка трехфазного трансформатора мощностью 80000кВА  для аварийного запаса филиала ПАО «РусГидро»-«Каскад Верхневолжских ГЭС».</w:t>
      </w:r>
    </w:p>
    <w:p>
      <w:pPr>
        <w:pStyle w:val="Heading4"/>
        <w:numPr>
          <w:ilvl w:val="1"/>
          <w:numId w:val="3"/>
        </w:numPr>
        <w:rPr/>
      </w:pPr>
      <w:bookmarkStart w:id="10" w:name="__RefHeading___Toc83837_813872284"/>
      <w:bookmarkEnd w:id="10"/>
      <w:r>
        <w:rPr/>
        <w:t>Существующее положение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/>
          <w:sz w:val="24"/>
          <w:szCs w:val="24"/>
          <w:shd w:fill="auto" w:val="clear"/>
          <w:lang w:eastAsia="x-none"/>
        </w:rPr>
        <w:tab/>
        <w:t>На Рыбинской ГЭС филиала ПАО «РусГидро» - «Каскад Верхневолжских ГЭС» установлены 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/>
          <w:sz w:val="24"/>
          <w:szCs w:val="24"/>
          <w:shd w:fill="auto" w:val="clear"/>
          <w:lang w:eastAsia="x-none"/>
        </w:rPr>
        <w:t xml:space="preserve">- Трансформатор трехфазный силовой, тип </w:t>
      </w:r>
      <w:r>
        <w:rPr>
          <w:rStyle w:val="Style8"/>
          <w:rFonts w:eastAsia="Calibri"/>
          <w:b w:val="false"/>
          <w:bCs w:val="false"/>
          <w:i/>
          <w:iCs/>
          <w:sz w:val="24"/>
          <w:szCs w:val="24"/>
          <w:shd w:fill="auto" w:val="clear"/>
          <w:lang w:eastAsia="x-none"/>
        </w:rPr>
        <w:t xml:space="preserve"> ТД-80000кВА  УХЛ4 в количестве 6 штук;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/>
          <w:iCs/>
          <w:sz w:val="24"/>
          <w:szCs w:val="24"/>
          <w:shd w:fill="auto" w:val="clear"/>
          <w:lang w:eastAsia="x-none"/>
        </w:rPr>
        <w:tab/>
        <w:t>На Угличской ГЭС филиала ПАО «РусГидро» - «Каскад Верхневолжских ГЭС» установлены 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/>
          <w:sz w:val="24"/>
          <w:szCs w:val="24"/>
          <w:shd w:fill="auto" w:val="clear"/>
          <w:lang w:eastAsia="x-none"/>
        </w:rPr>
        <w:t xml:space="preserve">- Трансформатор трехфазный силовой, тип </w:t>
      </w:r>
      <w:r>
        <w:rPr>
          <w:rStyle w:val="Style8"/>
          <w:rFonts w:eastAsia="Calibri"/>
          <w:b w:val="false"/>
          <w:bCs w:val="false"/>
          <w:i/>
          <w:iCs/>
          <w:sz w:val="24"/>
          <w:szCs w:val="24"/>
          <w:shd w:fill="auto" w:val="clear"/>
          <w:lang w:eastAsia="x-none"/>
        </w:rPr>
        <w:t xml:space="preserve"> ТД-80000кВА  УХЛ4 в количестве 2 штук;</w:t>
      </w:r>
    </w:p>
    <w:p>
      <w:pPr>
        <w:pStyle w:val="Normal"/>
        <w:jc w:val="both"/>
        <w:rPr/>
      </w:pPr>
      <w:r>
        <w:rPr>
          <w:rStyle w:val="Style8"/>
          <w:rFonts w:eastAsia="Calibri"/>
          <w:b w:val="false"/>
          <w:bCs/>
          <w:sz w:val="24"/>
          <w:szCs w:val="24"/>
          <w:shd w:fill="auto" w:val="clear"/>
          <w:lang w:eastAsia="x-none"/>
        </w:rPr>
        <w:tab/>
        <w:t xml:space="preserve">С целью исполнения требований по обеспечению надежной эксплуатации энергообъекта в соответствии с требованиями п.30  Правил технической эксплуатации электрических станций и сетей Российской Федерации (приложение №1 приказа Минэнерго России от 04.10.2022 N 1070 с изменениями), необходимо приобрести в аварийный запас один трехфазный силовой трансформатор, совместимый с установленными трехфазными трансформаторами </w:t>
      </w:r>
      <w:r>
        <w:rPr>
          <w:rStyle w:val="Style8"/>
          <w:rFonts w:eastAsia="Calibri"/>
          <w:b w:val="false"/>
          <w:bCs w:val="false"/>
          <w:i/>
          <w:iCs/>
          <w:sz w:val="24"/>
          <w:szCs w:val="24"/>
          <w:shd w:fill="auto" w:val="clear"/>
          <w:lang w:eastAsia="x-none"/>
        </w:rPr>
        <w:t>ТД-80000кВА  УХЛ4</w:t>
      </w:r>
      <w:r>
        <w:rPr>
          <w:rStyle w:val="Style8"/>
          <w:rFonts w:eastAsia="Calibri"/>
          <w:b w:val="false"/>
          <w:bCs/>
          <w:sz w:val="24"/>
          <w:szCs w:val="24"/>
          <w:shd w:fill="auto" w:val="clear"/>
          <w:lang w:eastAsia="x-none"/>
        </w:rPr>
        <w:t xml:space="preserve"> и имеющий </w:t>
      </w:r>
      <w:r>
        <w:rPr>
          <w:rStyle w:val="Style8"/>
          <w:rFonts w:eastAsia="Calibri"/>
          <w:b/>
          <w:bCs/>
          <w:sz w:val="24"/>
          <w:szCs w:val="24"/>
          <w:shd w:fill="auto" w:val="clear"/>
          <w:lang w:eastAsia="x-none"/>
        </w:rPr>
        <w:t>аналогичные</w:t>
      </w:r>
      <w:r>
        <w:rPr>
          <w:rStyle w:val="Style8"/>
          <w:rFonts w:eastAsia="Calibri"/>
          <w:b w:val="false"/>
          <w:bCs/>
          <w:sz w:val="24"/>
          <w:szCs w:val="24"/>
          <w:shd w:fill="auto" w:val="clear"/>
          <w:lang w:eastAsia="x-none"/>
        </w:rPr>
        <w:t xml:space="preserve"> параметры.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1" w:name="_Toc51339693"/>
      <w:bookmarkStart w:id="12" w:name="_Toc160529679"/>
      <w:r>
        <w:rPr>
          <w:iCs/>
        </w:rPr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rPr/>
      </w:pPr>
      <w:bookmarkStart w:id="13" w:name="_Toc160529680"/>
      <w:r>
        <w:rPr>
          <w:lang w:val="ru-RU"/>
        </w:rPr>
        <w:t>Перечень и объем закупаемой продукции</w:t>
      </w:r>
      <w:bookmarkEnd w:id="1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4" w:name="_Toc160529681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73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25"/>
        <w:gridCol w:w="6137"/>
        <w:gridCol w:w="1425"/>
        <w:gridCol w:w="1250"/>
      </w:tblGrid>
      <w:tr>
        <w:trPr/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ind w:hanging="0" w:left="-113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Трансформатор 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>трехфазный 80000кВА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6" w:name="_Toc160529682"/>
      <w:bookmarkStart w:id="17" w:name="_Toc51339696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>к срокам поставки продукции и оказания сопутствующих услуг</w:t>
      </w:r>
      <w:bookmarkEnd w:id="16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8" w:name="_Toc160529683"/>
      <w:bookmarkStart w:id="19" w:name="_Toc50125127"/>
      <w:bookmarkStart w:id="20" w:name="_Toc51339697"/>
      <w:bookmarkStart w:id="21" w:name="_Toc50125126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3" w:name="_Toc46743510"/>
            <w:r>
              <w:rPr>
                <w:b/>
                <w:sz w:val="24"/>
                <w:szCs w:val="24"/>
              </w:rPr>
              <w:t>4</w:t>
            </w:r>
            <w:bookmarkEnd w:id="23"/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Трансформатор 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>трехфазный 80000кВА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9 месяцев с даты заключения договорам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type w:val="nextPage"/>
          <w:pgSz w:w="11906" w:h="16838"/>
          <w:pgMar w:left="1134" w:right="851" w:gutter="0" w:header="680" w:top="737" w:footer="992" w:bottom="1597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4" w:name="_Toc51339698"/>
      <w:bookmarkStart w:id="25" w:name="_Toc46743511"/>
      <w:r>
        <w:rPr/>
        <w:t xml:space="preserve">Требования к </w:t>
      </w:r>
      <w:bookmarkEnd w:id="25"/>
      <w:r>
        <w:rPr>
          <w:lang w:val="ru-RU"/>
        </w:rPr>
        <w:t>качеству продукции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6" w:name="_Toc160529684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6"/>
      <w:r>
        <w:rPr>
          <w:sz w:val="24"/>
          <w:szCs w:val="24"/>
        </w:rPr>
        <w:t xml:space="preserve"> </w:t>
      </w:r>
      <w:bookmarkEnd w:id="24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 Таблицы 1.1): Трансформатор  силовой трехфазный</w:t>
      </w:r>
      <w:r>
        <w:rPr>
          <w:rFonts w:eastAsia="Calibri"/>
          <w:b/>
          <w:bCs/>
          <w:i/>
          <w:iCs/>
          <w:sz w:val="24"/>
          <w:szCs w:val="24"/>
          <w:lang w:eastAsia="x-none"/>
        </w:rPr>
        <w:t>.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fff5"/>
        <w:tblW w:w="153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7"/>
        <w:gridCol w:w="1"/>
        <w:gridCol w:w="2606"/>
        <w:gridCol w:w="43"/>
        <w:gridCol w:w="14"/>
        <w:gridCol w:w="2552"/>
        <w:gridCol w:w="2622"/>
        <w:gridCol w:w="1"/>
        <w:gridCol w:w="3335"/>
        <w:gridCol w:w="3352"/>
        <w:gridCol w:w="1"/>
      </w:tblGrid>
      <w:tr>
        <w:trPr/>
        <w:tc>
          <w:tcPr>
            <w:tcW w:w="84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650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6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9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3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50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33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49" w:hRule="atLeast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65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33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510" w:left="397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21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2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850" w:left="737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2650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трансформатора</w:t>
            </w:r>
          </w:p>
        </w:tc>
        <w:tc>
          <w:tcPr>
            <w:tcW w:w="256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ТД</w:t>
            </w:r>
          </w:p>
        </w:tc>
        <w:tc>
          <w:tcPr>
            <w:tcW w:w="26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</w:t>
            </w:r>
          </w:p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Номинальная мощность трансформатора, кВА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80000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2650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ВН,</w:t>
            </w:r>
            <w:r>
              <w:rPr>
                <w:rFonts w:eastAsia="Times New Roman" w:cs="Times New Roman"/>
                <w:spacing w:val="-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256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6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2650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ВН,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256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254.1</w:t>
            </w:r>
          </w:p>
        </w:tc>
        <w:tc>
          <w:tcPr>
            <w:tcW w:w="26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1.5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НН,</w:t>
            </w:r>
            <w:r>
              <w:rPr>
                <w:rFonts w:eastAsia="Times New Roman" w:cs="Times New Roman"/>
                <w:spacing w:val="-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en-US" w:eastAsia="ru-RU" w:bidi="ar-SA"/>
              </w:rPr>
              <w:t>13,8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1.6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Схема и группа соединения обмоток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hanging="0" w:left="713" w:right="0"/>
              <w:jc w:val="left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  <w:lang w:val="en-US"/>
              </w:rPr>
              <w:t xml:space="preserve">Yh/A </w:t>
            </w:r>
            <w:r>
              <w:rPr>
                <w:sz w:val="24"/>
                <w:szCs w:val="24"/>
              </w:rPr>
              <w:t>- 11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1.7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7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Напряжение   короткого   замыка</w:t>
            </w:r>
            <w:r>
              <w:rPr>
                <w:sz w:val="24"/>
                <w:szCs w:val="24"/>
              </w:rPr>
              <w:t>ния не более чем %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</w:t>
            </w:r>
            <w:r>
              <w:rPr>
                <w:spacing w:val="-3"/>
                <w:sz w:val="24"/>
                <w:szCs w:val="24"/>
              </w:rPr>
              <w:t>ГОСТ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 52719-2007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1.8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Ток холостого хода, не более, </w:t>
            </w:r>
            <w:r>
              <w:rPr>
                <w:i/>
                <w:iCs/>
                <w:spacing w:val="-2"/>
                <w:sz w:val="24"/>
                <w:szCs w:val="24"/>
              </w:rPr>
              <w:t>%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</w:t>
            </w:r>
            <w:r>
              <w:rPr>
                <w:spacing w:val="-3"/>
                <w:sz w:val="24"/>
                <w:szCs w:val="24"/>
              </w:rPr>
              <w:t>ГОСТ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 52719-2007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1.9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Допустимая кратность тока К.З.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2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</w:t>
            </w:r>
            <w:r>
              <w:rPr>
                <w:spacing w:val="-3"/>
                <w:sz w:val="24"/>
                <w:szCs w:val="24"/>
              </w:rPr>
              <w:t>ГОСТ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 52719-2007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1.10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33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Допустимая длительность тока </w:t>
            </w:r>
            <w:r>
              <w:rPr>
                <w:sz w:val="24"/>
                <w:szCs w:val="24"/>
              </w:rPr>
              <w:t>К.З.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2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</w:t>
            </w:r>
            <w:r>
              <w:rPr>
                <w:spacing w:val="-3"/>
                <w:sz w:val="24"/>
                <w:szCs w:val="24"/>
              </w:rPr>
              <w:t>ГОСТ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 52719-2007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1.11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2" w:right="94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Потери холостого хода, не более, </w:t>
            </w:r>
            <w:r>
              <w:rPr>
                <w:sz w:val="24"/>
                <w:szCs w:val="24"/>
              </w:rPr>
              <w:t>(кВт)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2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</w:t>
            </w:r>
            <w:r>
              <w:rPr>
                <w:spacing w:val="-3"/>
                <w:sz w:val="24"/>
                <w:szCs w:val="24"/>
              </w:rPr>
              <w:t>ГОСТ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 52719-2007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1.12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66"/>
              <w:ind w:hanging="0" w:right="15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Потери короткого замыкания, не </w:t>
            </w:r>
            <w:r>
              <w:rPr>
                <w:sz w:val="24"/>
                <w:szCs w:val="24"/>
              </w:rPr>
              <w:t>более, (кВт)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2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</w:t>
            </w:r>
            <w:r>
              <w:rPr>
                <w:spacing w:val="-3"/>
                <w:sz w:val="24"/>
                <w:szCs w:val="24"/>
              </w:rPr>
              <w:t>ГОСТ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 52719-2007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1.13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применяемой электротехнической стали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58" w:left="36" w:right="36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Указать марку приме</w:t>
            </w:r>
            <w:r>
              <w:rPr>
                <w:spacing w:val="-3"/>
                <w:sz w:val="24"/>
                <w:szCs w:val="24"/>
              </w:rPr>
              <w:t xml:space="preserve">няемой при изготовлении тр-ров стали с указанием производителя, </w:t>
            </w:r>
            <w:r>
              <w:rPr>
                <w:spacing w:val="-1"/>
                <w:sz w:val="24"/>
                <w:szCs w:val="24"/>
              </w:rPr>
              <w:t>страны, удельных по</w:t>
            </w:r>
            <w:r>
              <w:rPr>
                <w:sz w:val="24"/>
                <w:szCs w:val="24"/>
              </w:rPr>
              <w:t xml:space="preserve">терь при 1,7Т/50 Гц </w:t>
            </w:r>
            <w:r>
              <w:rPr>
                <w:spacing w:val="-1"/>
                <w:sz w:val="24"/>
                <w:szCs w:val="24"/>
              </w:rPr>
              <w:t>(Вт/кг), класса обра</w:t>
            </w:r>
            <w:r>
              <w:rPr>
                <w:sz w:val="24"/>
                <w:szCs w:val="24"/>
              </w:rPr>
              <w:t>ботки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1.14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Магнитная система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left="36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Изготовленная по схеме    </w:t>
            </w:r>
            <w:r>
              <w:rPr>
                <w:sz w:val="24"/>
                <w:szCs w:val="24"/>
                <w:lang w:val="en-US"/>
              </w:rPr>
              <w:t>step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lap</w:t>
            </w:r>
            <w:r>
              <w:rPr>
                <w:sz w:val="24"/>
                <w:szCs w:val="24"/>
              </w:rPr>
              <w:t xml:space="preserve">    (косыми стыками     в     схемах шихтовки)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1.15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сердечника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65" w:right="72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Из аморфных сплавов. Указать марку сплава.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1.16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Гц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1.17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Исполнение трансформатора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Трехфазный.</w:t>
            </w:r>
            <w:r>
              <w:rPr>
                <w:spacing w:val="-1"/>
                <w:sz w:val="24"/>
                <w:szCs w:val="24"/>
              </w:rPr>
              <w:t xml:space="preserve"> Вывод отводов НН должен производиться с помощью трех вво</w:t>
            </w:r>
            <w:r>
              <w:rPr>
                <w:sz w:val="24"/>
                <w:szCs w:val="24"/>
              </w:rPr>
              <w:t>дов (соединение обмоток НН в треуголь</w:t>
            </w:r>
            <w:r>
              <w:rPr>
                <w:spacing w:val="-2"/>
                <w:sz w:val="24"/>
                <w:szCs w:val="24"/>
              </w:rPr>
              <w:t>ник внутри бака тр-ра.)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1.18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Нейтральный вывод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81"/>
              <w:ind w:hanging="0" w:left="65" w:right="9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Выведенный. Режим работы нейтрали трансформатора глухоза</w:t>
            </w:r>
            <w:r>
              <w:rPr>
                <w:sz w:val="24"/>
                <w:szCs w:val="24"/>
              </w:rPr>
              <w:t>земленный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1.19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Регулирование   напряжения   без возбуждения (ПБВ), %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hanging="0" w:left="778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±2*2,5%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1.20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Высоковольтные вводы 220 кВ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81"/>
              <w:ind w:hanging="0" w:right="1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Герметичный с твердой </w:t>
            </w:r>
            <w:r>
              <w:rPr>
                <w:sz w:val="24"/>
                <w:szCs w:val="24"/>
                <w:lang w:val="en-US"/>
              </w:rPr>
              <w:t>RIP</w:t>
            </w:r>
            <w:r>
              <w:rPr>
                <w:sz w:val="24"/>
                <w:szCs w:val="24"/>
              </w:rPr>
              <w:t>-изоляцией, с Пин-Выводом и безмасляным температурным расширителем, ввода производства ООО "Масса" - завод МосИзолятор" не предлагать и не устанавливать.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1.21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системы охлаждения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29" w:right="4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Система охлаждения Д (дутьевое)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1.22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Компоновка охладителей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hanging="0" w:left="727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Навесные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1.23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08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Выносной щит управления сис</w:t>
            </w:r>
            <w:r>
              <w:rPr>
                <w:spacing w:val="-3"/>
                <w:sz w:val="24"/>
                <w:szCs w:val="24"/>
              </w:rPr>
              <w:t xml:space="preserve">темой охлаждения с автоматикой </w:t>
            </w:r>
            <w:r>
              <w:rPr>
                <w:spacing w:val="-1"/>
                <w:sz w:val="24"/>
                <w:szCs w:val="24"/>
              </w:rPr>
              <w:t>пуска-останова эл/двигателей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08"/>
              <w:jc w:val="left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08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Напряжение электродвигателей </w:t>
            </w:r>
            <w:r>
              <w:rPr>
                <w:sz w:val="24"/>
                <w:szCs w:val="24"/>
              </w:rPr>
              <w:t>системы охлаждения, (В)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58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Наружная установка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firstLine="828" w:left="58" w:righ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IP</w:t>
            </w:r>
            <w:r>
              <w:rPr>
                <w:sz w:val="24"/>
                <w:szCs w:val="24"/>
              </w:rPr>
              <w:t>54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58" w:right="5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Два ввода питания с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58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АВР</w:t>
            </w:r>
          </w:p>
          <w:p>
            <w:pPr>
              <w:pStyle w:val="Normal"/>
              <w:widowControl w:val="false"/>
              <w:shd w:val="clear" w:fill="FFFFFF"/>
              <w:ind w:hanging="0" w:left="58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58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~380</w:t>
            </w:r>
          </w:p>
          <w:p>
            <w:pPr>
              <w:pStyle w:val="Normal"/>
              <w:widowControl w:val="false"/>
              <w:shd w:val="clear" w:fill="FFFFFF"/>
              <w:ind w:hanging="0" w:left="58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58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1.24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08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Мощность, потребляемая систе</w:t>
            </w:r>
            <w:r>
              <w:rPr>
                <w:sz w:val="24"/>
                <w:szCs w:val="24"/>
              </w:rPr>
              <w:t>мой охлаждения, (кВт)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Пуск двигателей обдува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66"/>
              <w:ind w:firstLine="50" w:left="58" w:righ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величину</w:t>
            </w:r>
          </w:p>
          <w:p>
            <w:pPr>
              <w:pStyle w:val="Normal"/>
              <w:widowControl w:val="false"/>
              <w:shd w:val="clear" w:fill="FFFFFF"/>
              <w:spacing w:lineRule="exact" w:line="266"/>
              <w:ind w:firstLine="50" w:left="58" w:righ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66"/>
              <w:ind w:firstLine="50" w:left="58" w:right="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или объединенный в груп</w:t>
            </w:r>
            <w:r>
              <w:rPr>
                <w:spacing w:val="-1"/>
                <w:sz w:val="24"/>
                <w:szCs w:val="24"/>
              </w:rPr>
              <w:t>пы (не менее трех)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1.25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302"/>
              <w:ind w:hanging="0" w:right="28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Напряжение оперативного тока </w:t>
            </w:r>
            <w:r>
              <w:rPr>
                <w:sz w:val="24"/>
                <w:szCs w:val="24"/>
              </w:rPr>
              <w:t>(В)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hanging="0" w:left="986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=220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340" w:hRule="atLeast"/>
        </w:trPr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1.26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Допустимый   рабочий   диапазон температур  окружающей  среды, </w:t>
            </w:r>
            <w:r>
              <w:rPr>
                <w:b/>
                <w:bCs/>
                <w:w w:val="82"/>
                <w:sz w:val="24"/>
                <w:szCs w:val="24"/>
              </w:rPr>
              <w:t>°с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hanging="0" w:left="85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+40/-45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670" w:hRule="atLeast"/>
        </w:trPr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1.27</w:t>
            </w:r>
          </w:p>
        </w:tc>
        <w:tc>
          <w:tcPr>
            <w:tcW w:w="5216" w:type="dxa"/>
            <w:gridSpan w:val="5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66"/>
              <w:ind w:hanging="0" w:right="115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Количество и коэффициенты </w:t>
            </w:r>
            <w:r>
              <w:rPr>
                <w:b/>
                <w:bCs/>
                <w:spacing w:val="-3"/>
                <w:sz w:val="24"/>
                <w:szCs w:val="24"/>
              </w:rPr>
              <w:t>встроенных трансформаторов то</w:t>
            </w:r>
            <w:r>
              <w:rPr>
                <w:b/>
                <w:bCs/>
                <w:sz w:val="24"/>
                <w:szCs w:val="24"/>
              </w:rPr>
              <w:t>ка:</w:t>
            </w:r>
          </w:p>
        </w:tc>
        <w:tc>
          <w:tcPr>
            <w:tcW w:w="2622" w:type="dxa"/>
            <w:vMerge w:val="restart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847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1.27.1</w:t>
            </w:r>
          </w:p>
        </w:tc>
        <w:tc>
          <w:tcPr>
            <w:tcW w:w="2650" w:type="dxa"/>
            <w:gridSpan w:val="3"/>
            <w:vMerge w:val="restart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линейные ввода ВН (фазы «А», «В» и «С»):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трансформатор тока 1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1"/>
                <w:sz w:val="24"/>
                <w:szCs w:val="24"/>
              </w:rPr>
              <w:t>коэффициент трансформации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класс точности;</w:t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firstLine="7" w:right="144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номинальная вторичная нагруз</w:t>
            </w:r>
            <w:r>
              <w:rPr>
                <w:sz w:val="24"/>
                <w:szCs w:val="24"/>
              </w:rPr>
              <w:t>ка, ВА;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52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номинальная предельная крат</w:t>
            </w:r>
            <w:r>
              <w:rPr>
                <w:sz w:val="24"/>
                <w:szCs w:val="24"/>
              </w:rPr>
              <w:t>ность.</w:t>
            </w:r>
          </w:p>
        </w:tc>
        <w:tc>
          <w:tcPr>
            <w:tcW w:w="2566" w:type="dxa"/>
            <w:gridSpan w:val="2"/>
            <w:vMerge w:val="restart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В соответствии с  ГОСТ </w:t>
            </w:r>
            <w:r>
              <w:rPr>
                <w:sz w:val="24"/>
                <w:szCs w:val="24"/>
              </w:rPr>
              <w:t>7746-2015</w:t>
            </w:r>
          </w:p>
          <w:p>
            <w:pPr>
              <w:pStyle w:val="Normal"/>
              <w:widowControl w:val="false"/>
              <w:shd w:val="clear" w:fill="FFFFFF"/>
              <w:spacing w:lineRule="exact" w:line="288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8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8"/>
              <w:ind w:hanging="0"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300-600</w:t>
            </w:r>
            <w:r>
              <w:rPr>
                <w:sz w:val="24"/>
                <w:szCs w:val="24"/>
              </w:rPr>
              <w:t>/5</w:t>
            </w:r>
          </w:p>
          <w:p>
            <w:pPr>
              <w:pStyle w:val="Normal"/>
              <w:widowControl w:val="false"/>
              <w:shd w:val="clear" w:fill="FFFFFF"/>
              <w:spacing w:lineRule="exact" w:line="288"/>
              <w:ind w:hanging="0" w:righ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10Р</w:t>
            </w:r>
          </w:p>
          <w:p>
            <w:pPr>
              <w:pStyle w:val="Normal"/>
              <w:widowControl w:val="false"/>
              <w:shd w:val="clear" w:fill="FFFFFF"/>
              <w:snapToGrid w:val="false"/>
              <w:ind w:hanging="0" w:left="1116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1116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>
            <w:pPr>
              <w:pStyle w:val="Normal"/>
              <w:widowControl w:val="false"/>
              <w:shd w:val="clear" w:fill="FFFFFF"/>
              <w:snapToGrid w:val="false"/>
              <w:ind w:hanging="0" w:left="1109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1109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restart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vMerge w:val="restart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3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restart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5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5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5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362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8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5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5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5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5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50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81"/>
              <w:ind w:firstLine="7" w:right="14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hanging="0" w:left="1109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127" w:hRule="atLeast"/>
        </w:trPr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5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ind w:hanging="0" w:left="1109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36" w:type="dxa"/>
            <w:gridSpan w:val="2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1.27.2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трансформатор тока 2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коэффициент трансформации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  <w:tab/>
              <w:t>класс точности;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81" w:before="0" w:after="0"/>
              <w:ind w:hanging="1020" w:left="1587" w:right="2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300-600</w:t>
            </w:r>
            <w:r>
              <w:rPr>
                <w:sz w:val="24"/>
                <w:szCs w:val="24"/>
              </w:rPr>
              <w:t>/5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81" w:before="0" w:after="0"/>
              <w:ind w:hanging="1020" w:left="1587" w:right="2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10Р</w:t>
            </w:r>
          </w:p>
        </w:tc>
        <w:tc>
          <w:tcPr>
            <w:tcW w:w="2622" w:type="dxa"/>
            <w:vMerge w:val="restart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81"/>
              <w:ind w:firstLine="7" w:right="144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номинальная вторичная нагрузк</w:t>
            </w:r>
            <w:r>
              <w:rPr>
                <w:sz w:val="24"/>
                <w:szCs w:val="24"/>
              </w:rPr>
              <w:t>а, ВА;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hanging="0" w:left="1116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1116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66"/>
              <w:ind w:firstLine="7" w:right="252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номинальная предельная крат</w:t>
            </w:r>
            <w:r>
              <w:rPr>
                <w:sz w:val="24"/>
                <w:szCs w:val="24"/>
              </w:rPr>
              <w:t>ность.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hanging="0" w:left="1109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1109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1.27.3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трансформатор тока 3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коэффициент трансформации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класс точности;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exact" w:line="281"/>
              <w:ind w:hanging="0" w:left="684" w:right="69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hanging="0" w:left="684" w:right="69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81" w:before="0" w:after="0"/>
              <w:ind w:hanging="1020" w:left="1587" w:right="2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300-600</w:t>
            </w:r>
            <w:r>
              <w:rPr>
                <w:sz w:val="24"/>
                <w:szCs w:val="24"/>
              </w:rPr>
              <w:t>/5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81" w:before="0" w:after="0"/>
              <w:ind w:hanging="1020" w:left="1587" w:right="2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10Р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37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номинальная вторичная нагруз</w:t>
            </w:r>
            <w:r>
              <w:rPr>
                <w:sz w:val="24"/>
                <w:szCs w:val="24"/>
              </w:rPr>
              <w:t>ка, ВА;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hanging="0" w:left="1123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1123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66"/>
              <w:ind w:hanging="0" w:right="245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номинальная предельная крат</w:t>
            </w:r>
            <w:r>
              <w:rPr>
                <w:sz w:val="24"/>
                <w:szCs w:val="24"/>
              </w:rPr>
              <w:t>ность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hanging="0" w:left="1116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1116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1.27.4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трансформатор тока 4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52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коэффициент трансформации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52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класс точности;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35" w:right="15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1134" w:left="1191" w:right="9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250/1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1134" w:left="1191" w:right="9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1134" w:left="1191" w:right="96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37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номинальная вторичная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37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нагруз</w:t>
            </w:r>
            <w:r>
              <w:rPr>
                <w:sz w:val="24"/>
                <w:szCs w:val="24"/>
              </w:rPr>
              <w:t>ка, ВА;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37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Коэффициент безопасности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81"/>
              <w:ind w:hanging="0" w:left="1001" w:right="9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81" w:before="0" w:after="0"/>
              <w:ind w:hanging="1701" w:left="2041"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Fs10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1.27.5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01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Трансформатор тока нейтрально</w:t>
            </w:r>
            <w:r>
              <w:rPr>
                <w:sz w:val="24"/>
                <w:szCs w:val="24"/>
              </w:rPr>
              <w:t>го ввода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52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1"/>
                <w:sz w:val="24"/>
                <w:szCs w:val="24"/>
              </w:rPr>
              <w:t>коэффициент трансформации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52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класс точности;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exact" w:line="281"/>
              <w:ind w:hanging="0" w:left="742" w:right="7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hanging="0" w:left="742" w:right="7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81" w:before="0" w:after="0"/>
              <w:ind w:hanging="567" w:left="567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300-600</w:t>
            </w:r>
            <w:r>
              <w:rPr>
                <w:sz w:val="24"/>
                <w:szCs w:val="24"/>
              </w:rPr>
              <w:t>/5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81" w:before="0" w:after="0"/>
              <w:ind w:hanging="567" w:left="567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10Р/10Р</w:t>
            </w:r>
          </w:p>
        </w:tc>
        <w:tc>
          <w:tcPr>
            <w:tcW w:w="2622" w:type="dxa"/>
            <w:vMerge w:val="restart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81"/>
              <w:ind w:hanging="0" w:right="137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номинальная вторичная нагруз</w:t>
            </w:r>
            <w:r>
              <w:rPr>
                <w:sz w:val="24"/>
                <w:szCs w:val="24"/>
              </w:rPr>
              <w:t>ка, ВА;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hanging="0" w:left="113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113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7" w:right="238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номинальная предельная крат</w:t>
            </w:r>
            <w:r>
              <w:rPr>
                <w:sz w:val="24"/>
                <w:szCs w:val="24"/>
              </w:rPr>
              <w:t>ность.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hanging="0" w:left="1123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1123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1.27.6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left="7" w:right="115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 линейные ввода НН (фазы </w:t>
            </w:r>
            <w:r>
              <w:rPr>
                <w:spacing w:val="-3"/>
                <w:sz w:val="24"/>
                <w:szCs w:val="24"/>
              </w:rPr>
              <w:t>«А», «В» и «С») для системы мо</w:t>
            </w:r>
            <w:r>
              <w:rPr>
                <w:sz w:val="24"/>
                <w:szCs w:val="24"/>
              </w:rPr>
              <w:t>ниторинга.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vMerge w:val="restart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трансформатор тока 1</w:t>
            </w:r>
          </w:p>
          <w:p>
            <w:pPr>
              <w:pStyle w:val="Normal"/>
              <w:widowControl w:val="false"/>
              <w:shd w:val="clear" w:fill="FFFFFF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коэффициент трансформации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napToGrid w:val="false"/>
              <w:ind w:hanging="0" w:left="907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ind w:hanging="0" w:left="907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4000/1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класс точности;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ind w:hanging="0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номинальная вторичная нагруз</w:t>
            </w:r>
            <w:r>
              <w:rPr>
                <w:sz w:val="24"/>
                <w:szCs w:val="24"/>
              </w:rPr>
              <w:t>ка, ВА;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Коэффициент безопасности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51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2. трансформатор тока 2 (только </w:t>
            </w:r>
            <w:r>
              <w:rPr>
                <w:sz w:val="24"/>
                <w:szCs w:val="24"/>
              </w:rPr>
              <w:t>фаза «В»)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1"/>
                <w:sz w:val="24"/>
                <w:szCs w:val="24"/>
              </w:rPr>
              <w:t>коэффициент трансформации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класс точности;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45" w:leader="none"/>
              </w:tabs>
              <w:spacing w:lineRule="exact" w:line="274"/>
              <w:ind w:firstLine="7" w:right="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номинальная вторичная нагруз</w:t>
            </w:r>
            <w:r>
              <w:rPr>
                <w:sz w:val="24"/>
                <w:szCs w:val="24"/>
              </w:rPr>
              <w:t>ка, ВА;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Коэффициент безопасности.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403"/>
              <w:ind w:hanging="0" w:left="878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  <w:p>
            <w:pPr>
              <w:pStyle w:val="Normal"/>
              <w:widowControl w:val="false"/>
              <w:shd w:val="clear" w:fill="FFFFFF"/>
              <w:spacing w:lineRule="exact" w:line="403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>
            <w:pPr>
              <w:pStyle w:val="Normal"/>
              <w:widowControl w:val="false"/>
              <w:shd w:val="clear" w:fill="FFFFFF"/>
              <w:spacing w:lineRule="exact" w:line="403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403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403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403" w:before="0" w:after="0"/>
              <w:ind w:hanging="227" w:left="1077" w:right="9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Fsl</w:t>
            </w:r>
            <w:r>
              <w:rPr>
                <w:sz w:val="24"/>
                <w:szCs w:val="24"/>
              </w:rPr>
              <w:t>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81" w:before="0" w:after="0"/>
              <w:ind w:hanging="1757" w:left="1871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3500/5  или 4000/5</w:t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hanging="0" w:right="1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hanging="0" w:right="1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hanging="0" w:right="1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281"/>
              <w:ind w:firstLine="115" w:left="878" w:right="9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Fsl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62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1.27.7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81"/>
              <w:ind w:hanging="0" w:right="38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Допустимые перегрузки (крат</w:t>
            </w:r>
            <w:r>
              <w:rPr>
                <w:sz w:val="24"/>
                <w:szCs w:val="24"/>
              </w:rPr>
              <w:t>ность и длительность)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340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В соответствии пункт 5.3.15 </w:t>
            </w:r>
            <w:r>
              <w:rPr>
                <w:sz w:val="24"/>
                <w:szCs w:val="24"/>
              </w:rPr>
              <w:t>по ГОСТ 14209-85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1.27.8</w:t>
            </w:r>
          </w:p>
        </w:tc>
        <w:tc>
          <w:tcPr>
            <w:tcW w:w="2650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spacing w:lineRule="exact" w:line="266"/>
              <w:ind w:hanging="0" w:right="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Заземление баков трансформаторов</w:t>
            </w:r>
          </w:p>
        </w:tc>
        <w:tc>
          <w:tcPr>
            <w:tcW w:w="256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требованиями           ГОСТ </w:t>
            </w:r>
            <w:r>
              <w:rPr>
                <w:spacing w:val="-2"/>
                <w:sz w:val="24"/>
                <w:szCs w:val="24"/>
              </w:rPr>
              <w:t>12.2.007.0-75   со   следую</w:t>
            </w:r>
            <w:r>
              <w:rPr>
                <w:spacing w:val="-1"/>
                <w:sz w:val="24"/>
                <w:szCs w:val="24"/>
              </w:rPr>
              <w:t>щими дополнениями: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14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■</w:t>
            </w:r>
            <w:r>
              <w:rPr>
                <w:sz w:val="24"/>
                <w:szCs w:val="24"/>
              </w:rPr>
              <w:tab/>
              <w:t>при применении</w:t>
              <w:br/>
              <w:t>для         заземления</w:t>
              <w:br/>
            </w:r>
            <w:r>
              <w:rPr>
                <w:spacing w:val="-1"/>
                <w:sz w:val="24"/>
                <w:szCs w:val="24"/>
              </w:rPr>
              <w:t xml:space="preserve">резьбового    соединения          диаметр </w:t>
            </w:r>
            <w:r>
              <w:rPr>
                <w:sz w:val="24"/>
                <w:szCs w:val="24"/>
              </w:rPr>
              <w:t>резьбы   должен</w:t>
              <w:br/>
              <w:t>быть М12;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14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■ </w:t>
            </w:r>
            <w:r>
              <w:rPr>
                <w:spacing w:val="-2"/>
                <w:sz w:val="24"/>
                <w:szCs w:val="24"/>
              </w:rPr>
              <w:t>поверхность   за</w:t>
            </w:r>
            <w:r>
              <w:rPr>
                <w:sz w:val="24"/>
                <w:szCs w:val="24"/>
              </w:rPr>
              <w:t>земляющего     контакта должна быть</w:t>
              <w:br/>
              <w:t>достаточной      для</w:t>
              <w:br/>
              <w:t>присоединения</w:t>
              <w:br/>
              <w:t>стальной шины сечением не менее 40х4мм;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14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■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заземляющий</w:t>
              <w:br/>
            </w:r>
            <w:r>
              <w:rPr>
                <w:sz w:val="24"/>
                <w:szCs w:val="24"/>
              </w:rPr>
              <w:t>контакт       должен</w:t>
              <w:br/>
              <w:t>быть расположен в</w:t>
              <w:br/>
            </w:r>
            <w:r>
              <w:rPr>
                <w:spacing w:val="-2"/>
                <w:sz w:val="24"/>
                <w:szCs w:val="24"/>
              </w:rPr>
              <w:t>доступном      месте</w:t>
              <w:br/>
            </w:r>
            <w:r>
              <w:rPr>
                <w:sz w:val="24"/>
                <w:szCs w:val="24"/>
              </w:rPr>
              <w:t>внизу бака на стороне НН.</w:t>
            </w:r>
          </w:p>
        </w:tc>
        <w:tc>
          <w:tcPr>
            <w:tcW w:w="262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757" w:hRule="atLeast"/>
        </w:trPr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850" w:left="737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21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6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265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Степень защиты по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ГОСТ 16772-77 не менее</w:t>
            </w:r>
          </w:p>
        </w:tc>
        <w:tc>
          <w:tcPr>
            <w:tcW w:w="256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IP 21</w:t>
            </w:r>
          </w:p>
        </w:tc>
        <w:tc>
          <w:tcPr>
            <w:tcW w:w="26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Масса полная (Т), не более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310" w:right="30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26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166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Период выполнения регламент</w:t>
            </w:r>
            <w:r>
              <w:rPr>
                <w:spacing w:val="-3"/>
                <w:sz w:val="24"/>
                <w:szCs w:val="24"/>
              </w:rPr>
              <w:t>ных работ по замене уплотнений не менее, лет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122" w:left="295" w:right="31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2.4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ind w:hanging="0" w:left="7" w:right="0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Обозначение трансформатора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Бак трансформатора должен иметь два штатных места под табличку с диспетчерским наименованием, </w:t>
            </w:r>
            <w:r>
              <w:rPr>
                <w:spacing w:val="-1"/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 xml:space="preserve">азмером </w:t>
            </w:r>
            <w:r>
              <w:rPr>
                <w:spacing w:val="-1"/>
                <w:sz w:val="24"/>
                <w:szCs w:val="24"/>
              </w:rPr>
              <w:t>500x500 мм (с двух противоположных сторон НН и ВН).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2.5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Расположение расширителя: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30" w:leader="none"/>
              </w:tabs>
              <w:spacing w:lineRule="exact" w:line="274"/>
              <w:ind w:firstLine="7" w:righ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параллельно поперечной оси</w:t>
              <w:br/>
            </w:r>
            <w:r>
              <w:rPr>
                <w:sz w:val="24"/>
                <w:szCs w:val="24"/>
              </w:rPr>
              <w:t>трансформатора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30" w:leader="none"/>
              </w:tabs>
              <w:spacing w:lineRule="exact" w:line="274"/>
              <w:ind w:firstLine="7" w:righ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30" w:leader="none"/>
              </w:tabs>
              <w:spacing w:lineRule="exact" w:line="274"/>
              <w:ind w:firstLine="7" w:righ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указатель уровня масла в сторо</w:t>
            </w:r>
            <w:r>
              <w:rPr>
                <w:sz w:val="24"/>
                <w:szCs w:val="24"/>
              </w:rPr>
              <w:t>ну вводов ВН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2.6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Конструкция расширителя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Должна         исключать </w:t>
            </w:r>
            <w:r>
              <w:rPr>
                <w:spacing w:val="-1"/>
                <w:sz w:val="24"/>
                <w:szCs w:val="24"/>
              </w:rPr>
              <w:t>возможность     попада</w:t>
            </w:r>
            <w:r>
              <w:rPr>
                <w:sz w:val="24"/>
                <w:szCs w:val="24"/>
              </w:rPr>
              <w:t xml:space="preserve">ния остатков масла из расширителя  в   бак  и </w:t>
            </w:r>
            <w:r>
              <w:rPr>
                <w:spacing w:val="-1"/>
                <w:sz w:val="24"/>
                <w:szCs w:val="24"/>
              </w:rPr>
              <w:t xml:space="preserve">должна     обеспечивать </w:t>
            </w:r>
            <w:r>
              <w:rPr>
                <w:sz w:val="24"/>
                <w:szCs w:val="24"/>
              </w:rPr>
              <w:t>постоянное  наличие  в нем масла при всех ре</w:t>
            </w:r>
            <w:r>
              <w:rPr>
                <w:spacing w:val="-1"/>
                <w:sz w:val="24"/>
                <w:szCs w:val="24"/>
              </w:rPr>
              <w:t>жимах   работы   трансформатора   от   отклю</w:t>
            </w:r>
            <w:r>
              <w:rPr>
                <w:sz w:val="24"/>
                <w:szCs w:val="24"/>
              </w:rPr>
              <w:t>ченного   состояния  до номинальной  нагрузки и при колебаниях тем</w:t>
            </w:r>
            <w:r>
              <w:rPr>
                <w:spacing w:val="-2"/>
                <w:sz w:val="24"/>
                <w:szCs w:val="24"/>
              </w:rPr>
              <w:t>пературы   окружающе</w:t>
            </w:r>
            <w:r>
              <w:rPr>
                <w:sz w:val="24"/>
                <w:szCs w:val="24"/>
              </w:rPr>
              <w:t>го воздуха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2.7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Маслоуказатель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должен  быть стрелочного типа и включать в себя    датчики    минимального и максимальк</w:t>
            </w:r>
            <w:r>
              <w:rPr>
                <w:spacing w:val="-2"/>
                <w:sz w:val="24"/>
                <w:szCs w:val="24"/>
              </w:rPr>
              <w:t xml:space="preserve">ого уровней масла при </w:t>
            </w:r>
            <w:r>
              <w:rPr>
                <w:spacing w:val="-1"/>
                <w:sz w:val="24"/>
                <w:szCs w:val="24"/>
              </w:rPr>
              <w:t>температуре: -45 - +15 -</w:t>
            </w:r>
            <w:r>
              <w:rPr>
                <w:sz w:val="24"/>
                <w:szCs w:val="24"/>
              </w:rPr>
              <w:t>+45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2.8</w:t>
            </w:r>
          </w:p>
        </w:tc>
        <w:tc>
          <w:tcPr>
            <w:tcW w:w="2650" w:type="dxa"/>
            <w:gridSpan w:val="3"/>
            <w:vMerge w:val="restart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right="202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Конструкция защитного устрой</w:t>
            </w:r>
            <w:r>
              <w:rPr>
                <w:spacing w:val="-1"/>
                <w:sz w:val="24"/>
                <w:szCs w:val="24"/>
              </w:rPr>
              <w:t>ства выброса масла (клапана)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Инерционный/мембранный. Направления выхлопа масла из предохранительной трубы (устройства) в сторону от токоведущих     частей, </w:t>
            </w:r>
            <w:r>
              <w:rPr>
                <w:spacing w:val="-3"/>
                <w:sz w:val="24"/>
                <w:szCs w:val="24"/>
              </w:rPr>
              <w:t xml:space="preserve">шкафов   управления   и </w:t>
            </w:r>
            <w:r>
              <w:rPr>
                <w:sz w:val="24"/>
                <w:szCs w:val="24"/>
              </w:rPr>
              <w:t>конструкций;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firstLine="67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38" w:right="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Защитное устройство </w:t>
            </w:r>
            <w:r>
              <w:rPr>
                <w:spacing w:val="-1"/>
                <w:sz w:val="24"/>
                <w:szCs w:val="24"/>
              </w:rPr>
              <w:t xml:space="preserve">расширительного   бака </w:t>
            </w:r>
            <w:r>
              <w:rPr>
                <w:spacing w:val="-2"/>
                <w:sz w:val="24"/>
                <w:szCs w:val="24"/>
              </w:rPr>
              <w:t xml:space="preserve">должно     обеспечивать </w:t>
            </w:r>
            <w:r>
              <w:rPr>
                <w:sz w:val="24"/>
                <w:szCs w:val="24"/>
              </w:rPr>
              <w:t xml:space="preserve">выброс    масла    вниз. Масло не должно попадать    на    лестницу для подъема на трансформатор. Зона выброса масла не </w:t>
            </w:r>
            <w:r>
              <w:rPr>
                <w:spacing w:val="-1"/>
                <w:sz w:val="24"/>
                <w:szCs w:val="24"/>
              </w:rPr>
              <w:t xml:space="preserve">должна       захватывать </w:t>
            </w:r>
            <w:r>
              <w:rPr>
                <w:sz w:val="24"/>
                <w:szCs w:val="24"/>
              </w:rPr>
              <w:t xml:space="preserve">места      расположения </w:t>
            </w:r>
            <w:r>
              <w:rPr>
                <w:spacing w:val="-3"/>
                <w:sz w:val="24"/>
                <w:szCs w:val="24"/>
              </w:rPr>
              <w:t xml:space="preserve">приборов,    требующих </w:t>
            </w:r>
            <w:r>
              <w:rPr>
                <w:sz w:val="24"/>
                <w:szCs w:val="24"/>
              </w:rPr>
              <w:t>обслуживания при эксплуатации.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2.9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колеи</w:t>
            </w:r>
          </w:p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- поперечного перемещения не более, (мм)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ind w:hanging="0" w:left="979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2.10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ind w:hanging="0" w:left="7" w:right="0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Уровень шума не более, (</w:t>
            </w:r>
            <w:r>
              <w:rPr>
                <w:spacing w:val="-1"/>
                <w:sz w:val="24"/>
                <w:szCs w:val="24"/>
                <w:lang w:val="en-US"/>
              </w:rPr>
              <w:t>dB</w:t>
            </w:r>
            <w:r>
              <w:rPr>
                <w:spacing w:val="-1"/>
                <w:sz w:val="24"/>
                <w:szCs w:val="24"/>
              </w:rPr>
              <w:t>)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2.11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2" w:left="7" w:right="274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Масло по показателям, не усту</w:t>
            </w:r>
            <w:r>
              <w:rPr>
                <w:sz w:val="24"/>
                <w:szCs w:val="24"/>
              </w:rPr>
              <w:t>пающим</w:t>
            </w:r>
          </w:p>
        </w:tc>
        <w:tc>
          <w:tcPr>
            <w:tcW w:w="25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2" w:left="7" w:right="274"/>
              <w:jc w:val="center"/>
              <w:rPr/>
            </w:pPr>
            <w:r>
              <w:rPr>
                <w:sz w:val="24"/>
                <w:szCs w:val="24"/>
              </w:rPr>
              <w:t>В соответствии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firstLine="22" w:left="7" w:right="274"/>
              <w:jc w:val="center"/>
              <w:rPr/>
            </w:pPr>
            <w:r>
              <w:rPr>
                <w:sz w:val="24"/>
                <w:szCs w:val="24"/>
              </w:rPr>
              <w:t>с ГОСТ 982 -80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2.12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7" w:right="101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Срок службы лакокрасочного по</w:t>
            </w:r>
            <w:r>
              <w:rPr>
                <w:sz w:val="24"/>
                <w:szCs w:val="24"/>
              </w:rPr>
              <w:t xml:space="preserve">крытия трансформатора </w:t>
            </w:r>
            <w:r>
              <w:rPr>
                <w:spacing w:val="-1"/>
                <w:sz w:val="24"/>
                <w:szCs w:val="24"/>
              </w:rPr>
              <w:t>не менее, лет</w:t>
            </w:r>
          </w:p>
        </w:tc>
        <w:tc>
          <w:tcPr>
            <w:tcW w:w="25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94" w:left="50" w:right="58"/>
              <w:jc w:val="center"/>
              <w:rPr/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2.13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7" w:right="0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Необходимость проведения капи</w:t>
            </w:r>
            <w:r>
              <w:rPr>
                <w:spacing w:val="-2"/>
                <w:sz w:val="24"/>
                <w:szCs w:val="24"/>
              </w:rPr>
              <w:t xml:space="preserve">тального ремонта трансформатора </w:t>
            </w:r>
            <w:r>
              <w:rPr>
                <w:sz w:val="24"/>
                <w:szCs w:val="24"/>
              </w:rPr>
              <w:t>в период срока эксплуатации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ремонтируемый на </w:t>
            </w:r>
            <w:r>
              <w:rPr>
                <w:spacing w:val="-3"/>
                <w:sz w:val="24"/>
                <w:szCs w:val="24"/>
              </w:rPr>
              <w:t>протяжении всего сро</w:t>
            </w:r>
            <w:r>
              <w:rPr>
                <w:sz w:val="24"/>
                <w:szCs w:val="24"/>
              </w:rPr>
              <w:t>ка службы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2.14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7" w:right="2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Устройства автоматики и защиты, </w:t>
            </w:r>
            <w:r>
              <w:rPr>
                <w:sz w:val="24"/>
                <w:szCs w:val="24"/>
              </w:rPr>
              <w:t>в т.ч.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66" w:leader="none"/>
              </w:tabs>
              <w:spacing w:lineRule="exact" w:line="274"/>
              <w:ind w:hanging="0" w:left="7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1"/>
                <w:sz w:val="24"/>
                <w:szCs w:val="24"/>
              </w:rPr>
              <w:t>защита масла от окисления;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66" w:leader="none"/>
              </w:tabs>
              <w:spacing w:lineRule="exact" w:line="274"/>
              <w:ind w:firstLine="7" w:left="7" w:right="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указатели уровня масла с сиг</w:t>
            </w:r>
            <w:r>
              <w:rPr>
                <w:sz w:val="24"/>
                <w:szCs w:val="24"/>
              </w:rPr>
              <w:t>нальными контактами;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66" w:leader="none"/>
              </w:tabs>
              <w:spacing w:lineRule="exact" w:line="274"/>
              <w:ind w:hanging="0" w:left="7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1"/>
                <w:sz w:val="24"/>
                <w:szCs w:val="24"/>
              </w:rPr>
              <w:t>современное газовое реле;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66" w:leader="none"/>
              </w:tabs>
              <w:spacing w:lineRule="exact" w:line="274"/>
              <w:ind w:hanging="0" w:left="7" w:right="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система измерения и сигнализа</w:t>
            </w:r>
            <w:r>
              <w:rPr>
                <w:sz w:val="24"/>
                <w:szCs w:val="24"/>
              </w:rPr>
              <w:t>ции температуры масла;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66" w:leader="none"/>
              </w:tabs>
              <w:spacing w:lineRule="exact" w:line="274"/>
              <w:ind w:firstLine="22" w:left="7" w:right="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</w:r>
            <w:r>
              <w:rPr>
                <w:spacing w:val="-3"/>
                <w:sz w:val="24"/>
                <w:szCs w:val="24"/>
              </w:rPr>
              <w:t>автоматика включения системы</w:t>
              <w:br/>
            </w:r>
            <w:r>
              <w:rPr>
                <w:sz w:val="24"/>
                <w:szCs w:val="24"/>
              </w:rPr>
              <w:t>охлаждения;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7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7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11677-85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7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Приложить описание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72" w:righ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устройств автоматики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72" w:righ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защит. </w:t>
            </w:r>
            <w:r>
              <w:rPr>
                <w:spacing w:val="-1"/>
                <w:sz w:val="24"/>
                <w:szCs w:val="24"/>
              </w:rPr>
              <w:t xml:space="preserve">Газовое реле должно </w:t>
            </w:r>
            <w:r>
              <w:rPr>
                <w:spacing w:val="-2"/>
                <w:sz w:val="24"/>
                <w:szCs w:val="24"/>
              </w:rPr>
              <w:t xml:space="preserve">иметь по два контакта </w:t>
            </w:r>
            <w:r>
              <w:rPr>
                <w:sz w:val="24"/>
                <w:szCs w:val="24"/>
              </w:rPr>
              <w:t>для каждой ступени для возможности их отдельного использо</w:t>
            </w:r>
            <w:r>
              <w:rPr>
                <w:spacing w:val="-2"/>
                <w:sz w:val="24"/>
                <w:szCs w:val="24"/>
              </w:rPr>
              <w:t>вания в двух комплект</w:t>
            </w:r>
            <w:r>
              <w:rPr>
                <w:sz w:val="24"/>
                <w:szCs w:val="24"/>
              </w:rPr>
              <w:t>ах защиты.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2.15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перегрузок по ГОСТ 16772-77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Досборка трансформатора.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sz w:val="24"/>
                <w:szCs w:val="24"/>
              </w:rPr>
              <w:t>Конструкция трансформатора должна обеспечивать возможность его длительного хранения в аварийном запасе в транспортном состоянии.  В случае невозможности выполнения данного требования по решению Поставщика допускается возможность выполнения досборки трансформатора на месте его постоянного хранения с целью перевода из транспортного состояния в состояние хранения в соответствии с указаниями руководства по эксплуатации. Досборка должна быть выполнена без любых дополнительных затрат со стороны Заказчика сверх цены Договора. Возможность досборки трансформатора и ее сроки должны быть предварительно согласованы с Заказчиком.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216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ind w:hanging="0" w:left="43" w:right="0"/>
              <w:jc w:val="both"/>
              <w:rPr/>
            </w:pPr>
            <w:r>
              <w:rPr>
                <w:b/>
                <w:bCs/>
                <w:spacing w:val="-4"/>
                <w:sz w:val="24"/>
                <w:szCs w:val="24"/>
              </w:rPr>
              <w:t>Требования к надежности:</w:t>
            </w:r>
          </w:p>
        </w:tc>
        <w:tc>
          <w:tcPr>
            <w:tcW w:w="262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2" w:left="22" w:right="8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Наработка до отказа </w:t>
            </w:r>
            <w:r>
              <w:rPr>
                <w:spacing w:val="-2"/>
                <w:sz w:val="24"/>
                <w:szCs w:val="24"/>
              </w:rPr>
              <w:t>не менее, ч</w:t>
            </w:r>
          </w:p>
        </w:tc>
        <w:tc>
          <w:tcPr>
            <w:tcW w:w="25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25000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3.3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81"/>
              <w:ind w:firstLine="29" w:right="18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Срок эксплуатации до списания, </w:t>
            </w: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5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exact" w:line="266"/>
              <w:ind w:hanging="0" w:left="101" w:right="0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Обязательно 30 лет,</w:t>
            </w:r>
          </w:p>
          <w:p>
            <w:pPr>
              <w:pStyle w:val="Normal"/>
              <w:widowControl w:val="false"/>
              <w:shd w:val="clear" w:fill="FFFFFF"/>
              <w:spacing w:lineRule="exact" w:line="266"/>
              <w:ind w:hanging="0" w:left="101" w:right="0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Желательно не менее</w:t>
            </w:r>
          </w:p>
          <w:p>
            <w:pPr>
              <w:pStyle w:val="Normal"/>
              <w:widowControl w:val="false"/>
              <w:shd w:val="clear" w:fill="FFFFFF"/>
              <w:spacing w:lineRule="exact" w:line="266"/>
              <w:ind w:hanging="0" w:left="101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лет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3.4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256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74" w:leader="none"/>
              </w:tabs>
              <w:spacing w:lineRule="exact" w:line="27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Должна быть нанесе</w:t>
            </w:r>
            <w:r>
              <w:rPr>
                <w:spacing w:val="-1"/>
                <w:sz w:val="24"/>
                <w:szCs w:val="24"/>
              </w:rPr>
              <w:t>на способом, обеспечи</w:t>
            </w:r>
            <w:r>
              <w:rPr>
                <w:spacing w:val="-2"/>
                <w:sz w:val="24"/>
                <w:szCs w:val="24"/>
              </w:rPr>
              <w:t>вающим   ее   долговеч</w:t>
            </w:r>
            <w:r>
              <w:rPr>
                <w:sz w:val="24"/>
                <w:szCs w:val="24"/>
              </w:rPr>
              <w:t>ность и стойкость к ат</w:t>
            </w:r>
            <w:r>
              <w:rPr>
                <w:spacing w:val="-1"/>
                <w:sz w:val="24"/>
                <w:szCs w:val="24"/>
              </w:rPr>
              <w:t>мосферным    воздейст</w:t>
            </w:r>
            <w:r>
              <w:rPr>
                <w:sz w:val="24"/>
                <w:szCs w:val="24"/>
              </w:rPr>
              <w:t>виям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274" w:leader="none"/>
              </w:tabs>
              <w:spacing w:lineRule="exact" w:line="274"/>
              <w:ind w:firstLine="7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Трансформатор должен быть снабжен прикрепленной на видном месте со стороны ВН табличкой в соответствии     с    ГОСТ 11677-85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446" w:leader="none"/>
              </w:tabs>
              <w:spacing w:lineRule="exact" w:line="274"/>
              <w:ind w:firstLine="7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Маркировка    места</w:t>
              <w:br/>
              <w:t>заземления        должна</w:t>
              <w:br/>
              <w:t>быть выполнена по одному из методов по ГОСТ 21130-75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302" w:leader="none"/>
              </w:tabs>
              <w:spacing w:lineRule="exact" w:line="274"/>
              <w:ind w:firstLine="14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  <w:tab/>
              <w:t>Транспортная марки</w:t>
            </w:r>
            <w:r>
              <w:rPr>
                <w:spacing w:val="-2"/>
                <w:sz w:val="24"/>
                <w:szCs w:val="24"/>
              </w:rPr>
              <w:t>ровка - по ГОСТ 14192-</w:t>
            </w:r>
            <w:r>
              <w:rPr>
                <w:sz w:val="24"/>
                <w:szCs w:val="24"/>
              </w:rPr>
              <w:t>96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5216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jc w:val="left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Требования к безопасности: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9" w:right="20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Требования безопасности, в том </w:t>
            </w:r>
            <w:r>
              <w:rPr>
                <w:sz w:val="24"/>
                <w:szCs w:val="24"/>
              </w:rPr>
              <w:t>числе пожарной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66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соответствие с ГОСТ 12.2.007.0-75, ГОСТ </w:t>
            </w:r>
            <w:r>
              <w:rPr>
                <w:spacing w:val="-1"/>
                <w:sz w:val="24"/>
                <w:szCs w:val="24"/>
              </w:rPr>
              <w:t xml:space="preserve">12.2.007.2-75 и ГОСТ </w:t>
            </w:r>
            <w:r>
              <w:rPr>
                <w:sz w:val="24"/>
                <w:szCs w:val="24"/>
              </w:rPr>
              <w:t>12.1.004-91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4.2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2" w:righ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Вероятность возникновения пожа</w:t>
            </w:r>
            <w:r>
              <w:rPr>
                <w:sz w:val="24"/>
                <w:szCs w:val="24"/>
              </w:rPr>
              <w:t>ра не должна превышать в год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410"/>
              <w:ind w:hanging="0" w:left="72" w:righ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fill="FFFFFF"/>
              <w:spacing w:lineRule="exact" w:line="410"/>
              <w:ind w:hanging="0" w:left="72" w:righ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10</w:t>
            </w:r>
            <w:r>
              <w:rPr/>
              <w:drawing>
                <wp:inline distT="0" distB="0" distL="0" distR="0">
                  <wp:extent cx="161925" cy="219075"/>
                  <wp:effectExtent l="0" t="0" r="0" b="0"/>
                  <wp:docPr id="3" name="law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aw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444" t="-328" r="-444" b="-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4.3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9" w:righ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Прикрепленные к баку лестницы и </w:t>
            </w:r>
            <w:r>
              <w:rPr>
                <w:sz w:val="24"/>
                <w:szCs w:val="24"/>
              </w:rPr>
              <w:t>упоры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В соответствии с ГОСТ </w:t>
            </w:r>
            <w:r>
              <w:rPr>
                <w:sz w:val="24"/>
                <w:szCs w:val="24"/>
              </w:rPr>
              <w:t>12.2.007.2-75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4.4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firstLine="22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всем остальном, не оговорен</w:t>
            </w:r>
            <w:r>
              <w:rPr>
                <w:spacing w:val="-2"/>
                <w:sz w:val="24"/>
                <w:szCs w:val="24"/>
              </w:rPr>
              <w:t xml:space="preserve">ном выше. Трансформатор должен </w:t>
            </w:r>
            <w:r>
              <w:rPr>
                <w:sz w:val="24"/>
                <w:szCs w:val="24"/>
              </w:rPr>
              <w:t>соответствовать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227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В соответствии с     </w:t>
            </w:r>
            <w:r>
              <w:rPr>
                <w:sz w:val="24"/>
                <w:szCs w:val="24"/>
              </w:rPr>
              <w:t xml:space="preserve">ГОСТ11677-85; </w:t>
            </w:r>
            <w:r>
              <w:rPr>
                <w:spacing w:val="-3"/>
                <w:sz w:val="24"/>
                <w:szCs w:val="24"/>
              </w:rPr>
              <w:t>ГОСТ12.2.007-75;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ГОСТ16110-82;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2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ГОСТ16355-75; </w:t>
            </w:r>
            <w:r>
              <w:rPr>
                <w:spacing w:val="-4"/>
                <w:sz w:val="24"/>
                <w:szCs w:val="24"/>
              </w:rPr>
              <w:t>ГОСТ1677-2077;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ГОСТ17544-85;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ГОСТ Р 52719-2007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ГОСТ30830-2002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lineRule="exact" w:line="274" w:before="0" w:after="0"/>
              <w:ind w:hanging="0" w:left="0" w:righ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(МЭК60076-1-93)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4.5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ind w:hanging="0" w:left="14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транспортировки трансформатора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36" w:right="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Навесное оборудование должно поставляться отдельно. Упаковка навесного оборудования должна обеспечивать надежное и длительное хранение в неотапливаемом помещении. Масло для заливки в трансформатор должно быть поставлено в емкостях, оборудованых воздухоосушителями.</w:t>
            </w:r>
          </w:p>
          <w:p>
            <w:pPr>
              <w:pStyle w:val="Normal"/>
              <w:widowControl w:val="false"/>
              <w:shd w:val="clear" w:fill="FFFFFF"/>
              <w:spacing w:lineRule="exact" w:line="274"/>
              <w:ind w:hanging="0" w:left="36" w:right="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 трансформатора в транспортном состоянии должен быть  заполнен азотом и маслом (определяется заводом- изготовителем согласовывается заказчиком).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513" w:hRule="atLeast"/>
        </w:trPr>
        <w:tc>
          <w:tcPr>
            <w:tcW w:w="847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4.6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Габаритные размеры: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-высота полная, не более мм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7000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-длина полная, не более мм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8000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-ширина, не более мм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4800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-ширина транспортная, не более мм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789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4.7</w:t>
            </w:r>
          </w:p>
        </w:tc>
        <w:tc>
          <w:tcPr>
            <w:tcW w:w="265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Конструктивное исполнение</w:t>
            </w:r>
          </w:p>
        </w:tc>
        <w:tc>
          <w:tcPr>
            <w:tcW w:w="256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Напольное</w:t>
            </w:r>
          </w:p>
        </w:tc>
        <w:tc>
          <w:tcPr>
            <w:tcW w:w="26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789" w:hRule="atLeast"/>
        </w:trPr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4.8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Наличие и тип блока контроля температуры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4-мя датчиками Рт-100 ( 3-датчика обмотки НН, 1- датчик магнитопровода)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850" w:left="737" w:right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     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521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62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981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firstLine="142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265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 исполнение и категория размещения</w:t>
            </w:r>
          </w:p>
        </w:tc>
        <w:tc>
          <w:tcPr>
            <w:tcW w:w="25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У1</w:t>
            </w:r>
          </w:p>
        </w:tc>
        <w:tc>
          <w:tcPr>
            <w:tcW w:w="26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056" w:hRule="atLeast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265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установки над уровнем моря, не более, м</w:t>
            </w:r>
          </w:p>
        </w:tc>
        <w:tc>
          <w:tcPr>
            <w:tcW w:w="256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6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056" w:hRule="atLeast"/>
        </w:trPr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5.3</w:t>
            </w:r>
          </w:p>
        </w:tc>
        <w:tc>
          <w:tcPr>
            <w:tcW w:w="2650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Сейсмостойкость по MSK-64</w:t>
            </w:r>
          </w:p>
        </w:tc>
        <w:tc>
          <w:tcPr>
            <w:tcW w:w="256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6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36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521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2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2780" w:hRule="atLeast"/>
        </w:trPr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2663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113" w:left="227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552" w:type="dxa"/>
            <w:tcBorders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113" w:left="113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на РГЭС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623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504" w:left="25"/>
              <w:contextualSpacing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504" w:left="36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780" w:hRule="atLeast"/>
        </w:trPr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2663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Разгрузка оборудования на объекте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Входит в стоимость поставки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504" w:left="25"/>
              <w:contextualSpacing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504" w:left="36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780" w:hRule="atLeast"/>
        </w:trPr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6.3</w:t>
            </w:r>
          </w:p>
        </w:tc>
        <w:tc>
          <w:tcPr>
            <w:tcW w:w="2663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Регистратор ударов «Шок-индикатора»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регистратора ударов «Шок-индикатора» на трансформаторе для контроля условий погрузки/разгрузки и транспортирования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504" w:left="25"/>
              <w:contextualSpacing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504" w:left="36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7988" w:hRule="atLeast"/>
        </w:trPr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6.4</w:t>
            </w:r>
          </w:p>
        </w:tc>
        <w:tc>
          <w:tcPr>
            <w:tcW w:w="2663" w:type="dxa"/>
            <w:gridSpan w:val="3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113" w:left="227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Упаковка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Трансформаторы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504" w:left="25"/>
              <w:contextualSpacing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504" w:left="36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162" w:hRule="atLeast"/>
        </w:trPr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850" w:left="737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521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2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2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2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2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17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7.1</w:t>
            </w:r>
          </w:p>
        </w:tc>
        <w:tc>
          <w:tcPr>
            <w:tcW w:w="2663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113" w:left="227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552" w:type="dxa"/>
            <w:tcBorders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даты подписания</w:t>
            </w:r>
          </w:p>
        </w:tc>
        <w:tc>
          <w:tcPr>
            <w:tcW w:w="26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bookmarkStart w:id="27" w:name="_GoBack"/>
            <w:bookmarkEnd w:id="27"/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504" w:left="36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7.2</w:t>
            </w:r>
          </w:p>
        </w:tc>
        <w:tc>
          <w:tcPr>
            <w:tcW w:w="2663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полезного использования, не менее, лет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6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504" w:left="36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/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8.</w:t>
            </w:r>
          </w:p>
        </w:tc>
        <w:tc>
          <w:tcPr>
            <w:tcW w:w="5215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Комплектность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</w:t>
            </w:r>
          </w:p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п.6.8 ГОСТ Р 52719-2007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center"/>
              <w:rPr/>
            </w:pPr>
            <w:r>
              <w:rPr/>
              <w:t>Согласие с требованием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Силикагель для заправки в термосифонные фильтры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комплект поставки входит силикагель типа КСКГ ГОСТ-3956-76, готовый к полной заправке в термосифонные фильтры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Устройство для отбора проб газа из газового реле без подъема на трансформатор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Входит в комплект поставки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Масло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полном объёме (транспортное, для дозаливки)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0" w:left="113" w:right="0"/>
              <w:contextualSpacing/>
              <w:jc w:val="center"/>
              <w:rPr/>
            </w:pPr>
            <w:r>
              <w:rPr/>
              <w:t>Согласие с требованием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паспорт/руководство по эксплуатации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управления и сигнализации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Должны быть оцинкованными или изготовлены из нержавеющих материалов со степенью защиты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- 54 по ГОСТ 14254-96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Контроль температуры масла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требованиями п. Г.25 ГОСТ Р 52719-2007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Контроль за температурой наиболее нагретой точки обмотки трансформатора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п. Д4 ГОСТ Р 52719-2007</w:t>
            </w:r>
          </w:p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или</w:t>
            </w:r>
          </w:p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Указывает участник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Силовые и контрольные кабели системы охлаждения, контрольные кабели от приборов контроля, сигнализации, защиты, трансформаторов тока в пределах трансформатора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Входят в комплект поставки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8.9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Металлорукав по баку трансформатора для прокладки силовых и контрольных кабелей системы охлаждения, контрольных кабелей от приборов контроля, сигнализации, защиты трансформаторов тока до клеммных шкафов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Входят в комплект поставки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паспорт/руководство по эксплуатации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и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8.10</w:t>
            </w:r>
          </w:p>
        </w:tc>
        <w:tc>
          <w:tcPr>
            <w:tcW w:w="2606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 (технический паспорт, сертификат качества, руководство по эксплуатации, свидетельство о поверке), с представлением в электронном и бумажном виде на этапе исполнения договора. Поставщик должен предоставить полный комплект технической и эксплуатационной документации на русском языке, подготовленной в соответствии с, ГОСТ 2.601-2013 Единая система конструкторской документации (ЕСКД). Эксплуатационные документы (с Поправкой), ГОСТ 14192-96 Маркировка грузов (с Изменениями N 1, 2, 3), ГОСТ 1983-15 Трансформаторы напряжения. Общие технические условия (с поправкой)</w:t>
            </w:r>
          </w:p>
        </w:tc>
        <w:tc>
          <w:tcPr>
            <w:tcW w:w="26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-113" w:right="0"/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9.</w:t>
            </w:r>
          </w:p>
        </w:tc>
        <w:tc>
          <w:tcPr>
            <w:tcW w:w="5215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оборудования: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60" w:after="60"/>
              <w:ind w:hanging="0"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9.1</w:t>
            </w:r>
          </w:p>
        </w:tc>
        <w:tc>
          <w:tcPr>
            <w:tcW w:w="260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Организация приемки на месте постоянного хранения</w:t>
            </w:r>
          </w:p>
        </w:tc>
        <w:tc>
          <w:tcPr>
            <w:tcW w:w="260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Приемка осуществляется заказчиком в присутствии представителя завода изготовителя (шеф инженер). Приезд представителя завода изготовителя должен быть организован без дополнительных затрат заказчика сверх цены договора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10.</w:t>
            </w:r>
          </w:p>
        </w:tc>
        <w:tc>
          <w:tcPr>
            <w:tcW w:w="5215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35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848" w:type="dxa"/>
            <w:gridSpan w:val="2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10.1</w:t>
            </w:r>
          </w:p>
        </w:tc>
        <w:tc>
          <w:tcPr>
            <w:tcW w:w="5215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28" w:name="_GoBack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28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6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3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9" w:leader="none"/>
              </w:tabs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3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type w:val="nextPage"/>
          <w:pgSz w:orient="landscape" w:w="16838" w:h="11906"/>
          <w:pgMar w:left="992" w:right="567" w:gutter="0" w:header="0" w:top="680" w:footer="851" w:bottom="1456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sz w:val="24"/>
          <w:szCs w:val="24"/>
          <w:lang w:val="ru-RU"/>
        </w:rPr>
      </w:pPr>
      <w:bookmarkStart w:id="29" w:name="_Toc160529685"/>
      <w:bookmarkStart w:id="30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0"/>
      <w:r>
        <w:rPr>
          <w:sz w:val="24"/>
          <w:szCs w:val="24"/>
          <w:lang w:val="ru-RU"/>
        </w:rPr>
        <w:t xml:space="preserve"> на этапе закупки</w:t>
      </w:r>
      <w:bookmarkEnd w:id="29"/>
    </w:p>
    <w:p>
      <w:pPr>
        <w:pStyle w:val="Normal"/>
        <w:ind w:hanging="0" w:left="708"/>
        <w:jc w:val="both"/>
        <w:rPr/>
      </w:pPr>
      <w:r>
        <w:rPr>
          <w:iCs/>
        </w:rPr>
        <w:t>3.1.    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1"/>
        <w:numPr>
          <w:ilvl w:val="0"/>
          <w:numId w:val="0"/>
        </w:numPr>
        <w:ind w:hanging="0" w:left="708"/>
        <w:jc w:val="both"/>
        <w:rPr>
          <w:b w:val="false"/>
          <w:iCs/>
        </w:rPr>
      </w:pPr>
      <w:r>
        <w:rPr>
          <w:b w:val="false"/>
          <w:iCs/>
        </w:rPr>
        <w:t>3.2</w:t>
        <w:tab/>
      </w:r>
      <w:bookmarkStart w:id="31" w:name="_Toc141183031_Копия_1"/>
      <w:r>
        <w:rPr>
          <w:b w:val="false"/>
          <w:iCs/>
        </w:rPr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</w:t>
      </w:r>
      <w:bookmarkEnd w:id="31"/>
      <w:r>
        <w:rPr>
          <w:b w:val="false"/>
          <w:iCs/>
        </w:rPr>
        <w:t>.»</w:t>
      </w:r>
    </w:p>
    <w:p>
      <w:pPr>
        <w:pStyle w:val="Normal"/>
        <w:ind w:hanging="0" w:left="708"/>
        <w:jc w:val="both"/>
        <w:rPr/>
      </w:pPr>
      <w:r>
        <w:rPr>
          <w:iCs/>
        </w:rPr>
        <w:t>3.3  Цена предлагаемой Продукции должна быть указана с учетом затрат на транспортировку, страхование, уплату налогов, таможенных пошлин, сборов и других обязательных платежей.</w:t>
      </w:r>
    </w:p>
    <w:p>
      <w:pPr>
        <w:sectPr>
          <w:headerReference w:type="default" r:id="rId11"/>
          <w:headerReference w:type="first" r:id="rId12"/>
          <w:footerReference w:type="default" r:id="rId13"/>
          <w:footerReference w:type="first" r:id="rId14"/>
          <w:type w:val="nextPage"/>
          <w:pgSz w:w="11906" w:h="16838"/>
          <w:pgMar w:left="1134" w:right="851" w:gutter="0" w:header="0" w:top="680" w:footer="992" w:bottom="1597"/>
          <w:pgNumType w:fmt="decimal"/>
          <w:formProt w:val="false"/>
          <w:textDirection w:val="lrTb"/>
          <w:docGrid w:type="default" w:linePitch="381" w:charSpace="0"/>
        </w:sectPr>
        <w:pStyle w:val="Normal"/>
        <w:ind w:hanging="0" w:left="708"/>
        <w:jc w:val="both"/>
        <w:rPr>
          <w:sz w:val="28"/>
          <w:szCs w:val="28"/>
        </w:rPr>
      </w:pPr>
      <w:r>
        <w:rPr>
          <w:b w:val="false"/>
          <w:iCs/>
          <w:sz w:val="28"/>
          <w:szCs w:val="28"/>
        </w:rPr>
        <w:t>3.4</w:t>
        <w:tab/>
        <w:t>Дополнительные документы по ценообразованию в состав закупки не включаются.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sz w:val="24"/>
          <w:szCs w:val="24"/>
        </w:rPr>
      </w:pPr>
      <w:bookmarkStart w:id="32" w:name="_Toc51339699"/>
      <w:bookmarkStart w:id="33" w:name="_Toc46743519"/>
      <w:bookmarkStart w:id="34" w:name="_Toc160529687"/>
      <w:r>
        <w:rPr>
          <w:iCs/>
          <w:sz w:val="24"/>
          <w:szCs w:val="24"/>
        </w:rPr>
        <w:t>Приложения</w:t>
      </w:r>
      <w:bookmarkEnd w:id="32"/>
      <w:bookmarkEnd w:id="33"/>
      <w:bookmarkEnd w:id="3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before="0" w:after="120"/>
        <w:ind w:hanging="0" w:left="284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№1: Спецификация поставляемого оборудования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15"/>
      <w:headerReference w:type="first" r:id="rId16"/>
      <w:footerReference w:type="default" r:id="rId17"/>
      <w:footerReference w:type="first" r:id="rId18"/>
      <w:type w:val="nextPage"/>
      <w:pgSz w:w="11906" w:h="16838"/>
      <w:pgMar w:left="1134" w:right="851" w:gutter="0" w:header="680" w:top="1134" w:footer="992" w:bottom="1049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AutoHyphens w:val="true"/>
      <w:bidi w:val="0"/>
      <w:spacing w:before="0" w:after="0"/>
      <w:ind w:firstLine="9921" w:left="0" w:right="0"/>
      <w:jc w:val="lef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AutoHyphens w:val="true"/>
      <w:bidi w:val="0"/>
      <w:spacing w:before="0" w:after="0"/>
      <w:ind w:firstLine="14854" w:left="0" w:right="113"/>
      <w:jc w:val="lef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26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AutoHyphens w:val="true"/>
      <w:bidi w:val="0"/>
      <w:spacing w:before="0" w:after="0"/>
      <w:ind w:firstLine="15250" w:left="0" w:right="0"/>
      <w:jc w:val="lef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AutoHyphens w:val="true"/>
      <w:bidi w:val="0"/>
      <w:spacing w:before="0" w:after="0"/>
      <w:ind w:firstLine="9638" w:left="0" w:right="0"/>
      <w:jc w:val="lef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AutoHyphens w:val="true"/>
      <w:bidi w:val="0"/>
      <w:spacing w:before="0" w:after="0"/>
      <w:ind w:firstLine="9524" w:left="0" w:right="0"/>
      <w:jc w:val="lef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28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Text" w:customStyle="1">
    <w:name w:val="text"/>
    <w:basedOn w:val="DefaultParagraphFont"/>
    <w:qFormat/>
    <w:rsid w:val="00c01c8d"/>
    <w:rPr/>
  </w:style>
  <w:style w:type="character" w:styleId="Param" w:customStyle="1">
    <w:name w:val="param"/>
    <w:basedOn w:val="DefaultParagraphFont"/>
    <w:qFormat/>
    <w:rsid w:val="00c01c8d"/>
    <w:rPr/>
  </w:style>
  <w:style w:type="character" w:styleId="Style14" w:customStyle="1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473db1"/>
    <w:pPr>
      <w:widowControl w:val="false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val="en-US"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1475941671">
    <w:name w:val="31475941671"/>
    <w:qFormat/>
  </w:style>
  <w:style w:type="numbering" w:styleId="6028301941">
    <w:name w:val="6028301941"/>
    <w:qFormat/>
  </w:style>
  <w:style w:type="numbering" w:styleId="7996308681">
    <w:name w:val="7996308681"/>
    <w:qFormat/>
  </w:style>
  <w:style w:type="numbering" w:styleId="4957274891">
    <w:name w:val="49572748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unhideWhenUsed/>
    <w:qFormat/>
    <w:rsid w:val="00473db1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header" Target="header8.xml"/><Relationship Id="rId16" Type="http://schemas.openxmlformats.org/officeDocument/2006/relationships/header" Target="header9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C2DB8-3000-43FD-9671-C7EBABFC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Application>AlterOffice/2026.2.0.0$Linux_X86_64 LibreOffice_project/bc4ef1adf80b36c7a6365f8ed6cbf29021361edd</Application>
  <AppVersion>15.0000</AppVersion>
  <Pages>28</Pages>
  <Words>2758</Words>
  <Characters>19060</Characters>
  <CharactersWithSpaces>21458</CharactersWithSpaces>
  <Paragraphs>650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2024-03-04T10:34:00Z</dcterms:created>
  <dc:creator>Быстров Олег Геннадьевич</dc:creator>
  <dc:description/>
  <dc:language>ru-RU</dc:language>
  <cp:lastModifiedBy>magomedogm@corp.gidroogk.com</cp:lastModifiedBy>
  <cp:lastPrinted>2006-07-26T14:04:00Z</cp:lastPrinted>
  <dcterms:modified xsi:type="dcterms:W3CDTF">2026-10-08T14:35:53Z</dcterms:modified>
  <cp:revision>47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